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topLinePunct/>
        <w:autoSpaceDE w:val="0"/>
        <w:autoSpaceDN w:val="0"/>
        <w:spacing w:before="0" w:after="0" w:line="360" w:lineRule="auto"/>
        <w:jc w:val="center"/>
        <w:rPr>
          <w:rFonts w:hint="eastAsia" w:ascii="宋体" w:hAnsi="宋体" w:eastAsia="宋体" w:cs="宋体"/>
          <w:b/>
          <w:sz w:val="24"/>
          <w:szCs w:val="24"/>
          <w:lang w:eastAsia="zh-CN"/>
        </w:rPr>
      </w:pPr>
    </w:p>
    <w:p>
      <w:pPr>
        <w:widowControl w:val="0"/>
        <w:topLinePunct/>
        <w:autoSpaceDE w:val="0"/>
        <w:autoSpaceDN w:val="0"/>
        <w:spacing w:before="0" w:after="0" w:line="360" w:lineRule="auto"/>
        <w:jc w:val="center"/>
        <w:rPr>
          <w:rFonts w:hint="eastAsia" w:ascii="宋体" w:hAnsi="宋体" w:eastAsia="宋体" w:cs="宋体"/>
          <w:b/>
          <w:sz w:val="24"/>
          <w:szCs w:val="24"/>
          <w:lang w:eastAsia="zh-CN"/>
        </w:rPr>
      </w:pPr>
      <w:r>
        <w:rPr>
          <w:rFonts w:hint="eastAsia" w:ascii="宋体" w:hAnsi="宋体" w:eastAsia="宋体" w:cs="宋体"/>
          <w:b/>
          <w:sz w:val="24"/>
          <w:szCs w:val="24"/>
          <w:lang w:eastAsia="zh-CN"/>
        </w:rPr>
        <w:t>采 购 需 求</w:t>
      </w:r>
    </w:p>
    <w:p>
      <w:pPr>
        <w:widowControl w:val="0"/>
        <w:topLinePunct/>
        <w:autoSpaceDE w:val="0"/>
        <w:autoSpaceDN w:val="0"/>
        <w:spacing w:before="0" w:after="0" w:line="360" w:lineRule="auto"/>
        <w:jc w:val="center"/>
        <w:rPr>
          <w:rFonts w:hint="eastAsia" w:ascii="宋体" w:hAnsi="宋体" w:eastAsia="宋体" w:cs="宋体"/>
          <w:b/>
          <w:sz w:val="24"/>
          <w:szCs w:val="24"/>
          <w:lang w:eastAsia="zh-CN"/>
        </w:rPr>
      </w:pPr>
    </w:p>
    <w:p>
      <w:pPr>
        <w:widowControl w:val="0"/>
        <w:topLinePunct/>
        <w:autoSpaceDE w:val="0"/>
        <w:autoSpaceDN w:val="0"/>
        <w:spacing w:before="0" w:after="0" w:line="360" w:lineRule="auto"/>
        <w:jc w:val="center"/>
        <w:rPr>
          <w:rFonts w:hint="eastAsia" w:ascii="宋体" w:hAnsi="宋体" w:eastAsia="宋体" w:cs="宋体"/>
          <w:b/>
          <w:sz w:val="24"/>
          <w:szCs w:val="24"/>
          <w:lang w:eastAsia="zh-CN"/>
        </w:rPr>
      </w:pPr>
    </w:p>
    <w:p>
      <w:pPr>
        <w:widowControl w:val="0"/>
        <w:topLinePunct/>
        <w:autoSpaceDE w:val="0"/>
        <w:autoSpaceDN w:val="0"/>
        <w:spacing w:before="0" w:after="0" w:line="360" w:lineRule="auto"/>
        <w:jc w:val="center"/>
        <w:rPr>
          <w:rFonts w:hint="eastAsia" w:ascii="宋体" w:hAnsi="宋体" w:eastAsia="宋体" w:cs="宋体"/>
          <w:b/>
          <w:sz w:val="24"/>
          <w:szCs w:val="24"/>
          <w:lang w:eastAsia="zh-CN"/>
        </w:rPr>
      </w:pPr>
    </w:p>
    <w:p>
      <w:pPr>
        <w:widowControl w:val="0"/>
        <w:topLinePunct/>
        <w:autoSpaceDE w:val="0"/>
        <w:autoSpaceDN w:val="0"/>
        <w:spacing w:before="0" w:after="0" w:line="360" w:lineRule="auto"/>
        <w:jc w:val="center"/>
        <w:rPr>
          <w:rFonts w:hint="eastAsia" w:ascii="宋体" w:hAnsi="宋体" w:eastAsia="宋体" w:cs="宋体"/>
          <w:b/>
          <w:sz w:val="24"/>
          <w:szCs w:val="24"/>
          <w:lang w:eastAsia="zh-CN"/>
        </w:rPr>
      </w:pPr>
      <w:r>
        <w:rPr>
          <w:rFonts w:hint="eastAsia" w:ascii="宋体" w:hAnsi="宋体" w:eastAsia="宋体" w:cs="宋体"/>
          <w:b/>
          <w:sz w:val="24"/>
          <w:szCs w:val="24"/>
          <w:lang w:eastAsia="zh-CN"/>
        </w:rPr>
        <w:t>项目名称：</w:t>
      </w:r>
      <w:bookmarkStart w:id="0" w:name="项目名称_projectName"/>
      <w:r>
        <w:rPr>
          <w:rFonts w:hint="eastAsia" w:ascii="宋体" w:hAnsi="宋体" w:eastAsia="宋体" w:cs="宋体"/>
          <w:b/>
          <w:sz w:val="24"/>
          <w:szCs w:val="24"/>
          <w:lang w:eastAsia="zh-CN"/>
        </w:rPr>
        <w:t>黑龙江税务2025年自然人电子税务局系统纳税人端技术服务项目</w:t>
      </w:r>
      <w:bookmarkEnd w:id="0"/>
    </w:p>
    <w:p>
      <w:pPr>
        <w:widowControl w:val="0"/>
        <w:spacing w:before="0" w:after="0" w:line="360" w:lineRule="auto"/>
        <w:jc w:val="both"/>
        <w:rPr>
          <w:rFonts w:hint="eastAsia" w:ascii="宋体" w:hAnsi="宋体" w:eastAsia="宋体" w:cs="宋体"/>
          <w:kern w:val="2"/>
          <w:sz w:val="24"/>
          <w:szCs w:val="24"/>
          <w:lang w:eastAsia="zh-CN"/>
        </w:rPr>
      </w:pPr>
    </w:p>
    <w:p>
      <w:pPr>
        <w:widowControl w:val="0"/>
        <w:spacing w:before="0" w:after="0" w:line="360" w:lineRule="auto"/>
        <w:jc w:val="both"/>
        <w:rPr>
          <w:rFonts w:hint="eastAsia" w:ascii="宋体" w:hAnsi="宋体" w:eastAsia="宋体" w:cs="宋体"/>
          <w:kern w:val="2"/>
          <w:sz w:val="24"/>
          <w:szCs w:val="24"/>
          <w:lang w:eastAsia="zh-CN"/>
        </w:rPr>
      </w:pPr>
    </w:p>
    <w:p>
      <w:pPr>
        <w:widowControl w:val="0"/>
        <w:spacing w:before="0" w:after="0" w:line="360" w:lineRule="auto"/>
        <w:jc w:val="both"/>
        <w:rPr>
          <w:rFonts w:hint="eastAsia" w:ascii="宋体" w:hAnsi="宋体" w:eastAsia="宋体" w:cs="宋体"/>
          <w:kern w:val="2"/>
          <w:sz w:val="24"/>
          <w:szCs w:val="24"/>
          <w:lang w:eastAsia="zh-CN"/>
        </w:rPr>
      </w:pPr>
    </w:p>
    <w:p>
      <w:pPr>
        <w:widowControl w:val="0"/>
        <w:topLinePunct/>
        <w:autoSpaceDE w:val="0"/>
        <w:autoSpaceDN w:val="0"/>
        <w:spacing w:before="0" w:after="0" w:line="360" w:lineRule="auto"/>
        <w:jc w:val="both"/>
        <w:rPr>
          <w:rFonts w:hint="eastAsia" w:ascii="宋体" w:hAnsi="宋体" w:eastAsia="宋体" w:cs="宋体"/>
          <w:sz w:val="24"/>
          <w:szCs w:val="24"/>
          <w:lang w:eastAsia="zh-CN"/>
        </w:rPr>
      </w:pPr>
    </w:p>
    <w:p>
      <w:pPr>
        <w:spacing w:before="0" w:after="0" w:line="360" w:lineRule="auto"/>
        <w:jc w:val="center"/>
        <w:rPr>
          <w:rFonts w:hint="eastAsia" w:ascii="宋体" w:hAnsi="宋体" w:eastAsia="宋体" w:cs="宋体"/>
          <w:sz w:val="24"/>
          <w:szCs w:val="24"/>
        </w:rPr>
      </w:pPr>
      <w:bookmarkStart w:id="1" w:name="生成日期_currentDateTime_ym"/>
      <w:r>
        <w:rPr>
          <w:rFonts w:hint="eastAsia" w:ascii="宋体" w:hAnsi="宋体" w:eastAsia="宋体" w:cs="宋体"/>
          <w:sz w:val="24"/>
          <w:szCs w:val="24"/>
          <w:lang w:eastAsia="zh-CN"/>
        </w:rPr>
        <w:t>2025年8月</w:t>
      </w:r>
      <w:bookmarkEnd w:id="1"/>
    </w:p>
    <w:p>
      <w:pPr>
        <w:spacing w:before="0" w:after="0" w:line="360" w:lineRule="auto"/>
        <w:jc w:val="center"/>
        <w:rPr>
          <w:rFonts w:hint="eastAsia" w:ascii="宋体" w:hAnsi="宋体" w:eastAsia="宋体" w:cs="宋体"/>
          <w:sz w:val="24"/>
          <w:szCs w:val="24"/>
        </w:rPr>
      </w:pPr>
      <w:r>
        <w:rPr>
          <w:rFonts w:hint="eastAsia" w:ascii="宋体" w:hAnsi="宋体" w:eastAsia="宋体" w:cs="宋体"/>
          <w:sz w:val="24"/>
          <w:szCs w:val="24"/>
        </w:rPr>
        <w:br w:type="page"/>
      </w:r>
      <w:r>
        <w:rPr>
          <w:rFonts w:hint="eastAsia" w:ascii="宋体" w:hAnsi="宋体" w:eastAsia="宋体" w:cs="宋体"/>
          <w:sz w:val="24"/>
          <w:szCs w:val="24"/>
        </w:rPr>
        <w:t>目 录</w:t>
      </w:r>
    </w:p>
    <w:p>
      <w:pPr>
        <w:pStyle w:val="7"/>
        <w:tabs>
          <w:tab w:val="right" w:leader="dot" w:pos="9026"/>
        </w:tabs>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TOC \o "1-3" \h \z \u</w:instrText>
      </w:r>
      <w:r>
        <w:rPr>
          <w:rFonts w:hint="eastAsia" w:ascii="宋体" w:hAnsi="宋体" w:eastAsia="宋体" w:cs="宋体"/>
          <w:sz w:val="24"/>
          <w:szCs w:val="24"/>
        </w:rPr>
        <w:fldChar w:fldCharType="separate"/>
      </w:r>
      <w:r>
        <w:rPr>
          <w:rFonts w:hint="eastAsia" w:ascii="宋体" w:hAnsi="宋体" w:eastAsia="宋体" w:cs="宋体"/>
          <w:szCs w:val="24"/>
        </w:rPr>
        <w:fldChar w:fldCharType="begin"/>
      </w:r>
      <w:r>
        <w:rPr>
          <w:rFonts w:hint="eastAsia" w:ascii="宋体" w:hAnsi="宋体" w:eastAsia="宋体" w:cs="宋体"/>
          <w:szCs w:val="24"/>
        </w:rPr>
        <w:instrText xml:space="preserve"> HYPERLINK \l _Toc18568 </w:instrText>
      </w:r>
      <w:r>
        <w:rPr>
          <w:rFonts w:hint="eastAsia" w:ascii="宋体" w:hAnsi="宋体" w:eastAsia="宋体" w:cs="宋体"/>
          <w:szCs w:val="24"/>
        </w:rPr>
        <w:fldChar w:fldCharType="separate"/>
      </w:r>
      <w:r>
        <w:rPr>
          <w:rFonts w:hint="eastAsia" w:ascii="宋体" w:hAnsi="宋体" w:eastAsia="宋体" w:cs="宋体"/>
          <w:kern w:val="36"/>
          <w:szCs w:val="24"/>
        </w:rPr>
        <w:t>1项目概述</w:t>
      </w:r>
      <w:r>
        <w:tab/>
      </w:r>
      <w:r>
        <w:fldChar w:fldCharType="begin"/>
      </w:r>
      <w:r>
        <w:instrText xml:space="preserve"> PAGEREF _Toc18568 \h </w:instrText>
      </w:r>
      <w:r>
        <w:fldChar w:fldCharType="separate"/>
      </w:r>
      <w:r>
        <w:t>4</w:t>
      </w:r>
      <w:r>
        <w:fldChar w:fldCharType="end"/>
      </w:r>
      <w:r>
        <w:rPr>
          <w:rFonts w:hint="eastAsia" w:ascii="宋体" w:hAnsi="宋体" w:eastAsia="宋体" w:cs="宋体"/>
          <w:szCs w:val="24"/>
        </w:rPr>
        <w:fldChar w:fldCharType="end"/>
      </w:r>
    </w:p>
    <w:p>
      <w:pPr>
        <w:pStyle w:val="8"/>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_Toc10705 </w:instrText>
      </w:r>
      <w:r>
        <w:rPr>
          <w:rFonts w:hint="eastAsia" w:ascii="宋体" w:hAnsi="宋体" w:eastAsia="宋体" w:cs="宋体"/>
          <w:szCs w:val="24"/>
        </w:rPr>
        <w:fldChar w:fldCharType="separate"/>
      </w:r>
      <w:r>
        <w:rPr>
          <w:rFonts w:hint="eastAsia" w:ascii="宋体" w:hAnsi="宋体" w:eastAsia="宋体" w:cs="宋体"/>
          <w:i w:val="0"/>
          <w:iCs w:val="0"/>
          <w:szCs w:val="24"/>
        </w:rPr>
        <w:t>1.1项目背景</w:t>
      </w:r>
      <w:r>
        <w:tab/>
      </w:r>
      <w:r>
        <w:fldChar w:fldCharType="begin"/>
      </w:r>
      <w:r>
        <w:instrText xml:space="preserve"> PAGEREF _Toc10705 \h </w:instrText>
      </w:r>
      <w:r>
        <w:fldChar w:fldCharType="separate"/>
      </w:r>
      <w:r>
        <w:t>4</w:t>
      </w:r>
      <w:r>
        <w:fldChar w:fldCharType="end"/>
      </w:r>
      <w:r>
        <w:rPr>
          <w:rFonts w:hint="eastAsia" w:ascii="宋体" w:hAnsi="宋体" w:eastAsia="宋体" w:cs="宋体"/>
          <w:szCs w:val="24"/>
        </w:rPr>
        <w:fldChar w:fldCharType="end"/>
      </w:r>
    </w:p>
    <w:p>
      <w:pPr>
        <w:pStyle w:val="6"/>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_Toc2045 </w:instrText>
      </w:r>
      <w:r>
        <w:rPr>
          <w:rFonts w:hint="eastAsia" w:ascii="宋体" w:hAnsi="宋体" w:eastAsia="宋体" w:cs="宋体"/>
          <w:szCs w:val="24"/>
        </w:rPr>
        <w:fldChar w:fldCharType="separate"/>
      </w:r>
      <w:r>
        <w:rPr>
          <w:rFonts w:hint="eastAsia" w:ascii="宋体" w:hAnsi="宋体" w:eastAsia="宋体" w:cs="宋体"/>
          <w:szCs w:val="24"/>
        </w:rPr>
        <w:t>1.1.1项目目的、意义及背景</w:t>
      </w:r>
      <w:r>
        <w:tab/>
      </w:r>
      <w:r>
        <w:fldChar w:fldCharType="begin"/>
      </w:r>
      <w:r>
        <w:instrText xml:space="preserve"> PAGEREF _Toc2045 \h </w:instrText>
      </w:r>
      <w:r>
        <w:fldChar w:fldCharType="separate"/>
      </w:r>
      <w:r>
        <w:t>4</w:t>
      </w:r>
      <w:r>
        <w:fldChar w:fldCharType="end"/>
      </w:r>
      <w:r>
        <w:rPr>
          <w:rFonts w:hint="eastAsia" w:ascii="宋体" w:hAnsi="宋体" w:eastAsia="宋体" w:cs="宋体"/>
          <w:szCs w:val="24"/>
        </w:rPr>
        <w:fldChar w:fldCharType="end"/>
      </w:r>
    </w:p>
    <w:p>
      <w:pPr>
        <w:pStyle w:val="8"/>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_Toc3861 </w:instrText>
      </w:r>
      <w:r>
        <w:rPr>
          <w:rFonts w:hint="eastAsia" w:ascii="宋体" w:hAnsi="宋体" w:eastAsia="宋体" w:cs="宋体"/>
          <w:szCs w:val="24"/>
        </w:rPr>
        <w:fldChar w:fldCharType="separate"/>
      </w:r>
      <w:r>
        <w:rPr>
          <w:rFonts w:hint="eastAsia" w:ascii="宋体" w:hAnsi="宋体" w:eastAsia="宋体" w:cs="宋体"/>
          <w:i w:val="0"/>
          <w:iCs w:val="0"/>
          <w:szCs w:val="24"/>
        </w:rPr>
        <w:t>1.2项目内容</w:t>
      </w:r>
      <w:r>
        <w:tab/>
      </w:r>
      <w:r>
        <w:fldChar w:fldCharType="begin"/>
      </w:r>
      <w:r>
        <w:instrText xml:space="preserve"> PAGEREF _Toc3861 \h </w:instrText>
      </w:r>
      <w:r>
        <w:fldChar w:fldCharType="separate"/>
      </w:r>
      <w:r>
        <w:t>4</w:t>
      </w:r>
      <w:r>
        <w:fldChar w:fldCharType="end"/>
      </w:r>
      <w:r>
        <w:rPr>
          <w:rFonts w:hint="eastAsia" w:ascii="宋体" w:hAnsi="宋体" w:eastAsia="宋体" w:cs="宋体"/>
          <w:szCs w:val="24"/>
        </w:rPr>
        <w:fldChar w:fldCharType="end"/>
      </w:r>
    </w:p>
    <w:p>
      <w:pPr>
        <w:pStyle w:val="6"/>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_Toc24036 </w:instrText>
      </w:r>
      <w:r>
        <w:rPr>
          <w:rFonts w:hint="eastAsia" w:ascii="宋体" w:hAnsi="宋体" w:eastAsia="宋体" w:cs="宋体"/>
          <w:szCs w:val="24"/>
        </w:rPr>
        <w:fldChar w:fldCharType="separate"/>
      </w:r>
      <w:r>
        <w:rPr>
          <w:rFonts w:hint="eastAsia" w:ascii="宋体" w:hAnsi="宋体" w:eastAsia="宋体" w:cs="宋体"/>
          <w:szCs w:val="24"/>
        </w:rPr>
        <w:t>1.2.1采购内容</w:t>
      </w:r>
      <w:r>
        <w:tab/>
      </w:r>
      <w:r>
        <w:fldChar w:fldCharType="begin"/>
      </w:r>
      <w:r>
        <w:instrText xml:space="preserve"> PAGEREF _Toc24036 \h </w:instrText>
      </w:r>
      <w:r>
        <w:fldChar w:fldCharType="separate"/>
      </w:r>
      <w:r>
        <w:t>4</w:t>
      </w:r>
      <w:r>
        <w:fldChar w:fldCharType="end"/>
      </w:r>
      <w:r>
        <w:rPr>
          <w:rFonts w:hint="eastAsia" w:ascii="宋体" w:hAnsi="宋体" w:eastAsia="宋体" w:cs="宋体"/>
          <w:szCs w:val="24"/>
        </w:rPr>
        <w:fldChar w:fldCharType="end"/>
      </w:r>
    </w:p>
    <w:p>
      <w:pPr>
        <w:pStyle w:val="6"/>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_Toc10848 </w:instrText>
      </w:r>
      <w:r>
        <w:rPr>
          <w:rFonts w:hint="eastAsia" w:ascii="宋体" w:hAnsi="宋体" w:eastAsia="宋体" w:cs="宋体"/>
          <w:szCs w:val="24"/>
        </w:rPr>
        <w:fldChar w:fldCharType="separate"/>
      </w:r>
      <w:r>
        <w:rPr>
          <w:rFonts w:hint="eastAsia" w:ascii="宋体" w:hAnsi="宋体" w:eastAsia="宋体" w:cs="宋体"/>
          <w:szCs w:val="24"/>
        </w:rPr>
        <w:t>1.2.2项目实施要求</w:t>
      </w:r>
      <w:r>
        <w:tab/>
      </w:r>
      <w:r>
        <w:fldChar w:fldCharType="begin"/>
      </w:r>
      <w:r>
        <w:instrText xml:space="preserve"> PAGEREF _Toc10848 \h </w:instrText>
      </w:r>
      <w:r>
        <w:fldChar w:fldCharType="separate"/>
      </w:r>
      <w:r>
        <w:t>4</w:t>
      </w:r>
      <w:r>
        <w:fldChar w:fldCharType="end"/>
      </w:r>
      <w:r>
        <w:rPr>
          <w:rFonts w:hint="eastAsia" w:ascii="宋体" w:hAnsi="宋体" w:eastAsia="宋体" w:cs="宋体"/>
          <w:szCs w:val="24"/>
        </w:rPr>
        <w:fldChar w:fldCharType="end"/>
      </w:r>
    </w:p>
    <w:p>
      <w:pPr>
        <w:pStyle w:val="6"/>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_Toc10912 </w:instrText>
      </w:r>
      <w:r>
        <w:rPr>
          <w:rFonts w:hint="eastAsia" w:ascii="宋体" w:hAnsi="宋体" w:eastAsia="宋体" w:cs="宋体"/>
          <w:szCs w:val="24"/>
        </w:rPr>
        <w:fldChar w:fldCharType="separate"/>
      </w:r>
      <w:r>
        <w:rPr>
          <w:rFonts w:hint="eastAsia" w:ascii="宋体" w:hAnsi="宋体" w:eastAsia="宋体" w:cs="宋体"/>
          <w:szCs w:val="24"/>
        </w:rPr>
        <w:t>1.2.2.1实施范围要求</w:t>
      </w:r>
      <w:r>
        <w:tab/>
      </w:r>
      <w:r>
        <w:fldChar w:fldCharType="begin"/>
      </w:r>
      <w:r>
        <w:instrText xml:space="preserve"> PAGEREF _Toc10912 \h </w:instrText>
      </w:r>
      <w:r>
        <w:fldChar w:fldCharType="separate"/>
      </w:r>
      <w:r>
        <w:t>4</w:t>
      </w:r>
      <w:r>
        <w:fldChar w:fldCharType="end"/>
      </w:r>
      <w:r>
        <w:rPr>
          <w:rFonts w:hint="eastAsia" w:ascii="宋体" w:hAnsi="宋体" w:eastAsia="宋体" w:cs="宋体"/>
          <w:szCs w:val="24"/>
        </w:rPr>
        <w:fldChar w:fldCharType="end"/>
      </w:r>
    </w:p>
    <w:p>
      <w:pPr>
        <w:pStyle w:val="6"/>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_Toc1910 </w:instrText>
      </w:r>
      <w:r>
        <w:rPr>
          <w:rFonts w:hint="eastAsia" w:ascii="宋体" w:hAnsi="宋体" w:eastAsia="宋体" w:cs="宋体"/>
          <w:szCs w:val="24"/>
        </w:rPr>
        <w:fldChar w:fldCharType="separate"/>
      </w:r>
      <w:r>
        <w:rPr>
          <w:rFonts w:hint="eastAsia" w:ascii="宋体" w:hAnsi="宋体" w:eastAsia="宋体" w:cs="宋体"/>
          <w:szCs w:val="24"/>
        </w:rPr>
        <w:t>1.2.2.2实施时间要求</w:t>
      </w:r>
      <w:r>
        <w:tab/>
      </w:r>
      <w:r>
        <w:fldChar w:fldCharType="begin"/>
      </w:r>
      <w:r>
        <w:instrText xml:space="preserve"> PAGEREF _Toc1910 \h </w:instrText>
      </w:r>
      <w:r>
        <w:fldChar w:fldCharType="separate"/>
      </w:r>
      <w:r>
        <w:t>4</w:t>
      </w:r>
      <w:r>
        <w:fldChar w:fldCharType="end"/>
      </w:r>
      <w:r>
        <w:rPr>
          <w:rFonts w:hint="eastAsia" w:ascii="宋体" w:hAnsi="宋体" w:eastAsia="宋体" w:cs="宋体"/>
          <w:szCs w:val="24"/>
        </w:rPr>
        <w:fldChar w:fldCharType="end"/>
      </w:r>
    </w:p>
    <w:p>
      <w:pPr>
        <w:pStyle w:val="6"/>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_Toc27688 </w:instrText>
      </w:r>
      <w:r>
        <w:rPr>
          <w:rFonts w:hint="eastAsia" w:ascii="宋体" w:hAnsi="宋体" w:eastAsia="宋体" w:cs="宋体"/>
          <w:szCs w:val="24"/>
        </w:rPr>
        <w:fldChar w:fldCharType="separate"/>
      </w:r>
      <w:r>
        <w:rPr>
          <w:rFonts w:hint="eastAsia" w:ascii="宋体" w:hAnsi="宋体" w:eastAsia="宋体" w:cs="宋体"/>
          <w:szCs w:val="24"/>
        </w:rPr>
        <w:t>1.2.2.3实施地点要求</w:t>
      </w:r>
      <w:r>
        <w:tab/>
      </w:r>
      <w:r>
        <w:fldChar w:fldCharType="begin"/>
      </w:r>
      <w:r>
        <w:instrText xml:space="preserve"> PAGEREF _Toc27688 \h </w:instrText>
      </w:r>
      <w:r>
        <w:fldChar w:fldCharType="separate"/>
      </w:r>
      <w:r>
        <w:t>4</w:t>
      </w:r>
      <w:r>
        <w:fldChar w:fldCharType="end"/>
      </w:r>
      <w:r>
        <w:rPr>
          <w:rFonts w:hint="eastAsia" w:ascii="宋体" w:hAnsi="宋体" w:eastAsia="宋体" w:cs="宋体"/>
          <w:szCs w:val="24"/>
        </w:rPr>
        <w:fldChar w:fldCharType="end"/>
      </w:r>
    </w:p>
    <w:p>
      <w:pPr>
        <w:pStyle w:val="7"/>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_Toc20647 </w:instrText>
      </w:r>
      <w:r>
        <w:rPr>
          <w:rFonts w:hint="eastAsia" w:ascii="宋体" w:hAnsi="宋体" w:eastAsia="宋体" w:cs="宋体"/>
          <w:szCs w:val="24"/>
        </w:rPr>
        <w:fldChar w:fldCharType="separate"/>
      </w:r>
      <w:r>
        <w:rPr>
          <w:rFonts w:hint="eastAsia" w:ascii="宋体" w:hAnsi="宋体" w:eastAsia="宋体" w:cs="宋体"/>
          <w:kern w:val="36"/>
          <w:szCs w:val="24"/>
        </w:rPr>
        <w:t>2投标/响应要求</w:t>
      </w:r>
      <w:r>
        <w:tab/>
      </w:r>
      <w:r>
        <w:fldChar w:fldCharType="begin"/>
      </w:r>
      <w:r>
        <w:instrText xml:space="preserve"> PAGEREF _Toc20647 \h </w:instrText>
      </w:r>
      <w:r>
        <w:fldChar w:fldCharType="separate"/>
      </w:r>
      <w:r>
        <w:t>4</w:t>
      </w:r>
      <w:r>
        <w:fldChar w:fldCharType="end"/>
      </w:r>
      <w:r>
        <w:rPr>
          <w:rFonts w:hint="eastAsia" w:ascii="宋体" w:hAnsi="宋体" w:eastAsia="宋体" w:cs="宋体"/>
          <w:szCs w:val="24"/>
        </w:rPr>
        <w:fldChar w:fldCharType="end"/>
      </w:r>
    </w:p>
    <w:p>
      <w:pPr>
        <w:pStyle w:val="8"/>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_Toc7894 </w:instrText>
      </w:r>
      <w:r>
        <w:rPr>
          <w:rFonts w:hint="eastAsia" w:ascii="宋体" w:hAnsi="宋体" w:eastAsia="宋体" w:cs="宋体"/>
          <w:szCs w:val="24"/>
        </w:rPr>
        <w:fldChar w:fldCharType="separate"/>
      </w:r>
      <w:r>
        <w:rPr>
          <w:rFonts w:hint="eastAsia" w:ascii="宋体" w:hAnsi="宋体" w:eastAsia="宋体" w:cs="宋体"/>
          <w:i w:val="0"/>
          <w:iCs w:val="0"/>
          <w:szCs w:val="24"/>
        </w:rPr>
        <w:t>2.1对供应商的要求</w:t>
      </w:r>
      <w:r>
        <w:tab/>
      </w:r>
      <w:r>
        <w:fldChar w:fldCharType="begin"/>
      </w:r>
      <w:r>
        <w:instrText xml:space="preserve"> PAGEREF _Toc7894 \h </w:instrText>
      </w:r>
      <w:r>
        <w:fldChar w:fldCharType="separate"/>
      </w:r>
      <w:r>
        <w:t>4</w:t>
      </w:r>
      <w:r>
        <w:fldChar w:fldCharType="end"/>
      </w:r>
      <w:r>
        <w:rPr>
          <w:rFonts w:hint="eastAsia" w:ascii="宋体" w:hAnsi="宋体" w:eastAsia="宋体" w:cs="宋体"/>
          <w:szCs w:val="24"/>
        </w:rPr>
        <w:fldChar w:fldCharType="end"/>
      </w:r>
    </w:p>
    <w:p>
      <w:pPr>
        <w:pStyle w:val="6"/>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_Toc26354 </w:instrText>
      </w:r>
      <w:r>
        <w:rPr>
          <w:rFonts w:hint="eastAsia" w:ascii="宋体" w:hAnsi="宋体" w:eastAsia="宋体" w:cs="宋体"/>
          <w:szCs w:val="24"/>
        </w:rPr>
        <w:fldChar w:fldCharType="separate"/>
      </w:r>
      <w:r>
        <w:rPr>
          <w:rFonts w:hint="eastAsia" w:ascii="宋体" w:hAnsi="宋体" w:eastAsia="宋体" w:cs="宋体"/>
          <w:szCs w:val="24"/>
        </w:rPr>
        <w:t>2.1.1必备资质</w:t>
      </w:r>
      <w:r>
        <w:tab/>
      </w:r>
      <w:r>
        <w:fldChar w:fldCharType="begin"/>
      </w:r>
      <w:r>
        <w:instrText xml:space="preserve"> PAGEREF _Toc26354 \h </w:instrText>
      </w:r>
      <w:r>
        <w:fldChar w:fldCharType="separate"/>
      </w:r>
      <w:r>
        <w:t>5</w:t>
      </w:r>
      <w:r>
        <w:fldChar w:fldCharType="end"/>
      </w:r>
      <w:r>
        <w:rPr>
          <w:rFonts w:hint="eastAsia" w:ascii="宋体" w:hAnsi="宋体" w:eastAsia="宋体" w:cs="宋体"/>
          <w:szCs w:val="24"/>
        </w:rPr>
        <w:fldChar w:fldCharType="end"/>
      </w:r>
    </w:p>
    <w:p>
      <w:pPr>
        <w:pStyle w:val="6"/>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_Toc17816 </w:instrText>
      </w:r>
      <w:r>
        <w:rPr>
          <w:rFonts w:hint="eastAsia" w:ascii="宋体" w:hAnsi="宋体" w:eastAsia="宋体" w:cs="宋体"/>
          <w:szCs w:val="24"/>
        </w:rPr>
        <w:fldChar w:fldCharType="separate"/>
      </w:r>
      <w:r>
        <w:rPr>
          <w:rFonts w:hint="eastAsia" w:ascii="宋体" w:hAnsi="宋体" w:eastAsia="宋体" w:cs="宋体"/>
          <w:szCs w:val="24"/>
        </w:rPr>
        <w:t>2.1.2优选资质/优选指标</w:t>
      </w:r>
      <w:r>
        <w:tab/>
      </w:r>
      <w:r>
        <w:fldChar w:fldCharType="begin"/>
      </w:r>
      <w:r>
        <w:instrText xml:space="preserve"> PAGEREF _Toc17816 \h </w:instrText>
      </w:r>
      <w:r>
        <w:fldChar w:fldCharType="separate"/>
      </w:r>
      <w:r>
        <w:t>5</w:t>
      </w:r>
      <w:r>
        <w:fldChar w:fldCharType="end"/>
      </w:r>
      <w:r>
        <w:rPr>
          <w:rFonts w:hint="eastAsia" w:ascii="宋体" w:hAnsi="宋体" w:eastAsia="宋体" w:cs="宋体"/>
          <w:szCs w:val="24"/>
        </w:rPr>
        <w:fldChar w:fldCharType="end"/>
      </w:r>
    </w:p>
    <w:p>
      <w:pPr>
        <w:pStyle w:val="6"/>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_Toc22502 </w:instrText>
      </w:r>
      <w:r>
        <w:rPr>
          <w:rFonts w:hint="eastAsia" w:ascii="宋体" w:hAnsi="宋体" w:eastAsia="宋体" w:cs="宋体"/>
          <w:szCs w:val="24"/>
        </w:rPr>
        <w:fldChar w:fldCharType="separate"/>
      </w:r>
      <w:r>
        <w:rPr>
          <w:rFonts w:hint="eastAsia" w:ascii="宋体" w:hAnsi="宋体" w:eastAsia="宋体" w:cs="宋体"/>
          <w:szCs w:val="24"/>
        </w:rPr>
        <w:t>2.1.2.1相关证书</w:t>
      </w:r>
      <w:r>
        <w:tab/>
      </w:r>
      <w:r>
        <w:fldChar w:fldCharType="begin"/>
      </w:r>
      <w:r>
        <w:instrText xml:space="preserve"> PAGEREF _Toc22502 \h </w:instrText>
      </w:r>
      <w:r>
        <w:fldChar w:fldCharType="separate"/>
      </w:r>
      <w:r>
        <w:t>5</w:t>
      </w:r>
      <w:r>
        <w:fldChar w:fldCharType="end"/>
      </w:r>
      <w:r>
        <w:rPr>
          <w:rFonts w:hint="eastAsia" w:ascii="宋体" w:hAnsi="宋体" w:eastAsia="宋体" w:cs="宋体"/>
          <w:szCs w:val="24"/>
        </w:rPr>
        <w:fldChar w:fldCharType="end"/>
      </w:r>
    </w:p>
    <w:p>
      <w:pPr>
        <w:pStyle w:val="6"/>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_Toc23726 </w:instrText>
      </w:r>
      <w:r>
        <w:rPr>
          <w:rFonts w:hint="eastAsia" w:ascii="宋体" w:hAnsi="宋体" w:eastAsia="宋体" w:cs="宋体"/>
          <w:szCs w:val="24"/>
        </w:rPr>
        <w:fldChar w:fldCharType="separate"/>
      </w:r>
      <w:r>
        <w:rPr>
          <w:rFonts w:hint="eastAsia" w:ascii="宋体" w:hAnsi="宋体" w:eastAsia="宋体" w:cs="宋体"/>
          <w:szCs w:val="24"/>
        </w:rPr>
        <w:t>2.1.2.2成功案例</w:t>
      </w:r>
      <w:r>
        <w:tab/>
      </w:r>
      <w:r>
        <w:fldChar w:fldCharType="begin"/>
      </w:r>
      <w:r>
        <w:instrText xml:space="preserve"> PAGEREF _Toc23726 \h </w:instrText>
      </w:r>
      <w:r>
        <w:fldChar w:fldCharType="separate"/>
      </w:r>
      <w:r>
        <w:t>5</w:t>
      </w:r>
      <w:r>
        <w:fldChar w:fldCharType="end"/>
      </w:r>
      <w:r>
        <w:rPr>
          <w:rFonts w:hint="eastAsia" w:ascii="宋体" w:hAnsi="宋体" w:eastAsia="宋体" w:cs="宋体"/>
          <w:szCs w:val="24"/>
        </w:rPr>
        <w:fldChar w:fldCharType="end"/>
      </w:r>
    </w:p>
    <w:p>
      <w:pPr>
        <w:pStyle w:val="6"/>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_Toc2029 </w:instrText>
      </w:r>
      <w:r>
        <w:rPr>
          <w:rFonts w:hint="eastAsia" w:ascii="宋体" w:hAnsi="宋体" w:eastAsia="宋体" w:cs="宋体"/>
          <w:szCs w:val="24"/>
        </w:rPr>
        <w:fldChar w:fldCharType="separate"/>
      </w:r>
      <w:r>
        <w:rPr>
          <w:rFonts w:hint="eastAsia" w:ascii="宋体" w:hAnsi="宋体" w:eastAsia="宋体" w:cs="宋体"/>
          <w:szCs w:val="24"/>
        </w:rPr>
        <w:t>2.1.2.3项目团队社保证明</w:t>
      </w:r>
      <w:r>
        <w:tab/>
      </w:r>
      <w:r>
        <w:fldChar w:fldCharType="begin"/>
      </w:r>
      <w:r>
        <w:instrText xml:space="preserve"> PAGEREF _Toc2029 \h </w:instrText>
      </w:r>
      <w:r>
        <w:fldChar w:fldCharType="separate"/>
      </w:r>
      <w:r>
        <w:t>5</w:t>
      </w:r>
      <w:r>
        <w:fldChar w:fldCharType="end"/>
      </w:r>
      <w:r>
        <w:rPr>
          <w:rFonts w:hint="eastAsia" w:ascii="宋体" w:hAnsi="宋体" w:eastAsia="宋体" w:cs="宋体"/>
          <w:szCs w:val="24"/>
        </w:rPr>
        <w:fldChar w:fldCharType="end"/>
      </w:r>
    </w:p>
    <w:p>
      <w:pPr>
        <w:pStyle w:val="6"/>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_Toc21343 </w:instrText>
      </w:r>
      <w:r>
        <w:rPr>
          <w:rFonts w:hint="eastAsia" w:ascii="宋体" w:hAnsi="宋体" w:eastAsia="宋体" w:cs="宋体"/>
          <w:szCs w:val="24"/>
        </w:rPr>
        <w:fldChar w:fldCharType="separate"/>
      </w:r>
      <w:r>
        <w:rPr>
          <w:rFonts w:hint="eastAsia" w:ascii="宋体" w:hAnsi="宋体" w:eastAsia="宋体" w:cs="宋体"/>
          <w:szCs w:val="24"/>
        </w:rPr>
        <w:t>2.1.2.4售后服务承诺</w:t>
      </w:r>
      <w:r>
        <w:tab/>
      </w:r>
      <w:r>
        <w:fldChar w:fldCharType="begin"/>
      </w:r>
      <w:r>
        <w:instrText xml:space="preserve"> PAGEREF _Toc21343 \h </w:instrText>
      </w:r>
      <w:r>
        <w:fldChar w:fldCharType="separate"/>
      </w:r>
      <w:r>
        <w:t>5</w:t>
      </w:r>
      <w:r>
        <w:fldChar w:fldCharType="end"/>
      </w:r>
      <w:r>
        <w:rPr>
          <w:rFonts w:hint="eastAsia" w:ascii="宋体" w:hAnsi="宋体" w:eastAsia="宋体" w:cs="宋体"/>
          <w:szCs w:val="24"/>
        </w:rPr>
        <w:fldChar w:fldCharType="end"/>
      </w:r>
    </w:p>
    <w:p>
      <w:pPr>
        <w:pStyle w:val="6"/>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_Toc23469 </w:instrText>
      </w:r>
      <w:r>
        <w:rPr>
          <w:rFonts w:hint="eastAsia" w:ascii="宋体" w:hAnsi="宋体" w:eastAsia="宋体" w:cs="宋体"/>
          <w:szCs w:val="24"/>
        </w:rPr>
        <w:fldChar w:fldCharType="separate"/>
      </w:r>
      <w:r>
        <w:rPr>
          <w:rFonts w:hint="eastAsia" w:ascii="宋体" w:hAnsi="宋体" w:eastAsia="宋体" w:cs="宋体"/>
          <w:szCs w:val="24"/>
        </w:rPr>
        <w:t>2.1.3是否允许联合体</w:t>
      </w:r>
      <w:r>
        <w:tab/>
      </w:r>
      <w:r>
        <w:fldChar w:fldCharType="begin"/>
      </w:r>
      <w:r>
        <w:instrText xml:space="preserve"> PAGEREF _Toc23469 \h </w:instrText>
      </w:r>
      <w:r>
        <w:fldChar w:fldCharType="separate"/>
      </w:r>
      <w:r>
        <w:t>5</w:t>
      </w:r>
      <w:r>
        <w:fldChar w:fldCharType="end"/>
      </w:r>
      <w:r>
        <w:rPr>
          <w:rFonts w:hint="eastAsia" w:ascii="宋体" w:hAnsi="宋体" w:eastAsia="宋体" w:cs="宋体"/>
          <w:szCs w:val="24"/>
        </w:rPr>
        <w:fldChar w:fldCharType="end"/>
      </w:r>
    </w:p>
    <w:p>
      <w:pPr>
        <w:pStyle w:val="6"/>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_Toc19527 </w:instrText>
      </w:r>
      <w:r>
        <w:rPr>
          <w:rFonts w:hint="eastAsia" w:ascii="宋体" w:hAnsi="宋体" w:eastAsia="宋体" w:cs="宋体"/>
          <w:szCs w:val="24"/>
        </w:rPr>
        <w:fldChar w:fldCharType="separate"/>
      </w:r>
      <w:r>
        <w:rPr>
          <w:rFonts w:hint="eastAsia" w:ascii="宋体" w:hAnsi="宋体" w:eastAsia="宋体" w:cs="宋体"/>
          <w:szCs w:val="24"/>
        </w:rPr>
        <w:t>2.1.4是否专门面向中小企业</w:t>
      </w:r>
      <w:r>
        <w:tab/>
      </w:r>
      <w:r>
        <w:fldChar w:fldCharType="begin"/>
      </w:r>
      <w:r>
        <w:instrText xml:space="preserve"> PAGEREF _Toc19527 \h </w:instrText>
      </w:r>
      <w:r>
        <w:fldChar w:fldCharType="separate"/>
      </w:r>
      <w:r>
        <w:t>5</w:t>
      </w:r>
      <w:r>
        <w:fldChar w:fldCharType="end"/>
      </w:r>
      <w:r>
        <w:rPr>
          <w:rFonts w:hint="eastAsia" w:ascii="宋体" w:hAnsi="宋体" w:eastAsia="宋体" w:cs="宋体"/>
          <w:szCs w:val="24"/>
        </w:rPr>
        <w:fldChar w:fldCharType="end"/>
      </w:r>
    </w:p>
    <w:p>
      <w:pPr>
        <w:pStyle w:val="8"/>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_Toc16793 </w:instrText>
      </w:r>
      <w:r>
        <w:rPr>
          <w:rFonts w:hint="eastAsia" w:ascii="宋体" w:hAnsi="宋体" w:eastAsia="宋体" w:cs="宋体"/>
          <w:szCs w:val="24"/>
        </w:rPr>
        <w:fldChar w:fldCharType="separate"/>
      </w:r>
      <w:r>
        <w:rPr>
          <w:rFonts w:hint="eastAsia" w:ascii="宋体" w:hAnsi="宋体" w:eastAsia="宋体" w:cs="宋体"/>
          <w:i w:val="0"/>
          <w:iCs w:val="0"/>
          <w:szCs w:val="24"/>
        </w:rPr>
        <w:t>2.2技术部分投标/响应内容</w:t>
      </w:r>
      <w:r>
        <w:tab/>
      </w:r>
      <w:r>
        <w:fldChar w:fldCharType="begin"/>
      </w:r>
      <w:r>
        <w:instrText xml:space="preserve"> PAGEREF _Toc16793 \h </w:instrText>
      </w:r>
      <w:r>
        <w:fldChar w:fldCharType="separate"/>
      </w:r>
      <w:r>
        <w:t>5</w:t>
      </w:r>
      <w:r>
        <w:fldChar w:fldCharType="end"/>
      </w:r>
      <w:r>
        <w:rPr>
          <w:rFonts w:hint="eastAsia" w:ascii="宋体" w:hAnsi="宋体" w:eastAsia="宋体" w:cs="宋体"/>
          <w:szCs w:val="24"/>
        </w:rPr>
        <w:fldChar w:fldCharType="end"/>
      </w:r>
    </w:p>
    <w:p>
      <w:pPr>
        <w:pStyle w:val="6"/>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_Toc8496 </w:instrText>
      </w:r>
      <w:r>
        <w:rPr>
          <w:rFonts w:hint="eastAsia" w:ascii="宋体" w:hAnsi="宋体" w:eastAsia="宋体" w:cs="宋体"/>
          <w:szCs w:val="24"/>
        </w:rPr>
        <w:fldChar w:fldCharType="separate"/>
      </w:r>
      <w:r>
        <w:rPr>
          <w:rFonts w:hint="eastAsia" w:ascii="宋体" w:hAnsi="宋体" w:eastAsia="宋体" w:cs="宋体"/>
          <w:szCs w:val="24"/>
        </w:rPr>
        <w:t>2.2.1投标/响应方案要求</w:t>
      </w:r>
      <w:r>
        <w:tab/>
      </w:r>
      <w:r>
        <w:fldChar w:fldCharType="begin"/>
      </w:r>
      <w:r>
        <w:instrText xml:space="preserve"> PAGEREF _Toc8496 \h </w:instrText>
      </w:r>
      <w:r>
        <w:fldChar w:fldCharType="separate"/>
      </w:r>
      <w:r>
        <w:t>5</w:t>
      </w:r>
      <w:r>
        <w:fldChar w:fldCharType="end"/>
      </w:r>
      <w:r>
        <w:rPr>
          <w:rFonts w:hint="eastAsia" w:ascii="宋体" w:hAnsi="宋体" w:eastAsia="宋体" w:cs="宋体"/>
          <w:szCs w:val="24"/>
        </w:rPr>
        <w:fldChar w:fldCharType="end"/>
      </w:r>
    </w:p>
    <w:p>
      <w:pPr>
        <w:pStyle w:val="7"/>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_Toc17648 </w:instrText>
      </w:r>
      <w:r>
        <w:rPr>
          <w:rFonts w:hint="eastAsia" w:ascii="宋体" w:hAnsi="宋体" w:eastAsia="宋体" w:cs="宋体"/>
          <w:szCs w:val="24"/>
        </w:rPr>
        <w:fldChar w:fldCharType="separate"/>
      </w:r>
      <w:r>
        <w:rPr>
          <w:rFonts w:hint="eastAsia" w:ascii="宋体" w:hAnsi="宋体" w:eastAsia="宋体" w:cs="宋体"/>
          <w:kern w:val="36"/>
          <w:szCs w:val="24"/>
        </w:rPr>
        <w:t>3项目需求</w:t>
      </w:r>
      <w:r>
        <w:tab/>
      </w:r>
      <w:r>
        <w:fldChar w:fldCharType="begin"/>
      </w:r>
      <w:r>
        <w:instrText xml:space="preserve"> PAGEREF _Toc17648 \h </w:instrText>
      </w:r>
      <w:r>
        <w:fldChar w:fldCharType="separate"/>
      </w:r>
      <w:r>
        <w:t>7</w:t>
      </w:r>
      <w:r>
        <w:fldChar w:fldCharType="end"/>
      </w:r>
      <w:r>
        <w:rPr>
          <w:rFonts w:hint="eastAsia" w:ascii="宋体" w:hAnsi="宋体" w:eastAsia="宋体" w:cs="宋体"/>
          <w:szCs w:val="24"/>
        </w:rPr>
        <w:fldChar w:fldCharType="end"/>
      </w:r>
    </w:p>
    <w:p>
      <w:pPr>
        <w:pStyle w:val="8"/>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_Toc20115 </w:instrText>
      </w:r>
      <w:r>
        <w:rPr>
          <w:rFonts w:hint="eastAsia" w:ascii="宋体" w:hAnsi="宋体" w:eastAsia="宋体" w:cs="宋体"/>
          <w:szCs w:val="24"/>
        </w:rPr>
        <w:fldChar w:fldCharType="separate"/>
      </w:r>
      <w:r>
        <w:rPr>
          <w:rFonts w:hint="eastAsia" w:ascii="宋体" w:hAnsi="宋体" w:eastAsia="宋体" w:cs="宋体"/>
          <w:i w:val="0"/>
          <w:iCs w:val="0"/>
          <w:szCs w:val="24"/>
        </w:rPr>
        <w:t>3.1总体要求</w:t>
      </w:r>
      <w:r>
        <w:tab/>
      </w:r>
      <w:r>
        <w:fldChar w:fldCharType="begin"/>
      </w:r>
      <w:r>
        <w:instrText xml:space="preserve"> PAGEREF _Toc20115 \h </w:instrText>
      </w:r>
      <w:r>
        <w:fldChar w:fldCharType="separate"/>
      </w:r>
      <w:r>
        <w:t>7</w:t>
      </w:r>
      <w:r>
        <w:fldChar w:fldCharType="end"/>
      </w:r>
      <w:r>
        <w:rPr>
          <w:rFonts w:hint="eastAsia" w:ascii="宋体" w:hAnsi="宋体" w:eastAsia="宋体" w:cs="宋体"/>
          <w:szCs w:val="24"/>
        </w:rPr>
        <w:fldChar w:fldCharType="end"/>
      </w:r>
    </w:p>
    <w:p>
      <w:pPr>
        <w:pStyle w:val="8"/>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_Toc23987 </w:instrText>
      </w:r>
      <w:r>
        <w:rPr>
          <w:rFonts w:hint="eastAsia" w:ascii="宋体" w:hAnsi="宋体" w:eastAsia="宋体" w:cs="宋体"/>
          <w:szCs w:val="24"/>
        </w:rPr>
        <w:fldChar w:fldCharType="separate"/>
      </w:r>
      <w:r>
        <w:rPr>
          <w:rFonts w:hint="eastAsia" w:ascii="宋体" w:hAnsi="宋体" w:eastAsia="宋体" w:cs="宋体"/>
          <w:i w:val="0"/>
          <w:iCs w:val="0"/>
          <w:szCs w:val="24"/>
        </w:rPr>
        <w:t>3.2服务内容和要求</w:t>
      </w:r>
      <w:r>
        <w:tab/>
      </w:r>
      <w:r>
        <w:fldChar w:fldCharType="begin"/>
      </w:r>
      <w:r>
        <w:instrText xml:space="preserve"> PAGEREF _Toc23987 \h </w:instrText>
      </w:r>
      <w:r>
        <w:fldChar w:fldCharType="separate"/>
      </w:r>
      <w:r>
        <w:t>7</w:t>
      </w:r>
      <w:r>
        <w:fldChar w:fldCharType="end"/>
      </w:r>
      <w:r>
        <w:rPr>
          <w:rFonts w:hint="eastAsia" w:ascii="宋体" w:hAnsi="宋体" w:eastAsia="宋体" w:cs="宋体"/>
          <w:szCs w:val="24"/>
        </w:rPr>
        <w:fldChar w:fldCharType="end"/>
      </w:r>
    </w:p>
    <w:p>
      <w:pPr>
        <w:pStyle w:val="6"/>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_Toc19502 </w:instrText>
      </w:r>
      <w:r>
        <w:rPr>
          <w:rFonts w:hint="eastAsia" w:ascii="宋体" w:hAnsi="宋体" w:eastAsia="宋体" w:cs="宋体"/>
          <w:szCs w:val="24"/>
        </w:rPr>
        <w:fldChar w:fldCharType="separate"/>
      </w:r>
      <w:r>
        <w:rPr>
          <w:rFonts w:hint="eastAsia" w:ascii="宋体" w:hAnsi="宋体" w:eastAsia="宋体" w:cs="宋体"/>
          <w:szCs w:val="24"/>
        </w:rPr>
        <w:t>3.2.1服务内容和要求</w:t>
      </w:r>
      <w:r>
        <w:tab/>
      </w:r>
      <w:r>
        <w:fldChar w:fldCharType="begin"/>
      </w:r>
      <w:r>
        <w:instrText xml:space="preserve"> PAGEREF _Toc19502 \h </w:instrText>
      </w:r>
      <w:r>
        <w:fldChar w:fldCharType="separate"/>
      </w:r>
      <w:r>
        <w:t>7</w:t>
      </w:r>
      <w:r>
        <w:fldChar w:fldCharType="end"/>
      </w:r>
      <w:r>
        <w:rPr>
          <w:rFonts w:hint="eastAsia" w:ascii="宋体" w:hAnsi="宋体" w:eastAsia="宋体" w:cs="宋体"/>
          <w:szCs w:val="24"/>
        </w:rPr>
        <w:fldChar w:fldCharType="end"/>
      </w:r>
    </w:p>
    <w:p>
      <w:pPr>
        <w:pStyle w:val="7"/>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_Toc3421 </w:instrText>
      </w:r>
      <w:r>
        <w:rPr>
          <w:rFonts w:hint="eastAsia" w:ascii="宋体" w:hAnsi="宋体" w:eastAsia="宋体" w:cs="宋体"/>
          <w:szCs w:val="24"/>
        </w:rPr>
        <w:fldChar w:fldCharType="separate"/>
      </w:r>
      <w:r>
        <w:rPr>
          <w:rFonts w:hint="eastAsia" w:ascii="宋体" w:hAnsi="宋体" w:eastAsia="宋体" w:cs="宋体"/>
          <w:kern w:val="36"/>
          <w:szCs w:val="24"/>
        </w:rPr>
        <w:t>4人员要求</w:t>
      </w:r>
      <w:r>
        <w:tab/>
      </w:r>
      <w:r>
        <w:fldChar w:fldCharType="begin"/>
      </w:r>
      <w:r>
        <w:instrText xml:space="preserve"> PAGEREF _Toc3421 \h </w:instrText>
      </w:r>
      <w:r>
        <w:fldChar w:fldCharType="separate"/>
      </w:r>
      <w:r>
        <w:t>8</w:t>
      </w:r>
      <w:r>
        <w:fldChar w:fldCharType="end"/>
      </w:r>
      <w:r>
        <w:rPr>
          <w:rFonts w:hint="eastAsia" w:ascii="宋体" w:hAnsi="宋体" w:eastAsia="宋体" w:cs="宋体"/>
          <w:szCs w:val="24"/>
        </w:rPr>
        <w:fldChar w:fldCharType="end"/>
      </w:r>
    </w:p>
    <w:p>
      <w:pPr>
        <w:pStyle w:val="8"/>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_Toc17243 </w:instrText>
      </w:r>
      <w:r>
        <w:rPr>
          <w:rFonts w:hint="eastAsia" w:ascii="宋体" w:hAnsi="宋体" w:eastAsia="宋体" w:cs="宋体"/>
          <w:szCs w:val="24"/>
        </w:rPr>
        <w:fldChar w:fldCharType="separate"/>
      </w:r>
      <w:r>
        <w:rPr>
          <w:rFonts w:hint="eastAsia" w:ascii="宋体" w:hAnsi="宋体" w:eastAsia="宋体" w:cs="宋体"/>
          <w:i w:val="0"/>
          <w:iCs w:val="0"/>
          <w:szCs w:val="24"/>
        </w:rPr>
        <w:t>4.1总体要求</w:t>
      </w:r>
      <w:r>
        <w:tab/>
      </w:r>
      <w:r>
        <w:fldChar w:fldCharType="begin"/>
      </w:r>
      <w:r>
        <w:instrText xml:space="preserve"> PAGEREF _Toc17243 \h </w:instrText>
      </w:r>
      <w:r>
        <w:fldChar w:fldCharType="separate"/>
      </w:r>
      <w:r>
        <w:t>8</w:t>
      </w:r>
      <w:r>
        <w:fldChar w:fldCharType="end"/>
      </w:r>
      <w:r>
        <w:rPr>
          <w:rFonts w:hint="eastAsia" w:ascii="宋体" w:hAnsi="宋体" w:eastAsia="宋体" w:cs="宋体"/>
          <w:szCs w:val="24"/>
        </w:rPr>
        <w:fldChar w:fldCharType="end"/>
      </w:r>
    </w:p>
    <w:p>
      <w:pPr>
        <w:pStyle w:val="8"/>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_Toc5741 </w:instrText>
      </w:r>
      <w:r>
        <w:rPr>
          <w:rFonts w:hint="eastAsia" w:ascii="宋体" w:hAnsi="宋体" w:eastAsia="宋体" w:cs="宋体"/>
          <w:szCs w:val="24"/>
        </w:rPr>
        <w:fldChar w:fldCharType="separate"/>
      </w:r>
      <w:r>
        <w:rPr>
          <w:rFonts w:hint="eastAsia" w:ascii="宋体" w:hAnsi="宋体" w:eastAsia="宋体" w:cs="宋体"/>
          <w:i w:val="0"/>
          <w:iCs w:val="0"/>
          <w:szCs w:val="24"/>
        </w:rPr>
        <w:t>4.2管理团队</w:t>
      </w:r>
      <w:r>
        <w:tab/>
      </w:r>
      <w:r>
        <w:fldChar w:fldCharType="begin"/>
      </w:r>
      <w:r>
        <w:instrText xml:space="preserve"> PAGEREF _Toc5741 \h </w:instrText>
      </w:r>
      <w:r>
        <w:fldChar w:fldCharType="separate"/>
      </w:r>
      <w:r>
        <w:t>8</w:t>
      </w:r>
      <w:r>
        <w:fldChar w:fldCharType="end"/>
      </w:r>
      <w:r>
        <w:rPr>
          <w:rFonts w:hint="eastAsia" w:ascii="宋体" w:hAnsi="宋体" w:eastAsia="宋体" w:cs="宋体"/>
          <w:szCs w:val="24"/>
        </w:rPr>
        <w:fldChar w:fldCharType="end"/>
      </w:r>
    </w:p>
    <w:p>
      <w:pPr>
        <w:pStyle w:val="8"/>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_Toc22793 </w:instrText>
      </w:r>
      <w:r>
        <w:rPr>
          <w:rFonts w:hint="eastAsia" w:ascii="宋体" w:hAnsi="宋体" w:eastAsia="宋体" w:cs="宋体"/>
          <w:szCs w:val="24"/>
        </w:rPr>
        <w:fldChar w:fldCharType="separate"/>
      </w:r>
      <w:r>
        <w:rPr>
          <w:rFonts w:hint="eastAsia" w:ascii="宋体" w:hAnsi="宋体" w:eastAsia="宋体" w:cs="宋体"/>
          <w:i w:val="0"/>
          <w:iCs w:val="0"/>
          <w:szCs w:val="24"/>
        </w:rPr>
        <w:t>4.3技术团队</w:t>
      </w:r>
      <w:r>
        <w:tab/>
      </w:r>
      <w:r>
        <w:fldChar w:fldCharType="begin"/>
      </w:r>
      <w:r>
        <w:instrText xml:space="preserve"> PAGEREF _Toc22793 \h </w:instrText>
      </w:r>
      <w:r>
        <w:fldChar w:fldCharType="separate"/>
      </w:r>
      <w:r>
        <w:t>8</w:t>
      </w:r>
      <w:r>
        <w:fldChar w:fldCharType="end"/>
      </w:r>
      <w:r>
        <w:rPr>
          <w:rFonts w:hint="eastAsia" w:ascii="宋体" w:hAnsi="宋体" w:eastAsia="宋体" w:cs="宋体"/>
          <w:szCs w:val="24"/>
        </w:rPr>
        <w:fldChar w:fldCharType="end"/>
      </w:r>
    </w:p>
    <w:p>
      <w:pPr>
        <w:pStyle w:val="8"/>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_Toc19693 </w:instrText>
      </w:r>
      <w:r>
        <w:rPr>
          <w:rFonts w:hint="eastAsia" w:ascii="宋体" w:hAnsi="宋体" w:eastAsia="宋体" w:cs="宋体"/>
          <w:szCs w:val="24"/>
        </w:rPr>
        <w:fldChar w:fldCharType="separate"/>
      </w:r>
      <w:r>
        <w:rPr>
          <w:rFonts w:hint="eastAsia" w:ascii="宋体" w:hAnsi="宋体" w:eastAsia="宋体" w:cs="宋体"/>
          <w:bCs/>
          <w:szCs w:val="24"/>
        </w:rPr>
        <w:t>投入本项目的技术团队</w:t>
      </w:r>
      <w:r>
        <w:rPr>
          <w:rFonts w:hint="eastAsia" w:ascii="宋体" w:hAnsi="宋体" w:eastAsia="宋体" w:cs="宋体"/>
          <w:szCs w:val="24"/>
        </w:rPr>
        <w:t>：</w:t>
      </w:r>
      <w:r>
        <w:tab/>
      </w:r>
      <w:r>
        <w:fldChar w:fldCharType="begin"/>
      </w:r>
      <w:r>
        <w:instrText xml:space="preserve"> PAGEREF _Toc19693 \h </w:instrText>
      </w:r>
      <w:r>
        <w:fldChar w:fldCharType="separate"/>
      </w:r>
      <w:r>
        <w:t>8</w:t>
      </w:r>
      <w:r>
        <w:fldChar w:fldCharType="end"/>
      </w:r>
      <w:r>
        <w:rPr>
          <w:rFonts w:hint="eastAsia" w:ascii="宋体" w:hAnsi="宋体" w:eastAsia="宋体" w:cs="宋体"/>
          <w:szCs w:val="24"/>
        </w:rPr>
        <w:fldChar w:fldCharType="end"/>
      </w:r>
    </w:p>
    <w:p>
      <w:pPr>
        <w:pStyle w:val="8"/>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_Toc12419 </w:instrText>
      </w:r>
      <w:r>
        <w:rPr>
          <w:rFonts w:hint="eastAsia" w:ascii="宋体" w:hAnsi="宋体" w:eastAsia="宋体" w:cs="宋体"/>
          <w:szCs w:val="24"/>
        </w:rPr>
        <w:fldChar w:fldCharType="separate"/>
      </w:r>
      <w:r>
        <w:rPr>
          <w:rFonts w:hint="eastAsia" w:ascii="宋体" w:hAnsi="宋体" w:eastAsia="宋体" w:cs="宋体"/>
          <w:bCs/>
          <w:szCs w:val="24"/>
        </w:rPr>
        <w:t>投入本项目团队人员的稳定性承诺：</w:t>
      </w:r>
      <w:r>
        <w:tab/>
      </w:r>
      <w:r>
        <w:fldChar w:fldCharType="begin"/>
      </w:r>
      <w:r>
        <w:instrText xml:space="preserve"> PAGEREF _Toc12419 \h </w:instrText>
      </w:r>
      <w:r>
        <w:fldChar w:fldCharType="separate"/>
      </w:r>
      <w:r>
        <w:t>9</w:t>
      </w:r>
      <w:r>
        <w:fldChar w:fldCharType="end"/>
      </w:r>
      <w:r>
        <w:rPr>
          <w:rFonts w:hint="eastAsia" w:ascii="宋体" w:hAnsi="宋体" w:eastAsia="宋体" w:cs="宋体"/>
          <w:szCs w:val="24"/>
        </w:rPr>
        <w:fldChar w:fldCharType="end"/>
      </w:r>
    </w:p>
    <w:p>
      <w:pPr>
        <w:pStyle w:val="7"/>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_Toc12459 </w:instrText>
      </w:r>
      <w:r>
        <w:rPr>
          <w:rFonts w:hint="eastAsia" w:ascii="宋体" w:hAnsi="宋体" w:eastAsia="宋体" w:cs="宋体"/>
          <w:szCs w:val="24"/>
        </w:rPr>
        <w:fldChar w:fldCharType="separate"/>
      </w:r>
      <w:r>
        <w:rPr>
          <w:rFonts w:hint="eastAsia" w:ascii="宋体" w:hAnsi="宋体" w:eastAsia="宋体" w:cs="宋体"/>
          <w:kern w:val="36"/>
          <w:szCs w:val="24"/>
        </w:rPr>
        <w:t>5管理实施要求</w:t>
      </w:r>
      <w:r>
        <w:tab/>
      </w:r>
      <w:r>
        <w:fldChar w:fldCharType="begin"/>
      </w:r>
      <w:r>
        <w:instrText xml:space="preserve"> PAGEREF _Toc12459 \h </w:instrText>
      </w:r>
      <w:r>
        <w:fldChar w:fldCharType="separate"/>
      </w:r>
      <w:r>
        <w:t>9</w:t>
      </w:r>
      <w:r>
        <w:fldChar w:fldCharType="end"/>
      </w:r>
      <w:r>
        <w:rPr>
          <w:rFonts w:hint="eastAsia" w:ascii="宋体" w:hAnsi="宋体" w:eastAsia="宋体" w:cs="宋体"/>
          <w:szCs w:val="24"/>
        </w:rPr>
        <w:fldChar w:fldCharType="end"/>
      </w:r>
    </w:p>
    <w:p>
      <w:pPr>
        <w:pStyle w:val="8"/>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_Toc13674 </w:instrText>
      </w:r>
      <w:r>
        <w:rPr>
          <w:rFonts w:hint="eastAsia" w:ascii="宋体" w:hAnsi="宋体" w:eastAsia="宋体" w:cs="宋体"/>
          <w:szCs w:val="24"/>
        </w:rPr>
        <w:fldChar w:fldCharType="separate"/>
      </w:r>
      <w:r>
        <w:rPr>
          <w:rFonts w:hint="eastAsia" w:ascii="宋体" w:hAnsi="宋体" w:eastAsia="宋体" w:cs="宋体"/>
          <w:i w:val="0"/>
          <w:iCs w:val="0"/>
          <w:szCs w:val="24"/>
        </w:rPr>
        <w:t>1. 实施管理要求</w:t>
      </w:r>
      <w:r>
        <w:tab/>
      </w:r>
      <w:r>
        <w:fldChar w:fldCharType="begin"/>
      </w:r>
      <w:r>
        <w:instrText xml:space="preserve"> PAGEREF _Toc13674 \h </w:instrText>
      </w:r>
      <w:r>
        <w:fldChar w:fldCharType="separate"/>
      </w:r>
      <w:r>
        <w:t>9</w:t>
      </w:r>
      <w:r>
        <w:fldChar w:fldCharType="end"/>
      </w:r>
      <w:r>
        <w:rPr>
          <w:rFonts w:hint="eastAsia" w:ascii="宋体" w:hAnsi="宋体" w:eastAsia="宋体" w:cs="宋体"/>
          <w:szCs w:val="24"/>
        </w:rPr>
        <w:fldChar w:fldCharType="end"/>
      </w:r>
    </w:p>
    <w:p>
      <w:pPr>
        <w:pStyle w:val="6"/>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_Toc17850 </w:instrText>
      </w:r>
      <w:r>
        <w:rPr>
          <w:rFonts w:hint="eastAsia" w:ascii="宋体" w:hAnsi="宋体" w:eastAsia="宋体" w:cs="宋体"/>
          <w:szCs w:val="24"/>
        </w:rPr>
        <w:fldChar w:fldCharType="separate"/>
      </w:r>
      <w:r>
        <w:rPr>
          <w:rFonts w:hint="eastAsia" w:ascii="宋体" w:hAnsi="宋体" w:eastAsia="宋体" w:cs="宋体"/>
          <w:szCs w:val="24"/>
        </w:rPr>
        <w:t>（1）项目计划管理</w:t>
      </w:r>
      <w:r>
        <w:tab/>
      </w:r>
      <w:r>
        <w:fldChar w:fldCharType="begin"/>
      </w:r>
      <w:r>
        <w:instrText xml:space="preserve"> PAGEREF _Toc17850 \h </w:instrText>
      </w:r>
      <w:r>
        <w:fldChar w:fldCharType="separate"/>
      </w:r>
      <w:r>
        <w:t>9</w:t>
      </w:r>
      <w:r>
        <w:fldChar w:fldCharType="end"/>
      </w:r>
      <w:r>
        <w:rPr>
          <w:rFonts w:hint="eastAsia" w:ascii="宋体" w:hAnsi="宋体" w:eastAsia="宋体" w:cs="宋体"/>
          <w:szCs w:val="24"/>
        </w:rPr>
        <w:fldChar w:fldCharType="end"/>
      </w:r>
    </w:p>
    <w:p>
      <w:pPr>
        <w:pStyle w:val="6"/>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_Toc28304 </w:instrText>
      </w:r>
      <w:r>
        <w:rPr>
          <w:rFonts w:hint="eastAsia" w:ascii="宋体" w:hAnsi="宋体" w:eastAsia="宋体" w:cs="宋体"/>
          <w:szCs w:val="24"/>
        </w:rPr>
        <w:fldChar w:fldCharType="separate"/>
      </w:r>
      <w:r>
        <w:rPr>
          <w:rFonts w:hint="eastAsia" w:ascii="宋体" w:hAnsi="宋体" w:eastAsia="宋体" w:cs="宋体"/>
          <w:szCs w:val="24"/>
        </w:rPr>
        <w:t>（2）项目变更管理</w:t>
      </w:r>
      <w:r>
        <w:tab/>
      </w:r>
      <w:r>
        <w:fldChar w:fldCharType="begin"/>
      </w:r>
      <w:r>
        <w:instrText xml:space="preserve"> PAGEREF _Toc28304 \h </w:instrText>
      </w:r>
      <w:r>
        <w:fldChar w:fldCharType="separate"/>
      </w:r>
      <w:r>
        <w:t>9</w:t>
      </w:r>
      <w:r>
        <w:fldChar w:fldCharType="end"/>
      </w:r>
      <w:r>
        <w:rPr>
          <w:rFonts w:hint="eastAsia" w:ascii="宋体" w:hAnsi="宋体" w:eastAsia="宋体" w:cs="宋体"/>
          <w:szCs w:val="24"/>
        </w:rPr>
        <w:fldChar w:fldCharType="end"/>
      </w:r>
    </w:p>
    <w:p>
      <w:pPr>
        <w:pStyle w:val="6"/>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_Toc1649 </w:instrText>
      </w:r>
      <w:r>
        <w:rPr>
          <w:rFonts w:hint="eastAsia" w:ascii="宋体" w:hAnsi="宋体" w:eastAsia="宋体" w:cs="宋体"/>
          <w:szCs w:val="24"/>
        </w:rPr>
        <w:fldChar w:fldCharType="separate"/>
      </w:r>
      <w:r>
        <w:rPr>
          <w:rFonts w:hint="eastAsia" w:ascii="宋体" w:hAnsi="宋体" w:eastAsia="宋体" w:cs="宋体"/>
          <w:szCs w:val="24"/>
        </w:rPr>
        <w:t>（3）项目风险管理</w:t>
      </w:r>
      <w:r>
        <w:tab/>
      </w:r>
      <w:r>
        <w:fldChar w:fldCharType="begin"/>
      </w:r>
      <w:r>
        <w:instrText xml:space="preserve"> PAGEREF _Toc1649 \h </w:instrText>
      </w:r>
      <w:r>
        <w:fldChar w:fldCharType="separate"/>
      </w:r>
      <w:r>
        <w:t>9</w:t>
      </w:r>
      <w:r>
        <w:fldChar w:fldCharType="end"/>
      </w:r>
      <w:r>
        <w:rPr>
          <w:rFonts w:hint="eastAsia" w:ascii="宋体" w:hAnsi="宋体" w:eastAsia="宋体" w:cs="宋体"/>
          <w:szCs w:val="24"/>
        </w:rPr>
        <w:fldChar w:fldCharType="end"/>
      </w:r>
    </w:p>
    <w:p>
      <w:pPr>
        <w:pStyle w:val="6"/>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_Toc26770 </w:instrText>
      </w:r>
      <w:r>
        <w:rPr>
          <w:rFonts w:hint="eastAsia" w:ascii="宋体" w:hAnsi="宋体" w:eastAsia="宋体" w:cs="宋体"/>
          <w:szCs w:val="24"/>
        </w:rPr>
        <w:fldChar w:fldCharType="separate"/>
      </w:r>
      <w:r>
        <w:rPr>
          <w:rFonts w:hint="eastAsia" w:ascii="宋体" w:hAnsi="宋体" w:eastAsia="宋体" w:cs="宋体"/>
          <w:szCs w:val="24"/>
        </w:rPr>
        <w:t>（4）项目沟通管理</w:t>
      </w:r>
      <w:r>
        <w:tab/>
      </w:r>
      <w:r>
        <w:fldChar w:fldCharType="begin"/>
      </w:r>
      <w:r>
        <w:instrText xml:space="preserve"> PAGEREF _Toc26770 \h </w:instrText>
      </w:r>
      <w:r>
        <w:fldChar w:fldCharType="separate"/>
      </w:r>
      <w:r>
        <w:t>9</w:t>
      </w:r>
      <w:r>
        <w:fldChar w:fldCharType="end"/>
      </w:r>
      <w:r>
        <w:rPr>
          <w:rFonts w:hint="eastAsia" w:ascii="宋体" w:hAnsi="宋体" w:eastAsia="宋体" w:cs="宋体"/>
          <w:szCs w:val="24"/>
        </w:rPr>
        <w:fldChar w:fldCharType="end"/>
      </w:r>
    </w:p>
    <w:p>
      <w:pPr>
        <w:pStyle w:val="8"/>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_Toc25104 </w:instrText>
      </w:r>
      <w:r>
        <w:rPr>
          <w:rFonts w:hint="eastAsia" w:ascii="宋体" w:hAnsi="宋体" w:eastAsia="宋体" w:cs="宋体"/>
          <w:szCs w:val="24"/>
        </w:rPr>
        <w:fldChar w:fldCharType="separate"/>
      </w:r>
      <w:r>
        <w:rPr>
          <w:rFonts w:hint="eastAsia" w:ascii="宋体" w:hAnsi="宋体" w:eastAsia="宋体" w:cs="宋体"/>
          <w:i w:val="0"/>
          <w:iCs w:val="0"/>
          <w:szCs w:val="24"/>
        </w:rPr>
        <w:t>2. 实施质量要求</w:t>
      </w:r>
      <w:r>
        <w:tab/>
      </w:r>
      <w:r>
        <w:fldChar w:fldCharType="begin"/>
      </w:r>
      <w:r>
        <w:instrText xml:space="preserve"> PAGEREF _Toc25104 \h </w:instrText>
      </w:r>
      <w:r>
        <w:fldChar w:fldCharType="separate"/>
      </w:r>
      <w:r>
        <w:t>9</w:t>
      </w:r>
      <w:r>
        <w:fldChar w:fldCharType="end"/>
      </w:r>
      <w:r>
        <w:rPr>
          <w:rFonts w:hint="eastAsia" w:ascii="宋体" w:hAnsi="宋体" w:eastAsia="宋体" w:cs="宋体"/>
          <w:szCs w:val="24"/>
        </w:rPr>
        <w:fldChar w:fldCharType="end"/>
      </w:r>
    </w:p>
    <w:p>
      <w:pPr>
        <w:pStyle w:val="6"/>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_Toc32359 </w:instrText>
      </w:r>
      <w:r>
        <w:rPr>
          <w:rFonts w:hint="eastAsia" w:ascii="宋体" w:hAnsi="宋体" w:eastAsia="宋体" w:cs="宋体"/>
          <w:szCs w:val="24"/>
        </w:rPr>
        <w:fldChar w:fldCharType="separate"/>
      </w:r>
      <w:r>
        <w:rPr>
          <w:rFonts w:hint="eastAsia" w:ascii="宋体" w:hAnsi="宋体" w:eastAsia="宋体" w:cs="宋体"/>
          <w:szCs w:val="24"/>
        </w:rPr>
        <w:t>（1）运维质量要求</w:t>
      </w:r>
      <w:r>
        <w:tab/>
      </w:r>
      <w:r>
        <w:fldChar w:fldCharType="begin"/>
      </w:r>
      <w:r>
        <w:instrText xml:space="preserve"> PAGEREF _Toc32359 \h </w:instrText>
      </w:r>
      <w:r>
        <w:fldChar w:fldCharType="separate"/>
      </w:r>
      <w:r>
        <w:t>9</w:t>
      </w:r>
      <w:r>
        <w:fldChar w:fldCharType="end"/>
      </w:r>
      <w:r>
        <w:rPr>
          <w:rFonts w:hint="eastAsia" w:ascii="宋体" w:hAnsi="宋体" w:eastAsia="宋体" w:cs="宋体"/>
          <w:szCs w:val="24"/>
        </w:rPr>
        <w:fldChar w:fldCharType="end"/>
      </w:r>
    </w:p>
    <w:p>
      <w:pPr>
        <w:pStyle w:val="6"/>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_Toc5532 </w:instrText>
      </w:r>
      <w:r>
        <w:rPr>
          <w:rFonts w:hint="eastAsia" w:ascii="宋体" w:hAnsi="宋体" w:eastAsia="宋体" w:cs="宋体"/>
          <w:szCs w:val="24"/>
        </w:rPr>
        <w:fldChar w:fldCharType="separate"/>
      </w:r>
      <w:r>
        <w:rPr>
          <w:rFonts w:hint="eastAsia" w:ascii="宋体" w:hAnsi="宋体" w:eastAsia="宋体" w:cs="宋体"/>
          <w:szCs w:val="24"/>
        </w:rPr>
        <w:t>（2）杜绝重大事故出现</w:t>
      </w:r>
      <w:r>
        <w:tab/>
      </w:r>
      <w:r>
        <w:fldChar w:fldCharType="begin"/>
      </w:r>
      <w:r>
        <w:instrText xml:space="preserve"> PAGEREF _Toc5532 \h </w:instrText>
      </w:r>
      <w:r>
        <w:fldChar w:fldCharType="separate"/>
      </w:r>
      <w:r>
        <w:t>9</w:t>
      </w:r>
      <w:r>
        <w:fldChar w:fldCharType="end"/>
      </w:r>
      <w:r>
        <w:rPr>
          <w:rFonts w:hint="eastAsia" w:ascii="宋体" w:hAnsi="宋体" w:eastAsia="宋体" w:cs="宋体"/>
          <w:szCs w:val="24"/>
        </w:rPr>
        <w:fldChar w:fldCharType="end"/>
      </w:r>
    </w:p>
    <w:p>
      <w:pPr>
        <w:pStyle w:val="7"/>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_Toc14142 </w:instrText>
      </w:r>
      <w:r>
        <w:rPr>
          <w:rFonts w:hint="eastAsia" w:ascii="宋体" w:hAnsi="宋体" w:eastAsia="宋体" w:cs="宋体"/>
          <w:szCs w:val="24"/>
        </w:rPr>
        <w:fldChar w:fldCharType="separate"/>
      </w:r>
      <w:r>
        <w:rPr>
          <w:rFonts w:hint="eastAsia" w:ascii="宋体" w:hAnsi="宋体" w:eastAsia="宋体" w:cs="宋体"/>
          <w:kern w:val="36"/>
          <w:szCs w:val="24"/>
        </w:rPr>
        <w:t>6保密要求</w:t>
      </w:r>
      <w:r>
        <w:tab/>
      </w:r>
      <w:r>
        <w:fldChar w:fldCharType="begin"/>
      </w:r>
      <w:r>
        <w:instrText xml:space="preserve"> PAGEREF _Toc14142 \h </w:instrText>
      </w:r>
      <w:r>
        <w:fldChar w:fldCharType="separate"/>
      </w:r>
      <w:r>
        <w:t>10</w:t>
      </w:r>
      <w:r>
        <w:fldChar w:fldCharType="end"/>
      </w:r>
      <w:r>
        <w:rPr>
          <w:rFonts w:hint="eastAsia" w:ascii="宋体" w:hAnsi="宋体" w:eastAsia="宋体" w:cs="宋体"/>
          <w:szCs w:val="24"/>
        </w:rPr>
        <w:fldChar w:fldCharType="end"/>
      </w:r>
    </w:p>
    <w:p>
      <w:pPr>
        <w:pStyle w:val="7"/>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_Toc22726 </w:instrText>
      </w:r>
      <w:r>
        <w:rPr>
          <w:rFonts w:hint="eastAsia" w:ascii="宋体" w:hAnsi="宋体" w:eastAsia="宋体" w:cs="宋体"/>
          <w:szCs w:val="24"/>
        </w:rPr>
        <w:fldChar w:fldCharType="separate"/>
      </w:r>
      <w:r>
        <w:rPr>
          <w:rFonts w:hint="eastAsia" w:ascii="宋体" w:hAnsi="宋体" w:eastAsia="宋体" w:cs="宋体"/>
          <w:kern w:val="36"/>
          <w:szCs w:val="24"/>
        </w:rPr>
        <w:t>7知识转移要求</w:t>
      </w:r>
      <w:r>
        <w:tab/>
      </w:r>
      <w:r>
        <w:fldChar w:fldCharType="begin"/>
      </w:r>
      <w:r>
        <w:instrText xml:space="preserve"> PAGEREF _Toc22726 \h </w:instrText>
      </w:r>
      <w:r>
        <w:fldChar w:fldCharType="separate"/>
      </w:r>
      <w:r>
        <w:t>10</w:t>
      </w:r>
      <w:r>
        <w:fldChar w:fldCharType="end"/>
      </w:r>
      <w:r>
        <w:rPr>
          <w:rFonts w:hint="eastAsia" w:ascii="宋体" w:hAnsi="宋体" w:eastAsia="宋体" w:cs="宋体"/>
          <w:szCs w:val="24"/>
        </w:rPr>
        <w:fldChar w:fldCharType="end"/>
      </w:r>
    </w:p>
    <w:p>
      <w:pPr>
        <w:pStyle w:val="7"/>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_Toc27735 </w:instrText>
      </w:r>
      <w:r>
        <w:rPr>
          <w:rFonts w:hint="eastAsia" w:ascii="宋体" w:hAnsi="宋体" w:eastAsia="宋体" w:cs="宋体"/>
          <w:szCs w:val="24"/>
        </w:rPr>
        <w:fldChar w:fldCharType="separate"/>
      </w:r>
      <w:r>
        <w:rPr>
          <w:rFonts w:hint="eastAsia" w:ascii="宋体" w:hAnsi="宋体" w:eastAsia="宋体" w:cs="宋体"/>
          <w:kern w:val="36"/>
          <w:szCs w:val="24"/>
        </w:rPr>
        <w:t>8风险管控要求</w:t>
      </w:r>
      <w:r>
        <w:tab/>
      </w:r>
      <w:r>
        <w:fldChar w:fldCharType="begin"/>
      </w:r>
      <w:r>
        <w:instrText xml:space="preserve"> PAGEREF _Toc27735 \h </w:instrText>
      </w:r>
      <w:r>
        <w:fldChar w:fldCharType="separate"/>
      </w:r>
      <w:r>
        <w:t>10</w:t>
      </w:r>
      <w:r>
        <w:fldChar w:fldCharType="end"/>
      </w:r>
      <w:r>
        <w:rPr>
          <w:rFonts w:hint="eastAsia" w:ascii="宋体" w:hAnsi="宋体" w:eastAsia="宋体" w:cs="宋体"/>
          <w:szCs w:val="24"/>
        </w:rPr>
        <w:fldChar w:fldCharType="end"/>
      </w:r>
    </w:p>
    <w:p>
      <w:pPr>
        <w:pStyle w:val="8"/>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_Toc26321 </w:instrText>
      </w:r>
      <w:r>
        <w:rPr>
          <w:rFonts w:hint="eastAsia" w:ascii="宋体" w:hAnsi="宋体" w:eastAsia="宋体" w:cs="宋体"/>
          <w:szCs w:val="24"/>
        </w:rPr>
        <w:fldChar w:fldCharType="separate"/>
      </w:r>
      <w:r>
        <w:rPr>
          <w:rFonts w:hint="eastAsia" w:ascii="宋体" w:hAnsi="宋体" w:eastAsia="宋体" w:cs="宋体"/>
          <w:i w:val="0"/>
          <w:iCs w:val="0"/>
          <w:szCs w:val="24"/>
        </w:rPr>
        <w:t>8.1 风险管控总体要求</w:t>
      </w:r>
      <w:r>
        <w:tab/>
      </w:r>
      <w:r>
        <w:fldChar w:fldCharType="begin"/>
      </w:r>
      <w:r>
        <w:instrText xml:space="preserve"> PAGEREF _Toc26321 \h </w:instrText>
      </w:r>
      <w:r>
        <w:fldChar w:fldCharType="separate"/>
      </w:r>
      <w:r>
        <w:t>10</w:t>
      </w:r>
      <w:r>
        <w:fldChar w:fldCharType="end"/>
      </w:r>
      <w:r>
        <w:rPr>
          <w:rFonts w:hint="eastAsia" w:ascii="宋体" w:hAnsi="宋体" w:eastAsia="宋体" w:cs="宋体"/>
          <w:szCs w:val="24"/>
        </w:rPr>
        <w:fldChar w:fldCharType="end"/>
      </w:r>
    </w:p>
    <w:p>
      <w:pPr>
        <w:pStyle w:val="8"/>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_Toc16077 </w:instrText>
      </w:r>
      <w:r>
        <w:rPr>
          <w:rFonts w:hint="eastAsia" w:ascii="宋体" w:hAnsi="宋体" w:eastAsia="宋体" w:cs="宋体"/>
          <w:szCs w:val="24"/>
        </w:rPr>
        <w:fldChar w:fldCharType="separate"/>
      </w:r>
      <w:r>
        <w:rPr>
          <w:rFonts w:hint="eastAsia" w:ascii="宋体" w:hAnsi="宋体" w:eastAsia="宋体" w:cs="宋体"/>
          <w:i w:val="0"/>
          <w:iCs w:val="0"/>
          <w:szCs w:val="24"/>
        </w:rPr>
        <w:t>8.2 风险管控具体要求</w:t>
      </w:r>
      <w:r>
        <w:tab/>
      </w:r>
      <w:r>
        <w:fldChar w:fldCharType="begin"/>
      </w:r>
      <w:r>
        <w:instrText xml:space="preserve"> PAGEREF _Toc16077 \h </w:instrText>
      </w:r>
      <w:r>
        <w:fldChar w:fldCharType="separate"/>
      </w:r>
      <w:r>
        <w:t>10</w:t>
      </w:r>
      <w:r>
        <w:fldChar w:fldCharType="end"/>
      </w:r>
      <w:r>
        <w:rPr>
          <w:rFonts w:hint="eastAsia" w:ascii="宋体" w:hAnsi="宋体" w:eastAsia="宋体" w:cs="宋体"/>
          <w:szCs w:val="24"/>
        </w:rPr>
        <w:fldChar w:fldCharType="end"/>
      </w:r>
    </w:p>
    <w:p>
      <w:pPr>
        <w:pStyle w:val="6"/>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_Toc27599 </w:instrText>
      </w:r>
      <w:r>
        <w:rPr>
          <w:rFonts w:hint="eastAsia" w:ascii="宋体" w:hAnsi="宋体" w:eastAsia="宋体" w:cs="宋体"/>
          <w:szCs w:val="24"/>
        </w:rPr>
        <w:fldChar w:fldCharType="separate"/>
      </w:r>
      <w:r>
        <w:rPr>
          <w:rFonts w:hint="eastAsia" w:ascii="宋体" w:hAnsi="宋体" w:eastAsia="宋体" w:cs="宋体"/>
          <w:szCs w:val="24"/>
        </w:rPr>
        <w:t>（1）安全风险管理</w:t>
      </w:r>
      <w:r>
        <w:tab/>
      </w:r>
      <w:r>
        <w:fldChar w:fldCharType="begin"/>
      </w:r>
      <w:r>
        <w:instrText xml:space="preserve"> PAGEREF _Toc27599 \h </w:instrText>
      </w:r>
      <w:r>
        <w:fldChar w:fldCharType="separate"/>
      </w:r>
      <w:r>
        <w:t>10</w:t>
      </w:r>
      <w:r>
        <w:fldChar w:fldCharType="end"/>
      </w:r>
      <w:r>
        <w:rPr>
          <w:rFonts w:hint="eastAsia" w:ascii="宋体" w:hAnsi="宋体" w:eastAsia="宋体" w:cs="宋体"/>
          <w:szCs w:val="24"/>
        </w:rPr>
        <w:fldChar w:fldCharType="end"/>
      </w:r>
    </w:p>
    <w:p>
      <w:pPr>
        <w:pStyle w:val="6"/>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_Toc25690 </w:instrText>
      </w:r>
      <w:r>
        <w:rPr>
          <w:rFonts w:hint="eastAsia" w:ascii="宋体" w:hAnsi="宋体" w:eastAsia="宋体" w:cs="宋体"/>
          <w:szCs w:val="24"/>
        </w:rPr>
        <w:fldChar w:fldCharType="separate"/>
      </w:r>
      <w:r>
        <w:rPr>
          <w:rFonts w:hint="eastAsia" w:ascii="宋体" w:hAnsi="宋体" w:eastAsia="宋体" w:cs="宋体"/>
          <w:szCs w:val="24"/>
        </w:rPr>
        <w:t>（2）进度风险管理</w:t>
      </w:r>
      <w:r>
        <w:tab/>
      </w:r>
      <w:r>
        <w:fldChar w:fldCharType="begin"/>
      </w:r>
      <w:r>
        <w:instrText xml:space="preserve"> PAGEREF _Toc25690 \h </w:instrText>
      </w:r>
      <w:r>
        <w:fldChar w:fldCharType="separate"/>
      </w:r>
      <w:r>
        <w:t>10</w:t>
      </w:r>
      <w:r>
        <w:fldChar w:fldCharType="end"/>
      </w:r>
      <w:r>
        <w:rPr>
          <w:rFonts w:hint="eastAsia" w:ascii="宋体" w:hAnsi="宋体" w:eastAsia="宋体" w:cs="宋体"/>
          <w:szCs w:val="24"/>
        </w:rPr>
        <w:fldChar w:fldCharType="end"/>
      </w:r>
    </w:p>
    <w:p>
      <w:pPr>
        <w:pStyle w:val="6"/>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_Toc24756 </w:instrText>
      </w:r>
      <w:r>
        <w:rPr>
          <w:rFonts w:hint="eastAsia" w:ascii="宋体" w:hAnsi="宋体" w:eastAsia="宋体" w:cs="宋体"/>
          <w:szCs w:val="24"/>
        </w:rPr>
        <w:fldChar w:fldCharType="separate"/>
      </w:r>
      <w:r>
        <w:rPr>
          <w:rFonts w:hint="eastAsia" w:ascii="宋体" w:hAnsi="宋体" w:eastAsia="宋体" w:cs="宋体"/>
          <w:szCs w:val="24"/>
        </w:rPr>
        <w:t>（3）质量风险管理</w:t>
      </w:r>
      <w:r>
        <w:tab/>
      </w:r>
      <w:r>
        <w:fldChar w:fldCharType="begin"/>
      </w:r>
      <w:r>
        <w:instrText xml:space="preserve"> PAGEREF _Toc24756 \h </w:instrText>
      </w:r>
      <w:r>
        <w:fldChar w:fldCharType="separate"/>
      </w:r>
      <w:r>
        <w:t>10</w:t>
      </w:r>
      <w:r>
        <w:fldChar w:fldCharType="end"/>
      </w:r>
      <w:r>
        <w:rPr>
          <w:rFonts w:hint="eastAsia" w:ascii="宋体" w:hAnsi="宋体" w:eastAsia="宋体" w:cs="宋体"/>
          <w:szCs w:val="24"/>
        </w:rPr>
        <w:fldChar w:fldCharType="end"/>
      </w:r>
    </w:p>
    <w:p>
      <w:pPr>
        <w:pStyle w:val="7"/>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_Toc19364 </w:instrText>
      </w:r>
      <w:r>
        <w:rPr>
          <w:rFonts w:hint="eastAsia" w:ascii="宋体" w:hAnsi="宋体" w:eastAsia="宋体" w:cs="宋体"/>
          <w:szCs w:val="24"/>
        </w:rPr>
        <w:fldChar w:fldCharType="separate"/>
      </w:r>
      <w:r>
        <w:rPr>
          <w:rFonts w:hint="eastAsia" w:ascii="宋体" w:hAnsi="宋体" w:eastAsia="宋体" w:cs="宋体"/>
          <w:kern w:val="36"/>
          <w:szCs w:val="24"/>
        </w:rPr>
        <w:t>9履约验收要求</w:t>
      </w:r>
      <w:r>
        <w:tab/>
      </w:r>
      <w:r>
        <w:fldChar w:fldCharType="begin"/>
      </w:r>
      <w:r>
        <w:instrText xml:space="preserve"> PAGEREF _Toc19364 \h </w:instrText>
      </w:r>
      <w:r>
        <w:fldChar w:fldCharType="separate"/>
      </w:r>
      <w:r>
        <w:t>10</w:t>
      </w:r>
      <w:r>
        <w:fldChar w:fldCharType="end"/>
      </w:r>
      <w:r>
        <w:rPr>
          <w:rFonts w:hint="eastAsia" w:ascii="宋体" w:hAnsi="宋体" w:eastAsia="宋体" w:cs="宋体"/>
          <w:szCs w:val="24"/>
        </w:rPr>
        <w:fldChar w:fldCharType="end"/>
      </w:r>
    </w:p>
    <w:p>
      <w:pPr>
        <w:pStyle w:val="8"/>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_Toc29964 </w:instrText>
      </w:r>
      <w:r>
        <w:rPr>
          <w:rFonts w:hint="eastAsia" w:ascii="宋体" w:hAnsi="宋体" w:eastAsia="宋体" w:cs="宋体"/>
          <w:szCs w:val="24"/>
        </w:rPr>
        <w:fldChar w:fldCharType="separate"/>
      </w:r>
      <w:r>
        <w:rPr>
          <w:rFonts w:hint="eastAsia" w:ascii="宋体" w:hAnsi="宋体" w:eastAsia="宋体" w:cs="宋体"/>
          <w:i w:val="0"/>
          <w:iCs w:val="0"/>
          <w:szCs w:val="24"/>
        </w:rPr>
        <w:t>9.1总体要求</w:t>
      </w:r>
      <w:r>
        <w:tab/>
      </w:r>
      <w:r>
        <w:fldChar w:fldCharType="begin"/>
      </w:r>
      <w:r>
        <w:instrText xml:space="preserve"> PAGEREF _Toc29964 \h </w:instrText>
      </w:r>
      <w:r>
        <w:fldChar w:fldCharType="separate"/>
      </w:r>
      <w:r>
        <w:t>11</w:t>
      </w:r>
      <w:r>
        <w:fldChar w:fldCharType="end"/>
      </w:r>
      <w:r>
        <w:rPr>
          <w:rFonts w:hint="eastAsia" w:ascii="宋体" w:hAnsi="宋体" w:eastAsia="宋体" w:cs="宋体"/>
          <w:szCs w:val="24"/>
        </w:rPr>
        <w:fldChar w:fldCharType="end"/>
      </w:r>
    </w:p>
    <w:p>
      <w:pPr>
        <w:pStyle w:val="8"/>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_Toc23448 </w:instrText>
      </w:r>
      <w:r>
        <w:rPr>
          <w:rFonts w:hint="eastAsia" w:ascii="宋体" w:hAnsi="宋体" w:eastAsia="宋体" w:cs="宋体"/>
          <w:szCs w:val="24"/>
        </w:rPr>
        <w:fldChar w:fldCharType="separate"/>
      </w:r>
      <w:r>
        <w:rPr>
          <w:rFonts w:hint="eastAsia" w:ascii="宋体" w:hAnsi="宋体" w:eastAsia="宋体" w:cs="宋体"/>
          <w:i w:val="0"/>
          <w:iCs w:val="0"/>
          <w:szCs w:val="24"/>
        </w:rPr>
        <w:t>9.2具体要求</w:t>
      </w:r>
      <w:r>
        <w:tab/>
      </w:r>
      <w:r>
        <w:fldChar w:fldCharType="begin"/>
      </w:r>
      <w:r>
        <w:instrText xml:space="preserve"> PAGEREF _Toc23448 \h </w:instrText>
      </w:r>
      <w:r>
        <w:fldChar w:fldCharType="separate"/>
      </w:r>
      <w:r>
        <w:t>11</w:t>
      </w:r>
      <w:r>
        <w:fldChar w:fldCharType="end"/>
      </w:r>
      <w:r>
        <w:rPr>
          <w:rFonts w:hint="eastAsia" w:ascii="宋体" w:hAnsi="宋体" w:eastAsia="宋体" w:cs="宋体"/>
          <w:szCs w:val="24"/>
        </w:rPr>
        <w:fldChar w:fldCharType="end"/>
      </w:r>
    </w:p>
    <w:p>
      <w:pPr>
        <w:pStyle w:val="6"/>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_Toc23386 </w:instrText>
      </w:r>
      <w:r>
        <w:rPr>
          <w:rFonts w:hint="eastAsia" w:ascii="宋体" w:hAnsi="宋体" w:eastAsia="宋体" w:cs="宋体"/>
          <w:szCs w:val="24"/>
        </w:rPr>
        <w:fldChar w:fldCharType="separate"/>
      </w:r>
      <w:r>
        <w:rPr>
          <w:rFonts w:hint="eastAsia" w:ascii="宋体" w:hAnsi="宋体" w:eastAsia="宋体" w:cs="宋体"/>
          <w:szCs w:val="24"/>
        </w:rPr>
        <w:t>9.2.1 验收主要内容</w:t>
      </w:r>
      <w:r>
        <w:tab/>
      </w:r>
      <w:r>
        <w:fldChar w:fldCharType="begin"/>
      </w:r>
      <w:r>
        <w:instrText xml:space="preserve"> PAGEREF _Toc23386 \h </w:instrText>
      </w:r>
      <w:r>
        <w:fldChar w:fldCharType="separate"/>
      </w:r>
      <w:r>
        <w:t>11</w:t>
      </w:r>
      <w:r>
        <w:fldChar w:fldCharType="end"/>
      </w:r>
      <w:r>
        <w:rPr>
          <w:rFonts w:hint="eastAsia" w:ascii="宋体" w:hAnsi="宋体" w:eastAsia="宋体" w:cs="宋体"/>
          <w:szCs w:val="24"/>
        </w:rPr>
        <w:fldChar w:fldCharType="end"/>
      </w:r>
    </w:p>
    <w:p>
      <w:pPr>
        <w:pStyle w:val="6"/>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_Toc28370 </w:instrText>
      </w:r>
      <w:r>
        <w:rPr>
          <w:rFonts w:hint="eastAsia" w:ascii="宋体" w:hAnsi="宋体" w:eastAsia="宋体" w:cs="宋体"/>
          <w:szCs w:val="24"/>
        </w:rPr>
        <w:fldChar w:fldCharType="separate"/>
      </w:r>
      <w:r>
        <w:rPr>
          <w:rFonts w:hint="eastAsia" w:ascii="宋体" w:hAnsi="宋体" w:eastAsia="宋体" w:cs="宋体"/>
          <w:szCs w:val="24"/>
        </w:rPr>
        <w:t>9.2.2 验收要求</w:t>
      </w:r>
      <w:r>
        <w:tab/>
      </w:r>
      <w:r>
        <w:fldChar w:fldCharType="begin"/>
      </w:r>
      <w:r>
        <w:instrText xml:space="preserve"> PAGEREF _Toc28370 \h </w:instrText>
      </w:r>
      <w:r>
        <w:fldChar w:fldCharType="separate"/>
      </w:r>
      <w:r>
        <w:t>11</w:t>
      </w:r>
      <w:r>
        <w:fldChar w:fldCharType="end"/>
      </w:r>
      <w:r>
        <w:rPr>
          <w:rFonts w:hint="eastAsia" w:ascii="宋体" w:hAnsi="宋体" w:eastAsia="宋体" w:cs="宋体"/>
          <w:szCs w:val="24"/>
        </w:rPr>
        <w:fldChar w:fldCharType="end"/>
      </w:r>
    </w:p>
    <w:p>
      <w:pPr>
        <w:pStyle w:val="6"/>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_Toc13668 </w:instrText>
      </w:r>
      <w:r>
        <w:rPr>
          <w:rFonts w:hint="eastAsia" w:ascii="宋体" w:hAnsi="宋体" w:eastAsia="宋体" w:cs="宋体"/>
          <w:szCs w:val="24"/>
        </w:rPr>
        <w:fldChar w:fldCharType="separate"/>
      </w:r>
      <w:r>
        <w:rPr>
          <w:rFonts w:hint="eastAsia" w:ascii="宋体" w:hAnsi="宋体" w:eastAsia="宋体" w:cs="宋体"/>
          <w:szCs w:val="24"/>
        </w:rPr>
        <w:t>9.2.3 交付物验收</w:t>
      </w:r>
      <w:r>
        <w:tab/>
      </w:r>
      <w:r>
        <w:fldChar w:fldCharType="begin"/>
      </w:r>
      <w:r>
        <w:instrText xml:space="preserve"> PAGEREF _Toc13668 \h </w:instrText>
      </w:r>
      <w:r>
        <w:fldChar w:fldCharType="separate"/>
      </w:r>
      <w:r>
        <w:t>11</w:t>
      </w:r>
      <w:r>
        <w:fldChar w:fldCharType="end"/>
      </w:r>
      <w:r>
        <w:rPr>
          <w:rFonts w:hint="eastAsia" w:ascii="宋体" w:hAnsi="宋体" w:eastAsia="宋体" w:cs="宋体"/>
          <w:szCs w:val="24"/>
        </w:rPr>
        <w:fldChar w:fldCharType="end"/>
      </w:r>
    </w:p>
    <w:p>
      <w:pPr>
        <w:pStyle w:val="7"/>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_Toc29485 </w:instrText>
      </w:r>
      <w:r>
        <w:rPr>
          <w:rFonts w:hint="eastAsia" w:ascii="宋体" w:hAnsi="宋体" w:eastAsia="宋体" w:cs="宋体"/>
          <w:szCs w:val="24"/>
        </w:rPr>
        <w:fldChar w:fldCharType="separate"/>
      </w:r>
      <w:r>
        <w:rPr>
          <w:rFonts w:hint="eastAsia" w:ascii="宋体" w:hAnsi="宋体" w:eastAsia="宋体" w:cs="宋体"/>
          <w:kern w:val="36"/>
          <w:szCs w:val="24"/>
        </w:rPr>
        <w:t>10其他要求</w:t>
      </w:r>
      <w:r>
        <w:tab/>
      </w:r>
      <w:r>
        <w:fldChar w:fldCharType="begin"/>
      </w:r>
      <w:r>
        <w:instrText xml:space="preserve"> PAGEREF _Toc29485 \h </w:instrText>
      </w:r>
      <w:r>
        <w:fldChar w:fldCharType="separate"/>
      </w:r>
      <w:r>
        <w:t>12</w:t>
      </w:r>
      <w:r>
        <w:fldChar w:fldCharType="end"/>
      </w:r>
      <w:r>
        <w:rPr>
          <w:rFonts w:hint="eastAsia" w:ascii="宋体" w:hAnsi="宋体" w:eastAsia="宋体" w:cs="宋体"/>
          <w:szCs w:val="24"/>
        </w:rPr>
        <w:fldChar w:fldCharType="end"/>
      </w:r>
    </w:p>
    <w:p>
      <w:pPr>
        <w:pStyle w:val="8"/>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_Toc2048 </w:instrText>
      </w:r>
      <w:r>
        <w:rPr>
          <w:rFonts w:hint="eastAsia" w:ascii="宋体" w:hAnsi="宋体" w:eastAsia="宋体" w:cs="宋体"/>
          <w:szCs w:val="24"/>
        </w:rPr>
        <w:fldChar w:fldCharType="separate"/>
      </w:r>
      <w:r>
        <w:rPr>
          <w:rFonts w:hint="eastAsia" w:ascii="宋体" w:hAnsi="宋体" w:eastAsia="宋体" w:cs="宋体"/>
          <w:i w:val="0"/>
          <w:iCs w:val="0"/>
          <w:szCs w:val="24"/>
        </w:rPr>
        <w:t>10.1必备要求</w:t>
      </w:r>
      <w:r>
        <w:tab/>
      </w:r>
      <w:r>
        <w:fldChar w:fldCharType="begin"/>
      </w:r>
      <w:r>
        <w:instrText xml:space="preserve"> PAGEREF _Toc2048 \h </w:instrText>
      </w:r>
      <w:r>
        <w:fldChar w:fldCharType="separate"/>
      </w:r>
      <w:r>
        <w:t>12</w:t>
      </w:r>
      <w:r>
        <w:fldChar w:fldCharType="end"/>
      </w:r>
      <w:r>
        <w:rPr>
          <w:rFonts w:hint="eastAsia" w:ascii="宋体" w:hAnsi="宋体" w:eastAsia="宋体" w:cs="宋体"/>
          <w:szCs w:val="24"/>
        </w:rPr>
        <w:fldChar w:fldCharType="end"/>
      </w:r>
    </w:p>
    <w:p>
      <w:pPr>
        <w:pStyle w:val="6"/>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_Toc5872 </w:instrText>
      </w:r>
      <w:r>
        <w:rPr>
          <w:rFonts w:hint="eastAsia" w:ascii="宋体" w:hAnsi="宋体" w:eastAsia="宋体" w:cs="宋体"/>
          <w:szCs w:val="24"/>
        </w:rPr>
        <w:fldChar w:fldCharType="separate"/>
      </w:r>
      <w:r>
        <w:rPr>
          <w:rFonts w:hint="eastAsia" w:ascii="宋体" w:hAnsi="宋体" w:eastAsia="宋体" w:cs="宋体"/>
          <w:szCs w:val="24"/>
        </w:rPr>
        <w:t>10.1.1★税务信息化服务商廉政相关要求和签订廉政承诺书</w:t>
      </w:r>
      <w:r>
        <w:tab/>
      </w:r>
      <w:r>
        <w:fldChar w:fldCharType="begin"/>
      </w:r>
      <w:r>
        <w:instrText xml:space="preserve"> PAGEREF _Toc5872 \h </w:instrText>
      </w:r>
      <w:r>
        <w:fldChar w:fldCharType="separate"/>
      </w:r>
      <w:r>
        <w:t>12</w:t>
      </w:r>
      <w:r>
        <w:fldChar w:fldCharType="end"/>
      </w:r>
      <w:r>
        <w:rPr>
          <w:rFonts w:hint="eastAsia" w:ascii="宋体" w:hAnsi="宋体" w:eastAsia="宋体" w:cs="宋体"/>
          <w:szCs w:val="24"/>
        </w:rPr>
        <w:fldChar w:fldCharType="end"/>
      </w:r>
    </w:p>
    <w:p>
      <w:pPr>
        <w:pStyle w:val="6"/>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_Toc6679 </w:instrText>
      </w:r>
      <w:r>
        <w:rPr>
          <w:rFonts w:hint="eastAsia" w:ascii="宋体" w:hAnsi="宋体" w:eastAsia="宋体" w:cs="宋体"/>
          <w:szCs w:val="24"/>
        </w:rPr>
        <w:fldChar w:fldCharType="separate"/>
      </w:r>
      <w:r>
        <w:rPr>
          <w:rFonts w:hint="eastAsia" w:ascii="宋体" w:hAnsi="宋体" w:eastAsia="宋体" w:cs="宋体"/>
          <w:szCs w:val="24"/>
        </w:rPr>
        <w:t>10.1.2考核要求</w:t>
      </w:r>
      <w:r>
        <w:tab/>
      </w:r>
      <w:r>
        <w:fldChar w:fldCharType="begin"/>
      </w:r>
      <w:r>
        <w:instrText xml:space="preserve"> PAGEREF _Toc6679 \h </w:instrText>
      </w:r>
      <w:r>
        <w:fldChar w:fldCharType="separate"/>
      </w:r>
      <w:r>
        <w:t>14</w:t>
      </w:r>
      <w:r>
        <w:fldChar w:fldCharType="end"/>
      </w:r>
      <w:r>
        <w:rPr>
          <w:rFonts w:hint="eastAsia" w:ascii="宋体" w:hAnsi="宋体" w:eastAsia="宋体" w:cs="宋体"/>
          <w:szCs w:val="24"/>
        </w:rPr>
        <w:fldChar w:fldCharType="end"/>
      </w:r>
    </w:p>
    <w:p>
      <w:pPr>
        <w:pStyle w:val="6"/>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_Toc30764 </w:instrText>
      </w:r>
      <w:r>
        <w:rPr>
          <w:rFonts w:hint="eastAsia" w:ascii="宋体" w:hAnsi="宋体" w:eastAsia="宋体" w:cs="宋体"/>
          <w:szCs w:val="24"/>
        </w:rPr>
        <w:fldChar w:fldCharType="separate"/>
      </w:r>
      <w:r>
        <w:rPr>
          <w:rFonts w:hint="eastAsia" w:ascii="宋体" w:hAnsi="宋体" w:eastAsia="宋体" w:cs="宋体"/>
          <w:szCs w:val="24"/>
        </w:rPr>
        <w:t>10.1.3★税收信息化项目开发和应用管理工作要求</w:t>
      </w:r>
      <w:r>
        <w:tab/>
      </w:r>
      <w:r>
        <w:fldChar w:fldCharType="begin"/>
      </w:r>
      <w:r>
        <w:instrText xml:space="preserve"> PAGEREF _Toc30764 \h </w:instrText>
      </w:r>
      <w:r>
        <w:fldChar w:fldCharType="separate"/>
      </w:r>
      <w:r>
        <w:t>19</w:t>
      </w:r>
      <w:r>
        <w:fldChar w:fldCharType="end"/>
      </w:r>
      <w:r>
        <w:rPr>
          <w:rFonts w:hint="eastAsia" w:ascii="宋体" w:hAnsi="宋体" w:eastAsia="宋体" w:cs="宋体"/>
          <w:szCs w:val="24"/>
        </w:rPr>
        <w:fldChar w:fldCharType="end"/>
      </w:r>
    </w:p>
    <w:p>
      <w:pPr>
        <w:pStyle w:val="6"/>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_Toc253 </w:instrText>
      </w:r>
      <w:r>
        <w:rPr>
          <w:rFonts w:hint="eastAsia" w:ascii="宋体" w:hAnsi="宋体" w:eastAsia="宋体" w:cs="宋体"/>
          <w:szCs w:val="24"/>
        </w:rPr>
        <w:fldChar w:fldCharType="separate"/>
      </w:r>
      <w:r>
        <w:rPr>
          <w:rFonts w:hint="eastAsia" w:ascii="宋体" w:hAnsi="宋体" w:eastAsia="宋体" w:cs="宋体"/>
          <w:szCs w:val="24"/>
        </w:rPr>
        <w:t>10.1.4★供应链安全管理要求</w:t>
      </w:r>
      <w:r>
        <w:tab/>
      </w:r>
      <w:r>
        <w:fldChar w:fldCharType="begin"/>
      </w:r>
      <w:r>
        <w:instrText xml:space="preserve"> PAGEREF _Toc253 \h </w:instrText>
      </w:r>
      <w:r>
        <w:fldChar w:fldCharType="separate"/>
      </w:r>
      <w:r>
        <w:t>19</w:t>
      </w:r>
      <w:r>
        <w:fldChar w:fldCharType="end"/>
      </w:r>
      <w:r>
        <w:rPr>
          <w:rFonts w:hint="eastAsia" w:ascii="宋体" w:hAnsi="宋体" w:eastAsia="宋体" w:cs="宋体"/>
          <w:szCs w:val="24"/>
        </w:rPr>
        <w:fldChar w:fldCharType="end"/>
      </w:r>
    </w:p>
    <w:p>
      <w:pPr>
        <w:pStyle w:val="6"/>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_Toc12363 </w:instrText>
      </w:r>
      <w:r>
        <w:rPr>
          <w:rFonts w:hint="eastAsia" w:ascii="宋体" w:hAnsi="宋体" w:eastAsia="宋体" w:cs="宋体"/>
          <w:szCs w:val="24"/>
        </w:rPr>
        <w:fldChar w:fldCharType="separate"/>
      </w:r>
      <w:r>
        <w:rPr>
          <w:rFonts w:hint="eastAsia" w:ascii="宋体" w:hAnsi="宋体" w:eastAsia="宋体" w:cs="宋体"/>
          <w:szCs w:val="24"/>
        </w:rPr>
        <w:t>10.1.5★信息化服务运维人员要求</w:t>
      </w:r>
      <w:r>
        <w:tab/>
      </w:r>
      <w:r>
        <w:fldChar w:fldCharType="begin"/>
      </w:r>
      <w:r>
        <w:instrText xml:space="preserve"> PAGEREF _Toc12363 \h </w:instrText>
      </w:r>
      <w:r>
        <w:fldChar w:fldCharType="separate"/>
      </w:r>
      <w:r>
        <w:t>21</w:t>
      </w:r>
      <w:r>
        <w:fldChar w:fldCharType="end"/>
      </w:r>
      <w:r>
        <w:rPr>
          <w:rFonts w:hint="eastAsia" w:ascii="宋体" w:hAnsi="宋体" w:eastAsia="宋体" w:cs="宋体"/>
          <w:szCs w:val="24"/>
        </w:rPr>
        <w:fldChar w:fldCharType="end"/>
      </w:r>
    </w:p>
    <w:p>
      <w:pPr>
        <w:pStyle w:val="6"/>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_Toc27727 </w:instrText>
      </w:r>
      <w:r>
        <w:rPr>
          <w:rFonts w:hint="eastAsia" w:ascii="宋体" w:hAnsi="宋体" w:eastAsia="宋体" w:cs="宋体"/>
          <w:szCs w:val="24"/>
        </w:rPr>
        <w:fldChar w:fldCharType="separate"/>
      </w:r>
      <w:r>
        <w:rPr>
          <w:rFonts w:hint="eastAsia" w:ascii="宋体" w:hAnsi="宋体" w:eastAsia="宋体" w:cs="宋体"/>
          <w:szCs w:val="24"/>
        </w:rPr>
        <w:t>10.1.6其他</w:t>
      </w:r>
      <w:r>
        <w:tab/>
      </w:r>
      <w:r>
        <w:fldChar w:fldCharType="begin"/>
      </w:r>
      <w:r>
        <w:instrText xml:space="preserve"> PAGEREF _Toc27727 \h </w:instrText>
      </w:r>
      <w:r>
        <w:fldChar w:fldCharType="separate"/>
      </w:r>
      <w:r>
        <w:t>21</w:t>
      </w:r>
      <w:r>
        <w:fldChar w:fldCharType="end"/>
      </w:r>
      <w:r>
        <w:rPr>
          <w:rFonts w:hint="eastAsia" w:ascii="宋体" w:hAnsi="宋体" w:eastAsia="宋体" w:cs="宋体"/>
          <w:szCs w:val="24"/>
        </w:rPr>
        <w:fldChar w:fldCharType="end"/>
      </w:r>
    </w:p>
    <w:p>
      <w:pPr>
        <w:pStyle w:val="8"/>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_Toc9444 </w:instrText>
      </w:r>
      <w:r>
        <w:rPr>
          <w:rFonts w:hint="eastAsia" w:ascii="宋体" w:hAnsi="宋体" w:eastAsia="宋体" w:cs="宋体"/>
          <w:szCs w:val="24"/>
        </w:rPr>
        <w:fldChar w:fldCharType="separate"/>
      </w:r>
      <w:r>
        <w:rPr>
          <w:rFonts w:hint="eastAsia" w:ascii="宋体" w:hAnsi="宋体" w:eastAsia="宋体" w:cs="宋体"/>
          <w:i w:val="0"/>
          <w:iCs w:val="0"/>
          <w:szCs w:val="24"/>
        </w:rPr>
        <w:t>10.2知识产权要求</w:t>
      </w:r>
      <w:r>
        <w:tab/>
      </w:r>
      <w:r>
        <w:fldChar w:fldCharType="begin"/>
      </w:r>
      <w:r>
        <w:instrText xml:space="preserve"> PAGEREF _Toc9444 \h </w:instrText>
      </w:r>
      <w:r>
        <w:fldChar w:fldCharType="separate"/>
      </w:r>
      <w:r>
        <w:t>22</w:t>
      </w:r>
      <w:r>
        <w:fldChar w:fldCharType="end"/>
      </w:r>
      <w:r>
        <w:rPr>
          <w:rFonts w:hint="eastAsia" w:ascii="宋体" w:hAnsi="宋体" w:eastAsia="宋体" w:cs="宋体"/>
          <w:szCs w:val="24"/>
        </w:rPr>
        <w:fldChar w:fldCharType="end"/>
      </w:r>
    </w:p>
    <w:p>
      <w:pPr>
        <w:pStyle w:val="8"/>
        <w:tabs>
          <w:tab w:val="right" w:leader="dot" w:pos="902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_Toc5621 </w:instrText>
      </w:r>
      <w:r>
        <w:rPr>
          <w:rFonts w:hint="eastAsia" w:ascii="宋体" w:hAnsi="宋体" w:eastAsia="宋体" w:cs="宋体"/>
          <w:szCs w:val="24"/>
        </w:rPr>
        <w:fldChar w:fldCharType="separate"/>
      </w:r>
      <w:r>
        <w:rPr>
          <w:rFonts w:hint="eastAsia" w:ascii="宋体" w:hAnsi="宋体" w:eastAsia="宋体" w:cs="宋体"/>
          <w:i w:val="0"/>
          <w:iCs w:val="0"/>
          <w:szCs w:val="24"/>
        </w:rPr>
        <w:t>10.3付款安排建议</w:t>
      </w:r>
      <w:r>
        <w:tab/>
      </w:r>
      <w:r>
        <w:fldChar w:fldCharType="begin"/>
      </w:r>
      <w:r>
        <w:instrText xml:space="preserve"> PAGEREF _Toc5621 \h </w:instrText>
      </w:r>
      <w:r>
        <w:fldChar w:fldCharType="separate"/>
      </w:r>
      <w:r>
        <w:t>22</w:t>
      </w:r>
      <w:r>
        <w:fldChar w:fldCharType="end"/>
      </w:r>
      <w:r>
        <w:rPr>
          <w:rFonts w:hint="eastAsia" w:ascii="宋体" w:hAnsi="宋体" w:eastAsia="宋体" w:cs="宋体"/>
          <w:szCs w:val="24"/>
        </w:rPr>
        <w:fldChar w:fldCharType="end"/>
      </w:r>
    </w:p>
    <w:p>
      <w:pPr>
        <w:spacing w:before="0" w:after="0" w:line="360" w:lineRule="auto"/>
        <w:jc w:val="left"/>
        <w:rPr>
          <w:rFonts w:hint="eastAsia" w:ascii="宋体" w:hAnsi="宋体" w:eastAsia="宋体" w:cs="宋体"/>
          <w:sz w:val="24"/>
          <w:szCs w:val="24"/>
        </w:rPr>
      </w:pPr>
      <w:r>
        <w:rPr>
          <w:rFonts w:hint="eastAsia" w:ascii="宋体" w:hAnsi="宋体" w:eastAsia="宋体" w:cs="宋体"/>
          <w:szCs w:val="24"/>
        </w:rPr>
        <w:fldChar w:fldCharType="end"/>
      </w:r>
      <w:r>
        <w:rPr>
          <w:rFonts w:hint="eastAsia" w:ascii="宋体" w:hAnsi="宋体" w:eastAsia="宋体" w:cs="宋体"/>
          <w:sz w:val="24"/>
          <w:szCs w:val="24"/>
        </w:rPr>
        <w:br w:type="page"/>
      </w:r>
    </w:p>
    <w:p>
      <w:pPr>
        <w:pStyle w:val="2"/>
        <w:keepNext w:val="0"/>
        <w:spacing w:before="0" w:after="0" w:line="360" w:lineRule="auto"/>
        <w:jc w:val="center"/>
        <w:rPr>
          <w:rFonts w:hint="eastAsia" w:ascii="宋体" w:hAnsi="宋体" w:eastAsia="宋体" w:cs="宋体"/>
          <w:b/>
          <w:bCs/>
          <w:sz w:val="24"/>
          <w:szCs w:val="24"/>
        </w:rPr>
      </w:pPr>
      <w:bookmarkStart w:id="2" w:name="_Toc18568"/>
      <w:r>
        <w:rPr>
          <w:rFonts w:hint="eastAsia" w:ascii="宋体" w:hAnsi="宋体" w:eastAsia="宋体" w:cs="宋体"/>
          <w:kern w:val="36"/>
          <w:sz w:val="24"/>
          <w:szCs w:val="24"/>
        </w:rPr>
        <w:t>1项目概述</w:t>
      </w:r>
      <w:bookmarkEnd w:id="2"/>
    </w:p>
    <w:p>
      <w:pPr>
        <w:pStyle w:val="3"/>
        <w:keepNext w:val="0"/>
        <w:spacing w:before="0" w:after="0" w:line="360" w:lineRule="auto"/>
        <w:outlineLvl w:val="0"/>
        <w:rPr>
          <w:rFonts w:hint="eastAsia" w:ascii="宋体" w:hAnsi="宋体" w:eastAsia="宋体" w:cs="宋体"/>
          <w:b/>
          <w:bCs/>
          <w:sz w:val="24"/>
          <w:szCs w:val="24"/>
        </w:rPr>
      </w:pPr>
      <w:bookmarkStart w:id="3" w:name="_Toc10705"/>
      <w:r>
        <w:rPr>
          <w:rFonts w:hint="eastAsia" w:ascii="宋体" w:hAnsi="宋体" w:eastAsia="宋体" w:cs="宋体"/>
          <w:i w:val="0"/>
          <w:iCs w:val="0"/>
          <w:sz w:val="24"/>
          <w:szCs w:val="24"/>
        </w:rPr>
        <w:t>1.1项目背景</w:t>
      </w:r>
      <w:bookmarkEnd w:id="3"/>
    </w:p>
    <w:p>
      <w:pPr>
        <w:pStyle w:val="4"/>
        <w:keepNext w:val="0"/>
        <w:spacing w:before="0" w:after="0" w:line="360" w:lineRule="auto"/>
        <w:rPr>
          <w:rFonts w:hint="eastAsia" w:ascii="宋体" w:hAnsi="宋体" w:eastAsia="宋体" w:cs="宋体"/>
          <w:b/>
          <w:bCs/>
          <w:sz w:val="24"/>
          <w:szCs w:val="24"/>
        </w:rPr>
      </w:pPr>
      <w:bookmarkStart w:id="4" w:name="_Toc2045"/>
      <w:r>
        <w:rPr>
          <w:rFonts w:hint="eastAsia" w:ascii="宋体" w:hAnsi="宋体" w:eastAsia="宋体" w:cs="宋体"/>
          <w:sz w:val="24"/>
          <w:szCs w:val="24"/>
        </w:rPr>
        <w:t>1.1.1项目目的、意义及背景</w:t>
      </w:r>
      <w:bookmarkEnd w:id="4"/>
    </w:p>
    <w:p>
      <w:pPr>
        <w:pStyle w:val="5"/>
        <w:keepNext w:val="0"/>
        <w:spacing w:before="0" w:after="0" w:line="360" w:lineRule="auto"/>
        <w:rPr>
          <w:rFonts w:hint="eastAsia" w:ascii="宋体" w:hAnsi="宋体" w:eastAsia="宋体" w:cs="宋体"/>
          <w:b/>
          <w:bCs/>
          <w:sz w:val="24"/>
          <w:szCs w:val="24"/>
        </w:rPr>
      </w:pPr>
      <w:r>
        <w:rPr>
          <w:rFonts w:hint="eastAsia" w:ascii="宋体" w:hAnsi="宋体" w:eastAsia="宋体" w:cs="宋体"/>
          <w:sz w:val="24"/>
          <w:szCs w:val="24"/>
        </w:rPr>
        <w:t>1.1.1.1 项目背景</w:t>
      </w:r>
    </w:p>
    <w:p>
      <w:pPr>
        <w:pStyle w:val="13"/>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为了给全省自然人</w:t>
      </w:r>
      <w:r>
        <w:rPr>
          <w:rFonts w:hint="eastAsia" w:ascii="宋体" w:hAnsi="宋体" w:eastAsia="宋体" w:cs="宋体"/>
          <w:sz w:val="24"/>
          <w:szCs w:val="24"/>
          <w:lang w:eastAsia="zh-CN"/>
        </w:rPr>
        <w:t>和</w:t>
      </w:r>
      <w:r>
        <w:rPr>
          <w:rFonts w:hint="eastAsia" w:ascii="宋体" w:hAnsi="宋体" w:eastAsia="宋体" w:cs="宋体"/>
          <w:sz w:val="24"/>
          <w:szCs w:val="24"/>
        </w:rPr>
        <w:t>扣缴义务人单位提供更好更快捷的技术服务支持，有效解决纳税人在系统使用中遇到的各种问题，切实减轻纳税人负担，有效提升纳税人满意度和认同感，现采购黑龙江省税务局自然人（个税）系统和个税网报系统纳税人端技术服务，为纳税人提供免费的技术支持服务。</w:t>
      </w:r>
    </w:p>
    <w:p>
      <w:pPr>
        <w:pStyle w:val="5"/>
        <w:keepNext w:val="0"/>
        <w:spacing w:before="0" w:after="0" w:line="360" w:lineRule="auto"/>
        <w:rPr>
          <w:rFonts w:hint="eastAsia" w:ascii="宋体" w:hAnsi="宋体" w:eastAsia="宋体" w:cs="宋体"/>
          <w:b/>
          <w:bCs/>
          <w:sz w:val="24"/>
          <w:szCs w:val="24"/>
        </w:rPr>
      </w:pPr>
      <w:r>
        <w:rPr>
          <w:rFonts w:hint="eastAsia" w:ascii="宋体" w:hAnsi="宋体" w:eastAsia="宋体" w:cs="宋体"/>
          <w:sz w:val="24"/>
          <w:szCs w:val="24"/>
        </w:rPr>
        <w:t>1.1.1.2 项目目标</w:t>
      </w:r>
    </w:p>
    <w:p>
      <w:pPr>
        <w:pStyle w:val="13"/>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通过购买热线、坐席服务，为纳税人提供高效、便捷、规范的专业化服务，对平台流程、系统操作的咨询准确及时解答。</w:t>
      </w:r>
    </w:p>
    <w:p>
      <w:pPr>
        <w:pStyle w:val="3"/>
        <w:keepNext w:val="0"/>
        <w:spacing w:before="0" w:after="0" w:line="360" w:lineRule="auto"/>
        <w:outlineLvl w:val="0"/>
        <w:rPr>
          <w:rFonts w:hint="eastAsia" w:ascii="宋体" w:hAnsi="宋体" w:eastAsia="宋体" w:cs="宋体"/>
          <w:b/>
          <w:bCs/>
          <w:sz w:val="24"/>
          <w:szCs w:val="24"/>
        </w:rPr>
      </w:pPr>
      <w:bookmarkStart w:id="5" w:name="_Toc3861"/>
      <w:r>
        <w:rPr>
          <w:rFonts w:hint="eastAsia" w:ascii="宋体" w:hAnsi="宋体" w:eastAsia="宋体" w:cs="宋体"/>
          <w:i w:val="0"/>
          <w:iCs w:val="0"/>
          <w:sz w:val="24"/>
          <w:szCs w:val="24"/>
        </w:rPr>
        <w:t>1.2项目内容</w:t>
      </w:r>
      <w:bookmarkEnd w:id="5"/>
    </w:p>
    <w:p>
      <w:pPr>
        <w:pStyle w:val="4"/>
        <w:keepNext w:val="0"/>
        <w:spacing w:before="0" w:after="0" w:line="360" w:lineRule="auto"/>
        <w:outlineLvl w:val="1"/>
        <w:rPr>
          <w:rFonts w:hint="eastAsia" w:ascii="宋体" w:hAnsi="宋体" w:eastAsia="宋体" w:cs="宋体"/>
          <w:b/>
          <w:bCs/>
          <w:sz w:val="24"/>
          <w:szCs w:val="24"/>
        </w:rPr>
      </w:pPr>
      <w:bookmarkStart w:id="6" w:name="_Toc24036"/>
      <w:r>
        <w:rPr>
          <w:rFonts w:hint="eastAsia" w:ascii="宋体" w:hAnsi="宋体" w:eastAsia="宋体" w:cs="宋体"/>
          <w:sz w:val="24"/>
          <w:szCs w:val="24"/>
        </w:rPr>
        <w:t>1.2.1采购内容</w:t>
      </w:r>
      <w:bookmarkEnd w:id="6"/>
    </w:p>
    <w:p>
      <w:pPr>
        <w:pStyle w:val="13"/>
        <w:spacing w:before="0" w:after="0" w:line="360" w:lineRule="auto"/>
        <w:rPr>
          <w:rFonts w:hint="eastAsia" w:ascii="宋体" w:hAnsi="宋体" w:eastAsia="宋体" w:cs="宋体"/>
          <w:sz w:val="24"/>
          <w:szCs w:val="24"/>
        </w:rPr>
      </w:pPr>
      <w:r>
        <w:rPr>
          <w:rFonts w:hint="eastAsia" w:ascii="宋体" w:hAnsi="宋体" w:eastAsia="宋体" w:cs="宋体"/>
          <w:sz w:val="24"/>
          <w:szCs w:val="24"/>
        </w:rPr>
        <w:t>  中标人需采取人工坐席服务热线和扣缴客户端在线客服咨询服务方式，为纳税人提供服务咨询、技术支持，对于纳税人在进行自然人和个税网报时遇到的技术问题、操作问题、业务问题，通过热线电话进行解答。提供400热线电话咨询人数为5名，专家咨询服务人数为3名。</w:t>
      </w:r>
    </w:p>
    <w:p>
      <w:pPr>
        <w:pStyle w:val="4"/>
        <w:keepNext w:val="0"/>
        <w:spacing w:before="0" w:after="0" w:line="360" w:lineRule="auto"/>
        <w:outlineLvl w:val="1"/>
        <w:rPr>
          <w:rFonts w:hint="eastAsia" w:ascii="宋体" w:hAnsi="宋体" w:eastAsia="宋体" w:cs="宋体"/>
          <w:b/>
          <w:bCs/>
          <w:sz w:val="24"/>
          <w:szCs w:val="24"/>
        </w:rPr>
      </w:pPr>
      <w:bookmarkStart w:id="7" w:name="_Toc10848"/>
      <w:r>
        <w:rPr>
          <w:rFonts w:hint="eastAsia" w:ascii="宋体" w:hAnsi="宋体" w:eastAsia="宋体" w:cs="宋体"/>
          <w:sz w:val="24"/>
          <w:szCs w:val="24"/>
        </w:rPr>
        <w:t>1.2.2项目实施要求</w:t>
      </w:r>
      <w:bookmarkEnd w:id="7"/>
    </w:p>
    <w:p>
      <w:pPr>
        <w:pStyle w:val="5"/>
        <w:keepNext w:val="0"/>
        <w:spacing w:before="0" w:after="0" w:line="360" w:lineRule="auto"/>
        <w:outlineLvl w:val="2"/>
        <w:rPr>
          <w:rFonts w:hint="eastAsia" w:ascii="宋体" w:hAnsi="宋体" w:eastAsia="宋体" w:cs="宋体"/>
          <w:b/>
          <w:bCs/>
          <w:sz w:val="24"/>
          <w:szCs w:val="24"/>
        </w:rPr>
      </w:pPr>
      <w:bookmarkStart w:id="8" w:name="_Toc10912"/>
      <w:r>
        <w:rPr>
          <w:rFonts w:hint="eastAsia" w:ascii="宋体" w:hAnsi="宋体" w:eastAsia="宋体" w:cs="宋体"/>
          <w:sz w:val="24"/>
          <w:szCs w:val="24"/>
        </w:rPr>
        <w:t>1.2.2.1实施范围要求</w:t>
      </w:r>
      <w:bookmarkEnd w:id="8"/>
    </w:p>
    <w:p>
      <w:pPr>
        <w:pStyle w:val="13"/>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完成应用系统咨询服务工作，响应并解决问题。</w:t>
      </w:r>
    </w:p>
    <w:p>
      <w:pPr>
        <w:pStyle w:val="5"/>
        <w:keepNext w:val="0"/>
        <w:spacing w:before="0" w:after="0" w:line="360" w:lineRule="auto"/>
        <w:outlineLvl w:val="2"/>
        <w:rPr>
          <w:rFonts w:hint="eastAsia" w:ascii="宋体" w:hAnsi="宋体" w:eastAsia="宋体" w:cs="宋体"/>
          <w:b/>
          <w:bCs/>
          <w:sz w:val="24"/>
          <w:szCs w:val="24"/>
        </w:rPr>
      </w:pPr>
      <w:bookmarkStart w:id="9" w:name="_Toc1910"/>
      <w:r>
        <w:rPr>
          <w:rFonts w:hint="eastAsia" w:ascii="宋体" w:hAnsi="宋体" w:eastAsia="宋体" w:cs="宋体"/>
          <w:sz w:val="24"/>
          <w:szCs w:val="24"/>
        </w:rPr>
        <w:t>1.2.2.2实施时间要求</w:t>
      </w:r>
      <w:bookmarkEnd w:id="9"/>
    </w:p>
    <w:p>
      <w:pPr>
        <w:pStyle w:val="14"/>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自合同签字起生效，服务期限为一年。一年服务期满，根据《财政部关于推进和完善服务项目政府采购有关问题的通知》（财库〔20</w:t>
      </w:r>
      <w:r>
        <w:rPr>
          <w:rFonts w:hint="eastAsia" w:ascii="宋体" w:hAnsi="宋体" w:eastAsia="宋体" w:cs="宋体"/>
          <w:sz w:val="24"/>
          <w:szCs w:val="24"/>
          <w:lang w:val="en-US" w:eastAsia="zh-CN"/>
        </w:rPr>
        <w:t>14</w:t>
      </w:r>
      <w:r>
        <w:rPr>
          <w:rFonts w:hint="eastAsia" w:ascii="宋体" w:hAnsi="宋体" w:eastAsia="宋体" w:cs="宋体"/>
          <w:sz w:val="24"/>
          <w:szCs w:val="24"/>
        </w:rPr>
        <w:t>〕37号)文件要求，采购结果最多3年沿用，合同一年一考核一续签，是否续签，由采购人视财政预算安排及供应商资质条件、服务质量、服务内容、服务满意度等绩效考核情况确定。</w:t>
      </w:r>
    </w:p>
    <w:p>
      <w:pPr>
        <w:pStyle w:val="5"/>
        <w:keepNext w:val="0"/>
        <w:spacing w:before="0" w:after="0" w:line="360" w:lineRule="auto"/>
        <w:outlineLvl w:val="2"/>
        <w:rPr>
          <w:rFonts w:hint="eastAsia" w:ascii="宋体" w:hAnsi="宋体" w:eastAsia="宋体" w:cs="宋体"/>
          <w:b/>
          <w:bCs/>
          <w:sz w:val="24"/>
          <w:szCs w:val="24"/>
        </w:rPr>
      </w:pPr>
      <w:bookmarkStart w:id="10" w:name="_Toc27688"/>
      <w:r>
        <w:rPr>
          <w:rFonts w:hint="eastAsia" w:ascii="宋体" w:hAnsi="宋体" w:eastAsia="宋体" w:cs="宋体"/>
          <w:sz w:val="24"/>
          <w:szCs w:val="24"/>
        </w:rPr>
        <w:t>1.2.2.3实施地点要求</w:t>
      </w:r>
      <w:bookmarkEnd w:id="10"/>
    </w:p>
    <w:p>
      <w:pPr>
        <w:pStyle w:val="13"/>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由服务商统一负责提供相关人员技术支持服务。</w:t>
      </w:r>
    </w:p>
    <w:p>
      <w:pPr>
        <w:pStyle w:val="2"/>
        <w:keepNext w:val="0"/>
        <w:spacing w:before="0" w:after="0" w:line="360" w:lineRule="auto"/>
        <w:jc w:val="center"/>
        <w:rPr>
          <w:rFonts w:hint="eastAsia" w:ascii="宋体" w:hAnsi="宋体" w:eastAsia="宋体" w:cs="宋体"/>
          <w:b/>
          <w:bCs/>
          <w:sz w:val="24"/>
          <w:szCs w:val="24"/>
        </w:rPr>
      </w:pPr>
      <w:bookmarkStart w:id="11" w:name="_Toc20647"/>
      <w:r>
        <w:rPr>
          <w:rFonts w:hint="eastAsia" w:ascii="宋体" w:hAnsi="宋体" w:eastAsia="宋体" w:cs="宋体"/>
          <w:kern w:val="36"/>
          <w:sz w:val="24"/>
          <w:szCs w:val="24"/>
        </w:rPr>
        <w:t>2投标/响应要求</w:t>
      </w:r>
      <w:bookmarkEnd w:id="11"/>
    </w:p>
    <w:p>
      <w:pPr>
        <w:pStyle w:val="3"/>
        <w:keepNext w:val="0"/>
        <w:spacing w:before="0" w:after="0" w:line="360" w:lineRule="auto"/>
        <w:outlineLvl w:val="0"/>
        <w:rPr>
          <w:rFonts w:hint="eastAsia" w:ascii="宋体" w:hAnsi="宋体" w:eastAsia="宋体" w:cs="宋体"/>
          <w:b/>
          <w:bCs/>
          <w:sz w:val="24"/>
          <w:szCs w:val="24"/>
        </w:rPr>
      </w:pPr>
      <w:bookmarkStart w:id="12" w:name="_Toc7894"/>
      <w:r>
        <w:rPr>
          <w:rFonts w:hint="eastAsia" w:ascii="宋体" w:hAnsi="宋体" w:eastAsia="宋体" w:cs="宋体"/>
          <w:i w:val="0"/>
          <w:iCs w:val="0"/>
          <w:sz w:val="24"/>
          <w:szCs w:val="24"/>
        </w:rPr>
        <w:t>2.1对供应商的要求</w:t>
      </w:r>
      <w:bookmarkEnd w:id="12"/>
    </w:p>
    <w:p>
      <w:pPr>
        <w:pStyle w:val="4"/>
        <w:keepNext w:val="0"/>
        <w:spacing w:before="0" w:after="0" w:line="360" w:lineRule="auto"/>
        <w:outlineLvl w:val="1"/>
        <w:rPr>
          <w:rFonts w:hint="eastAsia" w:ascii="宋体" w:hAnsi="宋体" w:eastAsia="宋体" w:cs="宋体"/>
          <w:b/>
          <w:bCs/>
          <w:sz w:val="24"/>
          <w:szCs w:val="24"/>
        </w:rPr>
      </w:pPr>
      <w:bookmarkStart w:id="13" w:name="_Toc26354"/>
      <w:r>
        <w:rPr>
          <w:rFonts w:hint="eastAsia" w:ascii="宋体" w:hAnsi="宋体" w:eastAsia="宋体" w:cs="宋体"/>
          <w:sz w:val="24"/>
          <w:szCs w:val="24"/>
        </w:rPr>
        <w:t>2.1.1必备资质</w:t>
      </w:r>
      <w:bookmarkEnd w:id="13"/>
    </w:p>
    <w:p>
      <w:pPr>
        <w:pStyle w:val="5"/>
        <w:keepNext w:val="0"/>
        <w:spacing w:before="0" w:after="0" w:line="360" w:lineRule="auto"/>
        <w:ind w:firstLine="480" w:firstLineChars="200"/>
        <w:rPr>
          <w:rFonts w:hint="eastAsia" w:ascii="宋体" w:hAnsi="宋体" w:eastAsia="宋体" w:cs="宋体"/>
          <w:b w:val="0"/>
          <w:bCs w:val="0"/>
          <w:sz w:val="24"/>
          <w:szCs w:val="24"/>
        </w:rPr>
      </w:pPr>
      <w:r>
        <w:rPr>
          <w:rFonts w:hint="eastAsia" w:ascii="宋体" w:hAnsi="宋体" w:eastAsia="宋体" w:cs="宋体"/>
          <w:b w:val="0"/>
          <w:bCs w:val="0"/>
          <w:sz w:val="24"/>
          <w:szCs w:val="24"/>
        </w:rPr>
        <w:t>投标人应遵守有关国家法律、法规和条例,具备《中华人民共和国政府采购法》第二十二条的规定和本文件中规定的条件。</w:t>
      </w:r>
    </w:p>
    <w:p>
      <w:pPr>
        <w:pStyle w:val="4"/>
        <w:keepNext w:val="0"/>
        <w:spacing w:before="0" w:after="0" w:line="360" w:lineRule="auto"/>
        <w:outlineLvl w:val="1"/>
        <w:rPr>
          <w:rFonts w:hint="eastAsia" w:ascii="宋体" w:hAnsi="宋体" w:eastAsia="宋体" w:cs="宋体"/>
          <w:b/>
          <w:bCs/>
          <w:sz w:val="24"/>
          <w:szCs w:val="24"/>
        </w:rPr>
      </w:pPr>
      <w:bookmarkStart w:id="14" w:name="_Toc17816"/>
      <w:r>
        <w:rPr>
          <w:rFonts w:hint="eastAsia" w:ascii="宋体" w:hAnsi="宋体" w:eastAsia="宋体" w:cs="宋体"/>
          <w:sz w:val="24"/>
          <w:szCs w:val="24"/>
        </w:rPr>
        <w:t>2.1.2优选资质/优选指标</w:t>
      </w:r>
      <w:bookmarkEnd w:id="14"/>
    </w:p>
    <w:p>
      <w:pPr>
        <w:pStyle w:val="5"/>
        <w:keepNext w:val="0"/>
        <w:spacing w:before="0" w:after="0" w:line="360" w:lineRule="auto"/>
        <w:outlineLvl w:val="2"/>
        <w:rPr>
          <w:rFonts w:hint="eastAsia" w:ascii="宋体" w:hAnsi="宋体" w:eastAsia="宋体" w:cs="宋体"/>
          <w:b/>
          <w:bCs/>
          <w:sz w:val="24"/>
          <w:szCs w:val="24"/>
        </w:rPr>
      </w:pPr>
      <w:bookmarkStart w:id="15" w:name="_Toc22502"/>
      <w:r>
        <w:rPr>
          <w:rFonts w:hint="eastAsia" w:ascii="宋体" w:hAnsi="宋体" w:eastAsia="宋体" w:cs="宋体"/>
          <w:sz w:val="24"/>
          <w:szCs w:val="24"/>
        </w:rPr>
        <w:t>2.1.2.1相关证书</w:t>
      </w:r>
      <w:bookmarkEnd w:id="15"/>
    </w:p>
    <w:p>
      <w:pPr>
        <w:pStyle w:val="15"/>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投标人具有以下相关资质的，予以加分考虑：</w:t>
      </w:r>
    </w:p>
    <w:p>
      <w:pPr>
        <w:pStyle w:val="15"/>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（1）ISO9001质量管理体系认证证书。</w:t>
      </w:r>
    </w:p>
    <w:p>
      <w:pPr>
        <w:pStyle w:val="15"/>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（2）ISO/IEC 20000信息技术服务管理体系认证证书。</w:t>
      </w:r>
    </w:p>
    <w:p>
      <w:pPr>
        <w:pStyle w:val="15"/>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（3）ISO/IEC 27001信息安全管理体系认证证书。</w:t>
      </w:r>
    </w:p>
    <w:p>
      <w:pPr>
        <w:pStyle w:val="16"/>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如联合体投标的，上述同类资质证书，联合体各方均具有，方可在评审时获得相应分值。</w:t>
      </w:r>
    </w:p>
    <w:p>
      <w:pPr>
        <w:pStyle w:val="5"/>
        <w:keepNext w:val="0"/>
        <w:spacing w:before="0" w:after="0" w:line="360" w:lineRule="auto"/>
        <w:outlineLvl w:val="2"/>
        <w:rPr>
          <w:rFonts w:hint="eastAsia" w:ascii="宋体" w:hAnsi="宋体" w:eastAsia="宋体" w:cs="宋体"/>
          <w:b/>
          <w:bCs/>
          <w:sz w:val="24"/>
          <w:szCs w:val="24"/>
        </w:rPr>
      </w:pPr>
      <w:bookmarkStart w:id="16" w:name="_Toc23726"/>
      <w:r>
        <w:rPr>
          <w:rFonts w:hint="eastAsia" w:ascii="宋体" w:hAnsi="宋体" w:eastAsia="宋体" w:cs="宋体"/>
          <w:sz w:val="24"/>
          <w:szCs w:val="24"/>
        </w:rPr>
        <w:t>2.1.2.2成功案例</w:t>
      </w:r>
      <w:bookmarkEnd w:id="16"/>
    </w:p>
    <w:p>
      <w:pPr>
        <w:pStyle w:val="16"/>
        <w:spacing w:before="0" w:after="0" w:line="360" w:lineRule="auto"/>
        <w:rPr>
          <w:rFonts w:hint="eastAsia" w:ascii="宋体" w:hAnsi="宋体" w:eastAsia="宋体" w:cs="宋体"/>
          <w:sz w:val="24"/>
          <w:szCs w:val="24"/>
        </w:rPr>
      </w:pPr>
      <w:r>
        <w:rPr>
          <w:rFonts w:hint="eastAsia" w:ascii="宋体" w:hAnsi="宋体" w:eastAsia="宋体" w:cs="宋体"/>
          <w:sz w:val="24"/>
          <w:szCs w:val="24"/>
        </w:rPr>
        <w:t>   投标人能够提供自2022年1月1日以来（以合同签订日期为准）独立承担的类似运行维护项目案例的，予以加分考虑。如联合体投标的，联合体各方提供的以上有效案例均可在评审时获得相应分值。</w:t>
      </w:r>
    </w:p>
    <w:p>
      <w:pPr>
        <w:pStyle w:val="5"/>
        <w:keepNext w:val="0"/>
        <w:spacing w:before="0" w:after="0" w:line="360" w:lineRule="auto"/>
        <w:outlineLvl w:val="2"/>
        <w:rPr>
          <w:rFonts w:hint="eastAsia" w:ascii="宋体" w:hAnsi="宋体" w:eastAsia="宋体" w:cs="宋体"/>
          <w:b/>
          <w:bCs/>
          <w:sz w:val="24"/>
          <w:szCs w:val="24"/>
        </w:rPr>
      </w:pPr>
      <w:bookmarkStart w:id="17" w:name="_Toc2029"/>
      <w:r>
        <w:rPr>
          <w:rFonts w:hint="eastAsia" w:ascii="宋体" w:hAnsi="宋体" w:eastAsia="宋体" w:cs="宋体"/>
          <w:sz w:val="24"/>
          <w:szCs w:val="24"/>
        </w:rPr>
        <w:t>2.1.2.3项目团队社保证明</w:t>
      </w:r>
      <w:bookmarkEnd w:id="17"/>
    </w:p>
    <w:p>
      <w:pPr>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提供服务团队项目经理在本单位缴纳的社保证明的材料，予以加分考虑。</w:t>
      </w:r>
    </w:p>
    <w:p>
      <w:pPr>
        <w:pStyle w:val="5"/>
        <w:keepNext w:val="0"/>
        <w:spacing w:before="0" w:after="0" w:line="360" w:lineRule="auto"/>
        <w:outlineLvl w:val="2"/>
        <w:rPr>
          <w:rFonts w:hint="eastAsia" w:ascii="宋体" w:hAnsi="宋体" w:eastAsia="宋体" w:cs="宋体"/>
          <w:b/>
          <w:bCs/>
          <w:sz w:val="24"/>
          <w:szCs w:val="24"/>
        </w:rPr>
      </w:pPr>
      <w:bookmarkStart w:id="18" w:name="_Toc21343"/>
      <w:r>
        <w:rPr>
          <w:rFonts w:hint="eastAsia" w:ascii="宋体" w:hAnsi="宋体" w:eastAsia="宋体" w:cs="宋体"/>
          <w:sz w:val="24"/>
          <w:szCs w:val="24"/>
        </w:rPr>
        <w:t>2.1.2.4售后服务承诺</w:t>
      </w:r>
      <w:bookmarkEnd w:id="18"/>
    </w:p>
    <w:p>
      <w:pPr>
        <w:pStyle w:val="16"/>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提供供应商认为合理的售后服务承诺，格式自拟，予以加分考虑。</w:t>
      </w:r>
    </w:p>
    <w:p>
      <w:pPr>
        <w:pStyle w:val="4"/>
        <w:keepNext w:val="0"/>
        <w:spacing w:before="0" w:after="0" w:line="360" w:lineRule="auto"/>
        <w:outlineLvl w:val="1"/>
        <w:rPr>
          <w:rFonts w:hint="eastAsia" w:ascii="宋体" w:hAnsi="宋体" w:eastAsia="宋体" w:cs="宋体"/>
          <w:b/>
          <w:bCs/>
          <w:sz w:val="24"/>
          <w:szCs w:val="24"/>
        </w:rPr>
      </w:pPr>
      <w:bookmarkStart w:id="19" w:name="_Toc23469"/>
      <w:r>
        <w:rPr>
          <w:rFonts w:hint="eastAsia" w:ascii="宋体" w:hAnsi="宋体" w:eastAsia="宋体" w:cs="宋体"/>
          <w:sz w:val="24"/>
          <w:szCs w:val="24"/>
        </w:rPr>
        <w:t>2.1.3是否允许联合体</w:t>
      </w:r>
      <w:bookmarkEnd w:id="19"/>
    </w:p>
    <w:p>
      <w:pPr>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否</w:t>
      </w:r>
    </w:p>
    <w:p>
      <w:pPr>
        <w:pStyle w:val="4"/>
        <w:keepNext w:val="0"/>
        <w:spacing w:before="0" w:after="0" w:line="360" w:lineRule="auto"/>
        <w:outlineLvl w:val="1"/>
        <w:rPr>
          <w:rFonts w:hint="eastAsia" w:ascii="宋体" w:hAnsi="宋体" w:eastAsia="宋体" w:cs="宋体"/>
          <w:b/>
          <w:bCs/>
          <w:sz w:val="24"/>
          <w:szCs w:val="24"/>
        </w:rPr>
      </w:pPr>
      <w:bookmarkStart w:id="20" w:name="_Toc19527"/>
      <w:r>
        <w:rPr>
          <w:rFonts w:hint="eastAsia" w:ascii="宋体" w:hAnsi="宋体" w:eastAsia="宋体" w:cs="宋体"/>
          <w:sz w:val="24"/>
          <w:szCs w:val="24"/>
        </w:rPr>
        <w:t>2.1.4是否专门面向中小企业</w:t>
      </w:r>
      <w:bookmarkEnd w:id="20"/>
    </w:p>
    <w:p>
      <w:pPr>
        <w:spacing w:before="0" w:after="0" w:line="360" w:lineRule="auto"/>
        <w:ind w:firstLine="561"/>
        <w:rPr>
          <w:rFonts w:hint="eastAsia" w:ascii="宋体" w:hAnsi="宋体" w:eastAsia="宋体" w:cs="宋体"/>
          <w:sz w:val="24"/>
          <w:szCs w:val="24"/>
        </w:rPr>
      </w:pPr>
      <w:r>
        <w:rPr>
          <w:rFonts w:hint="eastAsia" w:ascii="宋体" w:hAnsi="宋体" w:eastAsia="宋体" w:cs="宋体"/>
          <w:sz w:val="24"/>
          <w:szCs w:val="24"/>
        </w:rPr>
        <w:t>本项目不专门面向中小企业采购项目</w:t>
      </w:r>
    </w:p>
    <w:p>
      <w:pPr>
        <w:pStyle w:val="3"/>
        <w:keepNext w:val="0"/>
        <w:spacing w:before="0" w:after="0" w:line="360" w:lineRule="auto"/>
        <w:outlineLvl w:val="0"/>
        <w:rPr>
          <w:rFonts w:hint="eastAsia" w:ascii="宋体" w:hAnsi="宋体" w:eastAsia="宋体" w:cs="宋体"/>
          <w:b/>
          <w:bCs/>
          <w:sz w:val="24"/>
          <w:szCs w:val="24"/>
        </w:rPr>
      </w:pPr>
      <w:bookmarkStart w:id="21" w:name="_Toc16793"/>
      <w:r>
        <w:rPr>
          <w:rFonts w:hint="eastAsia" w:ascii="宋体" w:hAnsi="宋体" w:eastAsia="宋体" w:cs="宋体"/>
          <w:i w:val="0"/>
          <w:iCs w:val="0"/>
          <w:sz w:val="24"/>
          <w:szCs w:val="24"/>
        </w:rPr>
        <w:t>2.2技术部分投标/响应内容</w:t>
      </w:r>
      <w:bookmarkEnd w:id="21"/>
    </w:p>
    <w:p>
      <w:pPr>
        <w:pStyle w:val="4"/>
        <w:keepNext w:val="0"/>
        <w:spacing w:before="0" w:after="0" w:line="360" w:lineRule="auto"/>
        <w:rPr>
          <w:rFonts w:hint="eastAsia" w:ascii="宋体" w:hAnsi="宋体" w:eastAsia="宋体" w:cs="宋体"/>
          <w:b/>
          <w:bCs/>
          <w:sz w:val="24"/>
          <w:szCs w:val="24"/>
        </w:rPr>
      </w:pPr>
      <w:bookmarkStart w:id="22" w:name="_Toc8496"/>
      <w:r>
        <w:rPr>
          <w:rFonts w:hint="eastAsia" w:ascii="宋体" w:hAnsi="宋体" w:eastAsia="宋体" w:cs="宋体"/>
          <w:sz w:val="24"/>
          <w:szCs w:val="24"/>
        </w:rPr>
        <w:t>2.2.1投标/响应方案要求</w:t>
      </w:r>
      <w:bookmarkEnd w:id="22"/>
    </w:p>
    <w:p>
      <w:pPr>
        <w:spacing w:before="0" w:after="0" w:line="360" w:lineRule="auto"/>
        <w:ind w:firstLine="561"/>
        <w:rPr>
          <w:rFonts w:hint="eastAsia" w:ascii="宋体" w:hAnsi="宋体" w:eastAsia="宋体" w:cs="宋体"/>
          <w:sz w:val="24"/>
          <w:szCs w:val="24"/>
        </w:rPr>
      </w:pPr>
      <w:r>
        <w:rPr>
          <w:rFonts w:hint="eastAsia" w:ascii="宋体" w:hAnsi="宋体" w:eastAsia="宋体" w:cs="宋体"/>
          <w:sz w:val="24"/>
          <w:szCs w:val="24"/>
        </w:rPr>
        <w:t>以下相关方案，若作为评审因素，则投标人应在满足★关键指标项要求的前提下，根据项目特点和采购需求，制定更为完整、详细、可操作性强的方案。</w:t>
      </w:r>
    </w:p>
    <w:p>
      <w:pPr>
        <w:pStyle w:val="17"/>
        <w:spacing w:before="0" w:after="0" w:line="360" w:lineRule="auto"/>
        <w:ind w:left="0" w:right="0" w:firstLine="640"/>
        <w:jc w:val="both"/>
        <w:rPr>
          <w:rFonts w:hint="eastAsia" w:ascii="宋体" w:hAnsi="宋体" w:eastAsia="宋体" w:cs="宋体"/>
          <w:sz w:val="24"/>
          <w:szCs w:val="24"/>
        </w:rPr>
      </w:pPr>
      <w:r>
        <w:rPr>
          <w:rFonts w:hint="eastAsia" w:ascii="宋体" w:hAnsi="宋体" w:eastAsia="宋体" w:cs="宋体"/>
          <w:color w:val="000000"/>
          <w:spacing w:val="0"/>
          <w:sz w:val="24"/>
          <w:szCs w:val="24"/>
        </w:rPr>
        <w:t>1.投标人必须针对技术部分中的需求逐个或分块作出实质性响应，其响应与采购文件内容采用同样的顺序。对每个需求的响应必须遵循如下规则：</w:t>
      </w:r>
    </w:p>
    <w:p>
      <w:pPr>
        <w:pStyle w:val="17"/>
        <w:spacing w:before="0" w:after="0" w:line="360" w:lineRule="auto"/>
        <w:ind w:left="0" w:right="0" w:firstLine="640"/>
        <w:jc w:val="both"/>
        <w:rPr>
          <w:rFonts w:hint="eastAsia" w:ascii="宋体" w:hAnsi="宋体" w:eastAsia="宋体" w:cs="宋体"/>
          <w:sz w:val="24"/>
          <w:szCs w:val="24"/>
        </w:rPr>
      </w:pPr>
      <w:r>
        <w:rPr>
          <w:rFonts w:hint="eastAsia" w:ascii="宋体" w:hAnsi="宋体" w:eastAsia="宋体" w:cs="宋体"/>
          <w:color w:val="000000"/>
          <w:spacing w:val="0"/>
          <w:sz w:val="24"/>
          <w:szCs w:val="24"/>
        </w:rPr>
        <w:t>（1）重复该需求。</w:t>
      </w:r>
    </w:p>
    <w:p>
      <w:pPr>
        <w:pStyle w:val="17"/>
        <w:spacing w:before="0" w:after="0" w:line="360" w:lineRule="auto"/>
        <w:ind w:left="0" w:right="0" w:firstLine="640"/>
        <w:jc w:val="both"/>
        <w:rPr>
          <w:rFonts w:hint="eastAsia" w:ascii="宋体" w:hAnsi="宋体" w:eastAsia="宋体" w:cs="宋体"/>
          <w:sz w:val="24"/>
          <w:szCs w:val="24"/>
        </w:rPr>
      </w:pPr>
      <w:r>
        <w:rPr>
          <w:rFonts w:hint="eastAsia" w:ascii="宋体" w:hAnsi="宋体" w:eastAsia="宋体" w:cs="宋体"/>
          <w:color w:val="000000"/>
          <w:spacing w:val="0"/>
          <w:sz w:val="24"/>
          <w:szCs w:val="24"/>
        </w:rPr>
        <w:t>（2）简要描述投标文件如何满足该需求，如果该响应在投标文件其他部分有详述，可在该处简单应答，但必须给出确切的位置索引。</w:t>
      </w:r>
    </w:p>
    <w:p>
      <w:pPr>
        <w:pStyle w:val="17"/>
        <w:spacing w:before="0" w:after="0" w:line="360" w:lineRule="auto"/>
        <w:ind w:left="0" w:right="0" w:firstLine="640"/>
        <w:jc w:val="both"/>
        <w:rPr>
          <w:rFonts w:hint="eastAsia" w:ascii="宋体" w:hAnsi="宋体" w:eastAsia="宋体" w:cs="宋体"/>
          <w:sz w:val="24"/>
          <w:szCs w:val="24"/>
        </w:rPr>
      </w:pPr>
      <w:r>
        <w:rPr>
          <w:rFonts w:hint="eastAsia" w:ascii="宋体" w:hAnsi="宋体" w:eastAsia="宋体" w:cs="宋体"/>
          <w:color w:val="000000"/>
          <w:spacing w:val="0"/>
          <w:sz w:val="24"/>
          <w:szCs w:val="24"/>
        </w:rPr>
        <w:t>（3）对采购文件（技术部分）的应答应至少包含采购文件技术部分中的全部内容。</w:t>
      </w:r>
    </w:p>
    <w:p>
      <w:pPr>
        <w:pStyle w:val="17"/>
        <w:spacing w:before="0" w:after="0" w:line="360" w:lineRule="auto"/>
        <w:ind w:left="0" w:right="0" w:firstLine="640"/>
        <w:jc w:val="both"/>
        <w:rPr>
          <w:rFonts w:hint="eastAsia" w:ascii="宋体" w:hAnsi="宋体" w:eastAsia="宋体" w:cs="宋体"/>
          <w:sz w:val="24"/>
          <w:szCs w:val="24"/>
        </w:rPr>
      </w:pPr>
      <w:r>
        <w:rPr>
          <w:rFonts w:hint="eastAsia" w:ascii="宋体" w:hAnsi="宋体" w:eastAsia="宋体" w:cs="宋体"/>
          <w:color w:val="000000"/>
          <w:spacing w:val="0"/>
          <w:sz w:val="24"/>
          <w:szCs w:val="24"/>
        </w:rPr>
        <w:t>（4）采购文件（技术部分）中有标注★号的，为必备服务内容，必须满足，如未作出响应，将导致投标无效。</w:t>
      </w:r>
    </w:p>
    <w:p>
      <w:pPr>
        <w:pStyle w:val="17"/>
        <w:spacing w:before="0" w:after="0" w:line="360" w:lineRule="auto"/>
        <w:ind w:left="0" w:right="0" w:firstLine="640"/>
        <w:jc w:val="both"/>
        <w:rPr>
          <w:rFonts w:hint="eastAsia" w:ascii="宋体" w:hAnsi="宋体" w:eastAsia="宋体" w:cs="宋体"/>
          <w:sz w:val="24"/>
          <w:szCs w:val="24"/>
        </w:rPr>
      </w:pPr>
      <w:r>
        <w:rPr>
          <w:rFonts w:hint="eastAsia" w:ascii="宋体" w:hAnsi="宋体" w:eastAsia="宋体" w:cs="宋体"/>
          <w:color w:val="000000"/>
          <w:spacing w:val="0"/>
          <w:sz w:val="24"/>
          <w:szCs w:val="24"/>
        </w:rPr>
        <w:t>（5）投标人应充分考虑本项目的实施风险，通过全面的风险评估和有效的应对措施，保障项目的顺利实施‌。</w:t>
      </w:r>
    </w:p>
    <w:p>
      <w:pPr>
        <w:pStyle w:val="17"/>
        <w:spacing w:before="0" w:after="0" w:line="360" w:lineRule="auto"/>
        <w:ind w:left="0" w:right="0" w:firstLine="640"/>
        <w:jc w:val="both"/>
        <w:rPr>
          <w:rFonts w:hint="eastAsia" w:ascii="宋体" w:hAnsi="宋体" w:eastAsia="宋体" w:cs="宋体"/>
          <w:sz w:val="24"/>
          <w:szCs w:val="24"/>
        </w:rPr>
      </w:pPr>
      <w:r>
        <w:rPr>
          <w:rFonts w:hint="eastAsia" w:ascii="宋体" w:hAnsi="宋体" w:eastAsia="宋体" w:cs="宋体"/>
          <w:color w:val="000000"/>
          <w:spacing w:val="0"/>
          <w:sz w:val="24"/>
          <w:szCs w:val="24"/>
        </w:rPr>
        <w:t>2.投标人的服务人员资质应答方案须明确如何针对任务内容和任务岗位，配备满足要求的技术服务人员，要求提供技术服务人员清单，每类岗位均有工作经验要求和专业技能要求。投标人提供本项目投入人员的详细名单、人员简历以及相关资质证明。</w:t>
      </w:r>
    </w:p>
    <w:p>
      <w:pPr>
        <w:pStyle w:val="17"/>
        <w:spacing w:before="0" w:after="0" w:line="360" w:lineRule="auto"/>
        <w:ind w:left="0" w:right="0" w:firstLine="640"/>
        <w:rPr>
          <w:rFonts w:hint="eastAsia" w:ascii="宋体" w:hAnsi="宋体" w:eastAsia="宋体" w:cs="宋体"/>
          <w:sz w:val="24"/>
          <w:szCs w:val="24"/>
        </w:rPr>
      </w:pPr>
      <w:r>
        <w:rPr>
          <w:rFonts w:hint="eastAsia" w:ascii="宋体" w:hAnsi="宋体" w:eastAsia="宋体" w:cs="宋体"/>
          <w:color w:val="000000"/>
          <w:spacing w:val="0"/>
          <w:sz w:val="24"/>
          <w:szCs w:val="24"/>
        </w:rPr>
        <w:t>3.对本项目技术需求书的完全响应，具体包括：</w:t>
      </w:r>
    </w:p>
    <w:p>
      <w:pPr>
        <w:pStyle w:val="14"/>
        <w:spacing w:before="0" w:after="0" w:line="360" w:lineRule="auto"/>
        <w:ind w:left="0" w:right="0" w:firstLine="561"/>
        <w:rPr>
          <w:rFonts w:hint="eastAsia" w:ascii="宋体" w:hAnsi="宋体" w:eastAsia="宋体" w:cs="宋体"/>
          <w:sz w:val="24"/>
          <w:szCs w:val="24"/>
        </w:rPr>
      </w:pPr>
      <w:r>
        <w:rPr>
          <w:rFonts w:hint="eastAsia" w:ascii="宋体" w:hAnsi="宋体" w:eastAsia="宋体" w:cs="宋体"/>
          <w:color w:val="000000"/>
          <w:spacing w:val="0"/>
          <w:sz w:val="24"/>
          <w:szCs w:val="24"/>
          <w:lang w:eastAsia="zh-CN"/>
        </w:rPr>
        <w:t>（</w:t>
      </w:r>
      <w:r>
        <w:rPr>
          <w:rFonts w:hint="eastAsia" w:ascii="宋体" w:hAnsi="宋体" w:eastAsia="宋体" w:cs="宋体"/>
          <w:color w:val="000000"/>
          <w:spacing w:val="0"/>
          <w:sz w:val="24"/>
          <w:szCs w:val="24"/>
          <w:lang w:val="en-US" w:eastAsia="zh-CN"/>
        </w:rPr>
        <w:t>1</w:t>
      </w:r>
      <w:r>
        <w:rPr>
          <w:rFonts w:hint="eastAsia" w:ascii="宋体" w:hAnsi="宋体" w:eastAsia="宋体" w:cs="宋体"/>
          <w:color w:val="000000"/>
          <w:spacing w:val="0"/>
          <w:sz w:val="24"/>
          <w:szCs w:val="24"/>
          <w:lang w:eastAsia="zh-CN"/>
        </w:rPr>
        <w:t>）</w:t>
      </w:r>
      <w:r>
        <w:rPr>
          <w:rFonts w:hint="eastAsia" w:ascii="宋体" w:hAnsi="宋体" w:eastAsia="宋体" w:cs="宋体"/>
          <w:color w:val="000000"/>
          <w:spacing w:val="0"/>
          <w:sz w:val="24"/>
          <w:szCs w:val="24"/>
        </w:rPr>
        <w:t>项目需求理解</w:t>
      </w:r>
    </w:p>
    <w:p>
      <w:pPr>
        <w:pStyle w:val="14"/>
        <w:spacing w:before="0" w:after="0" w:line="360" w:lineRule="auto"/>
        <w:ind w:left="0" w:right="0" w:firstLine="561"/>
        <w:rPr>
          <w:rFonts w:hint="eastAsia" w:ascii="宋体" w:hAnsi="宋体" w:eastAsia="宋体" w:cs="宋体"/>
          <w:sz w:val="24"/>
          <w:szCs w:val="24"/>
        </w:rPr>
      </w:pPr>
      <w:r>
        <w:rPr>
          <w:rFonts w:hint="eastAsia" w:ascii="宋体" w:hAnsi="宋体" w:eastAsia="宋体" w:cs="宋体"/>
          <w:color w:val="000000"/>
          <w:spacing w:val="0"/>
          <w:sz w:val="24"/>
          <w:szCs w:val="24"/>
        </w:rPr>
        <w:t>投标人必须在充分理解招标文件中描述的业务功能需求和技术需求的基础上，根据招标文件中的相关材料，提供对本项目的理解和详细描述，</w:t>
      </w:r>
      <w:r>
        <w:rPr>
          <w:rFonts w:hint="eastAsia" w:ascii="宋体" w:hAnsi="宋体" w:eastAsia="宋体" w:cs="宋体"/>
          <w:color w:val="000000"/>
          <w:sz w:val="24"/>
          <w:szCs w:val="24"/>
        </w:rPr>
        <w:t>内容包括对服务热线知识和运行掌握情况，个税及自然人业务办理流程、相关软件的业务功能、咨询及运维服务流程、咨询及运维服务具体内容、服务管理制度、服务工作规范、应急响应预案及演练服务、故障处理能力、保密管理措施</w:t>
      </w:r>
      <w:r>
        <w:rPr>
          <w:rFonts w:hint="eastAsia" w:ascii="宋体" w:hAnsi="宋体" w:eastAsia="宋体" w:cs="宋体"/>
          <w:color w:val="000000"/>
          <w:spacing w:val="0"/>
          <w:sz w:val="24"/>
          <w:szCs w:val="24"/>
        </w:rPr>
        <w:t>等。</w:t>
      </w:r>
    </w:p>
    <w:p>
      <w:pPr>
        <w:pStyle w:val="17"/>
        <w:spacing w:before="0" w:after="0" w:line="360" w:lineRule="auto"/>
        <w:ind w:left="0" w:right="0" w:firstLine="640"/>
        <w:rPr>
          <w:rFonts w:hint="eastAsia" w:ascii="宋体" w:hAnsi="宋体" w:eastAsia="宋体" w:cs="宋体"/>
          <w:sz w:val="24"/>
          <w:szCs w:val="24"/>
        </w:rPr>
      </w:pPr>
      <w:r>
        <w:rPr>
          <w:rFonts w:hint="eastAsia" w:ascii="宋体" w:hAnsi="宋体" w:eastAsia="宋体" w:cs="宋体"/>
          <w:color w:val="000000"/>
          <w:spacing w:val="0"/>
          <w:sz w:val="24"/>
          <w:szCs w:val="24"/>
          <w:lang w:eastAsia="zh-CN"/>
        </w:rPr>
        <w:t>（</w:t>
      </w:r>
      <w:r>
        <w:rPr>
          <w:rFonts w:hint="eastAsia" w:ascii="宋体" w:hAnsi="宋体" w:eastAsia="宋体" w:cs="宋体"/>
          <w:color w:val="000000"/>
          <w:spacing w:val="0"/>
          <w:sz w:val="24"/>
          <w:szCs w:val="24"/>
          <w:lang w:val="en-US" w:eastAsia="zh-CN"/>
        </w:rPr>
        <w:t>2</w:t>
      </w:r>
      <w:r>
        <w:rPr>
          <w:rFonts w:hint="eastAsia" w:ascii="宋体" w:hAnsi="宋体" w:eastAsia="宋体" w:cs="宋体"/>
          <w:color w:val="000000"/>
          <w:spacing w:val="0"/>
          <w:sz w:val="24"/>
          <w:szCs w:val="24"/>
          <w:lang w:eastAsia="zh-CN"/>
        </w:rPr>
        <w:t>）</w:t>
      </w:r>
      <w:r>
        <w:rPr>
          <w:rFonts w:hint="eastAsia" w:ascii="宋体" w:hAnsi="宋体" w:eastAsia="宋体" w:cs="宋体"/>
          <w:color w:val="000000"/>
          <w:spacing w:val="0"/>
          <w:sz w:val="24"/>
          <w:szCs w:val="24"/>
        </w:rPr>
        <w:t>运行维护方案</w:t>
      </w:r>
    </w:p>
    <w:p>
      <w:pPr>
        <w:pStyle w:val="17"/>
        <w:spacing w:before="0" w:after="0" w:line="360" w:lineRule="auto"/>
        <w:ind w:left="0" w:right="0" w:firstLine="640"/>
        <w:rPr>
          <w:rFonts w:hint="eastAsia" w:ascii="宋体" w:hAnsi="宋体" w:eastAsia="宋体" w:cs="宋体"/>
          <w:sz w:val="24"/>
          <w:szCs w:val="24"/>
        </w:rPr>
      </w:pPr>
      <w:r>
        <w:rPr>
          <w:rFonts w:hint="eastAsia" w:ascii="宋体" w:hAnsi="宋体" w:eastAsia="宋体" w:cs="宋体"/>
          <w:color w:val="000000"/>
          <w:spacing w:val="0"/>
          <w:sz w:val="24"/>
          <w:szCs w:val="24"/>
        </w:rPr>
        <w:t>投标人的服务方案必须能够完整响应各应用系统运行维护需求，能够完全覆盖各应用系统运维服务具体内容，针对具体服务内容中的关键点，</w:t>
      </w:r>
      <w:r>
        <w:rPr>
          <w:rFonts w:hint="eastAsia" w:ascii="宋体" w:hAnsi="宋体" w:eastAsia="宋体" w:cs="宋体"/>
          <w:color w:val="000000"/>
          <w:sz w:val="24"/>
          <w:szCs w:val="24"/>
        </w:rPr>
        <w:t>内容包括重点考核投标人实施方案的完整性和详细性，包括项目组织、人员安排、服务保障体系、重要节日或征期值班值守</w:t>
      </w:r>
      <w:r>
        <w:rPr>
          <w:rFonts w:hint="eastAsia" w:ascii="宋体" w:hAnsi="宋体" w:eastAsia="宋体" w:cs="宋体"/>
          <w:color w:val="000000"/>
          <w:spacing w:val="0"/>
          <w:sz w:val="24"/>
          <w:szCs w:val="24"/>
        </w:rPr>
        <w:t>。</w:t>
      </w:r>
    </w:p>
    <w:p>
      <w:pPr>
        <w:pStyle w:val="14"/>
        <w:spacing w:before="0" w:after="0" w:line="360" w:lineRule="auto"/>
        <w:ind w:left="0" w:right="0" w:firstLine="561"/>
        <w:rPr>
          <w:rFonts w:hint="eastAsia" w:ascii="宋体" w:hAnsi="宋体" w:eastAsia="宋体" w:cs="宋体"/>
          <w:sz w:val="24"/>
          <w:szCs w:val="24"/>
        </w:rPr>
      </w:pPr>
      <w:r>
        <w:rPr>
          <w:rFonts w:hint="eastAsia" w:ascii="宋体" w:hAnsi="宋体" w:eastAsia="宋体" w:cs="宋体"/>
          <w:color w:val="000000"/>
          <w:spacing w:val="0"/>
          <w:sz w:val="24"/>
          <w:szCs w:val="24"/>
          <w:lang w:eastAsia="zh-CN"/>
        </w:rPr>
        <w:t>（</w:t>
      </w:r>
      <w:r>
        <w:rPr>
          <w:rFonts w:hint="eastAsia" w:ascii="宋体" w:hAnsi="宋体" w:eastAsia="宋体" w:cs="宋体"/>
          <w:color w:val="000000"/>
          <w:spacing w:val="0"/>
          <w:sz w:val="24"/>
          <w:szCs w:val="24"/>
          <w:lang w:val="en-US" w:eastAsia="zh-CN"/>
        </w:rPr>
        <w:t>3</w:t>
      </w:r>
      <w:r>
        <w:rPr>
          <w:rFonts w:hint="eastAsia" w:ascii="宋体" w:hAnsi="宋体" w:eastAsia="宋体" w:cs="宋体"/>
          <w:color w:val="000000"/>
          <w:spacing w:val="0"/>
          <w:sz w:val="24"/>
          <w:szCs w:val="24"/>
          <w:lang w:eastAsia="zh-CN"/>
        </w:rPr>
        <w:t>）</w:t>
      </w:r>
      <w:r>
        <w:rPr>
          <w:rFonts w:hint="eastAsia" w:ascii="宋体" w:hAnsi="宋体" w:eastAsia="宋体" w:cs="宋体"/>
          <w:color w:val="000000"/>
          <w:spacing w:val="0"/>
          <w:sz w:val="24"/>
          <w:szCs w:val="24"/>
        </w:rPr>
        <w:t>风险管控方案</w:t>
      </w:r>
    </w:p>
    <w:p>
      <w:pPr>
        <w:pStyle w:val="14"/>
        <w:spacing w:before="0" w:after="0" w:line="360" w:lineRule="auto"/>
        <w:ind w:left="0" w:right="0" w:firstLine="561"/>
        <w:rPr>
          <w:rFonts w:hint="eastAsia" w:ascii="宋体" w:hAnsi="宋体" w:eastAsia="宋体" w:cs="宋体"/>
          <w:sz w:val="24"/>
          <w:szCs w:val="24"/>
        </w:rPr>
      </w:pPr>
      <w:r>
        <w:rPr>
          <w:rFonts w:hint="eastAsia" w:ascii="宋体" w:hAnsi="宋体" w:eastAsia="宋体" w:cs="宋体"/>
          <w:color w:val="000000"/>
          <w:spacing w:val="0"/>
          <w:sz w:val="24"/>
          <w:szCs w:val="24"/>
        </w:rPr>
        <w:t>投标人应针对本项目的风险管控要求，提供风险管控方案。内容包括但不限于安全风险管理、进度风险管理、质量风险管理等。</w:t>
      </w:r>
    </w:p>
    <w:p>
      <w:pPr>
        <w:pStyle w:val="14"/>
        <w:spacing w:before="0" w:after="0" w:line="360" w:lineRule="auto"/>
        <w:ind w:left="0" w:right="0" w:firstLine="561"/>
        <w:rPr>
          <w:rFonts w:hint="eastAsia" w:ascii="宋体" w:hAnsi="宋体" w:eastAsia="宋体" w:cs="宋体"/>
          <w:sz w:val="24"/>
          <w:szCs w:val="24"/>
        </w:rPr>
      </w:pPr>
      <w:r>
        <w:rPr>
          <w:rFonts w:hint="eastAsia" w:ascii="宋体" w:hAnsi="宋体" w:eastAsia="宋体" w:cs="宋体"/>
          <w:color w:val="000000"/>
          <w:spacing w:val="0"/>
          <w:sz w:val="24"/>
          <w:szCs w:val="24"/>
          <w:lang w:eastAsia="zh-CN"/>
        </w:rPr>
        <w:t>（</w:t>
      </w:r>
      <w:r>
        <w:rPr>
          <w:rFonts w:hint="eastAsia" w:ascii="宋体" w:hAnsi="宋体" w:eastAsia="宋体" w:cs="宋体"/>
          <w:color w:val="000000"/>
          <w:spacing w:val="0"/>
          <w:sz w:val="24"/>
          <w:szCs w:val="24"/>
          <w:lang w:val="en-US" w:eastAsia="zh-CN"/>
        </w:rPr>
        <w:t>4</w:t>
      </w:r>
      <w:r>
        <w:rPr>
          <w:rFonts w:hint="eastAsia" w:ascii="宋体" w:hAnsi="宋体" w:eastAsia="宋体" w:cs="宋体"/>
          <w:color w:val="000000"/>
          <w:spacing w:val="0"/>
          <w:sz w:val="24"/>
          <w:szCs w:val="24"/>
          <w:lang w:eastAsia="zh-CN"/>
        </w:rPr>
        <w:t>）</w:t>
      </w:r>
      <w:r>
        <w:rPr>
          <w:rFonts w:hint="eastAsia" w:ascii="宋体" w:hAnsi="宋体" w:eastAsia="宋体" w:cs="宋体"/>
          <w:color w:val="000000"/>
          <w:spacing w:val="0"/>
          <w:sz w:val="24"/>
          <w:szCs w:val="24"/>
        </w:rPr>
        <w:t>管理实施方案</w:t>
      </w:r>
    </w:p>
    <w:p>
      <w:pPr>
        <w:pStyle w:val="14"/>
        <w:spacing w:before="0" w:after="0" w:line="360" w:lineRule="auto"/>
        <w:ind w:left="0" w:right="0" w:firstLine="561"/>
        <w:rPr>
          <w:rFonts w:hint="eastAsia" w:ascii="宋体" w:hAnsi="宋体" w:eastAsia="宋体" w:cs="宋体"/>
          <w:sz w:val="24"/>
          <w:szCs w:val="24"/>
        </w:rPr>
      </w:pPr>
      <w:r>
        <w:rPr>
          <w:rFonts w:hint="eastAsia" w:ascii="宋体" w:hAnsi="宋体" w:eastAsia="宋体" w:cs="宋体"/>
          <w:color w:val="000000"/>
          <w:spacing w:val="0"/>
          <w:sz w:val="24"/>
          <w:szCs w:val="24"/>
        </w:rPr>
        <w:t>投标人应针对本项目的实施要求，提供详细、完整、科学合理、可操作的项目实施方案，内容包括但不限于进度管理、范围管理、风险管理、需求管理、质量管理、资源管理、沟通管理等。</w:t>
      </w:r>
    </w:p>
    <w:p>
      <w:pPr>
        <w:pStyle w:val="14"/>
        <w:spacing w:before="0" w:after="0" w:line="360" w:lineRule="auto"/>
        <w:ind w:left="0" w:right="0" w:firstLine="561"/>
        <w:rPr>
          <w:rFonts w:hint="eastAsia" w:ascii="宋体" w:hAnsi="宋体" w:eastAsia="宋体" w:cs="宋体"/>
          <w:sz w:val="24"/>
          <w:szCs w:val="24"/>
        </w:rPr>
      </w:pPr>
      <w:r>
        <w:rPr>
          <w:rFonts w:hint="eastAsia" w:ascii="宋体" w:hAnsi="宋体" w:eastAsia="宋体" w:cs="宋体"/>
          <w:color w:val="000000"/>
          <w:spacing w:val="0"/>
          <w:sz w:val="24"/>
          <w:szCs w:val="24"/>
          <w:lang w:eastAsia="zh-CN"/>
        </w:rPr>
        <w:t>（</w:t>
      </w:r>
      <w:r>
        <w:rPr>
          <w:rFonts w:hint="eastAsia" w:ascii="宋体" w:hAnsi="宋体" w:eastAsia="宋体" w:cs="宋体"/>
          <w:color w:val="000000"/>
          <w:spacing w:val="0"/>
          <w:sz w:val="24"/>
          <w:szCs w:val="24"/>
          <w:lang w:val="en-US" w:eastAsia="zh-CN"/>
        </w:rPr>
        <w:t>5</w:t>
      </w:r>
      <w:r>
        <w:rPr>
          <w:rFonts w:hint="eastAsia" w:ascii="宋体" w:hAnsi="宋体" w:eastAsia="宋体" w:cs="宋体"/>
          <w:color w:val="000000"/>
          <w:spacing w:val="0"/>
          <w:sz w:val="24"/>
          <w:szCs w:val="24"/>
          <w:lang w:eastAsia="zh-CN"/>
        </w:rPr>
        <w:t>）</w:t>
      </w:r>
      <w:r>
        <w:rPr>
          <w:rFonts w:hint="eastAsia" w:ascii="宋体" w:hAnsi="宋体" w:eastAsia="宋体" w:cs="宋体"/>
          <w:color w:val="000000"/>
          <w:spacing w:val="0"/>
          <w:sz w:val="24"/>
          <w:szCs w:val="24"/>
        </w:rPr>
        <w:t>保密方案</w:t>
      </w:r>
    </w:p>
    <w:p>
      <w:pPr>
        <w:pStyle w:val="17"/>
        <w:spacing w:before="0" w:after="0" w:line="360" w:lineRule="auto"/>
        <w:ind w:left="0" w:right="0" w:firstLine="560"/>
        <w:rPr>
          <w:rFonts w:hint="eastAsia" w:ascii="宋体" w:hAnsi="宋体" w:eastAsia="宋体" w:cs="宋体"/>
          <w:sz w:val="24"/>
          <w:szCs w:val="24"/>
        </w:rPr>
      </w:pPr>
      <w:r>
        <w:rPr>
          <w:rFonts w:hint="eastAsia" w:ascii="宋体" w:hAnsi="宋体" w:eastAsia="宋体" w:cs="宋体"/>
          <w:color w:val="000000"/>
          <w:spacing w:val="0"/>
          <w:sz w:val="24"/>
          <w:szCs w:val="24"/>
        </w:rPr>
        <w:t>投标文件中，必须提供保密方案。方案内容至少包括但不限于落实保密要求的措施或方法、制度、惩罚措施等内容。</w:t>
      </w:r>
    </w:p>
    <w:p>
      <w:pPr>
        <w:pStyle w:val="14"/>
        <w:spacing w:before="0" w:after="0" w:line="360" w:lineRule="auto"/>
        <w:ind w:left="0" w:right="0" w:firstLine="561"/>
        <w:rPr>
          <w:rFonts w:hint="eastAsia" w:ascii="宋体" w:hAnsi="宋体" w:eastAsia="宋体" w:cs="宋体"/>
          <w:sz w:val="24"/>
          <w:szCs w:val="24"/>
        </w:rPr>
      </w:pPr>
      <w:r>
        <w:rPr>
          <w:rFonts w:hint="eastAsia" w:ascii="宋体" w:hAnsi="宋体" w:eastAsia="宋体" w:cs="宋体"/>
          <w:color w:val="000000"/>
          <w:spacing w:val="0"/>
          <w:sz w:val="24"/>
          <w:szCs w:val="24"/>
          <w:lang w:eastAsia="zh-CN"/>
        </w:rPr>
        <w:t>（</w:t>
      </w:r>
      <w:r>
        <w:rPr>
          <w:rFonts w:hint="eastAsia" w:ascii="宋体" w:hAnsi="宋体" w:eastAsia="宋体" w:cs="宋体"/>
          <w:color w:val="000000"/>
          <w:spacing w:val="0"/>
          <w:sz w:val="24"/>
          <w:szCs w:val="24"/>
          <w:lang w:val="en-US" w:eastAsia="zh-CN"/>
        </w:rPr>
        <w:t>6</w:t>
      </w:r>
      <w:r>
        <w:rPr>
          <w:rFonts w:hint="eastAsia" w:ascii="宋体" w:hAnsi="宋体" w:eastAsia="宋体" w:cs="宋体"/>
          <w:color w:val="000000"/>
          <w:spacing w:val="0"/>
          <w:sz w:val="24"/>
          <w:szCs w:val="24"/>
          <w:lang w:eastAsia="zh-CN"/>
        </w:rPr>
        <w:t>）</w:t>
      </w:r>
      <w:r>
        <w:rPr>
          <w:rFonts w:hint="eastAsia" w:ascii="宋体" w:hAnsi="宋体" w:eastAsia="宋体" w:cs="宋体"/>
          <w:color w:val="000000"/>
          <w:spacing w:val="0"/>
          <w:sz w:val="24"/>
          <w:szCs w:val="24"/>
        </w:rPr>
        <w:t>项目验收方案</w:t>
      </w:r>
    </w:p>
    <w:p>
      <w:pPr>
        <w:pStyle w:val="14"/>
        <w:spacing w:before="0" w:after="0" w:line="360" w:lineRule="auto"/>
        <w:ind w:left="0" w:right="0" w:firstLine="561"/>
        <w:rPr>
          <w:rFonts w:hint="eastAsia" w:ascii="宋体" w:hAnsi="宋体" w:eastAsia="宋体" w:cs="宋体"/>
          <w:sz w:val="24"/>
          <w:szCs w:val="24"/>
        </w:rPr>
      </w:pPr>
      <w:r>
        <w:rPr>
          <w:rFonts w:hint="eastAsia" w:ascii="宋体" w:hAnsi="宋体" w:eastAsia="宋体" w:cs="宋体"/>
          <w:color w:val="000000"/>
          <w:spacing w:val="0"/>
          <w:sz w:val="24"/>
          <w:szCs w:val="24"/>
        </w:rPr>
        <w:t>供应商应按照本项目技术需求书要求详细阐述项目验收方案，根据需要验收内容提出切实可行的验收流程。对采购文件中各项验收指标提出明确的验收前提条件和验收依据及标准，列明需要移交和交付的各类文档及产出物。对验收中可能发现的问题，供应商应提出有效解决办法和补救措施。</w:t>
      </w:r>
    </w:p>
    <w:p>
      <w:pPr>
        <w:pStyle w:val="17"/>
        <w:spacing w:before="0" w:after="0" w:line="360" w:lineRule="auto"/>
        <w:ind w:left="0" w:right="0" w:firstLine="640"/>
        <w:rPr>
          <w:rFonts w:hint="eastAsia" w:ascii="宋体" w:hAnsi="宋体" w:eastAsia="宋体" w:cs="宋体"/>
          <w:sz w:val="24"/>
          <w:szCs w:val="24"/>
        </w:rPr>
      </w:pPr>
      <w:r>
        <w:rPr>
          <w:rFonts w:hint="eastAsia" w:ascii="宋体" w:hAnsi="宋体" w:eastAsia="宋体" w:cs="宋体"/>
          <w:color w:val="000000"/>
          <w:spacing w:val="0"/>
          <w:sz w:val="24"/>
          <w:szCs w:val="24"/>
          <w:lang w:eastAsia="zh-CN"/>
        </w:rPr>
        <w:t>（</w:t>
      </w:r>
      <w:r>
        <w:rPr>
          <w:rFonts w:hint="eastAsia" w:ascii="宋体" w:hAnsi="宋体" w:eastAsia="宋体" w:cs="宋体"/>
          <w:color w:val="000000"/>
          <w:spacing w:val="0"/>
          <w:sz w:val="24"/>
          <w:szCs w:val="24"/>
          <w:lang w:val="en-US" w:eastAsia="zh-CN"/>
        </w:rPr>
        <w:t>7</w:t>
      </w:r>
      <w:r>
        <w:rPr>
          <w:rFonts w:hint="eastAsia" w:ascii="宋体" w:hAnsi="宋体" w:eastAsia="宋体" w:cs="宋体"/>
          <w:color w:val="000000"/>
          <w:spacing w:val="0"/>
          <w:sz w:val="24"/>
          <w:szCs w:val="24"/>
          <w:lang w:eastAsia="zh-CN"/>
        </w:rPr>
        <w:t>）</w:t>
      </w:r>
      <w:r>
        <w:rPr>
          <w:rFonts w:hint="eastAsia" w:ascii="宋体" w:hAnsi="宋体" w:eastAsia="宋体" w:cs="宋体"/>
          <w:color w:val="000000"/>
          <w:spacing w:val="0"/>
          <w:sz w:val="24"/>
          <w:szCs w:val="24"/>
        </w:rPr>
        <w:t>应急保障方案</w:t>
      </w:r>
    </w:p>
    <w:p>
      <w:pPr>
        <w:pStyle w:val="17"/>
        <w:spacing w:before="0" w:after="0" w:line="360" w:lineRule="auto"/>
        <w:ind w:left="0" w:right="0" w:firstLine="640"/>
        <w:rPr>
          <w:rFonts w:hint="eastAsia" w:ascii="宋体" w:hAnsi="宋体" w:eastAsia="宋体" w:cs="宋体"/>
          <w:sz w:val="24"/>
          <w:szCs w:val="24"/>
        </w:rPr>
      </w:pPr>
      <w:r>
        <w:rPr>
          <w:rFonts w:hint="eastAsia" w:ascii="宋体" w:hAnsi="宋体" w:eastAsia="宋体" w:cs="宋体"/>
          <w:color w:val="000000"/>
          <w:spacing w:val="0"/>
          <w:sz w:val="24"/>
          <w:szCs w:val="24"/>
        </w:rPr>
        <w:t>投标人需提供应急保障方案，包括应急运维服务和特殊时期（节假日与重大活动期间值班）的应急保障团队架构、应急处置预案、应急响应报告等内容。</w:t>
      </w:r>
    </w:p>
    <w:p>
      <w:pPr>
        <w:pStyle w:val="14"/>
        <w:spacing w:before="0" w:after="0" w:line="360" w:lineRule="auto"/>
        <w:ind w:left="561" w:right="0" w:firstLine="0"/>
        <w:rPr>
          <w:rFonts w:hint="eastAsia" w:ascii="宋体" w:hAnsi="宋体" w:eastAsia="宋体" w:cs="宋体"/>
          <w:sz w:val="24"/>
          <w:szCs w:val="24"/>
        </w:rPr>
      </w:pPr>
      <w:r>
        <w:rPr>
          <w:rFonts w:hint="eastAsia" w:ascii="宋体" w:hAnsi="宋体" w:eastAsia="宋体" w:cs="宋体"/>
          <w:color w:val="000000"/>
          <w:spacing w:val="0"/>
          <w:sz w:val="24"/>
          <w:szCs w:val="24"/>
          <w:lang w:eastAsia="zh-CN"/>
        </w:rPr>
        <w:t>（</w:t>
      </w:r>
      <w:r>
        <w:rPr>
          <w:rFonts w:hint="eastAsia" w:ascii="宋体" w:hAnsi="宋体" w:eastAsia="宋体" w:cs="宋体"/>
          <w:color w:val="000000"/>
          <w:spacing w:val="0"/>
          <w:sz w:val="24"/>
          <w:szCs w:val="24"/>
          <w:lang w:val="en-US" w:eastAsia="zh-CN"/>
        </w:rPr>
        <w:t>8</w:t>
      </w:r>
      <w:r>
        <w:rPr>
          <w:rFonts w:hint="eastAsia" w:ascii="宋体" w:hAnsi="宋体" w:eastAsia="宋体" w:cs="宋体"/>
          <w:color w:val="000000"/>
          <w:spacing w:val="0"/>
          <w:sz w:val="24"/>
          <w:szCs w:val="24"/>
          <w:lang w:eastAsia="zh-CN"/>
        </w:rPr>
        <w:t>）</w:t>
      </w:r>
      <w:r>
        <w:rPr>
          <w:rFonts w:hint="eastAsia" w:ascii="宋体" w:hAnsi="宋体" w:eastAsia="宋体" w:cs="宋体"/>
          <w:color w:val="000000"/>
          <w:spacing w:val="0"/>
          <w:sz w:val="24"/>
          <w:szCs w:val="24"/>
        </w:rPr>
        <w:t>培训服务方案</w:t>
      </w:r>
    </w:p>
    <w:p>
      <w:pPr>
        <w:pStyle w:val="14"/>
        <w:spacing w:before="0" w:after="0" w:line="360" w:lineRule="auto"/>
        <w:ind w:left="0" w:right="0" w:firstLine="560"/>
        <w:rPr>
          <w:rFonts w:hint="eastAsia" w:ascii="宋体" w:hAnsi="宋体" w:eastAsia="宋体" w:cs="宋体"/>
          <w:sz w:val="24"/>
          <w:szCs w:val="24"/>
        </w:rPr>
      </w:pPr>
      <w:r>
        <w:rPr>
          <w:rFonts w:hint="eastAsia" w:ascii="宋体" w:hAnsi="宋体" w:eastAsia="宋体" w:cs="宋体"/>
          <w:color w:val="000000"/>
          <w:spacing w:val="0"/>
          <w:sz w:val="24"/>
          <w:szCs w:val="24"/>
        </w:rPr>
        <w:t>培训服务方案内容包括培训师资水平、培训课程设置、培训讲义内容、本地化培训设施等，能够体现培训服务方案的针对性和时效性。</w:t>
      </w:r>
    </w:p>
    <w:p>
      <w:pPr>
        <w:pStyle w:val="2"/>
        <w:keepNext w:val="0"/>
        <w:spacing w:before="0" w:after="0" w:line="360" w:lineRule="auto"/>
        <w:jc w:val="center"/>
        <w:rPr>
          <w:rFonts w:hint="eastAsia" w:ascii="宋体" w:hAnsi="宋体" w:eastAsia="宋体" w:cs="宋体"/>
          <w:b/>
          <w:bCs/>
          <w:sz w:val="24"/>
          <w:szCs w:val="24"/>
        </w:rPr>
      </w:pPr>
      <w:bookmarkStart w:id="23" w:name="_Toc17648"/>
      <w:r>
        <w:rPr>
          <w:rFonts w:hint="eastAsia" w:ascii="宋体" w:hAnsi="宋体" w:eastAsia="宋体" w:cs="宋体"/>
          <w:kern w:val="36"/>
          <w:sz w:val="24"/>
          <w:szCs w:val="24"/>
        </w:rPr>
        <w:t>3项目需求</w:t>
      </w:r>
      <w:bookmarkEnd w:id="23"/>
    </w:p>
    <w:p>
      <w:pPr>
        <w:pStyle w:val="3"/>
        <w:keepNext w:val="0"/>
        <w:spacing w:before="0" w:after="0" w:line="360" w:lineRule="auto"/>
        <w:outlineLvl w:val="0"/>
        <w:rPr>
          <w:rFonts w:hint="eastAsia" w:ascii="宋体" w:hAnsi="宋体" w:eastAsia="宋体" w:cs="宋体"/>
          <w:b/>
          <w:bCs/>
          <w:sz w:val="24"/>
          <w:szCs w:val="24"/>
        </w:rPr>
      </w:pPr>
      <w:bookmarkStart w:id="24" w:name="_Toc20115"/>
      <w:r>
        <w:rPr>
          <w:rFonts w:hint="eastAsia" w:ascii="宋体" w:hAnsi="宋体" w:eastAsia="宋体" w:cs="宋体"/>
          <w:i w:val="0"/>
          <w:iCs w:val="0"/>
          <w:sz w:val="24"/>
          <w:szCs w:val="24"/>
        </w:rPr>
        <w:t>3.1总体要求</w:t>
      </w:r>
      <w:bookmarkEnd w:id="24"/>
    </w:p>
    <w:p>
      <w:pPr>
        <w:pStyle w:val="13"/>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技术服务主要工作内容包括为全省纳税人提供包括客户端软件安装和升级、软件操作指导和技术服务、提供电话咨询服务、扣缴客户端在线客服咨询服务以及免费培训服务等。</w:t>
      </w:r>
    </w:p>
    <w:p>
      <w:pPr>
        <w:pStyle w:val="3"/>
        <w:keepNext w:val="0"/>
        <w:spacing w:before="0" w:after="0" w:line="360" w:lineRule="auto"/>
        <w:outlineLvl w:val="0"/>
        <w:rPr>
          <w:rFonts w:hint="eastAsia" w:ascii="宋体" w:hAnsi="宋体" w:eastAsia="宋体" w:cs="宋体"/>
          <w:b/>
          <w:bCs/>
          <w:sz w:val="24"/>
          <w:szCs w:val="24"/>
        </w:rPr>
      </w:pPr>
      <w:bookmarkStart w:id="25" w:name="_Toc23987"/>
      <w:r>
        <w:rPr>
          <w:rFonts w:hint="eastAsia" w:ascii="宋体" w:hAnsi="宋体" w:eastAsia="宋体" w:cs="宋体"/>
          <w:i w:val="0"/>
          <w:iCs w:val="0"/>
          <w:sz w:val="24"/>
          <w:szCs w:val="24"/>
        </w:rPr>
        <w:t>3.2服务内容和要求</w:t>
      </w:r>
      <w:bookmarkEnd w:id="25"/>
    </w:p>
    <w:p>
      <w:pPr>
        <w:pStyle w:val="4"/>
        <w:keepNext w:val="0"/>
        <w:spacing w:before="0" w:after="0" w:line="360" w:lineRule="auto"/>
        <w:outlineLvl w:val="1"/>
        <w:rPr>
          <w:rFonts w:hint="eastAsia" w:ascii="宋体" w:hAnsi="宋体" w:eastAsia="宋体" w:cs="宋体"/>
          <w:b/>
          <w:bCs/>
          <w:sz w:val="24"/>
          <w:szCs w:val="24"/>
        </w:rPr>
      </w:pPr>
      <w:bookmarkStart w:id="26" w:name="_Toc19502"/>
      <w:r>
        <w:rPr>
          <w:rFonts w:hint="eastAsia" w:ascii="宋体" w:hAnsi="宋体" w:eastAsia="宋体" w:cs="宋体"/>
          <w:sz w:val="24"/>
          <w:szCs w:val="24"/>
        </w:rPr>
        <w:t>3.2.1服务内容和要求</w:t>
      </w:r>
      <w:bookmarkEnd w:id="26"/>
    </w:p>
    <w:p>
      <w:pPr>
        <w:pStyle w:val="13"/>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采取人工坐席服务热线和扣缴客户端在线客服咨询服务方式，为纳税人提供服务咨询、技术支持，对于纳税人在进行自然人和个税网报时遇到的技术问题、操作问题、业务问题，通过热线电话进行解答。</w:t>
      </w:r>
    </w:p>
    <w:p>
      <w:pPr>
        <w:pStyle w:val="13"/>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保证纳税人通过电话、网络、手机等各种渠道向400服务热线的请求服务快速响应，除法律规定的不可抗力原因外，400服务热线运行不得中断。如遇可能影响热线通信的情况，如检修线路、工程割接、主呼叫系统升级等可预见情况，应第一时间通知黑龙江省税务局。</w:t>
      </w:r>
    </w:p>
    <w:p>
      <w:pPr>
        <w:pStyle w:val="13"/>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立足于为纳税人提供高效、便捷、规范的专业化服务，对平台流程、系统操作的咨询准确及时解答；规范有序开展回访、调查等外呼业务。</w:t>
      </w:r>
    </w:p>
    <w:p>
      <w:pPr>
        <w:pStyle w:val="14"/>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按照黑龙江省税务局的要求开展工作，不得从事超出业务范围的活动。</w:t>
      </w:r>
    </w:p>
    <w:p>
      <w:pPr>
        <w:pStyle w:val="2"/>
        <w:keepNext w:val="0"/>
        <w:spacing w:before="0" w:after="0" w:line="360" w:lineRule="auto"/>
        <w:jc w:val="center"/>
        <w:rPr>
          <w:rFonts w:hint="eastAsia" w:ascii="宋体" w:hAnsi="宋体" w:eastAsia="宋体" w:cs="宋体"/>
          <w:b/>
          <w:bCs/>
          <w:sz w:val="24"/>
          <w:szCs w:val="24"/>
        </w:rPr>
      </w:pPr>
      <w:bookmarkStart w:id="27" w:name="_Toc3421"/>
      <w:r>
        <w:rPr>
          <w:rFonts w:hint="eastAsia" w:ascii="宋体" w:hAnsi="宋体" w:eastAsia="宋体" w:cs="宋体"/>
          <w:kern w:val="36"/>
          <w:sz w:val="24"/>
          <w:szCs w:val="24"/>
        </w:rPr>
        <w:t>4人员要求</w:t>
      </w:r>
      <w:bookmarkEnd w:id="27"/>
    </w:p>
    <w:p>
      <w:pPr>
        <w:pStyle w:val="3"/>
        <w:keepNext w:val="0"/>
        <w:spacing w:before="0" w:after="0" w:line="360" w:lineRule="auto"/>
        <w:outlineLvl w:val="0"/>
        <w:rPr>
          <w:rFonts w:hint="eastAsia" w:ascii="宋体" w:hAnsi="宋体" w:eastAsia="宋体" w:cs="宋体"/>
          <w:b/>
          <w:bCs/>
          <w:sz w:val="24"/>
          <w:szCs w:val="24"/>
        </w:rPr>
      </w:pPr>
      <w:bookmarkStart w:id="28" w:name="_Toc17243"/>
      <w:r>
        <w:rPr>
          <w:rFonts w:hint="eastAsia" w:ascii="宋体" w:hAnsi="宋体" w:eastAsia="宋体" w:cs="宋体"/>
          <w:i w:val="0"/>
          <w:iCs w:val="0"/>
          <w:sz w:val="24"/>
          <w:szCs w:val="24"/>
        </w:rPr>
        <w:t>4.1总体要求</w:t>
      </w:r>
      <w:bookmarkEnd w:id="28"/>
    </w:p>
    <w:p>
      <w:pPr>
        <w:pStyle w:val="13"/>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参与咨询服务技术支持的人员，必须具有大专学历以上(含)，会计学、财务与管理、税务、财政学类、审计学类、经济学类、金融学类、统计学类、经济与贸易类、工商管理类、法律类、计算机类等相关专业，有财税工作经验者优先，男女不限。</w:t>
      </w:r>
    </w:p>
    <w:p>
      <w:pPr>
        <w:pStyle w:val="13"/>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具备长期的税务系统技术服务经验，参与过税务系统软件开发项目、系统运维服务或数字证书系统维护服务。具备进行申报缴税、发票业务管理、涉税事项管理、数字证书管理等服务能力，对上述业务具有较好的理解。</w:t>
      </w:r>
    </w:p>
    <w:p>
      <w:pPr>
        <w:pStyle w:val="14"/>
        <w:spacing w:before="0" w:after="0" w:line="360" w:lineRule="auto"/>
        <w:ind w:firstLine="480" w:firstLineChars="200"/>
        <w:rPr>
          <w:rFonts w:hint="eastAsia" w:ascii="宋体" w:hAnsi="宋体" w:eastAsia="宋体" w:cs="宋体"/>
          <w:sz w:val="24"/>
          <w:szCs w:val="24"/>
        </w:rPr>
      </w:pPr>
      <w:bookmarkStart w:id="66" w:name="_GoBack"/>
      <w:bookmarkEnd w:id="66"/>
      <w:r>
        <w:rPr>
          <w:rFonts w:hint="eastAsia" w:ascii="宋体" w:hAnsi="宋体" w:eastAsia="宋体" w:cs="宋体"/>
          <w:sz w:val="24"/>
          <w:szCs w:val="24"/>
        </w:rPr>
        <w:t>为了保质保量的做好这项工程及售后服务，要求服务商的售后技术支持队伍必须人员齐备，自身技术素质要过硬，都要有类似此项规模工程的经历和必要的经验及必要的服务意识。要求成交服务商详细列出公司的技术人员数量及联系方式。另外各项目组的技术支持队伍在售前和售后要固定，不能临时替补或经常更换。</w:t>
      </w:r>
    </w:p>
    <w:p>
      <w:pPr>
        <w:pStyle w:val="3"/>
        <w:keepNext w:val="0"/>
        <w:spacing w:before="0" w:after="0" w:line="360" w:lineRule="auto"/>
        <w:outlineLvl w:val="0"/>
        <w:rPr>
          <w:rFonts w:hint="eastAsia" w:ascii="宋体" w:hAnsi="宋体" w:eastAsia="宋体" w:cs="宋体"/>
          <w:i w:val="0"/>
          <w:iCs w:val="0"/>
          <w:sz w:val="24"/>
          <w:szCs w:val="24"/>
        </w:rPr>
      </w:pPr>
      <w:bookmarkStart w:id="29" w:name="_Toc5741"/>
      <w:r>
        <w:rPr>
          <w:rFonts w:hint="eastAsia" w:ascii="宋体" w:hAnsi="宋体" w:eastAsia="宋体" w:cs="宋体"/>
          <w:i w:val="0"/>
          <w:iCs w:val="0"/>
          <w:sz w:val="24"/>
          <w:szCs w:val="24"/>
        </w:rPr>
        <w:t>4.2管理团队</w:t>
      </w:r>
      <w:bookmarkEnd w:id="29"/>
    </w:p>
    <w:p>
      <w:pPr>
        <w:pStyle w:val="13"/>
        <w:spacing w:before="0" w:after="0"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项目经理需要2年以上同类型项目管理经验。</w:t>
      </w:r>
    </w:p>
    <w:p>
      <w:pPr>
        <w:pStyle w:val="13"/>
        <w:spacing w:before="0" w:after="0"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投入本项目的项目经理，符合以下相关要求，予以加分考虑。</w:t>
      </w:r>
    </w:p>
    <w:p>
      <w:pPr>
        <w:pStyle w:val="13"/>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1.具有3年及以上信息化工作经验（需提供能证明该人员管理经验的相关材料）；</w:t>
      </w:r>
    </w:p>
    <w:p>
      <w:pPr>
        <w:pStyle w:val="13"/>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2.具有2个及以上类似运行维护项目管理经验（需提供能证明该人员管理经验的相关材料）；</w:t>
      </w:r>
    </w:p>
    <w:p>
      <w:pPr>
        <w:pStyle w:val="3"/>
        <w:keepNext w:val="0"/>
        <w:spacing w:before="0" w:after="0" w:line="360" w:lineRule="auto"/>
        <w:outlineLvl w:val="0"/>
        <w:rPr>
          <w:rFonts w:hint="eastAsia" w:ascii="宋体" w:hAnsi="宋体" w:eastAsia="宋体" w:cs="宋体"/>
          <w:b/>
          <w:bCs/>
          <w:sz w:val="24"/>
          <w:szCs w:val="24"/>
        </w:rPr>
      </w:pPr>
      <w:bookmarkStart w:id="30" w:name="_Toc22793"/>
      <w:r>
        <w:rPr>
          <w:rFonts w:hint="eastAsia" w:ascii="宋体" w:hAnsi="宋体" w:eastAsia="宋体" w:cs="宋体"/>
          <w:i w:val="0"/>
          <w:iCs w:val="0"/>
          <w:sz w:val="24"/>
          <w:szCs w:val="24"/>
        </w:rPr>
        <w:t>4.3技术团队</w:t>
      </w:r>
      <w:bookmarkEnd w:id="30"/>
    </w:p>
    <w:p>
      <w:pPr>
        <w:pStyle w:val="14"/>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color w:val="000000"/>
          <w:sz w:val="24"/>
          <w:szCs w:val="24"/>
        </w:rPr>
        <w:t>技术团队需要有明确的岗位分工及1年以上同类型项目工作经验。</w:t>
      </w:r>
    </w:p>
    <w:p>
      <w:pPr>
        <w:pStyle w:val="14"/>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color w:val="000000"/>
          <w:sz w:val="24"/>
          <w:szCs w:val="24"/>
        </w:rPr>
        <w:t>投入本项目的技术团队，</w:t>
      </w:r>
      <w:r>
        <w:rPr>
          <w:rFonts w:hint="eastAsia" w:ascii="宋体" w:hAnsi="宋体" w:eastAsia="宋体" w:cs="宋体"/>
          <w:sz w:val="24"/>
          <w:szCs w:val="24"/>
        </w:rPr>
        <w:t>符合以下相关要求，予以加分考虑。</w:t>
      </w:r>
    </w:p>
    <w:p>
      <w:pPr>
        <w:pStyle w:val="14"/>
        <w:spacing w:before="0" w:after="0" w:line="360" w:lineRule="auto"/>
        <w:ind w:firstLine="481" w:firstLineChars="200"/>
        <w:outlineLvl w:val="1"/>
        <w:rPr>
          <w:rFonts w:hint="eastAsia" w:ascii="宋体" w:hAnsi="宋体" w:eastAsia="宋体" w:cs="宋体"/>
          <w:sz w:val="24"/>
          <w:szCs w:val="24"/>
        </w:rPr>
      </w:pPr>
      <w:bookmarkStart w:id="31" w:name="_Toc19693"/>
      <w:r>
        <w:rPr>
          <w:rFonts w:hint="eastAsia" w:ascii="宋体" w:hAnsi="宋体" w:eastAsia="宋体" w:cs="宋体"/>
          <w:b/>
          <w:bCs/>
          <w:sz w:val="24"/>
          <w:szCs w:val="24"/>
        </w:rPr>
        <w:t>投入本项目的技术团队</w:t>
      </w:r>
      <w:r>
        <w:rPr>
          <w:rFonts w:hint="eastAsia" w:ascii="宋体" w:hAnsi="宋体" w:eastAsia="宋体" w:cs="宋体"/>
          <w:sz w:val="24"/>
          <w:szCs w:val="24"/>
        </w:rPr>
        <w:t>：</w:t>
      </w:r>
      <w:bookmarkEnd w:id="31"/>
    </w:p>
    <w:p>
      <w:pPr>
        <w:pStyle w:val="14"/>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1.技术人员要求2年及以上类似运行维护项目经验。</w:t>
      </w:r>
    </w:p>
    <w:p>
      <w:pPr>
        <w:pStyle w:val="13"/>
        <w:spacing w:before="0" w:after="0" w:line="360" w:lineRule="auto"/>
        <w:ind w:left="240" w:leftChars="100" w:firstLine="240" w:firstLineChars="100"/>
        <w:rPr>
          <w:rFonts w:hint="eastAsia" w:ascii="宋体" w:hAnsi="宋体" w:eastAsia="宋体" w:cs="宋体"/>
          <w:sz w:val="24"/>
          <w:szCs w:val="24"/>
        </w:rPr>
      </w:pPr>
      <w:r>
        <w:rPr>
          <w:rFonts w:hint="eastAsia" w:ascii="宋体" w:hAnsi="宋体" w:eastAsia="宋体" w:cs="宋体"/>
          <w:sz w:val="24"/>
          <w:szCs w:val="24"/>
        </w:rPr>
        <w:t>2.要求技术人员在项目实施期间不兼任与本项目无关的其他工作，提供承诺书（格式自拟加盖公章）。</w:t>
      </w:r>
    </w:p>
    <w:p>
      <w:pPr>
        <w:pStyle w:val="14"/>
        <w:spacing w:before="0" w:after="0" w:line="360" w:lineRule="auto"/>
        <w:ind w:firstLine="481" w:firstLineChars="200"/>
        <w:outlineLvl w:val="1"/>
        <w:rPr>
          <w:rFonts w:hint="eastAsia" w:ascii="宋体" w:hAnsi="宋体" w:eastAsia="宋体" w:cs="宋体"/>
          <w:sz w:val="24"/>
          <w:szCs w:val="24"/>
        </w:rPr>
      </w:pPr>
      <w:bookmarkStart w:id="32" w:name="_Toc12419"/>
      <w:r>
        <w:rPr>
          <w:rFonts w:hint="eastAsia" w:ascii="宋体" w:hAnsi="宋体" w:eastAsia="宋体" w:cs="宋体"/>
          <w:b/>
          <w:bCs/>
          <w:sz w:val="24"/>
          <w:szCs w:val="24"/>
        </w:rPr>
        <w:t>投入本项目团队人员的稳定性承诺：</w:t>
      </w:r>
      <w:bookmarkEnd w:id="32"/>
    </w:p>
    <w:p>
      <w:pPr>
        <w:pStyle w:val="14"/>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项目经理及核心骨干人员稳定性承诺比例为80%及以上的，提供承诺书（格式自拟加盖公章）。</w:t>
      </w:r>
    </w:p>
    <w:p>
      <w:pPr>
        <w:pStyle w:val="2"/>
        <w:keepNext w:val="0"/>
        <w:spacing w:before="0" w:after="0" w:line="360" w:lineRule="auto"/>
        <w:jc w:val="center"/>
        <w:rPr>
          <w:rFonts w:hint="eastAsia" w:ascii="宋体" w:hAnsi="宋体" w:eastAsia="宋体" w:cs="宋体"/>
          <w:b/>
          <w:bCs/>
          <w:sz w:val="24"/>
          <w:szCs w:val="24"/>
        </w:rPr>
      </w:pPr>
      <w:bookmarkStart w:id="33" w:name="_Toc12459"/>
      <w:r>
        <w:rPr>
          <w:rFonts w:hint="eastAsia" w:ascii="宋体" w:hAnsi="宋体" w:eastAsia="宋体" w:cs="宋体"/>
          <w:kern w:val="36"/>
          <w:sz w:val="24"/>
          <w:szCs w:val="24"/>
        </w:rPr>
        <w:t>5管理实施要求</w:t>
      </w:r>
      <w:bookmarkEnd w:id="33"/>
    </w:p>
    <w:p>
      <w:pPr>
        <w:pStyle w:val="3"/>
        <w:keepNext w:val="0"/>
        <w:spacing w:before="0" w:after="0" w:line="360" w:lineRule="auto"/>
        <w:ind w:left="0" w:firstLine="481" w:firstLineChars="200"/>
        <w:outlineLvl w:val="0"/>
        <w:rPr>
          <w:rFonts w:hint="eastAsia" w:ascii="宋体" w:hAnsi="宋体" w:eastAsia="宋体" w:cs="宋体"/>
          <w:b/>
          <w:bCs/>
          <w:sz w:val="24"/>
          <w:szCs w:val="24"/>
        </w:rPr>
      </w:pPr>
      <w:bookmarkStart w:id="34" w:name="_Toc13674"/>
      <w:r>
        <w:rPr>
          <w:rFonts w:hint="eastAsia" w:ascii="宋体" w:hAnsi="宋体" w:eastAsia="宋体" w:cs="宋体"/>
          <w:i w:val="0"/>
          <w:iCs w:val="0"/>
          <w:sz w:val="24"/>
          <w:szCs w:val="24"/>
        </w:rPr>
        <w:t>1. 实施管理要求</w:t>
      </w:r>
      <w:bookmarkEnd w:id="34"/>
    </w:p>
    <w:p>
      <w:pPr>
        <w:pStyle w:val="4"/>
        <w:keepNext w:val="0"/>
        <w:spacing w:before="0" w:after="0" w:line="360" w:lineRule="auto"/>
        <w:ind w:left="0" w:firstLine="481" w:firstLineChars="200"/>
        <w:outlineLvl w:val="1"/>
        <w:rPr>
          <w:rFonts w:hint="eastAsia" w:ascii="宋体" w:hAnsi="宋体" w:eastAsia="宋体" w:cs="宋体"/>
          <w:b/>
          <w:bCs/>
          <w:sz w:val="24"/>
          <w:szCs w:val="24"/>
        </w:rPr>
      </w:pPr>
      <w:bookmarkStart w:id="35" w:name="_Toc17850"/>
      <w:r>
        <w:rPr>
          <w:rFonts w:hint="eastAsia" w:ascii="宋体" w:hAnsi="宋体" w:eastAsia="宋体" w:cs="宋体"/>
          <w:sz w:val="24"/>
          <w:szCs w:val="24"/>
        </w:rPr>
        <w:t>（1）项目计划管理</w:t>
      </w:r>
      <w:bookmarkEnd w:id="35"/>
    </w:p>
    <w:p>
      <w:pPr>
        <w:pStyle w:val="13"/>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投标人制定行之有效的项目计划管理方案，明确每个项目参与者的工作任务，按照招标人要求制定系统运行维护实施计划。</w:t>
      </w:r>
    </w:p>
    <w:p>
      <w:pPr>
        <w:pStyle w:val="4"/>
        <w:keepNext w:val="0"/>
        <w:spacing w:before="0" w:after="0" w:line="360" w:lineRule="auto"/>
        <w:ind w:left="0" w:firstLine="481" w:firstLineChars="200"/>
        <w:outlineLvl w:val="1"/>
        <w:rPr>
          <w:rFonts w:hint="eastAsia" w:ascii="宋体" w:hAnsi="宋体" w:eastAsia="宋体" w:cs="宋体"/>
          <w:b/>
          <w:bCs/>
          <w:sz w:val="24"/>
          <w:szCs w:val="24"/>
        </w:rPr>
      </w:pPr>
      <w:bookmarkStart w:id="36" w:name="_Toc28304"/>
      <w:r>
        <w:rPr>
          <w:rFonts w:hint="eastAsia" w:ascii="宋体" w:hAnsi="宋体" w:eastAsia="宋体" w:cs="宋体"/>
          <w:sz w:val="24"/>
          <w:szCs w:val="24"/>
        </w:rPr>
        <w:t>（2）项目变更管理</w:t>
      </w:r>
      <w:bookmarkEnd w:id="36"/>
    </w:p>
    <w:p>
      <w:pPr>
        <w:pStyle w:val="13"/>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投标人应建立项目变更管理办法，指定专人负责项目实施过程中出现的各种变更情况，包括：人力资源变更等。对于每项变更，都必须按照预先设计好的项目变更流程，提出变更请求，评估变更可能带来的影响，经招标人审批后，才能实施变更。变更工作完成后，需通知所有相关人员，确保项目能够协调一致地进行。</w:t>
      </w:r>
    </w:p>
    <w:p>
      <w:pPr>
        <w:pStyle w:val="4"/>
        <w:keepNext w:val="0"/>
        <w:spacing w:before="0" w:after="0" w:line="360" w:lineRule="auto"/>
        <w:ind w:left="0" w:firstLine="481" w:firstLineChars="200"/>
        <w:outlineLvl w:val="1"/>
        <w:rPr>
          <w:rFonts w:hint="eastAsia" w:ascii="宋体" w:hAnsi="宋体" w:eastAsia="宋体" w:cs="宋体"/>
          <w:b/>
          <w:bCs/>
          <w:sz w:val="24"/>
          <w:szCs w:val="24"/>
        </w:rPr>
      </w:pPr>
      <w:bookmarkStart w:id="37" w:name="_Toc1649"/>
      <w:r>
        <w:rPr>
          <w:rFonts w:hint="eastAsia" w:ascii="宋体" w:hAnsi="宋体" w:eastAsia="宋体" w:cs="宋体"/>
          <w:sz w:val="24"/>
          <w:szCs w:val="24"/>
        </w:rPr>
        <w:t>（3）项目风险管理</w:t>
      </w:r>
      <w:bookmarkEnd w:id="37"/>
    </w:p>
    <w:p>
      <w:pPr>
        <w:pStyle w:val="13"/>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投标人应针对运行维护的工作要求，详细分析项目过程中可能出现的各类风险，制定完善的风险管理策略，以有效控制风险发生。</w:t>
      </w:r>
    </w:p>
    <w:p>
      <w:pPr>
        <w:pStyle w:val="4"/>
        <w:keepNext w:val="0"/>
        <w:spacing w:before="0" w:after="0" w:line="360" w:lineRule="auto"/>
        <w:ind w:left="0" w:firstLine="481" w:firstLineChars="200"/>
        <w:outlineLvl w:val="1"/>
        <w:rPr>
          <w:rFonts w:hint="eastAsia" w:ascii="宋体" w:hAnsi="宋体" w:eastAsia="宋体" w:cs="宋体"/>
          <w:b/>
          <w:bCs/>
          <w:sz w:val="24"/>
          <w:szCs w:val="24"/>
        </w:rPr>
      </w:pPr>
      <w:bookmarkStart w:id="38" w:name="_Toc26770"/>
      <w:r>
        <w:rPr>
          <w:rFonts w:hint="eastAsia" w:ascii="宋体" w:hAnsi="宋体" w:eastAsia="宋体" w:cs="宋体"/>
          <w:sz w:val="24"/>
          <w:szCs w:val="24"/>
        </w:rPr>
        <w:t>（4）项目沟通管理</w:t>
      </w:r>
      <w:bookmarkEnd w:id="38"/>
    </w:p>
    <w:p>
      <w:pPr>
        <w:pStyle w:val="13"/>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项目实施过程中，中标人须通过建立行之有效的沟通方式，如组织例会、及时汇报等加强与招标人的沟通。</w:t>
      </w:r>
    </w:p>
    <w:p>
      <w:pPr>
        <w:pStyle w:val="13"/>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投标人须遵守招标人项目管理相关规定，接受招标人项目管理机构和项目负责人的领导，指定负责人与招标人保持沟通和协调。</w:t>
      </w:r>
    </w:p>
    <w:p>
      <w:pPr>
        <w:pStyle w:val="3"/>
        <w:keepNext w:val="0"/>
        <w:spacing w:before="0" w:after="0" w:line="360" w:lineRule="auto"/>
        <w:ind w:left="0" w:firstLine="481" w:firstLineChars="200"/>
        <w:outlineLvl w:val="0"/>
        <w:rPr>
          <w:rFonts w:hint="eastAsia" w:ascii="宋体" w:hAnsi="宋体" w:eastAsia="宋体" w:cs="宋体"/>
          <w:b/>
          <w:bCs/>
          <w:sz w:val="24"/>
          <w:szCs w:val="24"/>
        </w:rPr>
      </w:pPr>
      <w:bookmarkStart w:id="39" w:name="_Toc25104"/>
      <w:r>
        <w:rPr>
          <w:rFonts w:hint="eastAsia" w:ascii="宋体" w:hAnsi="宋体" w:eastAsia="宋体" w:cs="宋体"/>
          <w:i w:val="0"/>
          <w:iCs w:val="0"/>
          <w:sz w:val="24"/>
          <w:szCs w:val="24"/>
        </w:rPr>
        <w:t>2. 实施质量要求</w:t>
      </w:r>
      <w:bookmarkEnd w:id="39"/>
    </w:p>
    <w:p>
      <w:pPr>
        <w:pStyle w:val="13"/>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本项目实施质量应得到严格保障，主要包括但不限于以下要求：</w:t>
      </w:r>
    </w:p>
    <w:p>
      <w:pPr>
        <w:pStyle w:val="4"/>
        <w:keepNext w:val="0"/>
        <w:spacing w:before="0" w:after="0" w:line="360" w:lineRule="auto"/>
        <w:ind w:left="0" w:firstLine="481" w:firstLineChars="200"/>
        <w:outlineLvl w:val="1"/>
        <w:rPr>
          <w:rFonts w:hint="eastAsia" w:ascii="宋体" w:hAnsi="宋体" w:eastAsia="宋体" w:cs="宋体"/>
          <w:b/>
          <w:bCs/>
          <w:sz w:val="24"/>
          <w:szCs w:val="24"/>
        </w:rPr>
      </w:pPr>
      <w:bookmarkStart w:id="40" w:name="_Toc32359"/>
      <w:r>
        <w:rPr>
          <w:rFonts w:hint="eastAsia" w:ascii="宋体" w:hAnsi="宋体" w:eastAsia="宋体" w:cs="宋体"/>
          <w:sz w:val="24"/>
          <w:szCs w:val="24"/>
        </w:rPr>
        <w:t>（1）运维质量要求</w:t>
      </w:r>
      <w:bookmarkEnd w:id="40"/>
    </w:p>
    <w:p>
      <w:pPr>
        <w:pStyle w:val="13"/>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投标人应保障系统平稳运行，避免系统停止服务（宕机或者功能出现延时）的情况出现。</w:t>
      </w:r>
    </w:p>
    <w:p>
      <w:pPr>
        <w:pStyle w:val="13"/>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投标人应保障各省上报省局运维工单及时处理。</w:t>
      </w:r>
    </w:p>
    <w:p>
      <w:pPr>
        <w:pStyle w:val="4"/>
        <w:keepNext w:val="0"/>
        <w:spacing w:before="0" w:after="0" w:line="360" w:lineRule="auto"/>
        <w:ind w:left="0" w:firstLine="481" w:firstLineChars="200"/>
        <w:outlineLvl w:val="1"/>
        <w:rPr>
          <w:rFonts w:hint="eastAsia" w:ascii="宋体" w:hAnsi="宋体" w:eastAsia="宋体" w:cs="宋体"/>
          <w:b/>
          <w:bCs/>
          <w:sz w:val="24"/>
          <w:szCs w:val="24"/>
        </w:rPr>
      </w:pPr>
      <w:bookmarkStart w:id="41" w:name="_Toc5532"/>
      <w:r>
        <w:rPr>
          <w:rFonts w:hint="eastAsia" w:ascii="宋体" w:hAnsi="宋体" w:eastAsia="宋体" w:cs="宋体"/>
          <w:sz w:val="24"/>
          <w:szCs w:val="24"/>
        </w:rPr>
        <w:t>（2）杜绝重大事故出现</w:t>
      </w:r>
      <w:bookmarkEnd w:id="41"/>
    </w:p>
    <w:p>
      <w:pPr>
        <w:pStyle w:val="13"/>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投标方人员应严格遵守国家税务总局黑龙江省税务局相关网络安全法律法规，杜绝重大网络安全事故出现。</w:t>
      </w:r>
    </w:p>
    <w:p>
      <w:pPr>
        <w:pStyle w:val="13"/>
        <w:spacing w:before="0" w:after="0" w:line="360" w:lineRule="auto"/>
        <w:rPr>
          <w:rFonts w:hint="eastAsia" w:ascii="宋体" w:hAnsi="宋体" w:eastAsia="宋体" w:cs="宋体"/>
          <w:sz w:val="24"/>
          <w:szCs w:val="24"/>
        </w:rPr>
      </w:pPr>
      <w:r>
        <w:rPr>
          <w:rFonts w:hint="eastAsia" w:ascii="宋体" w:hAnsi="宋体" w:eastAsia="宋体" w:cs="宋体"/>
          <w:sz w:val="24"/>
          <w:szCs w:val="24"/>
        </w:rPr>
        <w:t>投标方人员应严格遵守国家和税务总局管理要求。</w:t>
      </w:r>
    </w:p>
    <w:p>
      <w:pPr>
        <w:pStyle w:val="2"/>
        <w:keepNext w:val="0"/>
        <w:spacing w:before="0" w:after="0" w:line="360" w:lineRule="auto"/>
        <w:jc w:val="center"/>
        <w:rPr>
          <w:rFonts w:hint="eastAsia" w:ascii="宋体" w:hAnsi="宋体" w:eastAsia="宋体" w:cs="宋体"/>
          <w:b/>
          <w:bCs/>
          <w:sz w:val="24"/>
          <w:szCs w:val="24"/>
        </w:rPr>
      </w:pPr>
      <w:bookmarkStart w:id="42" w:name="_Toc14142"/>
      <w:r>
        <w:rPr>
          <w:rFonts w:hint="eastAsia" w:ascii="宋体" w:hAnsi="宋体" w:eastAsia="宋体" w:cs="宋体"/>
          <w:kern w:val="36"/>
          <w:sz w:val="24"/>
          <w:szCs w:val="24"/>
        </w:rPr>
        <w:t>6保密要求</w:t>
      </w:r>
      <w:bookmarkEnd w:id="42"/>
    </w:p>
    <w:p>
      <w:pPr>
        <w:pStyle w:val="14"/>
        <w:spacing w:before="0" w:after="0" w:line="360" w:lineRule="auto"/>
        <w:rPr>
          <w:rFonts w:hint="eastAsia" w:ascii="宋体" w:hAnsi="宋体" w:eastAsia="宋体" w:cs="宋体"/>
          <w:sz w:val="24"/>
          <w:szCs w:val="24"/>
        </w:rPr>
      </w:pPr>
      <w:r>
        <w:rPr>
          <w:rFonts w:hint="eastAsia" w:ascii="宋体" w:hAnsi="宋体" w:eastAsia="宋体" w:cs="宋体"/>
          <w:sz w:val="24"/>
          <w:szCs w:val="24"/>
        </w:rPr>
        <w:t>   中标人参与项目的所有人员应严格遵守招标人的保密要求，签订保密协议，并由中标人担保；招标人对于中标人提供的资料，不得以任何形式向第三方传播。保密期限不受本项目期限的限制，在本项目履行完毕后，保密信息接受方仍应承担保密义务。</w:t>
      </w:r>
    </w:p>
    <w:p>
      <w:pPr>
        <w:pStyle w:val="2"/>
        <w:keepNext w:val="0"/>
        <w:spacing w:before="0" w:after="0" w:line="360" w:lineRule="auto"/>
        <w:jc w:val="center"/>
        <w:rPr>
          <w:rFonts w:hint="eastAsia" w:ascii="宋体" w:hAnsi="宋体" w:eastAsia="宋体" w:cs="宋体"/>
          <w:b/>
          <w:bCs/>
          <w:sz w:val="24"/>
          <w:szCs w:val="24"/>
        </w:rPr>
      </w:pPr>
      <w:bookmarkStart w:id="43" w:name="_Toc22726"/>
      <w:r>
        <w:rPr>
          <w:rFonts w:hint="eastAsia" w:ascii="宋体" w:hAnsi="宋体" w:eastAsia="宋体" w:cs="宋体"/>
          <w:kern w:val="36"/>
          <w:sz w:val="24"/>
          <w:szCs w:val="24"/>
        </w:rPr>
        <w:t>7知识转移要求</w:t>
      </w:r>
      <w:bookmarkEnd w:id="43"/>
    </w:p>
    <w:p>
      <w:pPr>
        <w:pStyle w:val="13"/>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知识转移的目标是中标人要采取有效方法、途径保证招标人能顺利完成本项目实施过程中项目移交物的接收及技术知识的吸收和转移。</w:t>
      </w:r>
    </w:p>
    <w:p>
      <w:pPr>
        <w:pStyle w:val="13"/>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中标人须将项目相关知识（包括但不限于：本项目规划、部署实施步骤、项目涉及技术和经验、环境保障、质量保障、系统操作、培训课件等）通过培训和文档等形式转移给招标人。</w:t>
      </w:r>
    </w:p>
    <w:p>
      <w:pPr>
        <w:pStyle w:val="2"/>
        <w:keepNext w:val="0"/>
        <w:spacing w:before="0" w:after="0" w:line="360" w:lineRule="auto"/>
        <w:jc w:val="center"/>
        <w:rPr>
          <w:rFonts w:hint="eastAsia" w:ascii="宋体" w:hAnsi="宋体" w:eastAsia="宋体" w:cs="宋体"/>
          <w:b/>
          <w:bCs/>
          <w:sz w:val="24"/>
          <w:szCs w:val="24"/>
        </w:rPr>
      </w:pPr>
      <w:bookmarkStart w:id="44" w:name="_Toc27735"/>
      <w:r>
        <w:rPr>
          <w:rFonts w:hint="eastAsia" w:ascii="宋体" w:hAnsi="宋体" w:eastAsia="宋体" w:cs="宋体"/>
          <w:kern w:val="36"/>
          <w:sz w:val="24"/>
          <w:szCs w:val="24"/>
        </w:rPr>
        <w:t>8风险管控要求</w:t>
      </w:r>
      <w:bookmarkEnd w:id="44"/>
    </w:p>
    <w:p>
      <w:pPr>
        <w:pStyle w:val="3"/>
        <w:keepNext w:val="0"/>
        <w:spacing w:before="0" w:after="0" w:line="360" w:lineRule="auto"/>
        <w:ind w:left="0" w:firstLine="0"/>
        <w:outlineLvl w:val="0"/>
        <w:rPr>
          <w:rFonts w:hint="eastAsia" w:ascii="宋体" w:hAnsi="宋体" w:eastAsia="宋体" w:cs="宋体"/>
          <w:b/>
          <w:bCs/>
          <w:sz w:val="24"/>
          <w:szCs w:val="24"/>
        </w:rPr>
      </w:pPr>
      <w:bookmarkStart w:id="45" w:name="_Toc26321"/>
      <w:r>
        <w:rPr>
          <w:rFonts w:hint="eastAsia" w:ascii="宋体" w:hAnsi="宋体" w:eastAsia="宋体" w:cs="宋体"/>
          <w:i w:val="0"/>
          <w:iCs w:val="0"/>
          <w:sz w:val="24"/>
          <w:szCs w:val="24"/>
        </w:rPr>
        <w:t>8.1 风险管控总体要求</w:t>
      </w:r>
      <w:bookmarkEnd w:id="45"/>
    </w:p>
    <w:p>
      <w:pPr>
        <w:pStyle w:val="13"/>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项目实施期间，供应商须做好本项目的各项安全保障工作，对人员管理、平台资源保密、信息安全等制定风险管控预案和防范措施。</w:t>
      </w:r>
    </w:p>
    <w:p>
      <w:pPr>
        <w:pStyle w:val="3"/>
        <w:keepNext w:val="0"/>
        <w:spacing w:before="0" w:after="0" w:line="360" w:lineRule="auto"/>
        <w:ind w:left="0" w:firstLine="0"/>
        <w:outlineLvl w:val="0"/>
        <w:rPr>
          <w:rFonts w:hint="eastAsia" w:ascii="宋体" w:hAnsi="宋体" w:eastAsia="宋体" w:cs="宋体"/>
          <w:b/>
          <w:bCs/>
          <w:sz w:val="24"/>
          <w:szCs w:val="24"/>
        </w:rPr>
      </w:pPr>
      <w:bookmarkStart w:id="46" w:name="_Toc16077"/>
      <w:r>
        <w:rPr>
          <w:rFonts w:hint="eastAsia" w:ascii="宋体" w:hAnsi="宋体" w:eastAsia="宋体" w:cs="宋体"/>
          <w:i w:val="0"/>
          <w:iCs w:val="0"/>
          <w:sz w:val="24"/>
          <w:szCs w:val="24"/>
        </w:rPr>
        <w:t>8.2 风险管控具体要求</w:t>
      </w:r>
      <w:bookmarkEnd w:id="46"/>
    </w:p>
    <w:p>
      <w:pPr>
        <w:pStyle w:val="4"/>
        <w:keepNext w:val="0"/>
        <w:spacing w:before="0" w:after="0" w:line="360" w:lineRule="auto"/>
        <w:ind w:left="0" w:firstLine="481" w:firstLineChars="200"/>
        <w:outlineLvl w:val="1"/>
        <w:rPr>
          <w:rFonts w:hint="eastAsia" w:ascii="宋体" w:hAnsi="宋体" w:eastAsia="宋体" w:cs="宋体"/>
          <w:b/>
          <w:bCs/>
          <w:sz w:val="24"/>
          <w:szCs w:val="24"/>
        </w:rPr>
      </w:pPr>
      <w:bookmarkStart w:id="47" w:name="_Toc27599"/>
      <w:r>
        <w:rPr>
          <w:rFonts w:hint="eastAsia" w:ascii="宋体" w:hAnsi="宋体" w:eastAsia="宋体" w:cs="宋体"/>
          <w:sz w:val="24"/>
          <w:szCs w:val="24"/>
        </w:rPr>
        <w:t>（1）安全风险管理</w:t>
      </w:r>
      <w:bookmarkEnd w:id="47"/>
    </w:p>
    <w:p>
      <w:pPr>
        <w:pStyle w:val="13"/>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供应商应充分预估项目实施中存在的安全风险，包括并不限于：参与项目人员人身伤害风险、本项目资源安全保密、信息安全保密要求等，制定可靠的安全保障措施。</w:t>
      </w:r>
    </w:p>
    <w:p>
      <w:pPr>
        <w:pStyle w:val="4"/>
        <w:keepNext w:val="0"/>
        <w:spacing w:before="0" w:after="0" w:line="360" w:lineRule="auto"/>
        <w:ind w:left="0" w:firstLine="481" w:firstLineChars="200"/>
        <w:outlineLvl w:val="1"/>
        <w:rPr>
          <w:rFonts w:hint="eastAsia" w:ascii="宋体" w:hAnsi="宋体" w:eastAsia="宋体" w:cs="宋体"/>
          <w:b/>
          <w:bCs/>
          <w:sz w:val="24"/>
          <w:szCs w:val="24"/>
        </w:rPr>
      </w:pPr>
      <w:bookmarkStart w:id="48" w:name="_Toc25690"/>
      <w:r>
        <w:rPr>
          <w:rFonts w:hint="eastAsia" w:ascii="宋体" w:hAnsi="宋体" w:eastAsia="宋体" w:cs="宋体"/>
          <w:sz w:val="24"/>
          <w:szCs w:val="24"/>
        </w:rPr>
        <w:t>（2）进度风险管理</w:t>
      </w:r>
      <w:bookmarkEnd w:id="48"/>
    </w:p>
    <w:p>
      <w:pPr>
        <w:pStyle w:val="13"/>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供应商应充分预估项目实施中存在的影响项目进度的风险，包括并不限于工作量变更、人员变更等，制定可靠的进度保障措施，确保项目按期完成。</w:t>
      </w:r>
    </w:p>
    <w:p>
      <w:pPr>
        <w:pStyle w:val="4"/>
        <w:keepNext w:val="0"/>
        <w:spacing w:before="0" w:after="0" w:line="360" w:lineRule="auto"/>
        <w:ind w:left="0" w:firstLine="481" w:firstLineChars="200"/>
        <w:outlineLvl w:val="1"/>
        <w:rPr>
          <w:rFonts w:hint="eastAsia" w:ascii="宋体" w:hAnsi="宋体" w:eastAsia="宋体" w:cs="宋体"/>
          <w:b/>
          <w:bCs/>
          <w:sz w:val="24"/>
          <w:szCs w:val="24"/>
        </w:rPr>
      </w:pPr>
      <w:bookmarkStart w:id="49" w:name="_Toc24756"/>
      <w:r>
        <w:rPr>
          <w:rFonts w:hint="eastAsia" w:ascii="宋体" w:hAnsi="宋体" w:eastAsia="宋体" w:cs="宋体"/>
          <w:sz w:val="24"/>
          <w:szCs w:val="24"/>
        </w:rPr>
        <w:t>（3）质量风险管理</w:t>
      </w:r>
      <w:bookmarkEnd w:id="49"/>
    </w:p>
    <w:p>
      <w:pPr>
        <w:pStyle w:val="13"/>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供应商应充分预估项目实施中的质量风险，严格按照招标人关于本项目有关要求，保质保量完成平台内容维护任务，制定可靠的质量控制措施。</w:t>
      </w:r>
    </w:p>
    <w:p>
      <w:pPr>
        <w:pStyle w:val="2"/>
        <w:keepNext w:val="0"/>
        <w:spacing w:before="0" w:after="0" w:line="360" w:lineRule="auto"/>
        <w:jc w:val="center"/>
        <w:rPr>
          <w:rFonts w:hint="eastAsia" w:ascii="宋体" w:hAnsi="宋体" w:eastAsia="宋体" w:cs="宋体"/>
          <w:b/>
          <w:bCs/>
          <w:sz w:val="24"/>
          <w:szCs w:val="24"/>
        </w:rPr>
      </w:pPr>
      <w:bookmarkStart w:id="50" w:name="_Toc19364"/>
      <w:r>
        <w:rPr>
          <w:rFonts w:hint="eastAsia" w:ascii="宋体" w:hAnsi="宋体" w:eastAsia="宋体" w:cs="宋体"/>
          <w:kern w:val="36"/>
          <w:sz w:val="24"/>
          <w:szCs w:val="24"/>
        </w:rPr>
        <w:t>9履约验收要求</w:t>
      </w:r>
      <w:bookmarkEnd w:id="50"/>
    </w:p>
    <w:p>
      <w:pPr>
        <w:pStyle w:val="3"/>
        <w:keepNext w:val="0"/>
        <w:spacing w:before="0" w:after="0" w:line="360" w:lineRule="auto"/>
        <w:outlineLvl w:val="0"/>
        <w:rPr>
          <w:rFonts w:hint="eastAsia" w:ascii="宋体" w:hAnsi="宋体" w:eastAsia="宋体" w:cs="宋体"/>
          <w:b/>
          <w:bCs/>
          <w:sz w:val="24"/>
          <w:szCs w:val="24"/>
        </w:rPr>
      </w:pPr>
      <w:bookmarkStart w:id="51" w:name="_Toc29964"/>
      <w:r>
        <w:rPr>
          <w:rFonts w:hint="eastAsia" w:ascii="宋体" w:hAnsi="宋体" w:eastAsia="宋体" w:cs="宋体"/>
          <w:i w:val="0"/>
          <w:iCs w:val="0"/>
          <w:sz w:val="24"/>
          <w:szCs w:val="24"/>
        </w:rPr>
        <w:t>9.1总体要求</w:t>
      </w:r>
      <w:bookmarkEnd w:id="51"/>
    </w:p>
    <w:tbl>
      <w:tblPr>
        <w:tblStyle w:val="9"/>
        <w:tblW w:w="5000" w:type="pct"/>
        <w:tblInd w:w="30" w:type="dxa"/>
        <w:tblLayout w:type="autofit"/>
        <w:tblCellMar>
          <w:top w:w="15" w:type="dxa"/>
          <w:left w:w="15" w:type="dxa"/>
          <w:bottom w:w="15" w:type="dxa"/>
          <w:right w:w="15" w:type="dxa"/>
        </w:tblCellMar>
      </w:tblPr>
      <w:tblGrid>
        <w:gridCol w:w="4535"/>
        <w:gridCol w:w="4535"/>
      </w:tblGrid>
      <w:tr>
        <w:tblPrEx>
          <w:tblCellMar>
            <w:top w:w="15" w:type="dxa"/>
            <w:left w:w="15" w:type="dxa"/>
            <w:bottom w:w="15" w:type="dxa"/>
            <w:right w:w="15" w:type="dxa"/>
          </w:tblCellMar>
        </w:tblPrEx>
        <w:tc>
          <w:tcPr>
            <w:tcW w:w="2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jc w:val="center"/>
              <w:rPr>
                <w:rFonts w:hint="eastAsia" w:ascii="宋体" w:hAnsi="宋体" w:eastAsia="宋体" w:cs="宋体"/>
                <w:b/>
                <w:bCs/>
                <w:i w:val="0"/>
                <w:iCs w:val="0"/>
                <w:smallCaps w:val="0"/>
                <w:color w:val="000000"/>
                <w:sz w:val="24"/>
                <w:szCs w:val="24"/>
              </w:rPr>
            </w:pPr>
            <w:r>
              <w:rPr>
                <w:rFonts w:hint="eastAsia" w:ascii="宋体" w:hAnsi="宋体" w:eastAsia="宋体" w:cs="宋体"/>
                <w:b/>
                <w:bCs/>
                <w:i w:val="0"/>
                <w:iCs w:val="0"/>
                <w:smallCaps w:val="0"/>
                <w:color w:val="000000"/>
                <w:sz w:val="24"/>
                <w:szCs w:val="24"/>
              </w:rPr>
              <w:t>验收名称</w:t>
            </w:r>
          </w:p>
        </w:tc>
        <w:tc>
          <w:tcPr>
            <w:tcW w:w="2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jc w:val="center"/>
              <w:rPr>
                <w:rFonts w:hint="eastAsia" w:ascii="宋体" w:hAnsi="宋体" w:eastAsia="宋体" w:cs="宋体"/>
                <w:b/>
                <w:bCs/>
                <w:i w:val="0"/>
                <w:iCs w:val="0"/>
                <w:smallCaps w:val="0"/>
                <w:color w:val="000000"/>
                <w:sz w:val="24"/>
                <w:szCs w:val="24"/>
              </w:rPr>
            </w:pPr>
            <w:r>
              <w:rPr>
                <w:rFonts w:hint="eastAsia" w:ascii="宋体" w:hAnsi="宋体" w:eastAsia="宋体" w:cs="宋体"/>
                <w:b/>
                <w:bCs/>
                <w:i w:val="0"/>
                <w:iCs w:val="0"/>
                <w:smallCaps w:val="0"/>
                <w:color w:val="000000"/>
                <w:sz w:val="24"/>
                <w:szCs w:val="24"/>
              </w:rPr>
              <w:t>验收要求</w:t>
            </w:r>
          </w:p>
        </w:tc>
      </w:tr>
      <w:tr>
        <w:tblPrEx>
          <w:tblCellMar>
            <w:top w:w="15" w:type="dxa"/>
            <w:left w:w="15" w:type="dxa"/>
            <w:bottom w:w="15" w:type="dxa"/>
            <w:right w:w="15" w:type="dxa"/>
          </w:tblCellMar>
        </w:tblPrEx>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第1次验收</w:t>
            </w:r>
          </w:p>
        </w:tc>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项目期满后，中标供应商已完成合同要求内容并提交项目交付物，采购方对中标供应商进行项目终期验收。</w:t>
            </w:r>
          </w:p>
        </w:tc>
      </w:tr>
    </w:tbl>
    <w:p>
      <w:pPr>
        <w:pStyle w:val="3"/>
        <w:keepNext w:val="0"/>
        <w:spacing w:before="0" w:after="0" w:line="360" w:lineRule="auto"/>
        <w:outlineLvl w:val="0"/>
        <w:rPr>
          <w:rFonts w:hint="eastAsia" w:ascii="宋体" w:hAnsi="宋体" w:eastAsia="宋体" w:cs="宋体"/>
          <w:b/>
          <w:bCs/>
          <w:sz w:val="24"/>
          <w:szCs w:val="24"/>
        </w:rPr>
      </w:pPr>
      <w:bookmarkStart w:id="52" w:name="_Toc23448"/>
      <w:r>
        <w:rPr>
          <w:rFonts w:hint="eastAsia" w:ascii="宋体" w:hAnsi="宋体" w:eastAsia="宋体" w:cs="宋体"/>
          <w:i w:val="0"/>
          <w:iCs w:val="0"/>
          <w:sz w:val="24"/>
          <w:szCs w:val="24"/>
        </w:rPr>
        <w:t>9.2具体要求</w:t>
      </w:r>
      <w:bookmarkEnd w:id="52"/>
    </w:p>
    <w:p>
      <w:pPr>
        <w:pStyle w:val="4"/>
        <w:keepNext w:val="0"/>
        <w:spacing w:before="0" w:after="0" w:line="360" w:lineRule="auto"/>
        <w:outlineLvl w:val="1"/>
        <w:rPr>
          <w:rFonts w:hint="eastAsia" w:ascii="宋体" w:hAnsi="宋体" w:eastAsia="宋体" w:cs="宋体"/>
          <w:b/>
          <w:bCs/>
          <w:sz w:val="24"/>
          <w:szCs w:val="24"/>
        </w:rPr>
      </w:pPr>
      <w:bookmarkStart w:id="53" w:name="_Toc23386"/>
      <w:r>
        <w:rPr>
          <w:rFonts w:hint="eastAsia" w:ascii="宋体" w:hAnsi="宋体" w:eastAsia="宋体" w:cs="宋体"/>
          <w:sz w:val="24"/>
          <w:szCs w:val="24"/>
        </w:rPr>
        <w:t>9.2.1 验收主要内容</w:t>
      </w:r>
      <w:bookmarkEnd w:id="53"/>
    </w:p>
    <w:p>
      <w:pPr>
        <w:pStyle w:val="13"/>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中标人应在项目验收时提供相关的验收资料，提交项目验收相关产出物。验收过程中，中标人应完成汇报并回答招标人质询。验收使用的各类支撑工具应保证招标人在全系统合法使用，中标人承担由于知识产权等纠纷导致的所有责任。需要委托第三方机构进行测试的，费用由中标人承担。</w:t>
      </w:r>
    </w:p>
    <w:p>
      <w:pPr>
        <w:pStyle w:val="4"/>
        <w:keepNext w:val="0"/>
        <w:spacing w:before="0" w:after="0" w:line="360" w:lineRule="auto"/>
        <w:outlineLvl w:val="1"/>
        <w:rPr>
          <w:rFonts w:hint="eastAsia" w:ascii="宋体" w:hAnsi="宋体" w:eastAsia="宋体" w:cs="宋体"/>
          <w:b/>
          <w:bCs/>
          <w:sz w:val="24"/>
          <w:szCs w:val="24"/>
        </w:rPr>
      </w:pPr>
      <w:bookmarkStart w:id="54" w:name="_Toc28370"/>
      <w:r>
        <w:rPr>
          <w:rFonts w:hint="eastAsia" w:ascii="宋体" w:hAnsi="宋体" w:eastAsia="宋体" w:cs="宋体"/>
          <w:sz w:val="24"/>
          <w:szCs w:val="24"/>
        </w:rPr>
        <w:t>9.2.2 验收要求</w:t>
      </w:r>
      <w:bookmarkEnd w:id="54"/>
    </w:p>
    <w:p>
      <w:pPr>
        <w:pStyle w:val="13"/>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中标人需要以下条件均满足才可申请项目验收：项目期满、合同约束内容已完成、交付项目和文档。</w:t>
      </w:r>
    </w:p>
    <w:p>
      <w:pPr>
        <w:pStyle w:val="13"/>
        <w:spacing w:before="0" w:after="0" w:line="360" w:lineRule="auto"/>
        <w:rPr>
          <w:rFonts w:hint="eastAsia" w:ascii="宋体" w:hAnsi="宋体" w:eastAsia="宋体" w:cs="宋体"/>
          <w:sz w:val="24"/>
          <w:szCs w:val="24"/>
        </w:rPr>
      </w:pPr>
      <w:r>
        <w:rPr>
          <w:rFonts w:hint="eastAsia" w:ascii="宋体" w:hAnsi="宋体" w:eastAsia="宋体" w:cs="宋体"/>
          <w:sz w:val="24"/>
          <w:szCs w:val="24"/>
        </w:rPr>
        <w:t>在收到中标人验收申请后，招标人可组成验收组，对整体工作进行验收。中标人须配合招标人进行验收：中标人应根据验收要求以及验收工作的内容，协助制定验收方案。协助招标人全面、准确验证系统的各项功能模块是否达到标准。协助招标人全面、准确验证系统的各项性能是否能达到要求。中标人应对验收中发现问题制定详细明确的处理方案并及时修改。中标人必须按招标人要求提交移交物清单及清单所列内容的最终版本（包括纸制和电子版），并经招标人签字确认。中标人所移交的系统版本必须与上线运行的最终版本相一致。中标人协助编写验收报告等文档。</w:t>
      </w:r>
    </w:p>
    <w:p>
      <w:pPr>
        <w:pStyle w:val="4"/>
        <w:keepNext w:val="0"/>
        <w:spacing w:before="0" w:after="0" w:line="360" w:lineRule="auto"/>
        <w:outlineLvl w:val="1"/>
        <w:rPr>
          <w:rFonts w:hint="eastAsia" w:ascii="宋体" w:hAnsi="宋体" w:eastAsia="宋体" w:cs="宋体"/>
          <w:b/>
          <w:bCs/>
          <w:sz w:val="24"/>
          <w:szCs w:val="24"/>
        </w:rPr>
      </w:pPr>
      <w:bookmarkStart w:id="55" w:name="_Toc13668"/>
      <w:r>
        <w:rPr>
          <w:rFonts w:hint="eastAsia" w:ascii="宋体" w:hAnsi="宋体" w:eastAsia="宋体" w:cs="宋体"/>
          <w:sz w:val="24"/>
          <w:szCs w:val="24"/>
        </w:rPr>
        <w:t>9.2.3 交付物验收</w:t>
      </w:r>
      <w:bookmarkEnd w:id="55"/>
    </w:p>
    <w:p>
      <w:pPr>
        <w:pStyle w:val="13"/>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文档齐全。</w:t>
      </w:r>
    </w:p>
    <w:p>
      <w:pPr>
        <w:pStyle w:val="13"/>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文档内容描述准确，没有歧义和错误的表达。</w:t>
      </w:r>
    </w:p>
    <w:p>
      <w:pPr>
        <w:pStyle w:val="13"/>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文档内容容易理解，通过使用适当的术语、图形表示、详细的解释来表达。</w:t>
      </w:r>
    </w:p>
    <w:p>
      <w:pPr>
        <w:pStyle w:val="13"/>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文档对主要功能和关键操作尽量提供应用实例。</w:t>
      </w:r>
    </w:p>
    <w:p>
      <w:pPr>
        <w:pStyle w:val="13"/>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中标方提交的交付物为各种实施过程文档以及相关产出物，包括但不限于以下内容（招标人可根据具体情况进行调整）：</w:t>
      </w:r>
    </w:p>
    <w:p>
      <w:pPr>
        <w:pStyle w:val="13"/>
        <w:spacing w:before="0" w:after="0" w:line="360" w:lineRule="auto"/>
        <w:rPr>
          <w:rFonts w:hint="eastAsia" w:ascii="宋体" w:hAnsi="宋体" w:eastAsia="宋体" w:cs="宋体"/>
          <w:sz w:val="24"/>
          <w:szCs w:val="24"/>
        </w:rPr>
      </w:pPr>
      <w:r>
        <w:rPr>
          <w:rFonts w:hint="eastAsia" w:ascii="宋体" w:hAnsi="宋体" w:eastAsia="宋体" w:cs="宋体"/>
          <w:sz w:val="24"/>
          <w:szCs w:val="24"/>
        </w:rPr>
        <w:t> </w:t>
      </w: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供应商在项目完成后提供该项目所有相关过程资产，提供的过程资产包括但不限于本节“最终交付物”所列的产出物。采购人将定期对文档产出物的质量进行评价，并纳入考核。</w:t>
      </w:r>
    </w:p>
    <w:p>
      <w:pPr>
        <w:pStyle w:val="18"/>
        <w:spacing w:before="0" w:after="0" w:line="360" w:lineRule="auto"/>
        <w:rPr>
          <w:rFonts w:hint="eastAsia" w:ascii="宋体" w:hAnsi="宋体" w:eastAsia="宋体" w:cs="宋体"/>
          <w:sz w:val="24"/>
          <w:szCs w:val="24"/>
        </w:rPr>
      </w:pPr>
      <w:r>
        <w:rPr>
          <w:rFonts w:hint="eastAsia" w:ascii="宋体" w:hAnsi="宋体" w:eastAsia="宋体" w:cs="宋体"/>
          <w:sz w:val="24"/>
          <w:szCs w:val="24"/>
        </w:rPr>
        <w:t> </w:t>
      </w:r>
    </w:p>
    <w:p>
      <w:pPr>
        <w:pStyle w:val="5"/>
        <w:keepNext w:val="0"/>
        <w:spacing w:before="0" w:after="0" w:line="360" w:lineRule="auto"/>
        <w:ind w:firstLine="481" w:firstLineChars="200"/>
        <w:rPr>
          <w:rFonts w:hint="eastAsia" w:ascii="宋体" w:hAnsi="宋体" w:eastAsia="宋体" w:cs="宋体"/>
          <w:b/>
          <w:bCs/>
          <w:sz w:val="24"/>
          <w:szCs w:val="24"/>
        </w:rPr>
      </w:pPr>
      <w:r>
        <w:rPr>
          <w:rFonts w:hint="eastAsia" w:ascii="宋体" w:hAnsi="宋体" w:eastAsia="宋体" w:cs="宋体"/>
          <w:sz w:val="24"/>
          <w:szCs w:val="24"/>
        </w:rPr>
        <w:t>最终交付物</w:t>
      </w:r>
    </w:p>
    <w:p>
      <w:pPr>
        <w:pStyle w:val="13"/>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下表列出了在本项目实施阶段中的主要交付物：</w:t>
      </w:r>
    </w:p>
    <w:tbl>
      <w:tblPr>
        <w:tblStyle w:val="19"/>
        <w:tblW w:w="4998" w:type="pct"/>
        <w:jc w:val="center"/>
        <w:tblCellSpacing w:w="15" w:type="dxa"/>
        <w:tblLayout w:type="autofit"/>
        <w:tblCellMar>
          <w:top w:w="15" w:type="dxa"/>
          <w:left w:w="15" w:type="dxa"/>
          <w:bottom w:w="15" w:type="dxa"/>
          <w:right w:w="15" w:type="dxa"/>
        </w:tblCellMar>
      </w:tblPr>
      <w:tblGrid>
        <w:gridCol w:w="2318"/>
        <w:gridCol w:w="1920"/>
        <w:gridCol w:w="1751"/>
        <w:gridCol w:w="3389"/>
      </w:tblGrid>
      <w:tr>
        <w:tblPrEx>
          <w:tblCellMar>
            <w:top w:w="15" w:type="dxa"/>
            <w:left w:w="15" w:type="dxa"/>
            <w:bottom w:w="15" w:type="dxa"/>
            <w:right w:w="15" w:type="dxa"/>
          </w:tblCellMar>
        </w:tblPrEx>
        <w:trPr>
          <w:cantSplit/>
          <w:trHeight w:val="395" w:hRule="atLeast"/>
          <w:tblCellSpacing w:w="15" w:type="dxa"/>
          <w:jc w:val="center"/>
        </w:trPr>
        <w:tc>
          <w:tcPr>
            <w:tcW w:w="1212" w:type="pct"/>
            <w:tcBorders>
              <w:top w:val="single" w:color="000000" w:sz="8" w:space="0"/>
              <w:left w:val="single" w:color="000000" w:sz="8" w:space="0"/>
              <w:bottom w:val="single" w:color="000000" w:sz="8" w:space="0"/>
              <w:right w:val="single" w:color="000000" w:sz="8" w:space="0"/>
            </w:tcBorders>
            <w:noWrap w:val="0"/>
            <w:tcMar>
              <w:top w:w="0" w:type="dxa"/>
              <w:left w:w="128" w:type="dxa"/>
              <w:bottom w:w="0" w:type="dxa"/>
              <w:right w:w="128" w:type="dxa"/>
            </w:tcMar>
            <w:vAlign w:val="center"/>
          </w:tcPr>
          <w:p>
            <w:pPr>
              <w:pStyle w:val="18"/>
              <w:jc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文档名称</w:t>
            </w:r>
          </w:p>
        </w:tc>
        <w:tc>
          <w:tcPr>
            <w:tcW w:w="1007" w:type="pct"/>
            <w:tcBorders>
              <w:top w:val="single" w:color="000000" w:sz="8" w:space="0"/>
              <w:bottom w:val="single" w:color="000000" w:sz="8" w:space="0"/>
              <w:right w:val="single" w:color="000000" w:sz="8" w:space="0"/>
            </w:tcBorders>
            <w:noWrap w:val="0"/>
            <w:tcMar>
              <w:top w:w="0" w:type="dxa"/>
              <w:left w:w="108" w:type="dxa"/>
              <w:bottom w:w="0" w:type="dxa"/>
              <w:right w:w="128" w:type="dxa"/>
            </w:tcMar>
            <w:vAlign w:val="center"/>
          </w:tcPr>
          <w:p>
            <w:pPr>
              <w:pStyle w:val="18"/>
              <w:jc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介质</w:t>
            </w:r>
          </w:p>
        </w:tc>
        <w:tc>
          <w:tcPr>
            <w:tcW w:w="917" w:type="pct"/>
            <w:tcBorders>
              <w:top w:val="single" w:color="000000" w:sz="8" w:space="0"/>
              <w:bottom w:val="single" w:color="000000" w:sz="8" w:space="0"/>
              <w:right w:val="single" w:color="000000" w:sz="8" w:space="0"/>
            </w:tcBorders>
            <w:noWrap w:val="0"/>
            <w:tcMar>
              <w:top w:w="0" w:type="dxa"/>
              <w:left w:w="108" w:type="dxa"/>
              <w:bottom w:w="0" w:type="dxa"/>
              <w:right w:w="128" w:type="dxa"/>
            </w:tcMar>
            <w:vAlign w:val="center"/>
          </w:tcPr>
          <w:p>
            <w:pPr>
              <w:pStyle w:val="18"/>
              <w:jc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产生阶段</w:t>
            </w:r>
          </w:p>
        </w:tc>
        <w:tc>
          <w:tcPr>
            <w:tcW w:w="1782" w:type="pct"/>
            <w:tcBorders>
              <w:top w:val="single" w:color="000000" w:sz="8" w:space="0"/>
              <w:bottom w:val="single" w:color="000000" w:sz="8" w:space="0"/>
              <w:right w:val="single" w:color="000000" w:sz="8" w:space="0"/>
            </w:tcBorders>
            <w:noWrap w:val="0"/>
            <w:tcMar>
              <w:top w:w="0" w:type="dxa"/>
              <w:left w:w="108" w:type="dxa"/>
              <w:bottom w:w="0" w:type="dxa"/>
              <w:right w:w="128" w:type="dxa"/>
            </w:tcMar>
            <w:vAlign w:val="center"/>
          </w:tcPr>
          <w:p>
            <w:pPr>
              <w:pStyle w:val="18"/>
              <w:jc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备注</w:t>
            </w:r>
          </w:p>
        </w:tc>
      </w:tr>
      <w:tr>
        <w:tblPrEx>
          <w:tblCellMar>
            <w:top w:w="15" w:type="dxa"/>
            <w:left w:w="15" w:type="dxa"/>
            <w:bottom w:w="15" w:type="dxa"/>
            <w:right w:w="15" w:type="dxa"/>
          </w:tblCellMar>
        </w:tblPrEx>
        <w:trPr>
          <w:cantSplit/>
          <w:tblCellSpacing w:w="15" w:type="dxa"/>
          <w:jc w:val="center"/>
        </w:trPr>
        <w:tc>
          <w:tcPr>
            <w:tcW w:w="1212" w:type="pct"/>
            <w:tcBorders>
              <w:left w:val="single" w:color="000000" w:sz="8" w:space="0"/>
              <w:bottom w:val="single" w:color="000000" w:sz="8" w:space="0"/>
              <w:right w:val="single" w:color="000000" w:sz="8" w:space="0"/>
            </w:tcBorders>
            <w:noWrap w:val="0"/>
            <w:tcMar>
              <w:top w:w="0" w:type="dxa"/>
              <w:left w:w="128" w:type="dxa"/>
              <w:bottom w:w="0" w:type="dxa"/>
              <w:right w:w="128" w:type="dxa"/>
            </w:tcMar>
            <w:vAlign w:val="center"/>
          </w:tcPr>
          <w:p>
            <w:pPr>
              <w:pStyle w:val="18"/>
              <w:jc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月度服务报告</w:t>
            </w:r>
          </w:p>
        </w:tc>
        <w:tc>
          <w:tcPr>
            <w:tcW w:w="1007" w:type="pct"/>
            <w:tcBorders>
              <w:bottom w:val="single" w:color="000000" w:sz="8" w:space="0"/>
              <w:right w:val="single" w:color="000000" w:sz="8" w:space="0"/>
            </w:tcBorders>
            <w:noWrap w:val="0"/>
            <w:tcMar>
              <w:top w:w="0" w:type="dxa"/>
              <w:left w:w="108" w:type="dxa"/>
              <w:bottom w:w="0" w:type="dxa"/>
              <w:right w:w="128" w:type="dxa"/>
            </w:tcMar>
            <w:vAlign w:val="center"/>
          </w:tcPr>
          <w:p>
            <w:pPr>
              <w:pStyle w:val="18"/>
              <w:jc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电子及纸质</w:t>
            </w:r>
          </w:p>
        </w:tc>
        <w:tc>
          <w:tcPr>
            <w:tcW w:w="917" w:type="pct"/>
            <w:tcBorders>
              <w:bottom w:val="single" w:color="000000" w:sz="8" w:space="0"/>
              <w:right w:val="single" w:color="000000" w:sz="8" w:space="0"/>
            </w:tcBorders>
            <w:noWrap w:val="0"/>
            <w:tcMar>
              <w:top w:w="0" w:type="dxa"/>
              <w:left w:w="108" w:type="dxa"/>
              <w:bottom w:w="0" w:type="dxa"/>
              <w:right w:w="128" w:type="dxa"/>
            </w:tcMar>
            <w:vAlign w:val="center"/>
          </w:tcPr>
          <w:p>
            <w:pPr>
              <w:pStyle w:val="18"/>
              <w:jc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咨询服务</w:t>
            </w:r>
          </w:p>
        </w:tc>
        <w:tc>
          <w:tcPr>
            <w:tcW w:w="1782" w:type="pct"/>
            <w:tcBorders>
              <w:bottom w:val="single" w:color="000000" w:sz="8" w:space="0"/>
              <w:right w:val="single" w:color="000000" w:sz="8" w:space="0"/>
            </w:tcBorders>
            <w:noWrap w:val="0"/>
            <w:tcMar>
              <w:top w:w="0" w:type="dxa"/>
              <w:left w:w="108" w:type="dxa"/>
              <w:bottom w:w="0" w:type="dxa"/>
              <w:right w:w="128" w:type="dxa"/>
            </w:tcMar>
            <w:vAlign w:val="center"/>
          </w:tcPr>
          <w:p>
            <w:pPr>
              <w:pStyle w:val="18"/>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每月服务内容，数量，常见问题</w:t>
            </w:r>
          </w:p>
        </w:tc>
      </w:tr>
      <w:tr>
        <w:tblPrEx>
          <w:tblCellMar>
            <w:top w:w="15" w:type="dxa"/>
            <w:left w:w="15" w:type="dxa"/>
            <w:bottom w:w="15" w:type="dxa"/>
            <w:right w:w="15" w:type="dxa"/>
          </w:tblCellMar>
        </w:tblPrEx>
        <w:trPr>
          <w:cantSplit/>
          <w:tblCellSpacing w:w="15" w:type="dxa"/>
          <w:jc w:val="center"/>
        </w:trPr>
        <w:tc>
          <w:tcPr>
            <w:tcW w:w="1212" w:type="pct"/>
            <w:tcBorders>
              <w:left w:val="single" w:color="000000" w:sz="8" w:space="0"/>
              <w:bottom w:val="single" w:color="000000" w:sz="8" w:space="0"/>
              <w:right w:val="single" w:color="000000" w:sz="8" w:space="0"/>
            </w:tcBorders>
            <w:noWrap w:val="0"/>
            <w:tcMar>
              <w:top w:w="0" w:type="dxa"/>
              <w:left w:w="128" w:type="dxa"/>
              <w:bottom w:w="0" w:type="dxa"/>
              <w:right w:w="128" w:type="dxa"/>
            </w:tcMar>
            <w:vAlign w:val="center"/>
          </w:tcPr>
          <w:p>
            <w:pPr>
              <w:pStyle w:val="18"/>
              <w:jc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季度服务总结</w:t>
            </w:r>
          </w:p>
        </w:tc>
        <w:tc>
          <w:tcPr>
            <w:tcW w:w="1007" w:type="pct"/>
            <w:tcBorders>
              <w:bottom w:val="single" w:color="000000" w:sz="8" w:space="0"/>
              <w:right w:val="single" w:color="000000" w:sz="8" w:space="0"/>
            </w:tcBorders>
            <w:noWrap w:val="0"/>
            <w:tcMar>
              <w:top w:w="0" w:type="dxa"/>
              <w:left w:w="108" w:type="dxa"/>
              <w:bottom w:w="0" w:type="dxa"/>
              <w:right w:w="128" w:type="dxa"/>
            </w:tcMar>
            <w:vAlign w:val="center"/>
          </w:tcPr>
          <w:p>
            <w:pPr>
              <w:pStyle w:val="18"/>
              <w:jc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电子及纸质</w:t>
            </w:r>
          </w:p>
        </w:tc>
        <w:tc>
          <w:tcPr>
            <w:tcW w:w="917" w:type="pct"/>
            <w:tcBorders>
              <w:bottom w:val="single" w:color="000000" w:sz="8" w:space="0"/>
              <w:right w:val="single" w:color="000000" w:sz="8" w:space="0"/>
            </w:tcBorders>
            <w:noWrap w:val="0"/>
            <w:tcMar>
              <w:top w:w="0" w:type="dxa"/>
              <w:left w:w="108" w:type="dxa"/>
              <w:bottom w:w="0" w:type="dxa"/>
              <w:right w:w="128" w:type="dxa"/>
            </w:tcMar>
            <w:vAlign w:val="center"/>
          </w:tcPr>
          <w:p>
            <w:pPr>
              <w:pStyle w:val="18"/>
              <w:jc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咨询服务</w:t>
            </w:r>
          </w:p>
        </w:tc>
        <w:tc>
          <w:tcPr>
            <w:tcW w:w="1782" w:type="pct"/>
            <w:tcBorders>
              <w:bottom w:val="single" w:color="000000" w:sz="8" w:space="0"/>
              <w:right w:val="single" w:color="000000" w:sz="8" w:space="0"/>
            </w:tcBorders>
            <w:noWrap w:val="0"/>
            <w:tcMar>
              <w:top w:w="0" w:type="dxa"/>
              <w:left w:w="108" w:type="dxa"/>
              <w:bottom w:w="0" w:type="dxa"/>
              <w:right w:w="128" w:type="dxa"/>
            </w:tcMar>
            <w:vAlign w:val="center"/>
          </w:tcPr>
          <w:p>
            <w:pPr>
              <w:pStyle w:val="18"/>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季度服务工作总结</w:t>
            </w:r>
          </w:p>
        </w:tc>
      </w:tr>
      <w:tr>
        <w:tblPrEx>
          <w:tblCellMar>
            <w:top w:w="15" w:type="dxa"/>
            <w:left w:w="15" w:type="dxa"/>
            <w:bottom w:w="15" w:type="dxa"/>
            <w:right w:w="15" w:type="dxa"/>
          </w:tblCellMar>
        </w:tblPrEx>
        <w:trPr>
          <w:cantSplit/>
          <w:tblCellSpacing w:w="15" w:type="dxa"/>
          <w:jc w:val="center"/>
        </w:trPr>
        <w:tc>
          <w:tcPr>
            <w:tcW w:w="1212" w:type="pct"/>
            <w:tcBorders>
              <w:left w:val="single" w:color="000000" w:sz="8" w:space="0"/>
              <w:bottom w:val="single" w:color="000000" w:sz="8" w:space="0"/>
              <w:right w:val="single" w:color="000000" w:sz="8" w:space="0"/>
            </w:tcBorders>
            <w:noWrap w:val="0"/>
            <w:tcMar>
              <w:top w:w="0" w:type="dxa"/>
              <w:left w:w="128" w:type="dxa"/>
              <w:bottom w:w="0" w:type="dxa"/>
              <w:right w:w="128" w:type="dxa"/>
            </w:tcMar>
            <w:vAlign w:val="center"/>
          </w:tcPr>
          <w:p>
            <w:pPr>
              <w:pStyle w:val="18"/>
              <w:jc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年度服务总结</w:t>
            </w:r>
          </w:p>
        </w:tc>
        <w:tc>
          <w:tcPr>
            <w:tcW w:w="1007" w:type="pct"/>
            <w:tcBorders>
              <w:bottom w:val="single" w:color="000000" w:sz="8" w:space="0"/>
              <w:right w:val="single" w:color="000000" w:sz="8" w:space="0"/>
            </w:tcBorders>
            <w:noWrap w:val="0"/>
            <w:tcMar>
              <w:top w:w="0" w:type="dxa"/>
              <w:left w:w="108" w:type="dxa"/>
              <w:bottom w:w="0" w:type="dxa"/>
              <w:right w:w="128" w:type="dxa"/>
            </w:tcMar>
            <w:vAlign w:val="center"/>
          </w:tcPr>
          <w:p>
            <w:pPr>
              <w:pStyle w:val="18"/>
              <w:jc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电子及纸质</w:t>
            </w:r>
          </w:p>
        </w:tc>
        <w:tc>
          <w:tcPr>
            <w:tcW w:w="917" w:type="pct"/>
            <w:tcBorders>
              <w:bottom w:val="single" w:color="000000" w:sz="8" w:space="0"/>
              <w:right w:val="single" w:color="000000" w:sz="8" w:space="0"/>
            </w:tcBorders>
            <w:noWrap w:val="0"/>
            <w:tcMar>
              <w:top w:w="0" w:type="dxa"/>
              <w:left w:w="108" w:type="dxa"/>
              <w:bottom w:w="0" w:type="dxa"/>
              <w:right w:w="128" w:type="dxa"/>
            </w:tcMar>
            <w:vAlign w:val="center"/>
          </w:tcPr>
          <w:p>
            <w:pPr>
              <w:pStyle w:val="18"/>
              <w:jc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咨询服务</w:t>
            </w:r>
          </w:p>
        </w:tc>
        <w:tc>
          <w:tcPr>
            <w:tcW w:w="1782" w:type="pct"/>
            <w:tcBorders>
              <w:bottom w:val="single" w:color="000000" w:sz="8" w:space="0"/>
              <w:right w:val="single" w:color="000000" w:sz="8" w:space="0"/>
            </w:tcBorders>
            <w:noWrap w:val="0"/>
            <w:tcMar>
              <w:top w:w="0" w:type="dxa"/>
              <w:left w:w="108" w:type="dxa"/>
              <w:bottom w:w="0" w:type="dxa"/>
              <w:right w:w="128" w:type="dxa"/>
            </w:tcMar>
            <w:vAlign w:val="center"/>
          </w:tcPr>
          <w:p>
            <w:pPr>
              <w:pStyle w:val="18"/>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年度服务总结</w:t>
            </w:r>
          </w:p>
        </w:tc>
      </w:tr>
    </w:tbl>
    <w:p>
      <w:pPr>
        <w:pStyle w:val="20"/>
        <w:spacing w:before="0" w:after="0" w:line="360" w:lineRule="auto"/>
        <w:ind w:firstLine="640"/>
        <w:rPr>
          <w:rFonts w:hint="eastAsia" w:ascii="宋体" w:hAnsi="宋体" w:eastAsia="宋体" w:cs="宋体"/>
          <w:sz w:val="24"/>
          <w:szCs w:val="24"/>
        </w:rPr>
      </w:pPr>
      <w:r>
        <w:rPr>
          <w:rFonts w:hint="eastAsia" w:ascii="宋体" w:hAnsi="宋体" w:eastAsia="宋体" w:cs="宋体"/>
          <w:sz w:val="24"/>
          <w:szCs w:val="24"/>
        </w:rPr>
        <w:t> </w:t>
      </w:r>
    </w:p>
    <w:p>
      <w:pPr>
        <w:pStyle w:val="14"/>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项目资料完整准确，符合成套性要求，须经招标人审核通过。</w:t>
      </w:r>
    </w:p>
    <w:p>
      <w:pPr>
        <w:pStyle w:val="2"/>
        <w:keepNext w:val="0"/>
        <w:spacing w:before="0" w:after="0" w:line="360" w:lineRule="auto"/>
        <w:jc w:val="center"/>
        <w:rPr>
          <w:rFonts w:hint="eastAsia" w:ascii="宋体" w:hAnsi="宋体" w:eastAsia="宋体" w:cs="宋体"/>
          <w:b/>
          <w:bCs/>
          <w:sz w:val="24"/>
          <w:szCs w:val="24"/>
        </w:rPr>
      </w:pPr>
      <w:bookmarkStart w:id="56" w:name="_Toc29485"/>
      <w:r>
        <w:rPr>
          <w:rFonts w:hint="eastAsia" w:ascii="宋体" w:hAnsi="宋体" w:eastAsia="宋体" w:cs="宋体"/>
          <w:kern w:val="36"/>
          <w:sz w:val="24"/>
          <w:szCs w:val="24"/>
        </w:rPr>
        <w:t>10其他要求</w:t>
      </w:r>
      <w:bookmarkEnd w:id="56"/>
    </w:p>
    <w:p>
      <w:pPr>
        <w:pStyle w:val="3"/>
        <w:keepNext w:val="0"/>
        <w:spacing w:before="0" w:after="0" w:line="360" w:lineRule="auto"/>
        <w:outlineLvl w:val="0"/>
        <w:rPr>
          <w:rFonts w:hint="eastAsia" w:ascii="宋体" w:hAnsi="宋体" w:eastAsia="宋体" w:cs="宋体"/>
          <w:b/>
          <w:bCs/>
          <w:sz w:val="24"/>
          <w:szCs w:val="24"/>
        </w:rPr>
      </w:pPr>
      <w:bookmarkStart w:id="57" w:name="_Toc2048"/>
      <w:r>
        <w:rPr>
          <w:rFonts w:hint="eastAsia" w:ascii="宋体" w:hAnsi="宋体" w:eastAsia="宋体" w:cs="宋体"/>
          <w:i w:val="0"/>
          <w:iCs w:val="0"/>
          <w:sz w:val="24"/>
          <w:szCs w:val="24"/>
        </w:rPr>
        <w:t>10.1必备要求</w:t>
      </w:r>
      <w:bookmarkEnd w:id="57"/>
    </w:p>
    <w:p>
      <w:pPr>
        <w:pStyle w:val="4"/>
        <w:keepNext w:val="0"/>
        <w:spacing w:before="0" w:after="0" w:line="360" w:lineRule="auto"/>
        <w:outlineLvl w:val="1"/>
        <w:rPr>
          <w:rFonts w:hint="eastAsia" w:ascii="宋体" w:hAnsi="宋体" w:eastAsia="宋体" w:cs="宋体"/>
          <w:b/>
          <w:bCs/>
          <w:sz w:val="24"/>
          <w:szCs w:val="24"/>
        </w:rPr>
      </w:pPr>
      <w:bookmarkStart w:id="58" w:name="_Toc5872"/>
      <w:r>
        <w:rPr>
          <w:rFonts w:hint="eastAsia" w:ascii="宋体" w:hAnsi="宋体" w:eastAsia="宋体" w:cs="宋体"/>
          <w:sz w:val="24"/>
          <w:szCs w:val="24"/>
        </w:rPr>
        <w:t>10.1.1★税务信息化服务商廉政相关要求和签订廉政承诺书</w:t>
      </w:r>
      <w:bookmarkEnd w:id="58"/>
    </w:p>
    <w:p>
      <w:pPr>
        <w:pStyle w:val="16"/>
        <w:spacing w:before="0" w:after="0" w:line="360" w:lineRule="auto"/>
        <w:ind w:firstLine="480"/>
        <w:jc w:val="both"/>
        <w:rPr>
          <w:rFonts w:hint="eastAsia" w:ascii="宋体" w:hAnsi="宋体" w:eastAsia="宋体" w:cs="宋体"/>
          <w:sz w:val="24"/>
          <w:szCs w:val="24"/>
        </w:rPr>
      </w:pPr>
      <w:r>
        <w:rPr>
          <w:rFonts w:hint="eastAsia" w:ascii="宋体" w:hAnsi="宋体" w:eastAsia="宋体" w:cs="宋体"/>
          <w:sz w:val="24"/>
          <w:szCs w:val="24"/>
        </w:rPr>
        <w:t>（1）税务信息化服务商廉政相关要求</w:t>
      </w:r>
    </w:p>
    <w:p>
      <w:pPr>
        <w:pStyle w:val="16"/>
        <w:spacing w:before="0" w:after="0" w:line="360" w:lineRule="auto"/>
        <w:ind w:firstLine="480"/>
        <w:jc w:val="both"/>
        <w:rPr>
          <w:rFonts w:hint="eastAsia" w:ascii="宋体" w:hAnsi="宋体" w:eastAsia="宋体" w:cs="宋体"/>
          <w:sz w:val="24"/>
          <w:szCs w:val="24"/>
        </w:rPr>
      </w:pPr>
      <w:r>
        <w:rPr>
          <w:rFonts w:hint="eastAsia" w:ascii="宋体" w:hAnsi="宋体" w:eastAsia="宋体" w:cs="宋体"/>
          <w:sz w:val="24"/>
          <w:szCs w:val="24"/>
        </w:rPr>
        <w:t>为进一步落实全面从严治党要求，构建亲清新型政商关系，加强税务信息化项目建设过程中的党风廉政建设和反腐败工作，确保项目建设规范、廉洁推进，中标人在参与税务部门信息化项目工作过程中，需严格遵守法律法规、规范履行合同，积极协助税务部门开展廉政风险防控工作。请严格遵守并落实如下要求：</w:t>
      </w:r>
    </w:p>
    <w:p>
      <w:pPr>
        <w:pStyle w:val="16"/>
        <w:spacing w:before="0" w:after="0" w:line="360" w:lineRule="auto"/>
        <w:ind w:firstLine="480"/>
        <w:jc w:val="both"/>
        <w:rPr>
          <w:rFonts w:hint="eastAsia" w:ascii="宋体" w:hAnsi="宋体" w:eastAsia="宋体" w:cs="宋体"/>
          <w:sz w:val="24"/>
          <w:szCs w:val="24"/>
        </w:rPr>
      </w:pPr>
      <w:r>
        <w:rPr>
          <w:rFonts w:hint="eastAsia" w:ascii="宋体" w:hAnsi="宋体" w:eastAsia="宋体" w:cs="宋体"/>
          <w:sz w:val="24"/>
          <w:szCs w:val="24"/>
        </w:rPr>
        <w:t>一、积极发挥廉政风险防控正向作用。中标人有义务配合税务部门在信息化项目工作中加强廉政风险防控，执行有关措施。</w:t>
      </w:r>
    </w:p>
    <w:p>
      <w:pPr>
        <w:pStyle w:val="16"/>
        <w:spacing w:before="0" w:after="0" w:line="360" w:lineRule="auto"/>
        <w:ind w:firstLine="480"/>
        <w:jc w:val="both"/>
        <w:rPr>
          <w:rFonts w:hint="eastAsia" w:ascii="宋体" w:hAnsi="宋体" w:eastAsia="宋体" w:cs="宋体"/>
          <w:sz w:val="24"/>
          <w:szCs w:val="24"/>
        </w:rPr>
      </w:pPr>
      <w:r>
        <w:rPr>
          <w:rFonts w:hint="eastAsia" w:ascii="宋体" w:hAnsi="宋体" w:eastAsia="宋体" w:cs="宋体"/>
          <w:sz w:val="24"/>
          <w:szCs w:val="24"/>
        </w:rPr>
        <w:t>二、健全廉政风险防控机制。中标人有责任在项目管理机制中健全内部廉政防控措施，包括但不限于：对参与本项目的员工提出廉洁行为规范；指定专人对项目实施各环节进行廉政监督；在项目验收过程中提交本项目廉政情况报告等。</w:t>
      </w:r>
    </w:p>
    <w:p>
      <w:pPr>
        <w:pStyle w:val="16"/>
        <w:spacing w:before="0" w:after="0" w:line="360" w:lineRule="auto"/>
        <w:ind w:firstLine="480"/>
        <w:jc w:val="both"/>
        <w:rPr>
          <w:rFonts w:hint="eastAsia" w:ascii="宋体" w:hAnsi="宋体" w:eastAsia="宋体" w:cs="宋体"/>
          <w:sz w:val="24"/>
          <w:szCs w:val="24"/>
        </w:rPr>
      </w:pPr>
      <w:r>
        <w:rPr>
          <w:rFonts w:hint="eastAsia" w:ascii="宋体" w:hAnsi="宋体" w:eastAsia="宋体" w:cs="宋体"/>
          <w:sz w:val="24"/>
          <w:szCs w:val="24"/>
        </w:rPr>
        <w:t>三、杜绝违纪违法行为。中标人及相关项目人员必须严格遵守党纪国法，坚守职业道德，杜绝任何形式的利益输送、权力寻租等违纪违法行为，对甲方工作人员不得实施以下行为：</w:t>
      </w:r>
    </w:p>
    <w:p>
      <w:pPr>
        <w:pStyle w:val="16"/>
        <w:spacing w:before="0" w:after="0" w:line="360" w:lineRule="auto"/>
        <w:ind w:firstLine="480"/>
        <w:jc w:val="both"/>
        <w:rPr>
          <w:rFonts w:hint="eastAsia" w:ascii="宋体" w:hAnsi="宋体" w:eastAsia="宋体" w:cs="宋体"/>
          <w:sz w:val="24"/>
          <w:szCs w:val="24"/>
        </w:rPr>
      </w:pPr>
      <w:r>
        <w:rPr>
          <w:rFonts w:hint="eastAsia" w:ascii="宋体" w:hAnsi="宋体" w:eastAsia="宋体" w:cs="宋体"/>
          <w:sz w:val="24"/>
          <w:szCs w:val="24"/>
        </w:rPr>
        <w:t>（一）以各种形式和名义提供礼品、礼金、电子红包、支付凭证、商业预付卡、名贵特产、有价证券、股权、其他金融产品等财物。</w:t>
      </w:r>
    </w:p>
    <w:p>
      <w:pPr>
        <w:pStyle w:val="16"/>
        <w:spacing w:before="0" w:after="0" w:line="360" w:lineRule="auto"/>
        <w:ind w:firstLine="480"/>
        <w:jc w:val="both"/>
        <w:rPr>
          <w:rFonts w:hint="eastAsia" w:ascii="宋体" w:hAnsi="宋体" w:eastAsia="宋体" w:cs="宋体"/>
          <w:sz w:val="24"/>
          <w:szCs w:val="24"/>
        </w:rPr>
      </w:pPr>
      <w:r>
        <w:rPr>
          <w:rFonts w:hint="eastAsia" w:ascii="宋体" w:hAnsi="宋体" w:eastAsia="宋体" w:cs="宋体"/>
          <w:sz w:val="24"/>
          <w:szCs w:val="24"/>
        </w:rPr>
        <w:t>（二）以各种形式和名义提供宴请、旅游、健身、娱乐、私人会所等活动安排；代付加班餐费、打车费等。</w:t>
      </w:r>
    </w:p>
    <w:p>
      <w:pPr>
        <w:pStyle w:val="16"/>
        <w:spacing w:before="0" w:after="0" w:line="360" w:lineRule="auto"/>
        <w:ind w:firstLine="480"/>
        <w:jc w:val="both"/>
        <w:rPr>
          <w:rFonts w:hint="eastAsia" w:ascii="宋体" w:hAnsi="宋体" w:eastAsia="宋体" w:cs="宋体"/>
          <w:sz w:val="24"/>
          <w:szCs w:val="24"/>
        </w:rPr>
      </w:pPr>
      <w:r>
        <w:rPr>
          <w:rFonts w:hint="eastAsia" w:ascii="宋体" w:hAnsi="宋体" w:eastAsia="宋体" w:cs="宋体"/>
          <w:sz w:val="24"/>
          <w:szCs w:val="24"/>
        </w:rPr>
        <w:t>（三）以讲课费、咨询费等名义，提供或变相提供报酬。</w:t>
      </w:r>
    </w:p>
    <w:p>
      <w:pPr>
        <w:pStyle w:val="16"/>
        <w:spacing w:before="0" w:after="0" w:line="360" w:lineRule="auto"/>
        <w:ind w:firstLine="480"/>
        <w:jc w:val="both"/>
        <w:rPr>
          <w:rFonts w:hint="eastAsia" w:ascii="宋体" w:hAnsi="宋体" w:eastAsia="宋体" w:cs="宋体"/>
          <w:sz w:val="24"/>
          <w:szCs w:val="24"/>
        </w:rPr>
      </w:pPr>
      <w:r>
        <w:rPr>
          <w:rFonts w:hint="eastAsia" w:ascii="宋体" w:hAnsi="宋体" w:eastAsia="宋体" w:cs="宋体"/>
          <w:sz w:val="24"/>
          <w:szCs w:val="24"/>
        </w:rPr>
        <w:t>（四）借款、借房、借车，报销应由个人负担的费用。</w:t>
      </w:r>
    </w:p>
    <w:p>
      <w:pPr>
        <w:pStyle w:val="16"/>
        <w:spacing w:before="0" w:after="0" w:line="360" w:lineRule="auto"/>
        <w:ind w:firstLine="480"/>
        <w:jc w:val="both"/>
        <w:rPr>
          <w:rFonts w:hint="eastAsia" w:ascii="宋体" w:hAnsi="宋体" w:eastAsia="宋体" w:cs="宋体"/>
          <w:sz w:val="24"/>
          <w:szCs w:val="24"/>
        </w:rPr>
      </w:pPr>
      <w:r>
        <w:rPr>
          <w:rFonts w:hint="eastAsia" w:ascii="宋体" w:hAnsi="宋体" w:eastAsia="宋体" w:cs="宋体"/>
          <w:sz w:val="24"/>
          <w:szCs w:val="24"/>
        </w:rPr>
        <w:t>（五）以无偿、象征性地收取费用等方式提供家政、司机等服务劳务。</w:t>
      </w:r>
    </w:p>
    <w:p>
      <w:pPr>
        <w:pStyle w:val="16"/>
        <w:spacing w:before="0" w:after="0" w:line="360" w:lineRule="auto"/>
        <w:ind w:firstLine="480"/>
        <w:jc w:val="both"/>
        <w:rPr>
          <w:rFonts w:hint="eastAsia" w:ascii="宋体" w:hAnsi="宋体" w:eastAsia="宋体" w:cs="宋体"/>
          <w:sz w:val="24"/>
          <w:szCs w:val="24"/>
        </w:rPr>
      </w:pPr>
      <w:r>
        <w:rPr>
          <w:rFonts w:hint="eastAsia" w:ascii="宋体" w:hAnsi="宋体" w:eastAsia="宋体" w:cs="宋体"/>
          <w:sz w:val="24"/>
          <w:szCs w:val="24"/>
        </w:rPr>
        <w:t>（六）其他通过任何形式行贿或输送利益的行为。</w:t>
      </w:r>
    </w:p>
    <w:p>
      <w:pPr>
        <w:pStyle w:val="16"/>
        <w:spacing w:before="0" w:after="0" w:line="360" w:lineRule="auto"/>
        <w:ind w:firstLine="480"/>
        <w:jc w:val="both"/>
        <w:rPr>
          <w:rFonts w:hint="eastAsia" w:ascii="宋体" w:hAnsi="宋体" w:eastAsia="宋体" w:cs="宋体"/>
          <w:sz w:val="24"/>
          <w:szCs w:val="24"/>
        </w:rPr>
      </w:pPr>
      <w:r>
        <w:rPr>
          <w:rFonts w:hint="eastAsia" w:ascii="宋体" w:hAnsi="宋体" w:eastAsia="宋体" w:cs="宋体"/>
          <w:sz w:val="24"/>
          <w:szCs w:val="24"/>
        </w:rPr>
        <w:t>四、信守承诺。中标人应承诺在项目实施过程中，严格遵守国家法律法规合法、诚信经营，杜绝商业贿赂、规范经营活动、公开透明合作、严格内部管理，并签订《税务信息化项目服务商廉洁承诺书》提交甲方负责项目实施的单位。</w:t>
      </w:r>
    </w:p>
    <w:p>
      <w:pPr>
        <w:pStyle w:val="16"/>
        <w:spacing w:before="0" w:after="0" w:line="360" w:lineRule="auto"/>
        <w:ind w:firstLine="480"/>
        <w:jc w:val="both"/>
        <w:rPr>
          <w:rFonts w:hint="eastAsia" w:ascii="宋体" w:hAnsi="宋体" w:eastAsia="宋体" w:cs="宋体"/>
          <w:sz w:val="24"/>
          <w:szCs w:val="24"/>
        </w:rPr>
      </w:pPr>
      <w:r>
        <w:rPr>
          <w:rFonts w:hint="eastAsia" w:ascii="宋体" w:hAnsi="宋体" w:eastAsia="宋体" w:cs="宋体"/>
          <w:sz w:val="24"/>
          <w:szCs w:val="24"/>
        </w:rPr>
        <w:t>五、自觉接受监管。中标人有义务配合税务机关的正常业务监管以及纪检监察、外部审计、督察内审等监督机构对税务信息化项目全过程的监督检查工作，如实提供相关资料和信息，不得隐瞒、篡改或销毁与项目建设有关的文件、数据等资料。</w:t>
      </w:r>
    </w:p>
    <w:p>
      <w:pPr>
        <w:pStyle w:val="16"/>
        <w:spacing w:before="0" w:after="0" w:line="360" w:lineRule="auto"/>
        <w:ind w:firstLine="480"/>
        <w:jc w:val="both"/>
        <w:rPr>
          <w:rFonts w:hint="eastAsia" w:ascii="宋体" w:hAnsi="宋体" w:eastAsia="宋体" w:cs="宋体"/>
          <w:sz w:val="24"/>
          <w:szCs w:val="24"/>
        </w:rPr>
      </w:pPr>
      <w:r>
        <w:rPr>
          <w:rFonts w:hint="eastAsia" w:ascii="宋体" w:hAnsi="宋体" w:eastAsia="宋体" w:cs="宋体"/>
          <w:sz w:val="24"/>
          <w:szCs w:val="24"/>
        </w:rPr>
        <w:t>六、举报和反馈意见。项目执行过程中，中标人有权举报、反馈甲方索贿受贿、吃拿卡要、违反中央八项规定精神等违纪违法行为。项目验收前，应填写《税务信息化项目服务商廉政反馈书》，提交甲方税务机关网络安全和信息化领导小组办公室。</w:t>
      </w:r>
    </w:p>
    <w:p>
      <w:pPr>
        <w:pStyle w:val="16"/>
        <w:spacing w:before="0" w:after="0" w:line="360" w:lineRule="auto"/>
        <w:ind w:firstLine="480"/>
        <w:jc w:val="both"/>
        <w:rPr>
          <w:rFonts w:hint="eastAsia" w:ascii="宋体" w:hAnsi="宋体" w:eastAsia="宋体" w:cs="宋体"/>
          <w:sz w:val="24"/>
          <w:szCs w:val="24"/>
        </w:rPr>
      </w:pPr>
      <w:r>
        <w:rPr>
          <w:rFonts w:hint="eastAsia" w:ascii="宋体" w:hAnsi="宋体" w:eastAsia="宋体" w:cs="宋体"/>
          <w:sz w:val="24"/>
          <w:szCs w:val="24"/>
        </w:rPr>
        <w:t>（2）服务商在中标（成交）后需签署《税务信息化项目服务商廉洁承诺书》，并提交至甲方项目实施单位。《承诺书》旨在强化服务商廉政责任，更好规范税企双方的合作行为，推动合作单位加强内部管理，防范廉政风险发生。</w:t>
      </w:r>
    </w:p>
    <w:p>
      <w:pPr>
        <w:pStyle w:val="16"/>
        <w:spacing w:before="0" w:after="0" w:line="360" w:lineRule="auto"/>
        <w:ind w:firstLine="480"/>
        <w:jc w:val="both"/>
        <w:rPr>
          <w:rFonts w:hint="eastAsia" w:ascii="宋体" w:hAnsi="宋体" w:eastAsia="宋体" w:cs="宋体"/>
          <w:sz w:val="24"/>
          <w:szCs w:val="24"/>
        </w:rPr>
      </w:pPr>
      <w:r>
        <w:rPr>
          <w:rFonts w:hint="eastAsia" w:ascii="宋体" w:hAnsi="宋体" w:eastAsia="宋体" w:cs="宋体"/>
          <w:sz w:val="24"/>
          <w:szCs w:val="24"/>
        </w:rPr>
        <w:t> </w:t>
      </w:r>
    </w:p>
    <w:p>
      <w:pPr>
        <w:pStyle w:val="16"/>
        <w:spacing w:before="0" w:after="0" w:line="360" w:lineRule="auto"/>
        <w:rPr>
          <w:rFonts w:hint="eastAsia" w:ascii="宋体" w:hAnsi="宋体" w:eastAsia="宋体" w:cs="宋体"/>
          <w:sz w:val="24"/>
          <w:szCs w:val="24"/>
        </w:rPr>
      </w:pPr>
      <w:r>
        <w:rPr>
          <w:rFonts w:hint="eastAsia" w:ascii="宋体" w:hAnsi="宋体" w:eastAsia="宋体" w:cs="宋体"/>
          <w:sz w:val="24"/>
          <w:szCs w:val="24"/>
        </w:rPr>
        <w:t>附件</w:t>
      </w:r>
    </w:p>
    <w:p>
      <w:pPr>
        <w:pStyle w:val="16"/>
        <w:spacing w:before="0" w:after="0" w:line="360" w:lineRule="auto"/>
        <w:ind w:firstLine="1620"/>
        <w:jc w:val="both"/>
        <w:rPr>
          <w:rFonts w:hint="eastAsia" w:ascii="宋体" w:hAnsi="宋体" w:eastAsia="宋体" w:cs="宋体"/>
          <w:sz w:val="24"/>
          <w:szCs w:val="24"/>
        </w:rPr>
      </w:pPr>
      <w:r>
        <w:rPr>
          <w:rFonts w:hint="eastAsia" w:ascii="宋体" w:hAnsi="宋体" w:eastAsia="宋体" w:cs="宋体"/>
          <w:sz w:val="24"/>
          <w:szCs w:val="24"/>
        </w:rPr>
        <w:t>税务信息化服务商廉洁承诺书</w:t>
      </w:r>
    </w:p>
    <w:p>
      <w:pPr>
        <w:pStyle w:val="16"/>
        <w:spacing w:before="0" w:after="0" w:line="360" w:lineRule="auto"/>
        <w:ind w:firstLine="640"/>
        <w:rPr>
          <w:rFonts w:hint="eastAsia" w:ascii="宋体" w:hAnsi="宋体" w:eastAsia="宋体" w:cs="宋体"/>
          <w:sz w:val="24"/>
          <w:szCs w:val="24"/>
        </w:rPr>
      </w:pPr>
      <w:r>
        <w:rPr>
          <w:rFonts w:hint="eastAsia" w:ascii="宋体" w:hAnsi="宋体" w:eastAsia="宋体" w:cs="宋体"/>
          <w:sz w:val="24"/>
          <w:szCs w:val="24"/>
        </w:rPr>
        <w:t> </w:t>
      </w:r>
    </w:p>
    <w:p>
      <w:pPr>
        <w:pStyle w:val="16"/>
        <w:spacing w:before="0" w:after="0" w:line="360" w:lineRule="auto"/>
        <w:ind w:firstLine="640"/>
        <w:rPr>
          <w:rFonts w:hint="eastAsia" w:ascii="宋体" w:hAnsi="宋体" w:eastAsia="宋体" w:cs="宋体"/>
          <w:sz w:val="24"/>
          <w:szCs w:val="24"/>
        </w:rPr>
      </w:pPr>
      <w:r>
        <w:rPr>
          <w:rFonts w:hint="eastAsia" w:ascii="宋体" w:hAnsi="宋体" w:eastAsia="宋体" w:cs="宋体"/>
          <w:sz w:val="24"/>
          <w:szCs w:val="24"/>
        </w:rPr>
        <w:t>为深入贯彻落实党中央关于全面从严治党的决策部署，进一步加强税务信息化项目合作中的廉政建设，防范廉政风险发生，确保项目公开、公平、公正推进，我司郑重承诺如下：</w:t>
      </w:r>
    </w:p>
    <w:p>
      <w:pPr>
        <w:pStyle w:val="16"/>
        <w:spacing w:before="0" w:after="0" w:line="360" w:lineRule="auto"/>
        <w:ind w:firstLine="640"/>
        <w:rPr>
          <w:rFonts w:hint="eastAsia" w:ascii="宋体" w:hAnsi="宋体" w:eastAsia="宋体" w:cs="宋体"/>
          <w:sz w:val="24"/>
          <w:szCs w:val="24"/>
        </w:rPr>
      </w:pPr>
      <w:r>
        <w:rPr>
          <w:rFonts w:hint="eastAsia" w:ascii="宋体" w:hAnsi="宋体" w:eastAsia="宋体" w:cs="宋体"/>
          <w:sz w:val="24"/>
          <w:szCs w:val="24"/>
        </w:rPr>
        <w:t>一、合法合规经营。严格遵守国家法律法规及税务部门的相关规定，坚持廉洁从业、诚信经营的原则。在合作过程中不以任何形式进行利益输送，维护良好的政商关系。</w:t>
      </w:r>
    </w:p>
    <w:p>
      <w:pPr>
        <w:pStyle w:val="16"/>
        <w:spacing w:before="0" w:after="0" w:line="360" w:lineRule="auto"/>
        <w:ind w:left="0" w:firstLine="640"/>
        <w:rPr>
          <w:rFonts w:hint="eastAsia" w:ascii="宋体" w:hAnsi="宋体" w:eastAsia="宋体" w:cs="宋体"/>
          <w:sz w:val="24"/>
          <w:szCs w:val="24"/>
        </w:rPr>
      </w:pPr>
      <w:r>
        <w:rPr>
          <w:rFonts w:hint="eastAsia" w:ascii="宋体" w:hAnsi="宋体" w:eastAsia="宋体" w:cs="宋体"/>
          <w:sz w:val="24"/>
          <w:szCs w:val="24"/>
        </w:rPr>
        <w:t>二、杜绝商业贿赂。加强内部管理，我司及我司员工均不对甲方工作人员实施以下行为：</w:t>
      </w:r>
    </w:p>
    <w:p>
      <w:pPr>
        <w:pStyle w:val="16"/>
        <w:spacing w:before="0" w:after="0" w:line="360" w:lineRule="auto"/>
        <w:ind w:left="0" w:firstLine="640"/>
        <w:rPr>
          <w:rFonts w:hint="eastAsia" w:ascii="宋体" w:hAnsi="宋体" w:eastAsia="宋体" w:cs="宋体"/>
          <w:sz w:val="24"/>
          <w:szCs w:val="24"/>
        </w:rPr>
      </w:pPr>
      <w:r>
        <w:rPr>
          <w:rFonts w:hint="eastAsia" w:ascii="宋体" w:hAnsi="宋体" w:eastAsia="宋体" w:cs="宋体"/>
          <w:sz w:val="24"/>
          <w:szCs w:val="24"/>
        </w:rPr>
        <w:t>（一）以各种形式和名义提供礼品、礼金、电子红包、支付凭证、商业预付卡、名贵特产、有价证券、股权、其他金融产品等财物。</w:t>
      </w:r>
    </w:p>
    <w:p>
      <w:pPr>
        <w:pStyle w:val="16"/>
        <w:spacing w:before="0" w:after="0" w:line="360" w:lineRule="auto"/>
        <w:ind w:left="0" w:firstLine="640"/>
        <w:rPr>
          <w:rFonts w:hint="eastAsia" w:ascii="宋体" w:hAnsi="宋体" w:eastAsia="宋体" w:cs="宋体"/>
          <w:sz w:val="24"/>
          <w:szCs w:val="24"/>
        </w:rPr>
      </w:pPr>
      <w:r>
        <w:rPr>
          <w:rFonts w:hint="eastAsia" w:ascii="宋体" w:hAnsi="宋体" w:eastAsia="宋体" w:cs="宋体"/>
          <w:sz w:val="24"/>
          <w:szCs w:val="24"/>
        </w:rPr>
        <w:t>（二）以各种形式和名义提供宴请、旅游、健身、娱乐、私人会所等活动安排；代付加班餐费、打车费等。</w:t>
      </w:r>
    </w:p>
    <w:p>
      <w:pPr>
        <w:pStyle w:val="16"/>
        <w:spacing w:before="0" w:after="0" w:line="360" w:lineRule="auto"/>
        <w:ind w:left="0" w:firstLine="640"/>
        <w:rPr>
          <w:rFonts w:hint="eastAsia" w:ascii="宋体" w:hAnsi="宋体" w:eastAsia="宋体" w:cs="宋体"/>
          <w:sz w:val="24"/>
          <w:szCs w:val="24"/>
        </w:rPr>
      </w:pPr>
      <w:r>
        <w:rPr>
          <w:rFonts w:hint="eastAsia" w:ascii="宋体" w:hAnsi="宋体" w:eastAsia="宋体" w:cs="宋体"/>
          <w:sz w:val="24"/>
          <w:szCs w:val="24"/>
        </w:rPr>
        <w:t>（三）以讲课费、咨询费等名义，提供或变相提供报酬。</w:t>
      </w:r>
    </w:p>
    <w:p>
      <w:pPr>
        <w:pStyle w:val="16"/>
        <w:spacing w:before="0" w:after="0" w:line="360" w:lineRule="auto"/>
        <w:ind w:left="0" w:firstLine="640"/>
        <w:rPr>
          <w:rFonts w:hint="eastAsia" w:ascii="宋体" w:hAnsi="宋体" w:eastAsia="宋体" w:cs="宋体"/>
          <w:sz w:val="24"/>
          <w:szCs w:val="24"/>
        </w:rPr>
      </w:pPr>
      <w:r>
        <w:rPr>
          <w:rFonts w:hint="eastAsia" w:ascii="宋体" w:hAnsi="宋体" w:eastAsia="宋体" w:cs="宋体"/>
          <w:sz w:val="24"/>
          <w:szCs w:val="24"/>
        </w:rPr>
        <w:t>（四）借款、借房、借车，报销应由个人负担的费用。</w:t>
      </w:r>
    </w:p>
    <w:p>
      <w:pPr>
        <w:pStyle w:val="16"/>
        <w:spacing w:before="0" w:after="0" w:line="360" w:lineRule="auto"/>
        <w:ind w:left="0" w:firstLine="640"/>
        <w:rPr>
          <w:rFonts w:hint="eastAsia" w:ascii="宋体" w:hAnsi="宋体" w:eastAsia="宋体" w:cs="宋体"/>
          <w:sz w:val="24"/>
          <w:szCs w:val="24"/>
        </w:rPr>
      </w:pPr>
      <w:r>
        <w:rPr>
          <w:rFonts w:hint="eastAsia" w:ascii="宋体" w:hAnsi="宋体" w:eastAsia="宋体" w:cs="宋体"/>
          <w:sz w:val="24"/>
          <w:szCs w:val="24"/>
        </w:rPr>
        <w:t>（五）以无偿、象征性地收取费用等方式提供家政、司机等服务劳务。</w:t>
      </w:r>
    </w:p>
    <w:p>
      <w:pPr>
        <w:pStyle w:val="16"/>
        <w:spacing w:before="0" w:after="0" w:line="360" w:lineRule="auto"/>
        <w:ind w:left="0" w:firstLine="640"/>
        <w:rPr>
          <w:rFonts w:hint="eastAsia" w:ascii="宋体" w:hAnsi="宋体" w:eastAsia="宋体" w:cs="宋体"/>
          <w:sz w:val="24"/>
          <w:szCs w:val="24"/>
        </w:rPr>
      </w:pPr>
      <w:r>
        <w:rPr>
          <w:rFonts w:hint="eastAsia" w:ascii="宋体" w:hAnsi="宋体" w:eastAsia="宋体" w:cs="宋体"/>
          <w:sz w:val="24"/>
          <w:szCs w:val="24"/>
        </w:rPr>
        <w:t>（六）其他通过任何形式行贿或输送利益的行为。</w:t>
      </w:r>
    </w:p>
    <w:p>
      <w:pPr>
        <w:pStyle w:val="16"/>
        <w:spacing w:before="0" w:after="0" w:line="360" w:lineRule="auto"/>
        <w:ind w:firstLine="640"/>
        <w:rPr>
          <w:rFonts w:hint="eastAsia" w:ascii="宋体" w:hAnsi="宋体" w:eastAsia="宋体" w:cs="宋体"/>
          <w:sz w:val="24"/>
          <w:szCs w:val="24"/>
        </w:rPr>
      </w:pPr>
      <w:r>
        <w:rPr>
          <w:rFonts w:hint="eastAsia" w:ascii="宋体" w:hAnsi="宋体" w:eastAsia="宋体" w:cs="宋体"/>
          <w:sz w:val="24"/>
          <w:szCs w:val="24"/>
        </w:rPr>
        <w:t>三、规范经营活动。严格按照合同约定履行义务，保证项目质量，按时完成建设任务；在合作过程中不以任何借口拖延工期、虚报成本或谋取私利。</w:t>
      </w:r>
    </w:p>
    <w:p>
      <w:pPr>
        <w:pStyle w:val="16"/>
        <w:spacing w:before="0" w:after="0" w:line="360" w:lineRule="auto"/>
        <w:ind w:firstLine="640"/>
        <w:rPr>
          <w:rFonts w:hint="eastAsia" w:ascii="宋体" w:hAnsi="宋体" w:eastAsia="宋体" w:cs="宋体"/>
          <w:sz w:val="24"/>
          <w:szCs w:val="24"/>
        </w:rPr>
      </w:pPr>
      <w:r>
        <w:rPr>
          <w:rFonts w:hint="eastAsia" w:ascii="宋体" w:hAnsi="宋体" w:eastAsia="宋体" w:cs="宋体"/>
          <w:sz w:val="24"/>
          <w:szCs w:val="24"/>
        </w:rPr>
        <w:t>四、公开透明合作。我司承诺在项目实施过程中保持公开透明，主动接受税务部门及纪检监察机构的全程监督，并积极配合任何有关廉洁从业的调查工作。</w:t>
      </w:r>
    </w:p>
    <w:p>
      <w:pPr>
        <w:pStyle w:val="16"/>
        <w:spacing w:before="0" w:after="0" w:line="360" w:lineRule="auto"/>
        <w:ind w:firstLine="640"/>
        <w:rPr>
          <w:rFonts w:hint="eastAsia" w:ascii="宋体" w:hAnsi="宋体" w:eastAsia="宋体" w:cs="宋体"/>
          <w:sz w:val="24"/>
          <w:szCs w:val="24"/>
        </w:rPr>
      </w:pPr>
      <w:r>
        <w:rPr>
          <w:rFonts w:hint="eastAsia" w:ascii="宋体" w:hAnsi="宋体" w:eastAsia="宋体" w:cs="宋体"/>
          <w:sz w:val="24"/>
          <w:szCs w:val="24"/>
        </w:rPr>
        <w:t>五、严格内部管理。加强企业内部廉洁教育，确保员工知晓并遵守相关法律法规及廉洁要求；加强项目实施全过程廉洁监督；对于违反廉洁承诺的员工，将严肃处理，并承担相应责任。</w:t>
      </w:r>
    </w:p>
    <w:p>
      <w:pPr>
        <w:pStyle w:val="16"/>
        <w:spacing w:before="0" w:after="0" w:line="360" w:lineRule="auto"/>
        <w:ind w:firstLine="640"/>
        <w:rPr>
          <w:rFonts w:hint="eastAsia" w:ascii="宋体" w:hAnsi="宋体" w:eastAsia="宋体" w:cs="宋体"/>
          <w:sz w:val="24"/>
          <w:szCs w:val="24"/>
        </w:rPr>
      </w:pPr>
      <w:r>
        <w:rPr>
          <w:rFonts w:hint="eastAsia" w:ascii="宋体" w:hAnsi="宋体" w:eastAsia="宋体" w:cs="宋体"/>
          <w:sz w:val="24"/>
          <w:szCs w:val="24"/>
        </w:rPr>
        <w:t>六、积极参与监督。在税务信息化项目实施过程中，如发现任何违纪违法行为，将如实反馈问题和意见。</w:t>
      </w:r>
    </w:p>
    <w:p>
      <w:pPr>
        <w:pStyle w:val="16"/>
        <w:spacing w:before="0" w:after="0" w:line="360" w:lineRule="auto"/>
        <w:ind w:firstLine="640"/>
        <w:rPr>
          <w:rFonts w:hint="eastAsia" w:ascii="宋体" w:hAnsi="宋体" w:eastAsia="宋体" w:cs="宋体"/>
          <w:sz w:val="24"/>
          <w:szCs w:val="24"/>
        </w:rPr>
      </w:pPr>
      <w:r>
        <w:rPr>
          <w:rFonts w:hint="eastAsia" w:ascii="宋体" w:hAnsi="宋体" w:eastAsia="宋体" w:cs="宋体"/>
          <w:sz w:val="24"/>
          <w:szCs w:val="24"/>
        </w:rPr>
        <w:t>    </w:t>
      </w:r>
    </w:p>
    <w:p>
      <w:pPr>
        <w:pStyle w:val="16"/>
        <w:spacing w:before="0" w:after="0" w:line="360" w:lineRule="auto"/>
        <w:ind w:firstLine="640"/>
        <w:rPr>
          <w:rFonts w:hint="eastAsia" w:ascii="宋体" w:hAnsi="宋体" w:eastAsia="宋体" w:cs="宋体"/>
          <w:sz w:val="24"/>
          <w:szCs w:val="24"/>
        </w:rPr>
      </w:pPr>
      <w:r>
        <w:rPr>
          <w:rFonts w:hint="eastAsia" w:ascii="宋体" w:hAnsi="宋体" w:eastAsia="宋体" w:cs="宋体"/>
          <w:sz w:val="24"/>
          <w:szCs w:val="24"/>
        </w:rPr>
        <w:t>承诺单位（盖章）：_________________________</w:t>
      </w:r>
    </w:p>
    <w:p>
      <w:pPr>
        <w:pStyle w:val="16"/>
        <w:spacing w:before="0" w:after="0" w:line="360" w:lineRule="auto"/>
        <w:ind w:firstLine="640"/>
        <w:rPr>
          <w:rFonts w:hint="eastAsia" w:ascii="宋体" w:hAnsi="宋体" w:eastAsia="宋体" w:cs="宋体"/>
          <w:sz w:val="24"/>
          <w:szCs w:val="24"/>
        </w:rPr>
      </w:pPr>
      <w:r>
        <w:rPr>
          <w:rFonts w:hint="eastAsia" w:ascii="宋体" w:hAnsi="宋体" w:eastAsia="宋体" w:cs="宋体"/>
          <w:sz w:val="24"/>
          <w:szCs w:val="24"/>
        </w:rPr>
        <w:t>法定代表人或授权代表签字：________________</w:t>
      </w:r>
    </w:p>
    <w:p>
      <w:pPr>
        <w:pStyle w:val="15"/>
        <w:spacing w:before="0" w:after="0" w:line="360" w:lineRule="auto"/>
        <w:ind w:firstLine="480"/>
        <w:jc w:val="both"/>
        <w:rPr>
          <w:rFonts w:hint="eastAsia" w:ascii="宋体" w:hAnsi="宋体" w:eastAsia="宋体" w:cs="宋体"/>
          <w:sz w:val="24"/>
          <w:szCs w:val="24"/>
        </w:rPr>
      </w:pPr>
      <w:r>
        <w:rPr>
          <w:rFonts w:hint="eastAsia" w:ascii="宋体" w:hAnsi="宋体" w:eastAsia="宋体" w:cs="宋体"/>
          <w:sz w:val="24"/>
          <w:szCs w:val="24"/>
        </w:rPr>
        <w:t> </w:t>
      </w:r>
    </w:p>
    <w:p>
      <w:pPr>
        <w:pStyle w:val="16"/>
        <w:spacing w:before="0" w:after="0" w:line="360" w:lineRule="auto"/>
        <w:ind w:firstLine="480"/>
        <w:jc w:val="both"/>
        <w:rPr>
          <w:rFonts w:hint="eastAsia" w:ascii="宋体" w:hAnsi="宋体" w:eastAsia="宋体" w:cs="宋体"/>
          <w:sz w:val="24"/>
          <w:szCs w:val="24"/>
        </w:rPr>
      </w:pPr>
      <w:r>
        <w:rPr>
          <w:rFonts w:hint="eastAsia" w:ascii="宋体" w:hAnsi="宋体" w:eastAsia="宋体" w:cs="宋体"/>
          <w:sz w:val="24"/>
          <w:szCs w:val="24"/>
        </w:rPr>
        <w:t> </w:t>
      </w:r>
    </w:p>
    <w:p>
      <w:pPr>
        <w:pStyle w:val="16"/>
        <w:spacing w:before="0" w:after="0" w:line="360" w:lineRule="auto"/>
        <w:ind w:firstLine="5668" w:firstLineChars="2362"/>
        <w:rPr>
          <w:rFonts w:hint="eastAsia" w:ascii="宋体" w:hAnsi="宋体" w:eastAsia="宋体" w:cs="宋体"/>
          <w:sz w:val="24"/>
          <w:szCs w:val="24"/>
        </w:rPr>
      </w:pPr>
      <w:r>
        <w:rPr>
          <w:rFonts w:hint="eastAsia" w:ascii="宋体" w:hAnsi="宋体" w:eastAsia="宋体" w:cs="宋体"/>
          <w:sz w:val="24"/>
          <w:szCs w:val="24"/>
        </w:rPr>
        <w:t>日期：XX年XX月XX日</w:t>
      </w:r>
    </w:p>
    <w:p>
      <w:pPr>
        <w:pStyle w:val="16"/>
        <w:spacing w:before="0" w:after="0" w:line="360" w:lineRule="auto"/>
        <w:ind w:firstLine="5668" w:firstLineChars="2362"/>
        <w:rPr>
          <w:rFonts w:hint="eastAsia" w:ascii="宋体" w:hAnsi="宋体" w:eastAsia="宋体" w:cs="宋体"/>
          <w:sz w:val="24"/>
          <w:szCs w:val="24"/>
        </w:rPr>
      </w:pPr>
    </w:p>
    <w:p>
      <w:pPr>
        <w:pStyle w:val="4"/>
        <w:keepNext w:val="0"/>
        <w:spacing w:before="0" w:after="0" w:line="360" w:lineRule="auto"/>
        <w:outlineLvl w:val="1"/>
        <w:rPr>
          <w:rFonts w:hint="eastAsia" w:ascii="宋体" w:hAnsi="宋体" w:eastAsia="宋体" w:cs="宋体"/>
          <w:b/>
          <w:bCs/>
          <w:sz w:val="24"/>
          <w:szCs w:val="24"/>
        </w:rPr>
      </w:pPr>
      <w:bookmarkStart w:id="59" w:name="_Toc6679"/>
      <w:r>
        <w:rPr>
          <w:rFonts w:hint="eastAsia" w:ascii="宋体" w:hAnsi="宋体" w:eastAsia="宋体" w:cs="宋体"/>
          <w:sz w:val="24"/>
          <w:szCs w:val="24"/>
        </w:rPr>
        <w:t>10.1.2考核要求</w:t>
      </w:r>
      <w:bookmarkEnd w:id="59"/>
    </w:p>
    <w:p>
      <w:pPr>
        <w:pStyle w:val="16"/>
        <w:spacing w:before="0" w:after="0" w:line="360" w:lineRule="auto"/>
        <w:ind w:firstLine="480"/>
        <w:rPr>
          <w:rFonts w:hint="eastAsia" w:ascii="宋体" w:hAnsi="宋体" w:eastAsia="宋体" w:cs="宋体"/>
          <w:sz w:val="24"/>
          <w:szCs w:val="24"/>
        </w:rPr>
      </w:pPr>
      <w:r>
        <w:rPr>
          <w:rFonts w:hint="eastAsia" w:ascii="宋体" w:hAnsi="宋体" w:eastAsia="宋体" w:cs="宋体"/>
          <w:sz w:val="24"/>
          <w:szCs w:val="24"/>
        </w:rPr>
        <w:t>中标人合同期内，应接受采购人的定期考核，并承诺对采购人各项考核要求及时满足响应，按照采购人考核要求制定相关规章制度。附考核工作内容如下：</w:t>
      </w:r>
    </w:p>
    <w:tbl>
      <w:tblPr>
        <w:tblStyle w:val="21"/>
        <w:tblW w:w="9430" w:type="dxa"/>
        <w:tblCellSpacing w:w="15" w:type="dxa"/>
        <w:tblInd w:w="351" w:type="dxa"/>
        <w:tblLayout w:type="autofit"/>
        <w:tblCellMar>
          <w:top w:w="15" w:type="dxa"/>
          <w:left w:w="15" w:type="dxa"/>
          <w:bottom w:w="15" w:type="dxa"/>
          <w:right w:w="15" w:type="dxa"/>
        </w:tblCellMar>
      </w:tblPr>
      <w:tblGrid>
        <w:gridCol w:w="885"/>
        <w:gridCol w:w="906"/>
        <w:gridCol w:w="1081"/>
        <w:gridCol w:w="2068"/>
        <w:gridCol w:w="960"/>
        <w:gridCol w:w="2190"/>
        <w:gridCol w:w="1340"/>
      </w:tblGrid>
      <w:tr>
        <w:tblPrEx>
          <w:tblCellMar>
            <w:top w:w="15" w:type="dxa"/>
            <w:left w:w="15" w:type="dxa"/>
            <w:bottom w:w="15" w:type="dxa"/>
            <w:right w:w="15" w:type="dxa"/>
          </w:tblCellMar>
        </w:tblPrEx>
        <w:trPr>
          <w:trHeight w:val="276" w:hRule="atLeast"/>
          <w:tblCellSpacing w:w="15" w:type="dxa"/>
        </w:trPr>
        <w:tc>
          <w:tcPr>
            <w:tcW w:w="9646" w:type="dxa"/>
            <w:gridSpan w:val="7"/>
            <w:vMerge w:val="restart"/>
            <w:noWrap w:val="0"/>
            <w:tcMar>
              <w:top w:w="0" w:type="dxa"/>
              <w:left w:w="108" w:type="dxa"/>
              <w:bottom w:w="0" w:type="dxa"/>
              <w:right w:w="108" w:type="dxa"/>
            </w:tcMar>
            <w:vAlign w:val="center"/>
          </w:tcPr>
          <w:p>
            <w:pPr>
              <w:pStyle w:val="16"/>
              <w:spacing w:after="240"/>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 </w:t>
            </w:r>
          </w:p>
          <w:p>
            <w:pPr>
              <w:pStyle w:val="16"/>
              <w:spacing w:before="240"/>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信息化服务商运维服务质效评价指标</w:t>
            </w:r>
          </w:p>
        </w:tc>
      </w:tr>
      <w:tr>
        <w:tblPrEx>
          <w:tblCellMar>
            <w:top w:w="15" w:type="dxa"/>
            <w:left w:w="15" w:type="dxa"/>
            <w:bottom w:w="15" w:type="dxa"/>
            <w:right w:w="15" w:type="dxa"/>
          </w:tblCellMar>
        </w:tblPrEx>
        <w:trPr>
          <w:trHeight w:val="480" w:hRule="atLeast"/>
          <w:tblCellSpacing w:w="15" w:type="dxa"/>
        </w:trPr>
        <w:tc>
          <w:tcPr>
            <w:gridSpan w:val="7"/>
            <w:vMerge w:val="continue"/>
            <w:vAlign w:val="center"/>
          </w:tcPr>
          <w:p>
            <w:pPr>
              <w:rPr>
                <w:rFonts w:hint="eastAsia" w:ascii="宋体" w:hAnsi="宋体" w:eastAsia="宋体" w:cs="宋体"/>
                <w:b w:val="0"/>
                <w:bCs w:val="0"/>
                <w:i w:val="0"/>
                <w:iCs w:val="0"/>
                <w:smallCaps w:val="0"/>
                <w:color w:val="000000"/>
                <w:sz w:val="24"/>
                <w:szCs w:val="24"/>
              </w:rPr>
            </w:pPr>
          </w:p>
        </w:tc>
      </w:tr>
      <w:tr>
        <w:tblPrEx>
          <w:tblCellMar>
            <w:top w:w="15" w:type="dxa"/>
            <w:left w:w="15" w:type="dxa"/>
            <w:bottom w:w="15" w:type="dxa"/>
            <w:right w:w="15" w:type="dxa"/>
          </w:tblCellMar>
        </w:tblPrEx>
        <w:trPr>
          <w:trHeight w:val="90" w:hRule="atLeast"/>
          <w:tblCellSpacing w:w="15" w:type="dxa"/>
        </w:trPr>
        <w:tc>
          <w:tcPr>
            <w:tcW w:w="959"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分类</w:t>
            </w:r>
          </w:p>
        </w:tc>
        <w:tc>
          <w:tcPr>
            <w:tcW w:w="1022" w:type="dxa"/>
            <w:tcBorders>
              <w:top w:val="single" w:color="000000" w:sz="8" w:space="0"/>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序号</w:t>
            </w:r>
          </w:p>
        </w:tc>
        <w:tc>
          <w:tcPr>
            <w:tcW w:w="1265" w:type="dxa"/>
            <w:tcBorders>
              <w:top w:val="single" w:color="000000" w:sz="8" w:space="0"/>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指标名称</w:t>
            </w:r>
          </w:p>
        </w:tc>
        <w:tc>
          <w:tcPr>
            <w:tcW w:w="2447" w:type="dxa"/>
            <w:tcBorders>
              <w:top w:val="single" w:color="000000" w:sz="8" w:space="0"/>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指标描述</w:t>
            </w:r>
          </w:p>
        </w:tc>
        <w:tc>
          <w:tcPr>
            <w:tcW w:w="1097" w:type="dxa"/>
            <w:tcBorders>
              <w:top w:val="single" w:color="000000" w:sz="8" w:space="0"/>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分值</w:t>
            </w:r>
          </w:p>
        </w:tc>
        <w:tc>
          <w:tcPr>
            <w:tcW w:w="2709" w:type="dxa"/>
            <w:tcBorders>
              <w:top w:val="single" w:color="000000" w:sz="8" w:space="0"/>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评分标准</w:t>
            </w:r>
          </w:p>
        </w:tc>
        <w:tc>
          <w:tcPr>
            <w:tcW w:w="1603" w:type="dxa"/>
            <w:tcBorders>
              <w:top w:val="single" w:color="000000" w:sz="8" w:space="0"/>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评价主体</w:t>
            </w:r>
          </w:p>
        </w:tc>
      </w:tr>
      <w:tr>
        <w:tblPrEx>
          <w:tblCellMar>
            <w:top w:w="15" w:type="dxa"/>
            <w:left w:w="15" w:type="dxa"/>
            <w:bottom w:w="15" w:type="dxa"/>
            <w:right w:w="15" w:type="dxa"/>
          </w:tblCellMar>
        </w:tblPrEx>
        <w:trPr>
          <w:trHeight w:val="1120" w:hRule="atLeast"/>
          <w:tblCellSpacing w:w="15" w:type="dxa"/>
        </w:trPr>
        <w:tc>
          <w:tcPr>
            <w:tcW w:w="959" w:type="dxa"/>
            <w:vMerge w:val="restart"/>
            <w:tcBorders>
              <w:left w:val="single" w:color="000000" w:sz="8" w:space="0"/>
              <w:right w:val="single" w:color="000000" w:sz="8" w:space="0"/>
            </w:tcBorders>
            <w:noWrap w:val="0"/>
            <w:tcMar>
              <w:top w:w="0" w:type="dxa"/>
              <w:left w:w="12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资源配备</w:t>
            </w:r>
          </w:p>
        </w:tc>
        <w:tc>
          <w:tcPr>
            <w:tcW w:w="1022"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1</w:t>
            </w:r>
          </w:p>
        </w:tc>
        <w:tc>
          <w:tcPr>
            <w:tcW w:w="1265"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人员到位情况</w:t>
            </w:r>
          </w:p>
        </w:tc>
        <w:tc>
          <w:tcPr>
            <w:tcW w:w="244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信息化服务商按照合同约定配备人员数量是否达到局方要求。</w:t>
            </w:r>
          </w:p>
        </w:tc>
        <w:tc>
          <w:tcPr>
            <w:tcW w:w="109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3</w:t>
            </w:r>
          </w:p>
        </w:tc>
        <w:tc>
          <w:tcPr>
            <w:tcW w:w="2709"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配置人员数量符合合同约定或满足工作需求的，不扣分，数量未达到合同约定或不满足工作需求的，每少一人扣0.3分。</w:t>
            </w:r>
          </w:p>
        </w:tc>
        <w:tc>
          <w:tcPr>
            <w:tcW w:w="1603"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实施单位</w:t>
            </w:r>
          </w:p>
        </w:tc>
      </w:tr>
      <w:tr>
        <w:tblPrEx>
          <w:tblCellMar>
            <w:top w:w="15" w:type="dxa"/>
            <w:left w:w="15" w:type="dxa"/>
            <w:bottom w:w="15" w:type="dxa"/>
            <w:right w:w="15" w:type="dxa"/>
          </w:tblCellMar>
        </w:tblPrEx>
        <w:trPr>
          <w:trHeight w:val="810" w:hRule="atLeast"/>
          <w:tblCellSpacing w:w="15" w:type="dxa"/>
        </w:trPr>
        <w:tc>
          <w:tcPr>
            <w:vMerge w:val="continue"/>
            <w:tcBorders>
              <w:left w:val="single" w:color="000000" w:sz="8" w:space="0"/>
              <w:right w:val="single" w:color="000000" w:sz="8" w:space="0"/>
            </w:tcBorders>
            <w:vAlign w:val="center"/>
          </w:tcPr>
          <w:p>
            <w:pPr>
              <w:rPr>
                <w:rFonts w:hint="eastAsia" w:ascii="宋体" w:hAnsi="宋体" w:eastAsia="宋体" w:cs="宋体"/>
                <w:b w:val="0"/>
                <w:bCs w:val="0"/>
                <w:i w:val="0"/>
                <w:iCs w:val="0"/>
                <w:smallCaps w:val="0"/>
                <w:color w:val="000000"/>
                <w:sz w:val="24"/>
                <w:szCs w:val="24"/>
              </w:rPr>
            </w:pPr>
          </w:p>
        </w:tc>
        <w:tc>
          <w:tcPr>
            <w:tcW w:w="1022"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2</w:t>
            </w:r>
          </w:p>
        </w:tc>
        <w:tc>
          <w:tcPr>
            <w:tcW w:w="1265"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人员素质情况</w:t>
            </w:r>
          </w:p>
        </w:tc>
        <w:tc>
          <w:tcPr>
            <w:tcW w:w="244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信息化服务商按照合同约定配备人员能力是否达到局方要求。</w:t>
            </w:r>
          </w:p>
        </w:tc>
        <w:tc>
          <w:tcPr>
            <w:tcW w:w="109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3</w:t>
            </w:r>
          </w:p>
        </w:tc>
        <w:tc>
          <w:tcPr>
            <w:tcW w:w="2709"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人员具备相关管理和技能水平，符合合同要求的，不扣分，人员能力不符合合同约定要求的，每人扣0.3分。</w:t>
            </w:r>
          </w:p>
        </w:tc>
        <w:tc>
          <w:tcPr>
            <w:tcW w:w="1603"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实施单位</w:t>
            </w:r>
          </w:p>
        </w:tc>
      </w:tr>
      <w:tr>
        <w:tblPrEx>
          <w:tblCellMar>
            <w:top w:w="15" w:type="dxa"/>
            <w:left w:w="15" w:type="dxa"/>
            <w:bottom w:w="15" w:type="dxa"/>
            <w:right w:w="15" w:type="dxa"/>
          </w:tblCellMar>
        </w:tblPrEx>
        <w:trPr>
          <w:trHeight w:val="980" w:hRule="atLeast"/>
          <w:tblCellSpacing w:w="15" w:type="dxa"/>
        </w:trPr>
        <w:tc>
          <w:tcPr>
            <w:vMerge w:val="continue"/>
            <w:tcBorders>
              <w:left w:val="single" w:color="000000" w:sz="8" w:space="0"/>
              <w:right w:val="single" w:color="000000" w:sz="8" w:space="0"/>
            </w:tcBorders>
            <w:vAlign w:val="center"/>
          </w:tcPr>
          <w:p>
            <w:pPr>
              <w:rPr>
                <w:rFonts w:hint="eastAsia" w:ascii="宋体" w:hAnsi="宋体" w:eastAsia="宋体" w:cs="宋体"/>
                <w:b w:val="0"/>
                <w:bCs w:val="0"/>
                <w:i w:val="0"/>
                <w:iCs w:val="0"/>
                <w:smallCaps w:val="0"/>
                <w:color w:val="000000"/>
                <w:sz w:val="24"/>
                <w:szCs w:val="24"/>
              </w:rPr>
            </w:pPr>
          </w:p>
        </w:tc>
        <w:tc>
          <w:tcPr>
            <w:tcW w:w="1022"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3</w:t>
            </w:r>
          </w:p>
        </w:tc>
        <w:tc>
          <w:tcPr>
            <w:tcW w:w="1265"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工作衔接情况</w:t>
            </w:r>
          </w:p>
        </w:tc>
        <w:tc>
          <w:tcPr>
            <w:tcW w:w="244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人员发生变动后，新人能力是否胜任该岗位工作、工作交接是否影响正常运维工作。</w:t>
            </w:r>
          </w:p>
        </w:tc>
        <w:tc>
          <w:tcPr>
            <w:tcW w:w="109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3</w:t>
            </w:r>
          </w:p>
        </w:tc>
        <w:tc>
          <w:tcPr>
            <w:tcW w:w="2709"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因人员变动影响正常运维工作，每次扣0.3分。</w:t>
            </w:r>
          </w:p>
        </w:tc>
        <w:tc>
          <w:tcPr>
            <w:tcW w:w="1603"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实施单位</w:t>
            </w:r>
          </w:p>
        </w:tc>
      </w:tr>
      <w:tr>
        <w:tblPrEx>
          <w:tblCellMar>
            <w:top w:w="15" w:type="dxa"/>
            <w:left w:w="15" w:type="dxa"/>
            <w:bottom w:w="15" w:type="dxa"/>
            <w:right w:w="15" w:type="dxa"/>
          </w:tblCellMar>
        </w:tblPrEx>
        <w:trPr>
          <w:trHeight w:val="810" w:hRule="atLeast"/>
          <w:tblCellSpacing w:w="15" w:type="dxa"/>
        </w:trPr>
        <w:tc>
          <w:tcPr>
            <w:tcW w:w="959" w:type="dxa"/>
            <w:vMerge w:val="restart"/>
            <w:tcBorders>
              <w:left w:val="single" w:color="000000" w:sz="8" w:space="0"/>
              <w:right w:val="single" w:color="000000" w:sz="8" w:space="0"/>
            </w:tcBorders>
            <w:noWrap w:val="0"/>
            <w:tcMar>
              <w:top w:w="0" w:type="dxa"/>
              <w:left w:w="12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工作质效</w:t>
            </w:r>
          </w:p>
        </w:tc>
        <w:tc>
          <w:tcPr>
            <w:tcW w:w="1022"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4</w:t>
            </w:r>
          </w:p>
        </w:tc>
        <w:tc>
          <w:tcPr>
            <w:tcW w:w="1265"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运维处理时效</w:t>
            </w:r>
          </w:p>
        </w:tc>
        <w:tc>
          <w:tcPr>
            <w:tcW w:w="244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运维项目是否按照局方规定的运维时效完成。</w:t>
            </w:r>
          </w:p>
        </w:tc>
        <w:tc>
          <w:tcPr>
            <w:tcW w:w="109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5</w:t>
            </w:r>
          </w:p>
        </w:tc>
        <w:tc>
          <w:tcPr>
            <w:tcW w:w="2709"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按项目的合同约定或局方相关运维管理办法规定时效进行打分，每超时效1次扣0.1分。</w:t>
            </w:r>
          </w:p>
        </w:tc>
        <w:tc>
          <w:tcPr>
            <w:tcW w:w="1603"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实施单位</w:t>
            </w:r>
          </w:p>
        </w:tc>
      </w:tr>
      <w:tr>
        <w:tblPrEx>
          <w:tblCellMar>
            <w:top w:w="15" w:type="dxa"/>
            <w:left w:w="15" w:type="dxa"/>
            <w:bottom w:w="15" w:type="dxa"/>
            <w:right w:w="15" w:type="dxa"/>
          </w:tblCellMar>
        </w:tblPrEx>
        <w:trPr>
          <w:trHeight w:val="1320" w:hRule="atLeast"/>
          <w:tblCellSpacing w:w="15" w:type="dxa"/>
        </w:trPr>
        <w:tc>
          <w:tcPr>
            <w:vMerge w:val="continue"/>
            <w:tcBorders>
              <w:left w:val="single" w:color="000000" w:sz="8" w:space="0"/>
              <w:right w:val="single" w:color="000000" w:sz="8" w:space="0"/>
            </w:tcBorders>
            <w:vAlign w:val="center"/>
          </w:tcPr>
          <w:p>
            <w:pPr>
              <w:rPr>
                <w:rFonts w:hint="eastAsia" w:ascii="宋体" w:hAnsi="宋体" w:eastAsia="宋体" w:cs="宋体"/>
                <w:b w:val="0"/>
                <w:bCs w:val="0"/>
                <w:i w:val="0"/>
                <w:iCs w:val="0"/>
                <w:smallCaps w:val="0"/>
                <w:color w:val="000000"/>
                <w:sz w:val="24"/>
                <w:szCs w:val="24"/>
              </w:rPr>
            </w:pPr>
          </w:p>
        </w:tc>
        <w:tc>
          <w:tcPr>
            <w:tcW w:w="1022"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5</w:t>
            </w:r>
          </w:p>
        </w:tc>
        <w:tc>
          <w:tcPr>
            <w:tcW w:w="1265"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巡检要求及问题处理</w:t>
            </w:r>
          </w:p>
        </w:tc>
        <w:tc>
          <w:tcPr>
            <w:tcW w:w="244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系统巡检是否按照规定的频次完成，发现问题是否及时处理。</w:t>
            </w:r>
          </w:p>
        </w:tc>
        <w:tc>
          <w:tcPr>
            <w:tcW w:w="109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7</w:t>
            </w:r>
          </w:p>
        </w:tc>
        <w:tc>
          <w:tcPr>
            <w:tcW w:w="2709"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每缺少一次巡检次数扣0.5分，每缺少一项巡检内容扣0.1分，巡检发现问题未及时处理扣0.1分。</w:t>
            </w:r>
          </w:p>
        </w:tc>
        <w:tc>
          <w:tcPr>
            <w:tcW w:w="1603"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实施单位</w:t>
            </w:r>
          </w:p>
        </w:tc>
      </w:tr>
      <w:tr>
        <w:tblPrEx>
          <w:tblCellMar>
            <w:top w:w="15" w:type="dxa"/>
            <w:left w:w="15" w:type="dxa"/>
            <w:bottom w:w="15" w:type="dxa"/>
            <w:right w:w="15" w:type="dxa"/>
          </w:tblCellMar>
        </w:tblPrEx>
        <w:trPr>
          <w:trHeight w:val="1200" w:hRule="atLeast"/>
          <w:tblCellSpacing w:w="15" w:type="dxa"/>
        </w:trPr>
        <w:tc>
          <w:tcPr>
            <w:vMerge w:val="continue"/>
            <w:tcBorders>
              <w:left w:val="single" w:color="000000" w:sz="8" w:space="0"/>
              <w:right w:val="single" w:color="000000" w:sz="8" w:space="0"/>
            </w:tcBorders>
            <w:vAlign w:val="center"/>
          </w:tcPr>
          <w:p>
            <w:pPr>
              <w:rPr>
                <w:rFonts w:hint="eastAsia" w:ascii="宋体" w:hAnsi="宋体" w:eastAsia="宋体" w:cs="宋体"/>
                <w:b w:val="0"/>
                <w:bCs w:val="0"/>
                <w:i w:val="0"/>
                <w:iCs w:val="0"/>
                <w:smallCaps w:val="0"/>
                <w:color w:val="000000"/>
                <w:sz w:val="24"/>
                <w:szCs w:val="24"/>
              </w:rPr>
            </w:pPr>
          </w:p>
        </w:tc>
        <w:tc>
          <w:tcPr>
            <w:tcW w:w="1022"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6</w:t>
            </w:r>
          </w:p>
        </w:tc>
        <w:tc>
          <w:tcPr>
            <w:tcW w:w="1265"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系统升级</w:t>
            </w:r>
          </w:p>
        </w:tc>
        <w:tc>
          <w:tcPr>
            <w:tcW w:w="244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系统升级按时、完整完成，有问题及时反馈。</w:t>
            </w:r>
          </w:p>
        </w:tc>
        <w:tc>
          <w:tcPr>
            <w:tcW w:w="109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4</w:t>
            </w:r>
          </w:p>
        </w:tc>
        <w:tc>
          <w:tcPr>
            <w:tcW w:w="2709"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未按时、完整进行系统升级，每次扣0.1分；系统升级后有问题未能及时向上反馈、解决的，每次扣0.1分。</w:t>
            </w:r>
          </w:p>
        </w:tc>
        <w:tc>
          <w:tcPr>
            <w:tcW w:w="1603"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实施单位</w:t>
            </w:r>
          </w:p>
        </w:tc>
      </w:tr>
      <w:tr>
        <w:tblPrEx>
          <w:tblCellMar>
            <w:top w:w="15" w:type="dxa"/>
            <w:left w:w="15" w:type="dxa"/>
            <w:bottom w:w="15" w:type="dxa"/>
            <w:right w:w="15" w:type="dxa"/>
          </w:tblCellMar>
        </w:tblPrEx>
        <w:trPr>
          <w:trHeight w:val="1140" w:hRule="atLeast"/>
          <w:tblCellSpacing w:w="15" w:type="dxa"/>
        </w:trPr>
        <w:tc>
          <w:tcPr>
            <w:vMerge w:val="continue"/>
            <w:tcBorders>
              <w:left w:val="single" w:color="000000" w:sz="8" w:space="0"/>
              <w:right w:val="single" w:color="000000" w:sz="8" w:space="0"/>
            </w:tcBorders>
            <w:vAlign w:val="center"/>
          </w:tcPr>
          <w:p>
            <w:pPr>
              <w:rPr>
                <w:rFonts w:hint="eastAsia" w:ascii="宋体" w:hAnsi="宋体" w:eastAsia="宋体" w:cs="宋体"/>
                <w:b w:val="0"/>
                <w:bCs w:val="0"/>
                <w:i w:val="0"/>
                <w:iCs w:val="0"/>
                <w:smallCaps w:val="0"/>
                <w:color w:val="000000"/>
                <w:sz w:val="24"/>
                <w:szCs w:val="24"/>
              </w:rPr>
            </w:pPr>
          </w:p>
        </w:tc>
        <w:tc>
          <w:tcPr>
            <w:tcW w:w="1022"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7</w:t>
            </w:r>
          </w:p>
        </w:tc>
        <w:tc>
          <w:tcPr>
            <w:tcW w:w="1265"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版本质量</w:t>
            </w:r>
          </w:p>
        </w:tc>
        <w:tc>
          <w:tcPr>
            <w:tcW w:w="244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系统版本质量是否符合要求。</w:t>
            </w:r>
          </w:p>
        </w:tc>
        <w:tc>
          <w:tcPr>
            <w:tcW w:w="109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6</w:t>
            </w:r>
          </w:p>
        </w:tc>
        <w:tc>
          <w:tcPr>
            <w:tcW w:w="2709"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由于发布版本（补丁）引发新问题的，且未能及时解决的，按次扣0.5分。</w:t>
            </w:r>
          </w:p>
        </w:tc>
        <w:tc>
          <w:tcPr>
            <w:tcW w:w="1603"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实施单位</w:t>
            </w:r>
          </w:p>
        </w:tc>
      </w:tr>
      <w:tr>
        <w:tblPrEx>
          <w:tblCellMar>
            <w:top w:w="15" w:type="dxa"/>
            <w:left w:w="15" w:type="dxa"/>
            <w:bottom w:w="15" w:type="dxa"/>
            <w:right w:w="15" w:type="dxa"/>
          </w:tblCellMar>
        </w:tblPrEx>
        <w:trPr>
          <w:trHeight w:val="960" w:hRule="atLeast"/>
          <w:tblCellSpacing w:w="15" w:type="dxa"/>
        </w:trPr>
        <w:tc>
          <w:tcPr>
            <w:vMerge w:val="continue"/>
            <w:tcBorders>
              <w:left w:val="single" w:color="000000" w:sz="8" w:space="0"/>
              <w:right w:val="single" w:color="000000" w:sz="8" w:space="0"/>
            </w:tcBorders>
            <w:vAlign w:val="center"/>
          </w:tcPr>
          <w:p>
            <w:pPr>
              <w:rPr>
                <w:rFonts w:hint="eastAsia" w:ascii="宋体" w:hAnsi="宋体" w:eastAsia="宋体" w:cs="宋体"/>
                <w:b w:val="0"/>
                <w:bCs w:val="0"/>
                <w:i w:val="0"/>
                <w:iCs w:val="0"/>
                <w:smallCaps w:val="0"/>
                <w:color w:val="000000"/>
                <w:sz w:val="24"/>
                <w:szCs w:val="24"/>
              </w:rPr>
            </w:pPr>
          </w:p>
        </w:tc>
        <w:tc>
          <w:tcPr>
            <w:tcW w:w="1022"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8</w:t>
            </w:r>
          </w:p>
        </w:tc>
        <w:tc>
          <w:tcPr>
            <w:tcW w:w="1265"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应急情况处置</w:t>
            </w:r>
          </w:p>
        </w:tc>
        <w:tc>
          <w:tcPr>
            <w:tcW w:w="244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信息化服务商所维护和保障的系统、资源出现应急情况时的处理情况。</w:t>
            </w:r>
          </w:p>
        </w:tc>
        <w:tc>
          <w:tcPr>
            <w:tcW w:w="109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5</w:t>
            </w:r>
          </w:p>
        </w:tc>
        <w:tc>
          <w:tcPr>
            <w:tcW w:w="2709"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未在合同约定或相关管理办法规定的时限内完成应急情况处置，扣0.4分，未按照规范步骤处置应急情况，每缺少一个步骤扣0.1分，扣完为止。</w:t>
            </w:r>
          </w:p>
        </w:tc>
        <w:tc>
          <w:tcPr>
            <w:tcW w:w="1603"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实施单位</w:t>
            </w:r>
          </w:p>
        </w:tc>
      </w:tr>
      <w:tr>
        <w:tblPrEx>
          <w:tblCellMar>
            <w:top w:w="15" w:type="dxa"/>
            <w:left w:w="15" w:type="dxa"/>
            <w:bottom w:w="15" w:type="dxa"/>
            <w:right w:w="15" w:type="dxa"/>
          </w:tblCellMar>
        </w:tblPrEx>
        <w:trPr>
          <w:trHeight w:val="1080" w:hRule="atLeast"/>
          <w:tblCellSpacing w:w="15" w:type="dxa"/>
        </w:trPr>
        <w:tc>
          <w:tcPr>
            <w:vMerge w:val="continue"/>
            <w:tcBorders>
              <w:left w:val="single" w:color="000000" w:sz="8" w:space="0"/>
              <w:right w:val="single" w:color="000000" w:sz="8" w:space="0"/>
            </w:tcBorders>
            <w:vAlign w:val="center"/>
          </w:tcPr>
          <w:p>
            <w:pPr>
              <w:rPr>
                <w:rFonts w:hint="eastAsia" w:ascii="宋体" w:hAnsi="宋体" w:eastAsia="宋体" w:cs="宋体"/>
                <w:b w:val="0"/>
                <w:bCs w:val="0"/>
                <w:i w:val="0"/>
                <w:iCs w:val="0"/>
                <w:smallCaps w:val="0"/>
                <w:color w:val="000000"/>
                <w:sz w:val="24"/>
                <w:szCs w:val="24"/>
              </w:rPr>
            </w:pPr>
          </w:p>
        </w:tc>
        <w:tc>
          <w:tcPr>
            <w:tcW w:w="1022"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9</w:t>
            </w:r>
          </w:p>
        </w:tc>
        <w:tc>
          <w:tcPr>
            <w:tcW w:w="1265"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报告制度情况</w:t>
            </w:r>
          </w:p>
        </w:tc>
        <w:tc>
          <w:tcPr>
            <w:tcW w:w="244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是否按照合同约定的要求定期提交周报、月报、年报等报表、报告文档。</w:t>
            </w:r>
          </w:p>
        </w:tc>
        <w:tc>
          <w:tcPr>
            <w:tcW w:w="109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5</w:t>
            </w:r>
          </w:p>
        </w:tc>
        <w:tc>
          <w:tcPr>
            <w:tcW w:w="2709"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按照合同约定按时提交定期报表的不扣分，少提交一次扣0.1分。</w:t>
            </w:r>
          </w:p>
        </w:tc>
        <w:tc>
          <w:tcPr>
            <w:tcW w:w="1603"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实施单位</w:t>
            </w:r>
          </w:p>
        </w:tc>
      </w:tr>
      <w:tr>
        <w:tblPrEx>
          <w:tblCellMar>
            <w:top w:w="15" w:type="dxa"/>
            <w:left w:w="15" w:type="dxa"/>
            <w:bottom w:w="15" w:type="dxa"/>
            <w:right w:w="15" w:type="dxa"/>
          </w:tblCellMar>
        </w:tblPrEx>
        <w:trPr>
          <w:trHeight w:val="860" w:hRule="atLeast"/>
          <w:tblCellSpacing w:w="15" w:type="dxa"/>
        </w:trPr>
        <w:tc>
          <w:tcPr>
            <w:vMerge w:val="continue"/>
            <w:tcBorders>
              <w:left w:val="single" w:color="000000" w:sz="8" w:space="0"/>
              <w:right w:val="single" w:color="000000" w:sz="8" w:space="0"/>
            </w:tcBorders>
            <w:vAlign w:val="center"/>
          </w:tcPr>
          <w:p>
            <w:pPr>
              <w:rPr>
                <w:rFonts w:hint="eastAsia" w:ascii="宋体" w:hAnsi="宋体" w:eastAsia="宋体" w:cs="宋体"/>
                <w:b w:val="0"/>
                <w:bCs w:val="0"/>
                <w:i w:val="0"/>
                <w:iCs w:val="0"/>
                <w:smallCaps w:val="0"/>
                <w:color w:val="000000"/>
                <w:sz w:val="24"/>
                <w:szCs w:val="24"/>
              </w:rPr>
            </w:pPr>
          </w:p>
        </w:tc>
        <w:tc>
          <w:tcPr>
            <w:tcW w:w="1022"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10</w:t>
            </w:r>
          </w:p>
        </w:tc>
        <w:tc>
          <w:tcPr>
            <w:tcW w:w="1265"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系统运行故障</w:t>
            </w:r>
          </w:p>
        </w:tc>
        <w:tc>
          <w:tcPr>
            <w:tcW w:w="244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由信息化服务商所维护和保障的系统、资源发生故障。</w:t>
            </w:r>
          </w:p>
        </w:tc>
        <w:tc>
          <w:tcPr>
            <w:tcW w:w="109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5</w:t>
            </w:r>
          </w:p>
        </w:tc>
        <w:tc>
          <w:tcPr>
            <w:tcW w:w="2709"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系统运行发生故障，未在合同约定或相关管理办法规定的时限内响应并排除故障的，每次扣0.1分。</w:t>
            </w:r>
          </w:p>
        </w:tc>
        <w:tc>
          <w:tcPr>
            <w:tcW w:w="1603"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实施单位</w:t>
            </w:r>
          </w:p>
        </w:tc>
      </w:tr>
      <w:tr>
        <w:tblPrEx>
          <w:tblCellMar>
            <w:top w:w="15" w:type="dxa"/>
            <w:left w:w="15" w:type="dxa"/>
            <w:bottom w:w="15" w:type="dxa"/>
            <w:right w:w="15" w:type="dxa"/>
          </w:tblCellMar>
        </w:tblPrEx>
        <w:trPr>
          <w:trHeight w:val="900" w:hRule="atLeast"/>
          <w:tblCellSpacing w:w="15" w:type="dxa"/>
        </w:trPr>
        <w:tc>
          <w:tcPr>
            <w:tcW w:w="959" w:type="dxa"/>
            <w:vMerge w:val="restart"/>
            <w:tcBorders>
              <w:left w:val="single" w:color="000000" w:sz="8" w:space="0"/>
              <w:right w:val="single" w:color="000000" w:sz="8" w:space="0"/>
            </w:tcBorders>
            <w:noWrap w:val="0"/>
            <w:tcMar>
              <w:top w:w="0" w:type="dxa"/>
              <w:left w:w="12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信息安全</w:t>
            </w:r>
          </w:p>
        </w:tc>
        <w:tc>
          <w:tcPr>
            <w:tcW w:w="1022"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11</w:t>
            </w:r>
          </w:p>
        </w:tc>
        <w:tc>
          <w:tcPr>
            <w:tcW w:w="1265"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系统安全漏洞</w:t>
            </w:r>
          </w:p>
        </w:tc>
        <w:tc>
          <w:tcPr>
            <w:tcW w:w="244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由局方安全系统或第三方检测服务所发现的由信息化服务商所开发、维护和保障的系统中的安全漏洞（信息化服务商事前已发现并向局方报备，由于特殊原因暂时无法修复的除外）。</w:t>
            </w:r>
          </w:p>
        </w:tc>
        <w:tc>
          <w:tcPr>
            <w:tcW w:w="109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3</w:t>
            </w:r>
          </w:p>
        </w:tc>
        <w:tc>
          <w:tcPr>
            <w:tcW w:w="2709"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每检出一项扣0.3分。</w:t>
            </w:r>
          </w:p>
        </w:tc>
        <w:tc>
          <w:tcPr>
            <w:tcW w:w="1603"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实施单位</w:t>
            </w:r>
          </w:p>
        </w:tc>
      </w:tr>
      <w:tr>
        <w:tblPrEx>
          <w:tblCellMar>
            <w:top w:w="15" w:type="dxa"/>
            <w:left w:w="15" w:type="dxa"/>
            <w:bottom w:w="15" w:type="dxa"/>
            <w:right w:w="15" w:type="dxa"/>
          </w:tblCellMar>
        </w:tblPrEx>
        <w:trPr>
          <w:trHeight w:val="1120" w:hRule="atLeast"/>
          <w:tblCellSpacing w:w="15" w:type="dxa"/>
        </w:trPr>
        <w:tc>
          <w:tcPr>
            <w:vMerge w:val="continue"/>
            <w:tcBorders>
              <w:left w:val="single" w:color="000000" w:sz="8" w:space="0"/>
              <w:right w:val="single" w:color="000000" w:sz="8" w:space="0"/>
            </w:tcBorders>
            <w:vAlign w:val="center"/>
          </w:tcPr>
          <w:p>
            <w:pPr>
              <w:rPr>
                <w:rFonts w:hint="eastAsia" w:ascii="宋体" w:hAnsi="宋体" w:eastAsia="宋体" w:cs="宋体"/>
                <w:b w:val="0"/>
                <w:bCs w:val="0"/>
                <w:i w:val="0"/>
                <w:iCs w:val="0"/>
                <w:smallCaps w:val="0"/>
                <w:color w:val="000000"/>
                <w:sz w:val="24"/>
                <w:szCs w:val="24"/>
              </w:rPr>
            </w:pPr>
          </w:p>
        </w:tc>
        <w:tc>
          <w:tcPr>
            <w:tcW w:w="1022"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12</w:t>
            </w:r>
          </w:p>
        </w:tc>
        <w:tc>
          <w:tcPr>
            <w:tcW w:w="1265"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内控机制制度</w:t>
            </w:r>
          </w:p>
        </w:tc>
        <w:tc>
          <w:tcPr>
            <w:tcW w:w="244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信息化服务商在内部岗位设置、工作流程等方面制定了制约或控制制度。</w:t>
            </w:r>
          </w:p>
        </w:tc>
        <w:tc>
          <w:tcPr>
            <w:tcW w:w="109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3</w:t>
            </w:r>
          </w:p>
        </w:tc>
        <w:tc>
          <w:tcPr>
            <w:tcW w:w="2709"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建立了相关制度的，不扣分，未按局方要求制定相关制度的，每缺一项扣0.3分。</w:t>
            </w:r>
          </w:p>
        </w:tc>
        <w:tc>
          <w:tcPr>
            <w:tcW w:w="1603"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实施单位</w:t>
            </w:r>
          </w:p>
        </w:tc>
      </w:tr>
      <w:tr>
        <w:tblPrEx>
          <w:tblCellMar>
            <w:top w:w="15" w:type="dxa"/>
            <w:left w:w="15" w:type="dxa"/>
            <w:bottom w:w="15" w:type="dxa"/>
            <w:right w:w="15" w:type="dxa"/>
          </w:tblCellMar>
        </w:tblPrEx>
        <w:trPr>
          <w:trHeight w:val="1120" w:hRule="atLeast"/>
          <w:tblCellSpacing w:w="15" w:type="dxa"/>
        </w:trPr>
        <w:tc>
          <w:tcPr>
            <w:vMerge w:val="continue"/>
            <w:tcBorders>
              <w:left w:val="single" w:color="000000" w:sz="8" w:space="0"/>
              <w:right w:val="single" w:color="000000" w:sz="8" w:space="0"/>
            </w:tcBorders>
            <w:vAlign w:val="center"/>
          </w:tcPr>
          <w:p>
            <w:pPr>
              <w:rPr>
                <w:rFonts w:hint="eastAsia" w:ascii="宋体" w:hAnsi="宋体" w:eastAsia="宋体" w:cs="宋体"/>
                <w:b w:val="0"/>
                <w:bCs w:val="0"/>
                <w:i w:val="0"/>
                <w:iCs w:val="0"/>
                <w:smallCaps w:val="0"/>
                <w:color w:val="000000"/>
                <w:sz w:val="24"/>
                <w:szCs w:val="24"/>
              </w:rPr>
            </w:pPr>
          </w:p>
        </w:tc>
        <w:tc>
          <w:tcPr>
            <w:tcW w:w="1022"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13</w:t>
            </w:r>
          </w:p>
        </w:tc>
        <w:tc>
          <w:tcPr>
            <w:tcW w:w="1265"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内控机制执行</w:t>
            </w:r>
          </w:p>
        </w:tc>
        <w:tc>
          <w:tcPr>
            <w:tcW w:w="244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信息化服务商在内部岗位设置、工作流程等制度的遵照执行情况。</w:t>
            </w:r>
          </w:p>
        </w:tc>
        <w:tc>
          <w:tcPr>
            <w:tcW w:w="109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3</w:t>
            </w:r>
          </w:p>
        </w:tc>
        <w:tc>
          <w:tcPr>
            <w:tcW w:w="2709"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按照制度规范执行的，不扣分，每违反一项扣0.3分。</w:t>
            </w:r>
          </w:p>
        </w:tc>
        <w:tc>
          <w:tcPr>
            <w:tcW w:w="1603"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实施单位</w:t>
            </w:r>
          </w:p>
        </w:tc>
      </w:tr>
      <w:tr>
        <w:tblPrEx>
          <w:tblCellMar>
            <w:top w:w="15" w:type="dxa"/>
            <w:left w:w="15" w:type="dxa"/>
            <w:bottom w:w="15" w:type="dxa"/>
            <w:right w:w="15" w:type="dxa"/>
          </w:tblCellMar>
        </w:tblPrEx>
        <w:trPr>
          <w:trHeight w:val="1120" w:hRule="atLeast"/>
          <w:tblCellSpacing w:w="15" w:type="dxa"/>
        </w:trPr>
        <w:tc>
          <w:tcPr>
            <w:vMerge w:val="continue"/>
            <w:tcBorders>
              <w:left w:val="single" w:color="000000" w:sz="8" w:space="0"/>
              <w:right w:val="single" w:color="000000" w:sz="8" w:space="0"/>
            </w:tcBorders>
            <w:vAlign w:val="center"/>
          </w:tcPr>
          <w:p>
            <w:pPr>
              <w:rPr>
                <w:rFonts w:hint="eastAsia" w:ascii="宋体" w:hAnsi="宋体" w:eastAsia="宋体" w:cs="宋体"/>
                <w:b w:val="0"/>
                <w:bCs w:val="0"/>
                <w:i w:val="0"/>
                <w:iCs w:val="0"/>
                <w:smallCaps w:val="0"/>
                <w:color w:val="000000"/>
                <w:sz w:val="24"/>
                <w:szCs w:val="24"/>
              </w:rPr>
            </w:pPr>
          </w:p>
        </w:tc>
        <w:tc>
          <w:tcPr>
            <w:tcW w:w="1022"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14</w:t>
            </w:r>
          </w:p>
        </w:tc>
        <w:tc>
          <w:tcPr>
            <w:tcW w:w="1265"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安全培训</w:t>
            </w:r>
          </w:p>
        </w:tc>
        <w:tc>
          <w:tcPr>
            <w:tcW w:w="244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信息化服务商是否对运维人员进行安全培训，或在人员发生变化后是否对新进人员进行安全培训。</w:t>
            </w:r>
          </w:p>
        </w:tc>
        <w:tc>
          <w:tcPr>
            <w:tcW w:w="109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4</w:t>
            </w:r>
          </w:p>
        </w:tc>
        <w:tc>
          <w:tcPr>
            <w:tcW w:w="2709"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未进行安全培训，每少一次扣0.4分。</w:t>
            </w:r>
          </w:p>
        </w:tc>
        <w:tc>
          <w:tcPr>
            <w:tcW w:w="1603"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实施单位</w:t>
            </w:r>
          </w:p>
        </w:tc>
      </w:tr>
      <w:tr>
        <w:tblPrEx>
          <w:tblCellMar>
            <w:top w:w="15" w:type="dxa"/>
            <w:left w:w="15" w:type="dxa"/>
            <w:bottom w:w="15" w:type="dxa"/>
            <w:right w:w="15" w:type="dxa"/>
          </w:tblCellMar>
        </w:tblPrEx>
        <w:trPr>
          <w:trHeight w:val="1200" w:hRule="atLeast"/>
          <w:tblCellSpacing w:w="15" w:type="dxa"/>
        </w:trPr>
        <w:tc>
          <w:tcPr>
            <w:vMerge w:val="continue"/>
            <w:tcBorders>
              <w:left w:val="single" w:color="000000" w:sz="8" w:space="0"/>
              <w:right w:val="single" w:color="000000" w:sz="8" w:space="0"/>
            </w:tcBorders>
            <w:vAlign w:val="center"/>
          </w:tcPr>
          <w:p>
            <w:pPr>
              <w:rPr>
                <w:rFonts w:hint="eastAsia" w:ascii="宋体" w:hAnsi="宋体" w:eastAsia="宋体" w:cs="宋体"/>
                <w:b w:val="0"/>
                <w:bCs w:val="0"/>
                <w:i w:val="0"/>
                <w:iCs w:val="0"/>
                <w:smallCaps w:val="0"/>
                <w:color w:val="000000"/>
                <w:sz w:val="24"/>
                <w:szCs w:val="24"/>
              </w:rPr>
            </w:pPr>
          </w:p>
        </w:tc>
        <w:tc>
          <w:tcPr>
            <w:tcW w:w="1022"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15</w:t>
            </w:r>
          </w:p>
        </w:tc>
        <w:tc>
          <w:tcPr>
            <w:tcW w:w="1265"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安全协议</w:t>
            </w:r>
          </w:p>
        </w:tc>
        <w:tc>
          <w:tcPr>
            <w:tcW w:w="244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信息化服务商人员是否与局方签订了安全保密协议，是否向局方提供无犯罪记录证明。</w:t>
            </w:r>
          </w:p>
        </w:tc>
        <w:tc>
          <w:tcPr>
            <w:tcW w:w="109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4</w:t>
            </w:r>
          </w:p>
        </w:tc>
        <w:tc>
          <w:tcPr>
            <w:tcW w:w="2709"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未签订安全保密协议，每人扣0.2分，未提供无犯罪记录证明，每人扣0.2分。</w:t>
            </w:r>
          </w:p>
        </w:tc>
        <w:tc>
          <w:tcPr>
            <w:tcW w:w="1603"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实施单位</w:t>
            </w:r>
          </w:p>
        </w:tc>
      </w:tr>
      <w:tr>
        <w:tblPrEx>
          <w:tblCellMar>
            <w:top w:w="15" w:type="dxa"/>
            <w:left w:w="15" w:type="dxa"/>
            <w:bottom w:w="15" w:type="dxa"/>
            <w:right w:w="15" w:type="dxa"/>
          </w:tblCellMar>
        </w:tblPrEx>
        <w:trPr>
          <w:trHeight w:val="810" w:hRule="atLeast"/>
          <w:tblCellSpacing w:w="15" w:type="dxa"/>
        </w:trPr>
        <w:tc>
          <w:tcPr>
            <w:vMerge w:val="continue"/>
            <w:tcBorders>
              <w:left w:val="single" w:color="000000" w:sz="8" w:space="0"/>
              <w:right w:val="single" w:color="000000" w:sz="8" w:space="0"/>
            </w:tcBorders>
            <w:vAlign w:val="center"/>
          </w:tcPr>
          <w:p>
            <w:pPr>
              <w:rPr>
                <w:rFonts w:hint="eastAsia" w:ascii="宋体" w:hAnsi="宋体" w:eastAsia="宋体" w:cs="宋体"/>
                <w:b w:val="0"/>
                <w:bCs w:val="0"/>
                <w:i w:val="0"/>
                <w:iCs w:val="0"/>
                <w:smallCaps w:val="0"/>
                <w:color w:val="000000"/>
                <w:sz w:val="24"/>
                <w:szCs w:val="24"/>
              </w:rPr>
            </w:pPr>
          </w:p>
        </w:tc>
        <w:tc>
          <w:tcPr>
            <w:tcW w:w="1022"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16</w:t>
            </w:r>
          </w:p>
        </w:tc>
        <w:tc>
          <w:tcPr>
            <w:tcW w:w="1265"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信息安全事故</w:t>
            </w:r>
          </w:p>
        </w:tc>
        <w:tc>
          <w:tcPr>
            <w:tcW w:w="244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是否发生与运维工作相关的信息安全事故。如违规外联、违规进行数据运维等情况。</w:t>
            </w:r>
          </w:p>
        </w:tc>
        <w:tc>
          <w:tcPr>
            <w:tcW w:w="109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2</w:t>
            </w:r>
          </w:p>
        </w:tc>
        <w:tc>
          <w:tcPr>
            <w:tcW w:w="2709"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每发现一项扣1分。</w:t>
            </w:r>
          </w:p>
        </w:tc>
        <w:tc>
          <w:tcPr>
            <w:tcW w:w="1603"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实施单位</w:t>
            </w:r>
          </w:p>
        </w:tc>
      </w:tr>
      <w:tr>
        <w:tblPrEx>
          <w:tblCellMar>
            <w:top w:w="15" w:type="dxa"/>
            <w:left w:w="15" w:type="dxa"/>
            <w:bottom w:w="15" w:type="dxa"/>
            <w:right w:w="15" w:type="dxa"/>
          </w:tblCellMar>
        </w:tblPrEx>
        <w:trPr>
          <w:trHeight w:val="1040" w:hRule="atLeast"/>
          <w:tblCellSpacing w:w="15" w:type="dxa"/>
        </w:trPr>
        <w:tc>
          <w:tcPr>
            <w:tcW w:w="959" w:type="dxa"/>
            <w:vMerge w:val="restart"/>
            <w:tcBorders>
              <w:top w:val="single" w:color="000000" w:sz="8" w:space="0"/>
              <w:left w:val="single" w:color="000000" w:sz="8" w:space="0"/>
              <w:right w:val="single" w:color="000000" w:sz="8" w:space="0"/>
            </w:tcBorders>
            <w:noWrap w:val="0"/>
            <w:tcMar>
              <w:top w:w="0" w:type="dxa"/>
              <w:left w:w="12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沟通交流</w:t>
            </w:r>
          </w:p>
        </w:tc>
        <w:tc>
          <w:tcPr>
            <w:tcW w:w="1022"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17</w:t>
            </w:r>
          </w:p>
        </w:tc>
        <w:tc>
          <w:tcPr>
            <w:tcW w:w="1265"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培训指导</w:t>
            </w:r>
          </w:p>
        </w:tc>
        <w:tc>
          <w:tcPr>
            <w:tcW w:w="244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信息化服务商是否按照合同约定开展相关培训，进行业务、技术指导。</w:t>
            </w:r>
          </w:p>
        </w:tc>
        <w:tc>
          <w:tcPr>
            <w:tcW w:w="109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2</w:t>
            </w:r>
          </w:p>
        </w:tc>
        <w:tc>
          <w:tcPr>
            <w:tcW w:w="2709"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按照合同约定对局方相关应用人员、运维人员、技术人员开展了培训指导的，不扣分；发生一次培训指导不到位的，扣0.2分。</w:t>
            </w:r>
          </w:p>
        </w:tc>
        <w:tc>
          <w:tcPr>
            <w:tcW w:w="1603"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实施单位</w:t>
            </w:r>
          </w:p>
        </w:tc>
      </w:tr>
      <w:tr>
        <w:tblPrEx>
          <w:tblCellMar>
            <w:top w:w="15" w:type="dxa"/>
            <w:left w:w="15" w:type="dxa"/>
            <w:bottom w:w="15" w:type="dxa"/>
            <w:right w:w="15" w:type="dxa"/>
          </w:tblCellMar>
        </w:tblPrEx>
        <w:trPr>
          <w:trHeight w:val="620" w:hRule="atLeast"/>
          <w:tblCellSpacing w:w="15" w:type="dxa"/>
        </w:trPr>
        <w:tc>
          <w:tcPr>
            <w:vMerge w:val="continue"/>
            <w:tcBorders>
              <w:left w:val="single" w:color="000000" w:sz="8" w:space="0"/>
              <w:right w:val="single" w:color="000000" w:sz="8" w:space="0"/>
            </w:tcBorders>
            <w:vAlign w:val="center"/>
          </w:tcPr>
          <w:p>
            <w:pPr>
              <w:rPr>
                <w:rFonts w:hint="eastAsia" w:ascii="宋体" w:hAnsi="宋体" w:eastAsia="宋体" w:cs="宋体"/>
                <w:b w:val="0"/>
                <w:bCs w:val="0"/>
                <w:i w:val="0"/>
                <w:iCs w:val="0"/>
                <w:smallCaps w:val="0"/>
                <w:color w:val="000000"/>
                <w:sz w:val="24"/>
                <w:szCs w:val="24"/>
              </w:rPr>
            </w:pPr>
          </w:p>
        </w:tc>
        <w:tc>
          <w:tcPr>
            <w:tcW w:w="1022"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18</w:t>
            </w:r>
          </w:p>
        </w:tc>
        <w:tc>
          <w:tcPr>
            <w:tcW w:w="1265"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结果反馈</w:t>
            </w:r>
          </w:p>
        </w:tc>
        <w:tc>
          <w:tcPr>
            <w:tcW w:w="244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对于工作任务的主动完成情况和结果反馈情况。</w:t>
            </w:r>
          </w:p>
        </w:tc>
        <w:tc>
          <w:tcPr>
            <w:tcW w:w="109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2</w:t>
            </w:r>
          </w:p>
        </w:tc>
        <w:tc>
          <w:tcPr>
            <w:tcW w:w="2709"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未完成工作任务，每次扣0.2分，未及时反馈结果，每次扣0.2分。</w:t>
            </w:r>
          </w:p>
        </w:tc>
        <w:tc>
          <w:tcPr>
            <w:tcW w:w="1603"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实施单位</w:t>
            </w:r>
          </w:p>
        </w:tc>
      </w:tr>
      <w:tr>
        <w:tblPrEx>
          <w:tblCellMar>
            <w:top w:w="15" w:type="dxa"/>
            <w:left w:w="15" w:type="dxa"/>
            <w:bottom w:w="15" w:type="dxa"/>
            <w:right w:w="15" w:type="dxa"/>
          </w:tblCellMar>
        </w:tblPrEx>
        <w:trPr>
          <w:trHeight w:val="840" w:hRule="atLeast"/>
          <w:tblCellSpacing w:w="15" w:type="dxa"/>
        </w:trPr>
        <w:tc>
          <w:tcPr>
            <w:vMerge w:val="continue"/>
            <w:tcBorders>
              <w:left w:val="single" w:color="000000" w:sz="8" w:space="0"/>
              <w:right w:val="single" w:color="000000" w:sz="8" w:space="0"/>
            </w:tcBorders>
            <w:vAlign w:val="center"/>
          </w:tcPr>
          <w:p>
            <w:pPr>
              <w:rPr>
                <w:rFonts w:hint="eastAsia" w:ascii="宋体" w:hAnsi="宋体" w:eastAsia="宋体" w:cs="宋体"/>
                <w:b w:val="0"/>
                <w:bCs w:val="0"/>
                <w:i w:val="0"/>
                <w:iCs w:val="0"/>
                <w:smallCaps w:val="0"/>
                <w:color w:val="000000"/>
                <w:sz w:val="24"/>
                <w:szCs w:val="24"/>
              </w:rPr>
            </w:pPr>
          </w:p>
        </w:tc>
        <w:tc>
          <w:tcPr>
            <w:tcW w:w="1022"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19</w:t>
            </w:r>
          </w:p>
        </w:tc>
        <w:tc>
          <w:tcPr>
            <w:tcW w:w="1265"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交流渠道</w:t>
            </w:r>
          </w:p>
        </w:tc>
        <w:tc>
          <w:tcPr>
            <w:tcW w:w="244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信息化服务商人员与局方人员有畅通的交流渠道。</w:t>
            </w:r>
          </w:p>
        </w:tc>
        <w:tc>
          <w:tcPr>
            <w:tcW w:w="109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2</w:t>
            </w:r>
          </w:p>
        </w:tc>
        <w:tc>
          <w:tcPr>
            <w:tcW w:w="2709"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发生交流渠道不畅通情况的，每次扣0.2分，扣完为止。</w:t>
            </w:r>
          </w:p>
        </w:tc>
        <w:tc>
          <w:tcPr>
            <w:tcW w:w="1603"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实施单位</w:t>
            </w:r>
          </w:p>
        </w:tc>
      </w:tr>
      <w:tr>
        <w:tblPrEx>
          <w:tblCellMar>
            <w:top w:w="15" w:type="dxa"/>
            <w:left w:w="15" w:type="dxa"/>
            <w:bottom w:w="15" w:type="dxa"/>
            <w:right w:w="15" w:type="dxa"/>
          </w:tblCellMar>
        </w:tblPrEx>
        <w:trPr>
          <w:trHeight w:val="1060" w:hRule="atLeast"/>
          <w:tblCellSpacing w:w="15" w:type="dxa"/>
        </w:trPr>
        <w:tc>
          <w:tcPr>
            <w:tcW w:w="959" w:type="dxa"/>
            <w:vMerge w:val="restart"/>
            <w:tcBorders>
              <w:left w:val="single" w:color="000000" w:sz="8" w:space="0"/>
              <w:right w:val="single" w:color="000000" w:sz="8" w:space="0"/>
            </w:tcBorders>
            <w:noWrap w:val="0"/>
            <w:tcMar>
              <w:top w:w="0" w:type="dxa"/>
              <w:left w:w="12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服务质量</w:t>
            </w:r>
          </w:p>
        </w:tc>
        <w:tc>
          <w:tcPr>
            <w:tcW w:w="1022"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20</w:t>
            </w:r>
          </w:p>
        </w:tc>
        <w:tc>
          <w:tcPr>
            <w:tcW w:w="1265"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基本服务项目</w:t>
            </w:r>
          </w:p>
        </w:tc>
        <w:tc>
          <w:tcPr>
            <w:tcW w:w="244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挂牌上岗、礼貌用语、环境卫生、仪表得体。</w:t>
            </w:r>
          </w:p>
        </w:tc>
        <w:tc>
          <w:tcPr>
            <w:tcW w:w="109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2</w:t>
            </w:r>
          </w:p>
        </w:tc>
        <w:tc>
          <w:tcPr>
            <w:tcW w:w="2709"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每有一次违反行为，扣0.2分。</w:t>
            </w:r>
          </w:p>
        </w:tc>
        <w:tc>
          <w:tcPr>
            <w:tcW w:w="1603"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实施单位</w:t>
            </w:r>
          </w:p>
        </w:tc>
      </w:tr>
      <w:tr>
        <w:tblPrEx>
          <w:tblCellMar>
            <w:top w:w="15" w:type="dxa"/>
            <w:left w:w="15" w:type="dxa"/>
            <w:bottom w:w="15" w:type="dxa"/>
            <w:right w:w="15" w:type="dxa"/>
          </w:tblCellMar>
        </w:tblPrEx>
        <w:trPr>
          <w:trHeight w:val="1460" w:hRule="atLeast"/>
          <w:tblCellSpacing w:w="15" w:type="dxa"/>
        </w:trPr>
        <w:tc>
          <w:tcPr>
            <w:vMerge w:val="continue"/>
            <w:tcBorders>
              <w:left w:val="single" w:color="000000" w:sz="8" w:space="0"/>
              <w:right w:val="single" w:color="000000" w:sz="8" w:space="0"/>
            </w:tcBorders>
            <w:vAlign w:val="center"/>
          </w:tcPr>
          <w:p>
            <w:pPr>
              <w:rPr>
                <w:rFonts w:hint="eastAsia" w:ascii="宋体" w:hAnsi="宋体" w:eastAsia="宋体" w:cs="宋体"/>
                <w:b w:val="0"/>
                <w:bCs w:val="0"/>
                <w:i w:val="0"/>
                <w:iCs w:val="0"/>
                <w:smallCaps w:val="0"/>
                <w:color w:val="000000"/>
                <w:sz w:val="24"/>
                <w:szCs w:val="24"/>
              </w:rPr>
            </w:pPr>
          </w:p>
        </w:tc>
        <w:tc>
          <w:tcPr>
            <w:tcW w:w="1022"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21</w:t>
            </w:r>
          </w:p>
        </w:tc>
        <w:tc>
          <w:tcPr>
            <w:tcW w:w="1265"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工作制度建立与执行</w:t>
            </w:r>
          </w:p>
        </w:tc>
        <w:tc>
          <w:tcPr>
            <w:tcW w:w="244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信息化服务商是否建立完善的管理、业务、沟通等工作制度，并对各项制度落实执行。</w:t>
            </w:r>
          </w:p>
        </w:tc>
        <w:tc>
          <w:tcPr>
            <w:tcW w:w="109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2</w:t>
            </w:r>
          </w:p>
        </w:tc>
        <w:tc>
          <w:tcPr>
            <w:tcW w:w="2709"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建立了相关的工作制度，逐项落实的，不扣分，否则缺少一项扣0.1分，发现落实执行不到位的，每次扣0.1分。</w:t>
            </w:r>
          </w:p>
        </w:tc>
        <w:tc>
          <w:tcPr>
            <w:tcW w:w="1603"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实施单位</w:t>
            </w:r>
          </w:p>
        </w:tc>
      </w:tr>
      <w:tr>
        <w:tblPrEx>
          <w:tblCellMar>
            <w:top w:w="15" w:type="dxa"/>
            <w:left w:w="15" w:type="dxa"/>
            <w:bottom w:w="15" w:type="dxa"/>
            <w:right w:w="15" w:type="dxa"/>
          </w:tblCellMar>
        </w:tblPrEx>
        <w:trPr>
          <w:trHeight w:val="1440" w:hRule="atLeast"/>
          <w:tblCellSpacing w:w="15" w:type="dxa"/>
        </w:trPr>
        <w:tc>
          <w:tcPr>
            <w:tcW w:w="959" w:type="dxa"/>
            <w:vMerge w:val="restart"/>
            <w:tcBorders>
              <w:left w:val="single" w:color="000000" w:sz="8" w:space="0"/>
              <w:right w:val="single" w:color="000000" w:sz="8" w:space="0"/>
            </w:tcBorders>
            <w:noWrap w:val="0"/>
            <w:tcMar>
              <w:top w:w="0" w:type="dxa"/>
              <w:left w:w="128" w:type="dxa"/>
              <w:bottom w:w="0" w:type="dxa"/>
              <w:right w:w="128" w:type="dxa"/>
            </w:tcMar>
            <w:vAlign w:val="center"/>
          </w:tcPr>
          <w:p>
            <w:pPr>
              <w:pStyle w:val="16"/>
              <w:jc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需求实现情况</w:t>
            </w:r>
          </w:p>
        </w:tc>
        <w:tc>
          <w:tcPr>
            <w:tcW w:w="1022"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22</w:t>
            </w:r>
          </w:p>
        </w:tc>
        <w:tc>
          <w:tcPr>
            <w:tcW w:w="1265"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需求响应情况</w:t>
            </w:r>
          </w:p>
        </w:tc>
        <w:tc>
          <w:tcPr>
            <w:tcW w:w="244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是否及时响应需求单位在合同范围内提出的业务需求。</w:t>
            </w:r>
          </w:p>
        </w:tc>
        <w:tc>
          <w:tcPr>
            <w:tcW w:w="109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5</w:t>
            </w:r>
          </w:p>
        </w:tc>
        <w:tc>
          <w:tcPr>
            <w:tcW w:w="2709"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在规定时限内及时响应并完成需求分析工作的，不扣分，未及时响应或未在规定时限内完成需求分析工作的，按次扣0.5分。</w:t>
            </w:r>
          </w:p>
        </w:tc>
        <w:tc>
          <w:tcPr>
            <w:tcW w:w="1603"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业主单位</w:t>
            </w:r>
          </w:p>
        </w:tc>
      </w:tr>
      <w:tr>
        <w:tblPrEx>
          <w:tblCellMar>
            <w:top w:w="15" w:type="dxa"/>
            <w:left w:w="15" w:type="dxa"/>
            <w:bottom w:w="15" w:type="dxa"/>
            <w:right w:w="15" w:type="dxa"/>
          </w:tblCellMar>
        </w:tblPrEx>
        <w:trPr>
          <w:trHeight w:val="1800" w:hRule="atLeast"/>
          <w:tblCellSpacing w:w="15" w:type="dxa"/>
        </w:trPr>
        <w:tc>
          <w:tcPr>
            <w:vMerge w:val="continue"/>
            <w:tcBorders>
              <w:left w:val="single" w:color="000000" w:sz="8" w:space="0"/>
              <w:right w:val="single" w:color="000000" w:sz="8" w:space="0"/>
            </w:tcBorders>
            <w:vAlign w:val="center"/>
          </w:tcPr>
          <w:p>
            <w:pPr>
              <w:rPr>
                <w:rFonts w:hint="eastAsia" w:ascii="宋体" w:hAnsi="宋体" w:eastAsia="宋体" w:cs="宋体"/>
                <w:b w:val="0"/>
                <w:bCs w:val="0"/>
                <w:i w:val="0"/>
                <w:iCs w:val="0"/>
                <w:smallCaps w:val="0"/>
                <w:color w:val="000000"/>
                <w:sz w:val="24"/>
                <w:szCs w:val="24"/>
              </w:rPr>
            </w:pPr>
          </w:p>
        </w:tc>
        <w:tc>
          <w:tcPr>
            <w:tcW w:w="1022"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23</w:t>
            </w:r>
          </w:p>
        </w:tc>
        <w:tc>
          <w:tcPr>
            <w:tcW w:w="1265"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需求实现效率</w:t>
            </w:r>
          </w:p>
        </w:tc>
        <w:tc>
          <w:tcPr>
            <w:tcW w:w="244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是否按业主单位、实施单位时间要求完成所提需求对应的开发工作。</w:t>
            </w:r>
          </w:p>
        </w:tc>
        <w:tc>
          <w:tcPr>
            <w:tcW w:w="109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5</w:t>
            </w:r>
          </w:p>
        </w:tc>
        <w:tc>
          <w:tcPr>
            <w:tcW w:w="2709"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按期完成需求开发的，不扣分，未按期完成，按次扣0.5分。</w:t>
            </w:r>
          </w:p>
        </w:tc>
        <w:tc>
          <w:tcPr>
            <w:tcW w:w="1603"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业主单位</w:t>
            </w:r>
          </w:p>
        </w:tc>
      </w:tr>
      <w:tr>
        <w:tblPrEx>
          <w:tblCellMar>
            <w:top w:w="15" w:type="dxa"/>
            <w:left w:w="15" w:type="dxa"/>
            <w:bottom w:w="15" w:type="dxa"/>
            <w:right w:w="15" w:type="dxa"/>
          </w:tblCellMar>
        </w:tblPrEx>
        <w:trPr>
          <w:trHeight w:val="960" w:hRule="atLeast"/>
          <w:tblCellSpacing w:w="15" w:type="dxa"/>
        </w:trPr>
        <w:tc>
          <w:tcPr>
            <w:vMerge w:val="continue"/>
            <w:tcBorders>
              <w:left w:val="single" w:color="000000" w:sz="8" w:space="0"/>
              <w:right w:val="single" w:color="000000" w:sz="8" w:space="0"/>
            </w:tcBorders>
            <w:vAlign w:val="center"/>
          </w:tcPr>
          <w:p>
            <w:pPr>
              <w:rPr>
                <w:rFonts w:hint="eastAsia" w:ascii="宋体" w:hAnsi="宋体" w:eastAsia="宋体" w:cs="宋体"/>
                <w:b w:val="0"/>
                <w:bCs w:val="0"/>
                <w:i w:val="0"/>
                <w:iCs w:val="0"/>
                <w:smallCaps w:val="0"/>
                <w:color w:val="000000"/>
                <w:sz w:val="24"/>
                <w:szCs w:val="24"/>
              </w:rPr>
            </w:pPr>
          </w:p>
        </w:tc>
        <w:tc>
          <w:tcPr>
            <w:tcW w:w="1022"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24</w:t>
            </w:r>
          </w:p>
        </w:tc>
        <w:tc>
          <w:tcPr>
            <w:tcW w:w="1265"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系统优化质量</w:t>
            </w:r>
          </w:p>
        </w:tc>
        <w:tc>
          <w:tcPr>
            <w:tcW w:w="244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系统优化完善是否能够满足业务需求。</w:t>
            </w:r>
          </w:p>
        </w:tc>
        <w:tc>
          <w:tcPr>
            <w:tcW w:w="109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5</w:t>
            </w:r>
          </w:p>
        </w:tc>
        <w:tc>
          <w:tcPr>
            <w:tcW w:w="2709"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能够满足业务需求的，不扣分，版本未满足业务需求的，按次扣0.5分。</w:t>
            </w:r>
          </w:p>
        </w:tc>
        <w:tc>
          <w:tcPr>
            <w:tcW w:w="1603"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业主单位</w:t>
            </w:r>
          </w:p>
        </w:tc>
      </w:tr>
      <w:tr>
        <w:tblPrEx>
          <w:tblCellMar>
            <w:top w:w="15" w:type="dxa"/>
            <w:left w:w="15" w:type="dxa"/>
            <w:bottom w:w="15" w:type="dxa"/>
            <w:right w:w="15" w:type="dxa"/>
          </w:tblCellMar>
        </w:tblPrEx>
        <w:trPr>
          <w:trHeight w:val="540" w:hRule="atLeast"/>
          <w:tblCellSpacing w:w="15" w:type="dxa"/>
        </w:trPr>
        <w:tc>
          <w:tcPr>
            <w:vMerge w:val="continue"/>
            <w:tcBorders>
              <w:left w:val="single" w:color="000000" w:sz="8" w:space="0"/>
              <w:right w:val="single" w:color="000000" w:sz="8" w:space="0"/>
            </w:tcBorders>
            <w:vAlign w:val="center"/>
          </w:tcPr>
          <w:p>
            <w:pPr>
              <w:rPr>
                <w:rFonts w:hint="eastAsia" w:ascii="宋体" w:hAnsi="宋体" w:eastAsia="宋体" w:cs="宋体"/>
                <w:b w:val="0"/>
                <w:bCs w:val="0"/>
                <w:i w:val="0"/>
                <w:iCs w:val="0"/>
                <w:smallCaps w:val="0"/>
                <w:color w:val="000000"/>
                <w:sz w:val="24"/>
                <w:szCs w:val="24"/>
              </w:rPr>
            </w:pPr>
          </w:p>
        </w:tc>
        <w:tc>
          <w:tcPr>
            <w:tcW w:w="1022"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25</w:t>
            </w:r>
          </w:p>
        </w:tc>
        <w:tc>
          <w:tcPr>
            <w:tcW w:w="1265"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协助用户测试</w:t>
            </w:r>
          </w:p>
        </w:tc>
        <w:tc>
          <w:tcPr>
            <w:tcW w:w="244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是否在合同约定范围内协助做好用户测试工作。</w:t>
            </w:r>
          </w:p>
        </w:tc>
        <w:tc>
          <w:tcPr>
            <w:tcW w:w="109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3</w:t>
            </w:r>
          </w:p>
        </w:tc>
        <w:tc>
          <w:tcPr>
            <w:tcW w:w="2709"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协助做好用户测试的，不扣分，未协助做好用户测试的，按次扣0.2分。</w:t>
            </w:r>
          </w:p>
        </w:tc>
        <w:tc>
          <w:tcPr>
            <w:tcW w:w="1603"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业主单位</w:t>
            </w:r>
          </w:p>
        </w:tc>
      </w:tr>
      <w:tr>
        <w:tblPrEx>
          <w:tblCellMar>
            <w:top w:w="15" w:type="dxa"/>
            <w:left w:w="15" w:type="dxa"/>
            <w:bottom w:w="15" w:type="dxa"/>
            <w:right w:w="15" w:type="dxa"/>
          </w:tblCellMar>
        </w:tblPrEx>
        <w:trPr>
          <w:trHeight w:val="1320" w:hRule="atLeast"/>
          <w:tblCellSpacing w:w="15" w:type="dxa"/>
        </w:trPr>
        <w:tc>
          <w:tcPr>
            <w:vMerge w:val="continue"/>
            <w:tcBorders>
              <w:left w:val="single" w:color="000000" w:sz="8" w:space="0"/>
              <w:right w:val="single" w:color="000000" w:sz="8" w:space="0"/>
            </w:tcBorders>
            <w:vAlign w:val="center"/>
          </w:tcPr>
          <w:p>
            <w:pPr>
              <w:rPr>
                <w:rFonts w:hint="eastAsia" w:ascii="宋体" w:hAnsi="宋体" w:eastAsia="宋体" w:cs="宋体"/>
                <w:b w:val="0"/>
                <w:bCs w:val="0"/>
                <w:i w:val="0"/>
                <w:iCs w:val="0"/>
                <w:smallCaps w:val="0"/>
                <w:color w:val="000000"/>
                <w:sz w:val="24"/>
                <w:szCs w:val="24"/>
              </w:rPr>
            </w:pPr>
          </w:p>
        </w:tc>
        <w:tc>
          <w:tcPr>
            <w:tcW w:w="1022"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26</w:t>
            </w:r>
          </w:p>
        </w:tc>
        <w:tc>
          <w:tcPr>
            <w:tcW w:w="1265"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其他任务配合</w:t>
            </w:r>
          </w:p>
        </w:tc>
        <w:tc>
          <w:tcPr>
            <w:tcW w:w="244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配合完成局方安排的其他工作任务，如需求调研、现场保障等。</w:t>
            </w:r>
          </w:p>
        </w:tc>
        <w:tc>
          <w:tcPr>
            <w:tcW w:w="109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2</w:t>
            </w:r>
          </w:p>
        </w:tc>
        <w:tc>
          <w:tcPr>
            <w:tcW w:w="2709"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主动配合并按期完成的，不扣分；每少完成一次扣0.2分。</w:t>
            </w:r>
          </w:p>
        </w:tc>
        <w:tc>
          <w:tcPr>
            <w:tcW w:w="1603"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业主单位</w:t>
            </w:r>
          </w:p>
        </w:tc>
      </w:tr>
      <w:tr>
        <w:tblPrEx>
          <w:tblCellMar>
            <w:top w:w="15" w:type="dxa"/>
            <w:left w:w="15" w:type="dxa"/>
            <w:bottom w:w="15" w:type="dxa"/>
            <w:right w:w="15" w:type="dxa"/>
          </w:tblCellMar>
        </w:tblPrEx>
        <w:trPr>
          <w:trHeight w:val="1460" w:hRule="atLeast"/>
          <w:tblCellSpacing w:w="15" w:type="dxa"/>
        </w:trPr>
        <w:tc>
          <w:tcPr>
            <w:tcW w:w="959" w:type="dxa"/>
            <w:vMerge w:val="restart"/>
            <w:tcBorders>
              <w:left w:val="single" w:color="000000" w:sz="8" w:space="0"/>
              <w:right w:val="single" w:color="000000" w:sz="8" w:space="0"/>
            </w:tcBorders>
            <w:noWrap w:val="0"/>
            <w:tcMar>
              <w:top w:w="0" w:type="dxa"/>
              <w:left w:w="12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系统使用体验</w:t>
            </w:r>
          </w:p>
        </w:tc>
        <w:tc>
          <w:tcPr>
            <w:tcW w:w="1022"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27</w:t>
            </w:r>
          </w:p>
        </w:tc>
        <w:tc>
          <w:tcPr>
            <w:tcW w:w="1265"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功能界面</w:t>
            </w:r>
          </w:p>
        </w:tc>
        <w:tc>
          <w:tcPr>
            <w:tcW w:w="244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信息系统的功能是否满足工作需要，界面是否友好。</w:t>
            </w:r>
          </w:p>
        </w:tc>
        <w:tc>
          <w:tcPr>
            <w:tcW w:w="109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2</w:t>
            </w:r>
          </w:p>
        </w:tc>
        <w:tc>
          <w:tcPr>
            <w:tcW w:w="2709"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系统使用体验好，操作流畅、界面友好，能满足工作需要，由系统用户按1-5级进行评估打分，每级级差0.4分。</w:t>
            </w:r>
          </w:p>
        </w:tc>
        <w:tc>
          <w:tcPr>
            <w:tcW w:w="1603"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系统用户</w:t>
            </w:r>
          </w:p>
        </w:tc>
      </w:tr>
      <w:tr>
        <w:tblPrEx>
          <w:tblCellMar>
            <w:top w:w="15" w:type="dxa"/>
            <w:left w:w="15" w:type="dxa"/>
            <w:bottom w:w="15" w:type="dxa"/>
            <w:right w:w="15" w:type="dxa"/>
          </w:tblCellMar>
        </w:tblPrEx>
        <w:trPr>
          <w:trHeight w:val="1315" w:hRule="atLeast"/>
          <w:tblCellSpacing w:w="15" w:type="dxa"/>
        </w:trPr>
        <w:tc>
          <w:tcPr>
            <w:vMerge w:val="continue"/>
            <w:tcBorders>
              <w:left w:val="single" w:color="000000" w:sz="8" w:space="0"/>
              <w:right w:val="single" w:color="000000" w:sz="8" w:space="0"/>
            </w:tcBorders>
            <w:vAlign w:val="center"/>
          </w:tcPr>
          <w:p>
            <w:pPr>
              <w:rPr>
                <w:rFonts w:hint="eastAsia" w:ascii="宋体" w:hAnsi="宋体" w:eastAsia="宋体" w:cs="宋体"/>
                <w:b w:val="0"/>
                <w:bCs w:val="0"/>
                <w:i w:val="0"/>
                <w:iCs w:val="0"/>
                <w:smallCaps w:val="0"/>
                <w:color w:val="000000"/>
                <w:sz w:val="24"/>
                <w:szCs w:val="24"/>
              </w:rPr>
            </w:pPr>
          </w:p>
        </w:tc>
        <w:tc>
          <w:tcPr>
            <w:tcW w:w="1022"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28</w:t>
            </w:r>
          </w:p>
        </w:tc>
        <w:tc>
          <w:tcPr>
            <w:tcW w:w="1265"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服务态度</w:t>
            </w:r>
          </w:p>
        </w:tc>
        <w:tc>
          <w:tcPr>
            <w:tcW w:w="244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是否对用户友好、耐心，是否积极与用户沟通。</w:t>
            </w:r>
          </w:p>
        </w:tc>
        <w:tc>
          <w:tcPr>
            <w:tcW w:w="109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1</w:t>
            </w:r>
          </w:p>
        </w:tc>
        <w:tc>
          <w:tcPr>
            <w:tcW w:w="2709"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对系统用户友好、耐心，积极与用户沟通，由系统用户按1-5级进行评估打分，每级级差0.2分。</w:t>
            </w:r>
          </w:p>
        </w:tc>
        <w:tc>
          <w:tcPr>
            <w:tcW w:w="1603"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系统用户</w:t>
            </w:r>
          </w:p>
        </w:tc>
      </w:tr>
      <w:tr>
        <w:tblPrEx>
          <w:tblCellMar>
            <w:top w:w="15" w:type="dxa"/>
            <w:left w:w="15" w:type="dxa"/>
            <w:bottom w:w="15" w:type="dxa"/>
            <w:right w:w="15" w:type="dxa"/>
          </w:tblCellMar>
        </w:tblPrEx>
        <w:trPr>
          <w:trHeight w:val="1460" w:hRule="atLeast"/>
          <w:tblCellSpacing w:w="15" w:type="dxa"/>
        </w:trPr>
        <w:tc>
          <w:tcPr>
            <w:vMerge w:val="continue"/>
            <w:tcBorders>
              <w:left w:val="single" w:color="000000" w:sz="8" w:space="0"/>
              <w:right w:val="single" w:color="000000" w:sz="8" w:space="0"/>
            </w:tcBorders>
            <w:vAlign w:val="center"/>
          </w:tcPr>
          <w:p>
            <w:pPr>
              <w:rPr>
                <w:rFonts w:hint="eastAsia" w:ascii="宋体" w:hAnsi="宋体" w:eastAsia="宋体" w:cs="宋体"/>
                <w:b w:val="0"/>
                <w:bCs w:val="0"/>
                <w:i w:val="0"/>
                <w:iCs w:val="0"/>
                <w:smallCaps w:val="0"/>
                <w:color w:val="000000"/>
                <w:sz w:val="24"/>
                <w:szCs w:val="24"/>
              </w:rPr>
            </w:pPr>
          </w:p>
        </w:tc>
        <w:tc>
          <w:tcPr>
            <w:tcW w:w="1022"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29</w:t>
            </w:r>
          </w:p>
        </w:tc>
        <w:tc>
          <w:tcPr>
            <w:tcW w:w="1265"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问题解决质量</w:t>
            </w:r>
          </w:p>
        </w:tc>
        <w:tc>
          <w:tcPr>
            <w:tcW w:w="244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向用户提供的解决方案是否专业、有效，且能够符合用户的业务需要和系统特点。</w:t>
            </w:r>
          </w:p>
        </w:tc>
        <w:tc>
          <w:tcPr>
            <w:tcW w:w="109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1</w:t>
            </w:r>
          </w:p>
        </w:tc>
        <w:tc>
          <w:tcPr>
            <w:tcW w:w="2709"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提供解决方案专业、有效，且能够符合系统用户的业务需要和系统特点，由系统用户按1-5级进行评估打分，每级级差0.2分。</w:t>
            </w:r>
          </w:p>
        </w:tc>
        <w:tc>
          <w:tcPr>
            <w:tcW w:w="1603"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系统用户</w:t>
            </w:r>
          </w:p>
        </w:tc>
      </w:tr>
      <w:tr>
        <w:tblPrEx>
          <w:tblCellMar>
            <w:top w:w="15" w:type="dxa"/>
            <w:left w:w="15" w:type="dxa"/>
            <w:bottom w:w="15" w:type="dxa"/>
            <w:right w:w="15" w:type="dxa"/>
          </w:tblCellMar>
        </w:tblPrEx>
        <w:trPr>
          <w:trHeight w:val="1460" w:hRule="atLeast"/>
          <w:tblCellSpacing w:w="15" w:type="dxa"/>
        </w:trPr>
        <w:tc>
          <w:tcPr>
            <w:vMerge w:val="continue"/>
            <w:tcBorders>
              <w:left w:val="single" w:color="000000" w:sz="8" w:space="0"/>
              <w:right w:val="single" w:color="000000" w:sz="8" w:space="0"/>
            </w:tcBorders>
            <w:vAlign w:val="center"/>
          </w:tcPr>
          <w:p>
            <w:pPr>
              <w:rPr>
                <w:rFonts w:hint="eastAsia" w:ascii="宋体" w:hAnsi="宋体" w:eastAsia="宋体" w:cs="宋体"/>
                <w:b w:val="0"/>
                <w:bCs w:val="0"/>
                <w:i w:val="0"/>
                <w:iCs w:val="0"/>
                <w:smallCaps w:val="0"/>
                <w:color w:val="000000"/>
                <w:sz w:val="24"/>
                <w:szCs w:val="24"/>
              </w:rPr>
            </w:pPr>
          </w:p>
        </w:tc>
        <w:tc>
          <w:tcPr>
            <w:tcW w:w="1022"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30</w:t>
            </w:r>
          </w:p>
        </w:tc>
        <w:tc>
          <w:tcPr>
            <w:tcW w:w="1265"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投诉反馈处理</w:t>
            </w:r>
          </w:p>
        </w:tc>
        <w:tc>
          <w:tcPr>
            <w:tcW w:w="244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收到来自纳税人或者局方的投诉举报，并经局方主管部门核实确认的，应及时处理。</w:t>
            </w:r>
          </w:p>
        </w:tc>
        <w:tc>
          <w:tcPr>
            <w:tcW w:w="1097"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center"/>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1</w:t>
            </w:r>
          </w:p>
        </w:tc>
        <w:tc>
          <w:tcPr>
            <w:tcW w:w="2709"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由系统用户按1-5级进行评估打分，每级级差0.2分。</w:t>
            </w:r>
          </w:p>
        </w:tc>
        <w:tc>
          <w:tcPr>
            <w:tcW w:w="1603" w:type="dxa"/>
            <w:tcBorders>
              <w:bottom w:val="single" w:color="000000" w:sz="8" w:space="0"/>
              <w:right w:val="single" w:color="000000" w:sz="8" w:space="0"/>
            </w:tcBorders>
            <w:noWrap w:val="0"/>
            <w:tcMar>
              <w:top w:w="0" w:type="dxa"/>
              <w:left w:w="108" w:type="dxa"/>
              <w:bottom w:w="0" w:type="dxa"/>
              <w:right w:w="128" w:type="dxa"/>
            </w:tcMar>
            <w:vAlign w:val="center"/>
          </w:tcPr>
          <w:p>
            <w:pPr>
              <w:pStyle w:val="16"/>
              <w:jc w:val="both"/>
              <w:textAlignment w:val="center"/>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 </w:t>
            </w:r>
          </w:p>
        </w:tc>
      </w:tr>
    </w:tbl>
    <w:p>
      <w:pPr>
        <w:pStyle w:val="4"/>
        <w:keepNext w:val="0"/>
        <w:spacing w:before="0" w:after="0" w:line="360" w:lineRule="auto"/>
        <w:outlineLvl w:val="1"/>
        <w:rPr>
          <w:rFonts w:hint="eastAsia" w:ascii="宋体" w:hAnsi="宋体" w:eastAsia="宋体" w:cs="宋体"/>
          <w:b/>
          <w:bCs/>
          <w:sz w:val="24"/>
          <w:szCs w:val="24"/>
        </w:rPr>
      </w:pPr>
      <w:bookmarkStart w:id="60" w:name="_Toc30764"/>
      <w:r>
        <w:rPr>
          <w:rFonts w:hint="eastAsia" w:ascii="宋体" w:hAnsi="宋体" w:eastAsia="宋体" w:cs="宋体"/>
          <w:sz w:val="24"/>
          <w:szCs w:val="24"/>
        </w:rPr>
        <w:t>10.1.3★税收信息化项目开发和应用管理工作要求</w:t>
      </w:r>
      <w:bookmarkEnd w:id="60"/>
    </w:p>
    <w:p>
      <w:pPr>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供应商在采购以及后续项目实施过程中，应严格遵守税务总局税收信息化项目开发和应用管理工作要求。对于违反合同约定的，依据合同约定及政府采购有关规定，采购人可采取要求限期改正、在应付合同金额中扣除违约金、解除合同等措施；对于存在严重违法失信行为的，由采购人按规定推送财政部纳入政府采购严重违法失信行为记录名单。</w:t>
      </w:r>
    </w:p>
    <w:p>
      <w:pPr>
        <w:pStyle w:val="4"/>
        <w:keepNext w:val="0"/>
        <w:spacing w:before="0" w:after="0" w:line="360" w:lineRule="auto"/>
        <w:outlineLvl w:val="1"/>
        <w:rPr>
          <w:rFonts w:hint="eastAsia" w:ascii="宋体" w:hAnsi="宋体" w:eastAsia="宋体" w:cs="宋体"/>
          <w:b/>
          <w:bCs/>
          <w:sz w:val="24"/>
          <w:szCs w:val="24"/>
        </w:rPr>
      </w:pPr>
      <w:bookmarkStart w:id="61" w:name="_Toc253"/>
      <w:r>
        <w:rPr>
          <w:rFonts w:hint="eastAsia" w:ascii="宋体" w:hAnsi="宋体" w:eastAsia="宋体" w:cs="宋体"/>
          <w:sz w:val="24"/>
          <w:szCs w:val="24"/>
        </w:rPr>
        <w:t>10.1.4★供应链安全管理要求</w:t>
      </w:r>
      <w:bookmarkEnd w:id="61"/>
    </w:p>
    <w:p>
      <w:pPr>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供应商对供应链安全管理责任落实不到位，造成安全事件或产生不良影响的，采购人按照法律法规及合同约定进行处理。</w:t>
      </w:r>
    </w:p>
    <w:p>
      <w:pPr>
        <w:pStyle w:val="14"/>
        <w:spacing w:before="0" w:after="0" w:line="360" w:lineRule="auto"/>
        <w:rPr>
          <w:rFonts w:hint="eastAsia" w:ascii="宋体" w:hAnsi="宋体" w:eastAsia="宋体" w:cs="宋体"/>
          <w:sz w:val="24"/>
          <w:szCs w:val="24"/>
        </w:rPr>
      </w:pPr>
      <w:r>
        <w:rPr>
          <w:rFonts w:hint="eastAsia" w:ascii="宋体" w:hAnsi="宋体" w:eastAsia="宋体" w:cs="宋体"/>
          <w:sz w:val="24"/>
          <w:szCs w:val="24"/>
        </w:rPr>
        <w:t>   1、人员资格要求</w:t>
      </w:r>
    </w:p>
    <w:p>
      <w:pPr>
        <w:pStyle w:val="14"/>
        <w:spacing w:before="0" w:after="0" w:line="360" w:lineRule="auto"/>
        <w:rPr>
          <w:rFonts w:hint="eastAsia" w:ascii="宋体" w:hAnsi="宋体" w:eastAsia="宋体" w:cs="宋体"/>
          <w:sz w:val="24"/>
          <w:szCs w:val="24"/>
        </w:rPr>
      </w:pPr>
      <w:r>
        <w:rPr>
          <w:rFonts w:hint="eastAsia" w:ascii="宋体" w:hAnsi="宋体" w:eastAsia="宋体" w:cs="宋体"/>
          <w:sz w:val="24"/>
          <w:szCs w:val="24"/>
        </w:rPr>
        <w:t>   （1）签订承诺书。供应商应严格落实国家税务总局网络安全和保密管理要求，承担技术支持人员的网络安全和保密管理责任，按采购人要求签订协议和承诺书。</w:t>
      </w:r>
    </w:p>
    <w:p>
      <w:pPr>
        <w:pStyle w:val="14"/>
        <w:spacing w:before="0" w:after="0" w:line="360" w:lineRule="auto"/>
        <w:rPr>
          <w:rFonts w:hint="eastAsia" w:ascii="宋体" w:hAnsi="宋体" w:eastAsia="宋体" w:cs="宋体"/>
          <w:sz w:val="24"/>
          <w:szCs w:val="24"/>
        </w:rPr>
      </w:pPr>
      <w:r>
        <w:rPr>
          <w:rFonts w:hint="eastAsia" w:ascii="宋体" w:hAnsi="宋体" w:eastAsia="宋体" w:cs="宋体"/>
          <w:sz w:val="24"/>
          <w:szCs w:val="24"/>
        </w:rPr>
        <w:t>   （2）开展背景审查。供应商承担技术支持人员背景审查工作，提供其身份证明、履历、家庭成员及主要社会关系、无犯罪记录证明等材料，并提交采购人进行备案。</w:t>
      </w:r>
    </w:p>
    <w:p>
      <w:pPr>
        <w:pStyle w:val="14"/>
        <w:spacing w:before="0" w:after="0" w:line="360" w:lineRule="auto"/>
        <w:rPr>
          <w:rFonts w:hint="eastAsia" w:ascii="宋体" w:hAnsi="宋体" w:eastAsia="宋体" w:cs="宋体"/>
          <w:sz w:val="24"/>
          <w:szCs w:val="24"/>
        </w:rPr>
      </w:pPr>
      <w:r>
        <w:rPr>
          <w:rFonts w:hint="eastAsia" w:ascii="宋体" w:hAnsi="宋体" w:eastAsia="宋体" w:cs="宋体"/>
          <w:sz w:val="24"/>
          <w:szCs w:val="24"/>
        </w:rPr>
        <w:t>   （3）设置网络安全负责人（由驻场运维人员兼任）。供应商为本项目配备一名网络安全负责人，该负责人具备独立决策能力并保持相对稳定，在项目实施的全过程负责网络安全工作，组织落实各项网络安全要求。</w:t>
      </w:r>
    </w:p>
    <w:p>
      <w:pPr>
        <w:pStyle w:val="14"/>
        <w:spacing w:before="0" w:after="0" w:line="360" w:lineRule="auto"/>
        <w:rPr>
          <w:rFonts w:hint="eastAsia" w:ascii="宋体" w:hAnsi="宋体" w:eastAsia="宋体" w:cs="宋体"/>
          <w:sz w:val="24"/>
          <w:szCs w:val="24"/>
        </w:rPr>
      </w:pPr>
      <w:r>
        <w:rPr>
          <w:rFonts w:hint="eastAsia" w:ascii="宋体" w:hAnsi="宋体" w:eastAsia="宋体" w:cs="宋体"/>
          <w:sz w:val="24"/>
          <w:szCs w:val="24"/>
        </w:rPr>
        <w:t>    2、日常行为规范要求</w:t>
      </w:r>
    </w:p>
    <w:p>
      <w:pPr>
        <w:pStyle w:val="14"/>
        <w:spacing w:before="0" w:after="0" w:line="360" w:lineRule="auto"/>
        <w:rPr>
          <w:rFonts w:hint="eastAsia" w:ascii="宋体" w:hAnsi="宋体" w:eastAsia="宋体" w:cs="宋体"/>
          <w:sz w:val="24"/>
          <w:szCs w:val="24"/>
        </w:rPr>
      </w:pPr>
      <w:r>
        <w:rPr>
          <w:rFonts w:hint="eastAsia" w:ascii="宋体" w:hAnsi="宋体" w:eastAsia="宋体" w:cs="宋体"/>
          <w:sz w:val="24"/>
          <w:szCs w:val="24"/>
        </w:rPr>
        <w:t>   （1）工作能力要求。供应商负责对技术支持人员进行资格条件、工作胜任力以及网络安全能力评估，对技术支持人员承担的工作进行安全保密风险分析，明确技术支持人员工作范围和边界，重点防范设备和资料失窃、误操作导致的软硬件故障、工作秘密和税费数据等信息泄露、信息系统越权访问和网络攻击等风险。</w:t>
      </w:r>
    </w:p>
    <w:p>
      <w:pPr>
        <w:pStyle w:val="14"/>
        <w:spacing w:before="0" w:after="0" w:line="360" w:lineRule="auto"/>
        <w:rPr>
          <w:rFonts w:hint="eastAsia" w:ascii="宋体" w:hAnsi="宋体" w:eastAsia="宋体" w:cs="宋体"/>
          <w:sz w:val="24"/>
          <w:szCs w:val="24"/>
        </w:rPr>
      </w:pPr>
      <w:r>
        <w:rPr>
          <w:rFonts w:hint="eastAsia" w:ascii="宋体" w:hAnsi="宋体" w:eastAsia="宋体" w:cs="宋体"/>
          <w:sz w:val="24"/>
          <w:szCs w:val="24"/>
        </w:rPr>
        <w:t>   （2）教育培训要求。供应商负责对技术支持人员进行网络和数据安全法律法规、网络安全意识、网络安全管理、网络安全技能、保密意识以及网络安全警示教育等培训，上岗前对其进行考核。</w:t>
      </w:r>
    </w:p>
    <w:p>
      <w:pPr>
        <w:pStyle w:val="14"/>
        <w:spacing w:before="0" w:after="0" w:line="360" w:lineRule="auto"/>
        <w:rPr>
          <w:rFonts w:hint="eastAsia" w:ascii="宋体" w:hAnsi="宋体" w:eastAsia="宋体" w:cs="宋体"/>
          <w:sz w:val="24"/>
          <w:szCs w:val="24"/>
        </w:rPr>
      </w:pPr>
      <w:r>
        <w:rPr>
          <w:rFonts w:hint="eastAsia" w:ascii="宋体" w:hAnsi="宋体" w:eastAsia="宋体" w:cs="宋体"/>
          <w:sz w:val="24"/>
          <w:szCs w:val="24"/>
        </w:rPr>
        <w:t>    3、违约惩戒措施</w:t>
      </w:r>
    </w:p>
    <w:p>
      <w:pPr>
        <w:pStyle w:val="14"/>
        <w:spacing w:before="0" w:after="0" w:line="360" w:lineRule="auto"/>
        <w:rPr>
          <w:rFonts w:hint="eastAsia" w:ascii="宋体" w:hAnsi="宋体" w:eastAsia="宋体" w:cs="宋体"/>
          <w:sz w:val="24"/>
          <w:szCs w:val="24"/>
        </w:rPr>
      </w:pPr>
      <w:r>
        <w:rPr>
          <w:rFonts w:hint="eastAsia" w:ascii="宋体" w:hAnsi="宋体" w:eastAsia="宋体" w:cs="宋体"/>
          <w:sz w:val="24"/>
          <w:szCs w:val="24"/>
        </w:rPr>
        <w:t>供应商对供应链安全管理责任落实不到位，造成安全事件或产生不良影响的，采购人按照《税务系统信息化服务商失信行为记录名单制度（试行）》（税总办征科发〔2022〕1号）要求，组织对供应商进行失信行为认定，并采取相应的处置措施。</w:t>
      </w:r>
    </w:p>
    <w:p>
      <w:pPr>
        <w:pStyle w:val="14"/>
        <w:spacing w:before="0" w:after="0" w:line="360" w:lineRule="auto"/>
        <w:rPr>
          <w:rFonts w:hint="eastAsia" w:ascii="宋体" w:hAnsi="宋体" w:eastAsia="宋体" w:cs="宋体"/>
          <w:sz w:val="24"/>
          <w:szCs w:val="24"/>
        </w:rPr>
      </w:pPr>
      <w:r>
        <w:rPr>
          <w:rFonts w:hint="eastAsia" w:ascii="宋体" w:hAnsi="宋体" w:eastAsia="宋体" w:cs="宋体"/>
          <w:sz w:val="24"/>
          <w:szCs w:val="24"/>
        </w:rPr>
        <w:t>   4、供应链安全要求：供应链厂商应明确税务应用系统的安全责任和数据安全责任，包括但不限于</w:t>
      </w:r>
    </w:p>
    <w:p>
      <w:pPr>
        <w:pStyle w:val="16"/>
        <w:spacing w:before="0" w:after="0" w:line="360" w:lineRule="auto"/>
        <w:ind w:firstLine="561"/>
        <w:rPr>
          <w:rFonts w:hint="eastAsia" w:ascii="宋体" w:hAnsi="宋体" w:eastAsia="宋体" w:cs="宋体"/>
          <w:sz w:val="24"/>
          <w:szCs w:val="24"/>
        </w:rPr>
      </w:pPr>
      <w:r>
        <w:rPr>
          <w:rFonts w:hint="eastAsia" w:ascii="宋体" w:hAnsi="宋体" w:eastAsia="宋体" w:cs="宋体"/>
          <w:sz w:val="24"/>
          <w:szCs w:val="24"/>
        </w:rPr>
        <w:t>（1）具备销售许可证、满足国家认可的网络安全规范和认证要求；</w:t>
      </w:r>
    </w:p>
    <w:p>
      <w:pPr>
        <w:pStyle w:val="16"/>
        <w:spacing w:before="0" w:after="0" w:line="360" w:lineRule="auto"/>
        <w:ind w:firstLine="561"/>
        <w:rPr>
          <w:rFonts w:hint="eastAsia" w:ascii="宋体" w:hAnsi="宋体" w:eastAsia="宋体" w:cs="宋体"/>
          <w:sz w:val="24"/>
          <w:szCs w:val="24"/>
        </w:rPr>
      </w:pPr>
      <w:r>
        <w:rPr>
          <w:rFonts w:hint="eastAsia" w:ascii="宋体" w:hAnsi="宋体" w:eastAsia="宋体" w:cs="宋体"/>
          <w:sz w:val="24"/>
          <w:szCs w:val="24"/>
        </w:rPr>
        <w:t>（2）产品满足业务持续稳定运行时限需求的使用授权；</w:t>
      </w:r>
    </w:p>
    <w:p>
      <w:pPr>
        <w:pStyle w:val="16"/>
        <w:spacing w:before="0" w:after="0" w:line="360" w:lineRule="auto"/>
        <w:ind w:firstLine="561"/>
        <w:rPr>
          <w:rFonts w:hint="eastAsia" w:ascii="宋体" w:hAnsi="宋体" w:eastAsia="宋体" w:cs="宋体"/>
          <w:sz w:val="24"/>
          <w:szCs w:val="24"/>
        </w:rPr>
      </w:pPr>
      <w:r>
        <w:rPr>
          <w:rFonts w:hint="eastAsia" w:ascii="宋体" w:hAnsi="宋体" w:eastAsia="宋体" w:cs="宋体"/>
          <w:sz w:val="24"/>
          <w:szCs w:val="24"/>
        </w:rPr>
        <w:t>（3）采用安全可控的方式、渠道，交付产品或开展服务等；</w:t>
      </w:r>
    </w:p>
    <w:p>
      <w:pPr>
        <w:pStyle w:val="16"/>
        <w:spacing w:before="0" w:after="0" w:line="360" w:lineRule="auto"/>
        <w:ind w:firstLine="561"/>
        <w:rPr>
          <w:rFonts w:hint="eastAsia" w:ascii="宋体" w:hAnsi="宋体" w:eastAsia="宋体" w:cs="宋体"/>
          <w:sz w:val="24"/>
          <w:szCs w:val="24"/>
        </w:rPr>
      </w:pPr>
      <w:r>
        <w:rPr>
          <w:rFonts w:hint="eastAsia" w:ascii="宋体" w:hAnsi="宋体" w:eastAsia="宋体" w:cs="宋体"/>
          <w:sz w:val="24"/>
          <w:szCs w:val="24"/>
        </w:rPr>
        <w:t>（4）产品安全性保障，如不可利用产品的便利条件非法获取用户数据、控制和操纵用户系统和设备，不得在未授权情况下对产品进行升级或更新换代等；</w:t>
      </w:r>
    </w:p>
    <w:p>
      <w:pPr>
        <w:pStyle w:val="16"/>
        <w:spacing w:before="0" w:after="0" w:line="360" w:lineRule="auto"/>
        <w:ind w:firstLine="561"/>
        <w:rPr>
          <w:rFonts w:hint="eastAsia" w:ascii="宋体" w:hAnsi="宋体" w:eastAsia="宋体" w:cs="宋体"/>
          <w:sz w:val="24"/>
          <w:szCs w:val="24"/>
        </w:rPr>
      </w:pPr>
      <w:r>
        <w:rPr>
          <w:rFonts w:hint="eastAsia" w:ascii="宋体" w:hAnsi="宋体" w:eastAsia="宋体" w:cs="宋体"/>
          <w:sz w:val="24"/>
          <w:szCs w:val="24"/>
        </w:rPr>
        <w:t>（5）明确供应链厂商的安全责任和义务，如供应链厂商对软硬件产品和服务的设计、研发、生产、交付等关键环节加强安全管理；</w:t>
      </w:r>
    </w:p>
    <w:p>
      <w:pPr>
        <w:pStyle w:val="16"/>
        <w:spacing w:before="0" w:after="0" w:line="360" w:lineRule="auto"/>
        <w:ind w:firstLine="561"/>
        <w:rPr>
          <w:rFonts w:hint="eastAsia" w:ascii="宋体" w:hAnsi="宋体" w:eastAsia="宋体" w:cs="宋体"/>
          <w:sz w:val="24"/>
          <w:szCs w:val="24"/>
        </w:rPr>
      </w:pPr>
      <w:r>
        <w:rPr>
          <w:rFonts w:hint="eastAsia" w:ascii="宋体" w:hAnsi="宋体" w:eastAsia="宋体" w:cs="宋体"/>
          <w:sz w:val="24"/>
          <w:szCs w:val="24"/>
        </w:rPr>
        <w:t>（6）按照国家法律法规开展的安全审查、安全评估、渗透测试等；</w:t>
      </w:r>
    </w:p>
    <w:p>
      <w:pPr>
        <w:pStyle w:val="14"/>
        <w:spacing w:before="0" w:after="0" w:line="360" w:lineRule="auto"/>
        <w:rPr>
          <w:rFonts w:hint="eastAsia" w:ascii="宋体" w:hAnsi="宋体" w:eastAsia="宋体" w:cs="宋体"/>
          <w:sz w:val="24"/>
          <w:szCs w:val="24"/>
        </w:rPr>
      </w:pPr>
      <w:r>
        <w:rPr>
          <w:rFonts w:hint="eastAsia" w:ascii="宋体" w:hAnsi="宋体" w:eastAsia="宋体" w:cs="宋体"/>
          <w:sz w:val="24"/>
          <w:szCs w:val="24"/>
        </w:rPr>
        <w:t>   （7）在项目实施过程中须提高开发人员安全技术水平，加强源代码安全管理，健全源代码安全管理机制，确保税务应用系统安全。因源代码泄露，造成税务应用系统被攻击，导致涉税数据泄露，甲方将严肃追究责任并将供应链厂商列入失信人名单。</w:t>
      </w:r>
    </w:p>
    <w:p>
      <w:pPr>
        <w:pStyle w:val="4"/>
        <w:keepNext w:val="0"/>
        <w:spacing w:before="0" w:after="0" w:line="360" w:lineRule="auto"/>
        <w:outlineLvl w:val="1"/>
        <w:rPr>
          <w:rFonts w:hint="eastAsia" w:ascii="宋体" w:hAnsi="宋体" w:eastAsia="宋体" w:cs="宋体"/>
          <w:b/>
          <w:bCs/>
          <w:sz w:val="24"/>
          <w:szCs w:val="24"/>
        </w:rPr>
      </w:pPr>
      <w:bookmarkStart w:id="62" w:name="_Toc12363"/>
      <w:r>
        <w:rPr>
          <w:rFonts w:hint="eastAsia" w:ascii="宋体" w:hAnsi="宋体" w:eastAsia="宋体" w:cs="宋体"/>
          <w:sz w:val="24"/>
          <w:szCs w:val="24"/>
        </w:rPr>
        <w:t>10.1.5★信息化服务运维人员要求</w:t>
      </w:r>
      <w:bookmarkEnd w:id="62"/>
    </w:p>
    <w:p>
      <w:pPr>
        <w:spacing w:before="0" w:after="0" w:line="360" w:lineRule="auto"/>
        <w:ind w:firstLine="561"/>
        <w:rPr>
          <w:rFonts w:hint="eastAsia" w:ascii="宋体" w:hAnsi="宋体" w:eastAsia="宋体" w:cs="宋体"/>
          <w:sz w:val="24"/>
          <w:szCs w:val="24"/>
        </w:rPr>
      </w:pPr>
      <w:r>
        <w:rPr>
          <w:rFonts w:hint="eastAsia" w:ascii="宋体" w:hAnsi="宋体" w:eastAsia="宋体" w:cs="宋体"/>
          <w:sz w:val="24"/>
          <w:szCs w:val="24"/>
        </w:rPr>
        <w:t>本项目涉及信息化服务运维人员的，运维人员应当是运维单位的正式人员，或者是与运维单位签订1年以上劳动合同且实际工作满1年的人员，常驻运维人员应当为技术骨干。     </w:t>
      </w:r>
    </w:p>
    <w:p>
      <w:pPr>
        <w:pStyle w:val="4"/>
        <w:keepNext w:val="0"/>
        <w:spacing w:before="0" w:after="0" w:line="360" w:lineRule="auto"/>
        <w:outlineLvl w:val="1"/>
        <w:rPr>
          <w:rFonts w:hint="eastAsia" w:ascii="宋体" w:hAnsi="宋体" w:eastAsia="宋体" w:cs="宋体"/>
          <w:b/>
          <w:bCs/>
          <w:sz w:val="24"/>
          <w:szCs w:val="24"/>
        </w:rPr>
      </w:pPr>
      <w:bookmarkStart w:id="63" w:name="_Toc27727"/>
      <w:r>
        <w:rPr>
          <w:rFonts w:hint="eastAsia" w:ascii="宋体" w:hAnsi="宋体" w:eastAsia="宋体" w:cs="宋体"/>
          <w:sz w:val="24"/>
          <w:szCs w:val="24"/>
        </w:rPr>
        <w:t>10.1.6其他</w:t>
      </w:r>
      <w:bookmarkEnd w:id="63"/>
    </w:p>
    <w:p>
      <w:pPr>
        <w:spacing w:before="0" w:after="0" w:line="360" w:lineRule="auto"/>
        <w:ind w:firstLine="561"/>
        <w:rPr>
          <w:rFonts w:hint="eastAsia" w:ascii="宋体" w:hAnsi="宋体" w:eastAsia="宋体" w:cs="宋体"/>
          <w:sz w:val="24"/>
          <w:szCs w:val="24"/>
        </w:rPr>
      </w:pPr>
      <w:r>
        <w:rPr>
          <w:rFonts w:hint="eastAsia" w:ascii="宋体" w:hAnsi="宋体" w:eastAsia="宋体" w:cs="宋体"/>
          <w:sz w:val="24"/>
          <w:szCs w:val="24"/>
        </w:rPr>
        <w:t xml:space="preserve">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 </w:t>
      </w:r>
    </w:p>
    <w:p>
      <w:pPr>
        <w:spacing w:before="0" w:after="0" w:line="360" w:lineRule="auto"/>
        <w:ind w:firstLine="561"/>
        <w:rPr>
          <w:rFonts w:hint="eastAsia" w:ascii="宋体" w:hAnsi="宋体" w:eastAsia="宋体" w:cs="宋体"/>
          <w:sz w:val="24"/>
          <w:szCs w:val="24"/>
        </w:rPr>
      </w:pPr>
      <w:r>
        <w:rPr>
          <w:rFonts w:hint="eastAsia" w:ascii="宋体" w:hAnsi="宋体" w:eastAsia="宋体" w:cs="宋体"/>
          <w:sz w:val="24"/>
          <w:szCs w:val="24"/>
        </w:rPr>
        <w:t xml:space="preserve">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 </w:t>
      </w:r>
    </w:p>
    <w:p>
      <w:pPr>
        <w:spacing w:before="0" w:after="0" w:line="360" w:lineRule="auto"/>
        <w:ind w:firstLine="561"/>
        <w:rPr>
          <w:rFonts w:hint="eastAsia" w:ascii="宋体" w:hAnsi="宋体" w:eastAsia="宋体" w:cs="宋体"/>
          <w:sz w:val="24"/>
          <w:szCs w:val="24"/>
        </w:rPr>
      </w:pPr>
      <w:r>
        <w:rPr>
          <w:rFonts w:hint="eastAsia" w:ascii="宋体" w:hAnsi="宋体" w:eastAsia="宋体" w:cs="宋体"/>
          <w:sz w:val="24"/>
          <w:szCs w:val="24"/>
        </w:rPr>
        <w:t xml:space="preserve">3.本项目中如涉及国家强制性产品认证证书（CCC 认证证书）、电信设备进网许可证、无线电发射设备核准证等市场准入类资质的，应严格执行国家相关法律法规的要求。 </w:t>
      </w:r>
    </w:p>
    <w:p>
      <w:pPr>
        <w:spacing w:before="0" w:after="0" w:line="360" w:lineRule="auto"/>
        <w:ind w:firstLine="561"/>
        <w:rPr>
          <w:rFonts w:hint="eastAsia" w:ascii="宋体" w:hAnsi="宋体" w:eastAsia="宋体" w:cs="宋体"/>
          <w:sz w:val="24"/>
          <w:szCs w:val="24"/>
        </w:rPr>
      </w:pPr>
      <w:r>
        <w:rPr>
          <w:rFonts w:hint="eastAsia" w:ascii="宋体" w:hAnsi="宋体" w:eastAsia="宋体" w:cs="宋体"/>
          <w:sz w:val="24"/>
          <w:szCs w:val="24"/>
        </w:rPr>
        <w:t>以上相关要求，由供应商在响应时应答，在履约验收中，采购人将按照采购文件、中标/成交供应商响应文件、采购合同等对中标/成交供应商提供的货物和服务进行验收，必要时依法依规开展相应检测、认证。</w:t>
      </w:r>
    </w:p>
    <w:p>
      <w:pPr>
        <w:pStyle w:val="3"/>
        <w:keepNext w:val="0"/>
        <w:spacing w:before="0" w:after="0" w:line="360" w:lineRule="auto"/>
        <w:outlineLvl w:val="0"/>
        <w:rPr>
          <w:rFonts w:hint="eastAsia" w:ascii="宋体" w:hAnsi="宋体" w:eastAsia="宋体" w:cs="宋体"/>
          <w:b/>
          <w:bCs/>
          <w:sz w:val="24"/>
          <w:szCs w:val="24"/>
        </w:rPr>
      </w:pPr>
      <w:bookmarkStart w:id="64" w:name="_Toc9444"/>
      <w:r>
        <w:rPr>
          <w:rFonts w:hint="eastAsia" w:ascii="宋体" w:hAnsi="宋体" w:eastAsia="宋体" w:cs="宋体"/>
          <w:i w:val="0"/>
          <w:iCs w:val="0"/>
          <w:sz w:val="24"/>
          <w:szCs w:val="24"/>
        </w:rPr>
        <w:t>10.2知识产权要求</w:t>
      </w:r>
      <w:bookmarkEnd w:id="64"/>
    </w:p>
    <w:p>
      <w:pPr>
        <w:pStyle w:val="13"/>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招标人对项目实施过程中所产生的所有成果（包括相关技术资料、文档等）享有所有权（永久使用权、复制权和修改权等）。除本项目工作所需外，未经招标人书面同意，中标人不得擅自使用、复制招标人的标志、数据信息、文档及其他资料。</w:t>
      </w:r>
    </w:p>
    <w:p>
      <w:pPr>
        <w:pStyle w:val="13"/>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中标人应保证在本项目中所有预装和为本项目安装的软件为在中国境内具有合法版权或使用权的正版软件且无质量瑕疵。</w:t>
      </w:r>
    </w:p>
    <w:p>
      <w:pPr>
        <w:pStyle w:val="13"/>
        <w:spacing w:before="0" w:after="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中标人保证所提供的产品及服务不侵犯第三方的知识产权，否则，由此给招标人造成的一切损失由中标人承担。</w:t>
      </w:r>
    </w:p>
    <w:p>
      <w:pPr>
        <w:pStyle w:val="3"/>
        <w:keepNext w:val="0"/>
        <w:spacing w:before="0" w:after="0" w:line="360" w:lineRule="auto"/>
        <w:outlineLvl w:val="0"/>
        <w:rPr>
          <w:rFonts w:hint="eastAsia" w:ascii="宋体" w:hAnsi="宋体" w:eastAsia="宋体" w:cs="宋体"/>
          <w:b/>
          <w:bCs/>
          <w:sz w:val="24"/>
          <w:szCs w:val="24"/>
        </w:rPr>
      </w:pPr>
      <w:bookmarkStart w:id="65" w:name="_Toc5621"/>
      <w:r>
        <w:rPr>
          <w:rFonts w:hint="eastAsia" w:ascii="宋体" w:hAnsi="宋体" w:eastAsia="宋体" w:cs="宋体"/>
          <w:i w:val="0"/>
          <w:iCs w:val="0"/>
          <w:sz w:val="24"/>
          <w:szCs w:val="24"/>
        </w:rPr>
        <w:t>10.3付款安排建议</w:t>
      </w:r>
      <w:bookmarkEnd w:id="65"/>
    </w:p>
    <w:tbl>
      <w:tblPr>
        <w:tblStyle w:val="9"/>
        <w:tblW w:w="5000" w:type="pct"/>
        <w:tblInd w:w="30" w:type="dxa"/>
        <w:tblLayout w:type="autofit"/>
        <w:tblCellMar>
          <w:top w:w="15" w:type="dxa"/>
          <w:left w:w="15" w:type="dxa"/>
          <w:bottom w:w="15" w:type="dxa"/>
          <w:right w:w="15" w:type="dxa"/>
        </w:tblCellMar>
      </w:tblPr>
      <w:tblGrid>
        <w:gridCol w:w="1814"/>
        <w:gridCol w:w="5442"/>
        <w:gridCol w:w="1814"/>
      </w:tblGrid>
      <w:tr>
        <w:tblPrEx>
          <w:tblCellMar>
            <w:top w:w="15" w:type="dxa"/>
            <w:left w:w="15" w:type="dxa"/>
            <w:bottom w:w="15" w:type="dxa"/>
            <w:right w:w="15" w:type="dxa"/>
          </w:tblCellMar>
        </w:tblPrEx>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jc w:val="center"/>
              <w:rPr>
                <w:rFonts w:hint="eastAsia" w:ascii="宋体" w:hAnsi="宋体" w:eastAsia="宋体" w:cs="宋体"/>
                <w:b/>
                <w:bCs/>
                <w:i w:val="0"/>
                <w:iCs w:val="0"/>
                <w:smallCaps w:val="0"/>
                <w:color w:val="000000"/>
                <w:sz w:val="24"/>
                <w:szCs w:val="24"/>
              </w:rPr>
            </w:pPr>
            <w:r>
              <w:rPr>
                <w:rFonts w:hint="eastAsia" w:ascii="宋体" w:hAnsi="宋体" w:eastAsia="宋体" w:cs="宋体"/>
                <w:b/>
                <w:bCs/>
                <w:i w:val="0"/>
                <w:iCs w:val="0"/>
                <w:smallCaps w:val="0"/>
                <w:color w:val="000000"/>
                <w:sz w:val="24"/>
                <w:szCs w:val="24"/>
              </w:rPr>
              <w:t>付款名称</w:t>
            </w:r>
          </w:p>
        </w:tc>
        <w:tc>
          <w:tcPr>
            <w:tcW w:w="3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jc w:val="center"/>
              <w:rPr>
                <w:rFonts w:hint="eastAsia" w:ascii="宋体" w:hAnsi="宋体" w:eastAsia="宋体" w:cs="宋体"/>
                <w:b/>
                <w:bCs/>
                <w:i w:val="0"/>
                <w:iCs w:val="0"/>
                <w:smallCaps w:val="0"/>
                <w:color w:val="000000"/>
                <w:sz w:val="24"/>
                <w:szCs w:val="24"/>
              </w:rPr>
            </w:pPr>
            <w:r>
              <w:rPr>
                <w:rFonts w:hint="eastAsia" w:ascii="宋体" w:hAnsi="宋体" w:eastAsia="宋体" w:cs="宋体"/>
                <w:b/>
                <w:bCs/>
                <w:i w:val="0"/>
                <w:iCs w:val="0"/>
                <w:smallCaps w:val="0"/>
                <w:color w:val="000000"/>
                <w:sz w:val="24"/>
                <w:szCs w:val="24"/>
              </w:rPr>
              <w:t>付款要求</w:t>
            </w:r>
          </w:p>
        </w:tc>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jc w:val="center"/>
              <w:rPr>
                <w:rFonts w:hint="eastAsia" w:ascii="宋体" w:hAnsi="宋体" w:eastAsia="宋体" w:cs="宋体"/>
                <w:b/>
                <w:bCs/>
                <w:i w:val="0"/>
                <w:iCs w:val="0"/>
                <w:smallCaps w:val="0"/>
                <w:color w:val="000000"/>
                <w:sz w:val="24"/>
                <w:szCs w:val="24"/>
              </w:rPr>
            </w:pPr>
            <w:r>
              <w:rPr>
                <w:rFonts w:hint="eastAsia" w:ascii="宋体" w:hAnsi="宋体" w:eastAsia="宋体" w:cs="宋体"/>
                <w:b/>
                <w:bCs/>
                <w:i w:val="0"/>
                <w:iCs w:val="0"/>
                <w:smallCaps w:val="0"/>
                <w:color w:val="000000"/>
                <w:sz w:val="24"/>
                <w:szCs w:val="24"/>
              </w:rPr>
              <w:t>付款比例(%)</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第1次付款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合同签订后，收到乙方发票后10个工作日内，乙方应在每次付款前向甲方提供等额发票等凭据。</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50.0</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第2次付款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项目终期验收合格后，收到乙方发票后10个工作日内，乙方应在每次付款前向甲方提供等额发票等凭据。</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hint="eastAsia" w:ascii="宋体" w:hAnsi="宋体" w:eastAsia="宋体" w:cs="宋体"/>
                <w:b w:val="0"/>
                <w:bCs w:val="0"/>
                <w:i w:val="0"/>
                <w:iCs w:val="0"/>
                <w:smallCaps w:val="0"/>
                <w:color w:val="000000"/>
                <w:sz w:val="24"/>
                <w:szCs w:val="24"/>
              </w:rPr>
            </w:pPr>
            <w:r>
              <w:rPr>
                <w:rFonts w:hint="eastAsia" w:ascii="宋体" w:hAnsi="宋体" w:eastAsia="宋体" w:cs="宋体"/>
                <w:b w:val="0"/>
                <w:bCs w:val="0"/>
                <w:i w:val="0"/>
                <w:iCs w:val="0"/>
                <w:smallCaps w:val="0"/>
                <w:color w:val="000000"/>
                <w:sz w:val="24"/>
                <w:szCs w:val="24"/>
              </w:rPr>
              <w:t>50.0</w:t>
            </w:r>
          </w:p>
        </w:tc>
      </w:tr>
    </w:tbl>
    <w:p>
      <w:pPr>
        <w:spacing w:before="0" w:after="0" w:line="360" w:lineRule="auto"/>
        <w:ind w:firstLine="561"/>
        <w:rPr>
          <w:rFonts w:hint="eastAsia" w:ascii="宋体" w:hAnsi="宋体" w:eastAsia="宋体" w:cs="宋体"/>
          <w:sz w:val="24"/>
          <w:szCs w:val="24"/>
        </w:rPr>
      </w:pPr>
    </w:p>
    <w:sectPr>
      <w:footerReference r:id="rId3" w:type="default"/>
      <w:pgSz w:w="11906" w:h="16838"/>
      <w:pgMar w:top="1440" w:right="1440" w:bottom="1440" w:left="1440" w:header="708" w:footer="708" w:gutter="0"/>
      <w:cols w:space="708"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CC"/>
    <w:family w:val="roman"/>
    <w:pitch w:val="default"/>
    <w:sig w:usb0="00000000" w:usb1="00000000"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微软雅黑">
    <w:panose1 w:val="020B0503020204020204"/>
    <w:charset w:val="86"/>
    <w:family w:val="auto"/>
    <w:pitch w:val="default"/>
    <w:sig w:usb0="80000287" w:usb1="2A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before="0" w:after="0" w:line="360" w:lineRule="auto"/>
      <w:jc w:val="center"/>
    </w:pPr>
    <w:r>
      <w:fldChar w:fldCharType="begin"/>
    </w:r>
    <w:r>
      <w:instrText xml:space="preserve"> PAGE </w:instrText>
    </w:r>
    <w:r>
      <w:fldChar w:fldCharType="separate"/>
    </w:r>
    <w:r>
      <w:t>21</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false"/>
  <w:bordersDoNotSurroundFooter w:val="false"/>
  <w:documentProtection w:enforcement="0"/>
  <w:defaultTabStop w:val="720"/>
  <w:displayHorizontalDrawingGridEvery w:val="1"/>
  <w:displayVerticalDrawingGridEvery w:val="1"/>
  <w:noPunctuationKerning w:val="true"/>
  <w:characterSpacingControl w:val="doNotCompress"/>
  <w:compat>
    <w:doNotExpandShiftReturn/>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A77B3E"/>
    <w:rsid w:val="00A77B3E"/>
    <w:rsid w:val="00CA2A55"/>
    <w:rsid w:val="02E41B0C"/>
    <w:rsid w:val="1B7F0AF1"/>
    <w:rsid w:val="37BFBD1B"/>
    <w:rsid w:val="3F7FB8B8"/>
    <w:rsid w:val="42382A60"/>
    <w:rsid w:val="53DF2284"/>
    <w:rsid w:val="54087961"/>
    <w:rsid w:val="5AFF0DC1"/>
    <w:rsid w:val="5C7B13F1"/>
    <w:rsid w:val="5ECD3F69"/>
    <w:rsid w:val="5FBDF201"/>
    <w:rsid w:val="61923E46"/>
    <w:rsid w:val="632FAF85"/>
    <w:rsid w:val="7BFF3099"/>
    <w:rsid w:val="7D5C4D70"/>
    <w:rsid w:val="9FDF85E0"/>
    <w:rsid w:val="D1CF40E5"/>
    <w:rsid w:val="D7FF819A"/>
    <w:rsid w:val="E34F4C95"/>
    <w:rsid w:val="FE3CECFB"/>
    <w:rsid w:val="FFF72DF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en-US" w:bidi="ar-SA"/>
    </w:rPr>
  </w:style>
  <w:style w:type="paragraph" w:styleId="2">
    <w:name w:val="heading 1"/>
    <w:basedOn w:val="1"/>
    <w:next w:val="1"/>
    <w:qFormat/>
    <w:uiPriority w:val="0"/>
    <w:pPr>
      <w:keepNext/>
      <w:spacing w:before="240" w:after="60"/>
      <w:outlineLvl w:val="0"/>
    </w:pPr>
    <w:rPr>
      <w:rFonts w:ascii="Arial" w:hAnsi="Arial" w:cs="Arial"/>
      <w:b/>
      <w:bCs/>
      <w:kern w:val="32"/>
      <w:sz w:val="32"/>
      <w:szCs w:val="32"/>
    </w:rPr>
  </w:style>
  <w:style w:type="paragraph" w:styleId="3">
    <w:name w:val="heading 2"/>
    <w:basedOn w:val="1"/>
    <w:next w:val="1"/>
    <w:qFormat/>
    <w:uiPriority w:val="0"/>
    <w:pPr>
      <w:keepNext/>
      <w:spacing w:before="240" w:after="60"/>
      <w:outlineLvl w:val="1"/>
    </w:pPr>
    <w:rPr>
      <w:rFonts w:ascii="Arial" w:hAnsi="Arial" w:cs="Arial"/>
      <w:b/>
      <w:bCs/>
      <w:i/>
      <w:iCs/>
      <w:sz w:val="28"/>
      <w:szCs w:val="28"/>
    </w:rPr>
  </w:style>
  <w:style w:type="paragraph" w:styleId="4">
    <w:name w:val="heading 3"/>
    <w:basedOn w:val="1"/>
    <w:next w:val="1"/>
    <w:qFormat/>
    <w:uiPriority w:val="0"/>
    <w:pPr>
      <w:keepNext/>
      <w:spacing w:before="240" w:after="60"/>
      <w:outlineLvl w:val="2"/>
    </w:pPr>
    <w:rPr>
      <w:rFonts w:ascii="Arial" w:hAnsi="Arial" w:cs="Arial"/>
      <w:b/>
      <w:bCs/>
      <w:sz w:val="26"/>
      <w:szCs w:val="26"/>
    </w:rPr>
  </w:style>
  <w:style w:type="paragraph" w:styleId="5">
    <w:name w:val="heading 4"/>
    <w:basedOn w:val="1"/>
    <w:next w:val="1"/>
    <w:qFormat/>
    <w:uiPriority w:val="0"/>
    <w:pPr>
      <w:keepNext/>
      <w:spacing w:before="240" w:after="60"/>
      <w:outlineLvl w:val="3"/>
    </w:pPr>
    <w:rPr>
      <w:b/>
      <w:bCs/>
      <w:sz w:val="28"/>
      <w:szCs w:val="28"/>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6">
    <w:name w:val="toc 3"/>
    <w:basedOn w:val="1"/>
    <w:next w:val="1"/>
    <w:qFormat/>
    <w:uiPriority w:val="0"/>
    <w:pPr>
      <w:ind w:left="480"/>
    </w:pPr>
  </w:style>
  <w:style w:type="paragraph" w:styleId="7">
    <w:name w:val="toc 1"/>
    <w:basedOn w:val="1"/>
    <w:next w:val="1"/>
    <w:qFormat/>
    <w:uiPriority w:val="0"/>
  </w:style>
  <w:style w:type="paragraph" w:styleId="8">
    <w:name w:val="toc 2"/>
    <w:basedOn w:val="1"/>
    <w:next w:val="1"/>
    <w:qFormat/>
    <w:uiPriority w:val="0"/>
    <w:pPr>
      <w:ind w:left="240"/>
    </w:pPr>
  </w:style>
  <w:style w:type="character" w:styleId="11">
    <w:name w:val="Strong"/>
    <w:basedOn w:val="10"/>
    <w:qFormat/>
    <w:uiPriority w:val="0"/>
    <w:rPr>
      <w:b/>
    </w:rPr>
  </w:style>
  <w:style w:type="character" w:styleId="12">
    <w:name w:val="Hyperlink"/>
    <w:basedOn w:val="10"/>
    <w:qFormat/>
    <w:uiPriority w:val="0"/>
    <w:rPr>
      <w:color w:val="0000FF"/>
      <w:u w:val="single"/>
    </w:rPr>
  </w:style>
  <w:style w:type="paragraph" w:customStyle="1" w:styleId="13">
    <w:name w:val="MsoBodyText"/>
    <w:basedOn w:val="1"/>
    <w:qFormat/>
    <w:uiPriority w:val="0"/>
  </w:style>
  <w:style w:type="paragraph" w:customStyle="1" w:styleId="14">
    <w:name w:val="MsoNormal"/>
    <w:basedOn w:val="1"/>
    <w:qFormat/>
    <w:uiPriority w:val="0"/>
  </w:style>
  <w:style w:type="paragraph" w:customStyle="1" w:styleId="15">
    <w:name w:val="16"/>
    <w:basedOn w:val="1"/>
    <w:qFormat/>
    <w:uiPriority w:val="0"/>
  </w:style>
  <w:style w:type="paragraph" w:customStyle="1" w:styleId="16">
    <w:name w:val="15"/>
    <w:basedOn w:val="1"/>
    <w:qFormat/>
    <w:uiPriority w:val="0"/>
  </w:style>
  <w:style w:type="paragraph" w:customStyle="1" w:styleId="17">
    <w:name w:val="p"/>
    <w:basedOn w:val="1"/>
    <w:qFormat/>
    <w:uiPriority w:val="0"/>
  </w:style>
  <w:style w:type="paragraph" w:customStyle="1" w:styleId="18">
    <w:name w:val="18"/>
    <w:basedOn w:val="1"/>
    <w:qFormat/>
    <w:uiPriority w:val="0"/>
  </w:style>
  <w:style w:type="table" w:customStyle="1" w:styleId="19">
    <w:name w:val="20"/>
    <w:basedOn w:val="9"/>
    <w:qFormat/>
    <w:uiPriority w:val="0"/>
  </w:style>
  <w:style w:type="paragraph" w:customStyle="1" w:styleId="20">
    <w:name w:val="19"/>
    <w:basedOn w:val="1"/>
    <w:qFormat/>
    <w:uiPriority w:val="0"/>
  </w:style>
  <w:style w:type="table" w:customStyle="1" w:styleId="21">
    <w:name w:val="16 Table"/>
    <w:basedOn w:val="9"/>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Template>
  <Pages>21</Pages>
  <Words>0</Words>
  <Characters>0</Characters>
  <Lines>1</Lines>
  <Paragraphs>1</Paragraphs>
  <TotalTime>3</TotalTime>
  <ScaleCrop>false</ScaleCrop>
  <LinksUpToDate>false</LinksUpToDate>
  <CharactersWithSpaces>0</CharactersWithSpaces>
  <Application>WPS Office_11.8.2.10183_F1E327BC-269C-435d-A152-05C5408002CA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2025-08-18T16:29:00Z</dcterms:created>
  <dc:creator>Administrator</dc:creator>
  <cp:lastModifiedBy>蒋跃东</cp:lastModifiedBy>
  <dcterms:modified xsi:type="dcterms:W3CDTF">2025-08-18T16:45:33Z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2052-11.8.2.10183</vt:lpwstr>
  </property>
</Properties>
</file>