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电子税务局办理</w:t>
      </w: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跨省异地电子缴税三方协议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签约和扣款</w:t>
      </w: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操作说明（纳税人端）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外省纳税人在黑龙江省发生纳税义务，可以注册登陆黑龙江省电子税务局，进入电子办税服务厅，按照先维护存款账户账号报告，后签订三方协议的顺序进行三方协议的签约。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存款账户账号报告维护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纳税人若已在办税服务厅维护过存款账户账号，可直接点击【三方协议登记维护】进入签约步骤；若需要使用新银行账户进行三方协议签约，则需要先在【存款账户账号报告】新增银行账户信息。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路径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：点击【我要办税】—【综合信息报告】—【制度信息报告】—【存款账户账号报告】维护纳税人存款账户账号等信息。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（一）【存款账户账号报告表】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打开纳税人存款账户账号报告表，点击【增加行】按钮。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通过下拉列表选择内容包括：操作类型，账户性质，行政区划，银行行别，开户银行，币种，是否首选缴款账户，是否一般退税账户，是否出口退税账户；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据实录入内容包括：银行开户登记证号，账户名称，账号，开户日期，发放日期；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填写经办人，填写信息无误后，点击【确定】。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748655" cy="2978150"/>
            <wp:effectExtent l="0" t="0" r="4445" b="12700"/>
            <wp:docPr id="1" name="图片 1" descr="4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4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192395" cy="1908175"/>
            <wp:effectExtent l="0" t="0" r="8255" b="15875"/>
            <wp:docPr id="5" name="图片 2" descr="5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555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【存款账户账号报告表_确认表】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检查存款账户账号报告确认表的表单数据，如果有错误信息可以返回重新填写，确认无误后点击【提交】按钮。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5253990" cy="2473325"/>
            <wp:effectExtent l="0" t="0" r="3810" b="3175"/>
            <wp:docPr id="3" name="图片 3" descr="6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【纳税人存款账户账号报告_查看回执】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提交成功后，界面会弹出一张审批接收回执单，可以打印表单或回执，纳税人的申请进入审核阶段。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5099685" cy="3395345"/>
            <wp:effectExtent l="0" t="0" r="5715" b="14605"/>
            <wp:docPr id="6" name="图片 4" descr="7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77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特别说明：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、行政区划选择开户银行所在地，逐级下拉勾选开户银行所在地，如：使用“中国工商银行长春**支行”，行政区划选择“吉林省”—“长春市”—“对应区/县”（区/县不确定时，此处可选择长春市，可带出吉林省全辖域银行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2、开户银行通过下拉列表选择，若查找不到对应银行，请联系主管税务机关上报省级税务机关进行维护。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3、在存款账户账号报告表录入时，如要变更已存在行中某项内容，直接在原数据上修改；若删除某行，点击该行后，点击【删除行】按钮。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（四）【办税进度及结果查询】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点击【我要查询】—【办税进度及结果查询】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745105"/>
            <wp:effectExtent l="0" t="0" r="3810" b="17145"/>
            <wp:docPr id="7" name="图片 1" descr="16613296619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166132966192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点击左侧【办税进度及结果查询】-【办税进度查询】，选择办理日期起止，点击查询按钮，即可查询到在这一办理期限内办理的事项。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67965"/>
            <wp:effectExtent l="0" t="0" r="10160" b="13335"/>
            <wp:docPr id="9" name="图片 2" descr="16613298171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166132981718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查询审批通知书可以通过点击左侧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我的通知提醒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，点击查询按钮，选中最新办理的事项后，点击查看按钮。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78760"/>
            <wp:effectExtent l="0" t="0" r="10160" b="2540"/>
            <wp:docPr id="11" name="图片 3" descr="16613298615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166132986154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页面弹出办理事项通知书及理由。查询结束。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3671570"/>
            <wp:effectExtent l="0" t="0" r="11430" b="5080"/>
            <wp:docPr id="16" name="图片 4" descr="16613298892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166132988927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二、三方协议签约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路径：</w:t>
      </w:r>
      <w:r>
        <w:rPr>
          <w:rFonts w:hint="eastAsia"/>
          <w:sz w:val="24"/>
          <w:szCs w:val="24"/>
          <w:lang w:val="en-US" w:eastAsia="zh-CN"/>
        </w:rPr>
        <w:t>点击【我要办税】—【其他服务事项】—【网签三方协议】。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8595" cy="1415415"/>
            <wp:effectExtent l="0" t="0" r="8255" b="1333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（一）新增：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sz w:val="24"/>
          <w:szCs w:val="24"/>
          <w:lang w:val="en-US" w:eastAsia="zh-CN"/>
        </w:rPr>
        <w:t>点击【三方协议登记维护】，打开三方协议登记维护表，点击【增加行】，自动填列纳税人名称、纳税人识别号、主管税务机关信息，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点击【生成三方协议号】按钮，即可获取三方协议号。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4310" cy="1557655"/>
            <wp:effectExtent l="0" t="0" r="2540" b="444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单击（开户银行所在行政区域、银行行别、开户银行（营业网点）、缴款账号名称、缴款账号）任意列，弹出存款账户报告中全量银行信息，选择要进行签约的账户行，双击后自动赋值到当前数据行。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245" cy="2068195"/>
            <wp:effectExtent l="0" t="0" r="14605" b="8255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核对行内各项信息，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highlight w:val="none"/>
          <w:lang w:val="en-US" w:eastAsia="zh-CN"/>
        </w:rPr>
        <w:t>注意：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此时需要纳税人点击该行“清算银行账号”处，按照纳税人所在地市，根据附表银行地市对照关系，修改带出的数据。如：纳税人主管税务机关在哈尔滨市南岗区，开户银行为天津市“中国建设银行股份有限公司天津新港支行”，进行三方协议签约时，需要在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附表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中，查找“建设银行”（开户银行）—“哈尔滨”（主管税务机关所在地市）—“105261065185”，则将原自动带出的清算行账号“105110037207”修改为“105261065185”。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54605"/>
            <wp:effectExtent l="0" t="0" r="7620" b="17145"/>
            <wp:docPr id="19" name="图片 19" descr="1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1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数据录入完毕后，点击【</w:t>
      </w:r>
      <w:r>
        <w:rPr>
          <w:rFonts w:hint="eastAsia"/>
          <w:sz w:val="24"/>
          <w:szCs w:val="24"/>
          <w:lang w:val="en-US" w:eastAsia="zh-CN"/>
        </w:rPr>
        <w:t>提交</w:t>
      </w:r>
      <w:r>
        <w:rPr>
          <w:rFonts w:hint="default"/>
          <w:sz w:val="24"/>
          <w:szCs w:val="24"/>
          <w:lang w:val="en-US" w:eastAsia="zh-CN"/>
        </w:rPr>
        <w:t>】按钮，该条三方协议信息</w:t>
      </w:r>
      <w:r>
        <w:rPr>
          <w:rFonts w:hint="eastAsia"/>
          <w:sz w:val="24"/>
          <w:szCs w:val="24"/>
          <w:lang w:val="en-US" w:eastAsia="zh-CN"/>
        </w:rPr>
        <w:t>会</w:t>
      </w:r>
      <w:r>
        <w:rPr>
          <w:rFonts w:hint="default"/>
          <w:sz w:val="24"/>
          <w:szCs w:val="24"/>
          <w:lang w:val="en-US" w:eastAsia="zh-CN"/>
        </w:rPr>
        <w:t>进入</w:t>
      </w:r>
      <w:r>
        <w:rPr>
          <w:rFonts w:hint="eastAsia"/>
          <w:sz w:val="24"/>
          <w:szCs w:val="24"/>
          <w:lang w:val="en-US" w:eastAsia="zh-CN"/>
        </w:rPr>
        <w:t>纳税人所属税务机关的</w:t>
      </w:r>
      <w:r>
        <w:rPr>
          <w:rFonts w:hint="default"/>
          <w:sz w:val="24"/>
          <w:szCs w:val="24"/>
          <w:lang w:val="en-US" w:eastAsia="zh-CN"/>
        </w:rPr>
        <w:t>电子税务局局端</w:t>
      </w:r>
      <w:r>
        <w:rPr>
          <w:rFonts w:hint="eastAsia"/>
          <w:sz w:val="24"/>
          <w:szCs w:val="24"/>
          <w:lang w:val="en-US" w:eastAsia="zh-CN"/>
        </w:rPr>
        <w:t>待审批（审批进度和结果查询方式，同上方存款账户账号报告“一、（四）”）。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/>
          <w:color w:val="004080"/>
          <w:sz w:val="24"/>
          <w:szCs w:val="24"/>
          <w:lang w:val="zh-CN"/>
        </w:rPr>
      </w:pPr>
      <w:r>
        <w:rPr>
          <w:rFonts w:hint="eastAsia" w:ascii="微软雅黑" w:hAnsi="微软雅黑" w:eastAsia="微软雅黑"/>
          <w:color w:val="004080"/>
          <w:sz w:val="24"/>
          <w:szCs w:val="24"/>
          <w:lang w:val="zh-CN"/>
        </w:rPr>
        <w:drawing>
          <wp:inline distT="0" distB="0" distL="114300" distR="114300">
            <wp:extent cx="5905500" cy="2014220"/>
            <wp:effectExtent l="0" t="0" r="0" b="5080"/>
            <wp:docPr id="2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/>
          <w:color w:val="004080"/>
          <w:sz w:val="24"/>
          <w:szCs w:val="24"/>
          <w:lang w:val="zh-CN"/>
        </w:rPr>
      </w:pPr>
      <w:r>
        <w:drawing>
          <wp:inline distT="0" distB="0" distL="114300" distR="114300">
            <wp:extent cx="5266690" cy="2867025"/>
            <wp:effectExtent l="0" t="0" r="10160" b="9525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修改原三方内容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 纳税人若需要修改已经存在的三方协议内容，可以在【三方协议登记维护】界面点击要修改的栏次，对其中项进行修改。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2785745"/>
            <wp:effectExtent l="0" t="0" r="4445" b="1460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（三）验证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待局端审批通过后，纳税人进入到【</w:t>
      </w:r>
      <w:r>
        <w:rPr>
          <w:rFonts w:hint="default"/>
          <w:sz w:val="24"/>
          <w:szCs w:val="24"/>
          <w:lang w:val="en-US" w:eastAsia="zh-CN"/>
        </w:rPr>
        <w:t>三方协议</w:t>
      </w:r>
      <w:r>
        <w:rPr>
          <w:rFonts w:hint="eastAsia"/>
          <w:sz w:val="24"/>
          <w:szCs w:val="24"/>
          <w:lang w:val="en-US" w:eastAsia="zh-CN"/>
        </w:rPr>
        <w:t>登记维护】进行</w:t>
      </w:r>
      <w:r>
        <w:rPr>
          <w:rFonts w:hint="default"/>
          <w:sz w:val="24"/>
          <w:szCs w:val="24"/>
          <w:lang w:val="en-US" w:eastAsia="zh-CN"/>
        </w:rPr>
        <w:t>验证</w:t>
      </w:r>
      <w:r>
        <w:rPr>
          <w:rFonts w:hint="eastAsia"/>
          <w:sz w:val="24"/>
          <w:szCs w:val="24"/>
          <w:lang w:val="en-US" w:eastAsia="zh-CN"/>
        </w:rPr>
        <w:t>，会出现两种情况：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1、具备网签功能银行的验证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根据黑龙江省人民银行提供的开通网签功能的银行信息显示，以下银行：兴业银行、韩亚银行、招商银行、内蒙古银行、农发展、广发银行、锦州银行、工商银行、民生银行、浦发银行、农业银行、中国银行、中信银行、邮储银行、华夏银行、交通银行、光大银行、汇丰银行、建设银行具备网签功能，纳税人可以直接点击【验证】按钮，进行三方协议签约验证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传统签约形式银行的验证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004080"/>
          <w:sz w:val="24"/>
          <w:szCs w:val="24"/>
          <w:lang w:val="zh-CN"/>
        </w:rPr>
        <w:drawing>
          <wp:inline distT="0" distB="0" distL="114300" distR="114300">
            <wp:extent cx="5619750" cy="1577975"/>
            <wp:effectExtent l="0" t="0" r="0" b="3175"/>
            <wp:docPr id="2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当前三方协议信息中的银行不支持网签，需要纳税人点击【打印三方协议】按钮，弹出委托扣款协议书窗口，点击【打印】按钮打印委托扣款协议书，携该委托扣款协议书到开户银行（营业网点）办理三方协议登记;待开户银行办理三方协议登记后，纳税人再进入电子税务局该模块进行【验证】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验证时，会有如下提示：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“验证成功”，验证成功后，该三方协议信息生效，协议状态为“验证通过”；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验证不成功，协议状态为“验证失败”。需查找失败原因，进行修改。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2405" cy="1256030"/>
            <wp:effectExtent l="0" t="0" r="4445" b="127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三、税（费）缴纳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申报成功后，如需缴款，依次点击左侧列表【申报管理】-【税费缴纳】模块。在打开的右侧税费缴纳界面中，点击【获取未清缴信息】，获取当月的未清缴信息。选中一条未清缴的数据，点击发送缴款请求，即可完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三方协议账户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纳税费的业务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  <w:lang w:eastAsia="zh-CN"/>
        </w:rPr>
        <w:drawing>
          <wp:inline distT="0" distB="0" distL="114300" distR="114300">
            <wp:extent cx="4685665" cy="2074545"/>
            <wp:effectExtent l="0" t="0" r="635" b="1905"/>
            <wp:docPr id="17" name="图片 17" descr="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9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扣款时，若出现失败提示，如：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“F11 账户余额不足支付”（反馈展示内容均为各家商业银行的提示），纳税人可以自行解读的内容，请依照提示进行调整；如出现：“FG5 预算分配比例与国库不一致”等，纳税人无法理解的内容，请联系主管税务机关进行解释和调整。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附表：</w:t>
      </w:r>
    </w:p>
    <w:tbl>
      <w:tblPr>
        <w:tblStyle w:val="2"/>
        <w:tblpPr w:leftFromText="180" w:rightFromText="180" w:vertAnchor="text" w:horzAnchor="page" w:tblpX="3931" w:tblpY="399"/>
        <w:tblOverlap w:val="never"/>
        <w:tblW w:w="45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7"/>
        <w:gridCol w:w="1128"/>
        <w:gridCol w:w="15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清算银行行号统计表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银行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所属地市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清算行行号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农业银行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103261090009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104261088880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农发展银行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203261084040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交通银行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301261000016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华夏银行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304261058006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平安银行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307261049000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招商银行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308261032013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内蒙古银行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313191000011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锦州银行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313227000730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汇丰银行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501261000010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东亚银行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502261056003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韩亚银行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全省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597100000014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中信银行 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大庆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302265045614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牡丹江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302272045517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其余地市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302261000014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光大银行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大庆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303265000018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其余地市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303261000019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民生银行</w:t>
            </w: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大庆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305265001000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其余地市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305261001002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广发银行</w:t>
            </w: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齐齐哈尔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306264000018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大庆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306265002058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牡丹江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306272001019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其余地市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306261000004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兴业银行</w:t>
            </w: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齐齐哈尔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309264000015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大庆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309265000025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其余地市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309261000010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浦发银行</w:t>
            </w: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齐齐哈尔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310264000010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大庆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310265000011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其余地市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310261000014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邮储银行</w:t>
            </w: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哈尔滨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403261001145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齐齐哈尔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403264000682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大庆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403265000220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鸡西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403266000524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鹤岗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403267000379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双鸭山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403268000341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佳木斯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403269000403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伊春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403271000017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牡丹江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403272001013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七台河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403274000233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绥化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403276000227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黑河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403278000020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大兴安岭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403279000013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工商银行</w:t>
            </w: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大庆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102265009004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大兴安岭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102279000018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哈尔滨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102261001002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鹤岗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102267001005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黑河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102278009005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鸡西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102266000017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佳木斯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102269009003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牡丹江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102272009035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七台河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102274009006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齐齐哈尔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102264005001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双鸭山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102268000012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绥化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102276001007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伊春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102271009008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建设银行</w:t>
            </w: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大庆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105265000537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大兴安岭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105279000011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哈尔滨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105261065185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鹤岗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105267000039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黑河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105278000028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鸡西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105266000012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佳木斯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105269000018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牡丹江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105272086306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七台河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105274000012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齐齐哈尔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105264000017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双鸭山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105268000016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绥化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105276000049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伊春</w:t>
            </w:r>
          </w:p>
        </w:tc>
        <w:tc>
          <w:tcPr>
            <w:tcW w:w="1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105271000015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CC18A"/>
    <w:multiLevelType w:val="singleLevel"/>
    <w:tmpl w:val="888CC18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E3A8BC17"/>
    <w:multiLevelType w:val="singleLevel"/>
    <w:tmpl w:val="E3A8BC1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A195293"/>
    <w:multiLevelType w:val="singleLevel"/>
    <w:tmpl w:val="3A195293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7269859B"/>
    <w:multiLevelType w:val="singleLevel"/>
    <w:tmpl w:val="7269859B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7C0B5032"/>
    <w:multiLevelType w:val="singleLevel"/>
    <w:tmpl w:val="7C0B503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85C3EB0"/>
    <w:rsid w:val="0BDC5C04"/>
    <w:rsid w:val="10B903A0"/>
    <w:rsid w:val="1A1030A1"/>
    <w:rsid w:val="1C6E37E8"/>
    <w:rsid w:val="1E571510"/>
    <w:rsid w:val="284960FE"/>
    <w:rsid w:val="2CC75F9C"/>
    <w:rsid w:val="315267DC"/>
    <w:rsid w:val="42C91090"/>
    <w:rsid w:val="48CA2095"/>
    <w:rsid w:val="5DC66EB5"/>
    <w:rsid w:val="66612002"/>
    <w:rsid w:val="6C6A1140"/>
    <w:rsid w:val="735B1DCC"/>
    <w:rsid w:val="FF3D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hover"/>
    <w:basedOn w:val="3"/>
    <w:qFormat/>
    <w:uiPriority w:val="0"/>
  </w:style>
  <w:style w:type="character" w:customStyle="1" w:styleId="5">
    <w:name w:val="hover1"/>
    <w:basedOn w:val="3"/>
    <w:qFormat/>
    <w:uiPriority w:val="0"/>
  </w:style>
  <w:style w:type="character" w:customStyle="1" w:styleId="6">
    <w:name w:val="red2"/>
    <w:basedOn w:val="3"/>
    <w:qFormat/>
    <w:uiPriority w:val="0"/>
    <w:rPr>
      <w:rFonts w:hint="eastAsia" w:ascii="宋体" w:hAnsi="宋体" w:eastAsia="宋体" w:cs="宋体"/>
      <w:b/>
      <w:bCs/>
      <w:color w:val="FF0000"/>
    </w:rPr>
  </w:style>
  <w:style w:type="character" w:customStyle="1" w:styleId="7">
    <w:name w:val="tree-text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wmf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wmf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2022-08-19T14:28:00Z</dcterms:created>
  <dc:creator>王莹</dc:creator>
  <cp:lastModifiedBy>user</cp:lastModifiedBy>
  <dcterms:modified xsi:type="dcterms:W3CDTF">2022-08-26T08:59:25Z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</Properties>
</file>