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  <w:t>电子税务局办理</w:t>
      </w:r>
      <w:r>
        <w:rPr>
          <w:rFonts w:hint="eastAsia" w:asciiTheme="minorEastAsia" w:hAnsiTheme="minorEastAsia" w:cstheme="minorEastAsia"/>
          <w:b/>
          <w:bCs/>
          <w:sz w:val="36"/>
          <w:szCs w:val="36"/>
          <w:lang w:val="en-US" w:eastAsia="zh-CN"/>
        </w:rPr>
        <w:t>跨省异地电子缴税三方协议</w:t>
      </w:r>
      <w:r>
        <w:rPr>
          <w:rFonts w:hint="eastAsia" w:asciiTheme="minorEastAsia" w:hAnsiTheme="minorEastAsia" w:eastAsiaTheme="minorEastAsia" w:cstheme="minorEastAsia"/>
          <w:b/>
          <w:bCs/>
          <w:sz w:val="36"/>
          <w:szCs w:val="36"/>
          <w:lang w:val="en-US" w:eastAsia="zh-CN"/>
        </w:rPr>
        <w:t>签约和扣款</w:t>
      </w:r>
      <w:r>
        <w:rPr>
          <w:rFonts w:hint="eastAsia" w:asciiTheme="minorEastAsia" w:hAnsiTheme="minorEastAsia" w:cstheme="minorEastAsia"/>
          <w:b/>
          <w:bCs/>
          <w:sz w:val="36"/>
          <w:szCs w:val="36"/>
          <w:lang w:val="en-US" w:eastAsia="zh-CN"/>
        </w:rPr>
        <w:t>操作说明（纳税人端）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外省纳税人在黑龙江省发生纳税义务，可以注册登陆黑龙江省电子税务局，进入电子办税服务厅，按照先维护存款账户账号报告，后签订三方协议的顺序进行三方协议的签约。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存款账户账号报告维护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纳税人若已在办税服务厅维护过存款账户账号，可直接点击【三方协议登记维护】进入签约步骤；若需要使用新银行账户进行三方协议签约，则需要先在【存款账户账号报告】新增银行账户信息。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路径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：点击【我要办税】—【综合信息报告】—【制度信息报告】—【存款账户账号报告】维护纳税人存款账户账号等信息。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（一）【存款账户账号报告表】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打开纳税人存款账户账号报告表，点击【增加行】按钮。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通过下拉列表选择内容包括：操作类型，账户性质，行政区划，银行行别，开户银行，币种，是否首选缴款账户，是否一般退税账户，是否出口退税账户；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据实录入内容包括：银行开户登记证号，账户名称，账号，开户日期，发放日期；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填写经办人，填写信息无误后，点击【确定】。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drawing>
          <wp:inline distT="0" distB="0" distL="114300" distR="114300">
            <wp:extent cx="5748655" cy="2978150"/>
            <wp:effectExtent l="0" t="0" r="4445" b="12700"/>
            <wp:docPr id="1" name="图片 1" descr="44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44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48655" cy="297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drawing>
          <wp:inline distT="0" distB="0" distL="114300" distR="114300">
            <wp:extent cx="5192395" cy="1908175"/>
            <wp:effectExtent l="0" t="0" r="8255" b="15875"/>
            <wp:docPr id="5" name="图片 2" descr="55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 descr="555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92395" cy="190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【存款账户账号报告表_确认表】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 xml:space="preserve">    检查存款账户账号报告确认表的表单数据，如果有错误信息可以返回重新填写，确认无误后点击【提交】按钮。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drawing>
          <wp:inline distT="0" distB="0" distL="114300" distR="114300">
            <wp:extent cx="5253990" cy="2473325"/>
            <wp:effectExtent l="0" t="0" r="3810" b="3175"/>
            <wp:docPr id="3" name="图片 3" descr="66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66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3990" cy="247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【纳税人存款账户账号报告_查看回执】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提交成功后，界面会弹出一张审批接收回执单，可以打印表单或回执，纳税人的申请进入审核阶段。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cs="宋体"/>
          <w:sz w:val="28"/>
          <w:szCs w:val="28"/>
          <w:highlight w:val="none"/>
          <w:lang w:eastAsia="zh-CN"/>
        </w:rPr>
        <w:drawing>
          <wp:inline distT="0" distB="0" distL="114300" distR="114300">
            <wp:extent cx="5099685" cy="3395345"/>
            <wp:effectExtent l="0" t="0" r="5715" b="14605"/>
            <wp:docPr id="6" name="图片 4" descr="77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 descr="77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99685" cy="3395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b/>
          <w:bCs/>
          <w:color w:val="FF000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FF0000"/>
          <w:kern w:val="0"/>
          <w:sz w:val="28"/>
          <w:szCs w:val="28"/>
          <w:lang w:val="en-US" w:eastAsia="zh-CN" w:bidi="ar"/>
        </w:rPr>
        <w:t>特别说明：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1、行政区划选择开户银行所在地，逐级下拉勾选开户银行所在地，如：使用“中国工商银行长春**支行”，行政区划选择“吉林省”—“长春市”—“对应区/县”（区/县不确定时，此处可选择长春市，可带出吉林省全辖域银行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2、开户银行通过下拉列表选择，若查找不到对应银行，请联系主管税务机关上报省级税务机关进行维护。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3、在存款账户账号报告表录入时，如要变更已存在行中某项内容，直接在原数据上修改；若删除某行，点击该行后，点击【删除行】按钮。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（四）【办税进度及结果查询】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点击【我要查询】—【办税进度及结果查询】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73040" cy="2745105"/>
            <wp:effectExtent l="0" t="0" r="3810" b="17145"/>
            <wp:docPr id="7" name="图片 1" descr="166132966192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1661329661927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745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点击左侧【办税进度及结果查询】-【办税进度查询】，选择办理日期起止，点击查询按钮，即可查询到在这一办理期限内办理的事项。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767965"/>
            <wp:effectExtent l="0" t="0" r="10160" b="13335"/>
            <wp:docPr id="9" name="图片 2" descr="166132981718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 descr="1661329817182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67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查询审批通知书可以通过点击左侧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【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我的通知提醒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】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，点击查询按钮，选中最新办理的事项后，点击查看按钮。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6690" cy="2778760"/>
            <wp:effectExtent l="0" t="0" r="10160" b="2540"/>
            <wp:docPr id="11" name="图片 3" descr="166132986154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 descr="1661329861543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页面弹出办理事项通知书及理由。查询结束。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265420" cy="3671570"/>
            <wp:effectExtent l="0" t="0" r="11430" b="5080"/>
            <wp:docPr id="16" name="图片 4" descr="166132988927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4" descr="1661329889279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671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/>
        <w:textAlignment w:val="auto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二、三方协议签约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路径：</w:t>
      </w:r>
      <w:r>
        <w:rPr>
          <w:rFonts w:hint="eastAsia"/>
          <w:sz w:val="24"/>
          <w:szCs w:val="24"/>
          <w:lang w:val="en-US" w:eastAsia="zh-CN"/>
        </w:rPr>
        <w:t>点击【我要办税】—【其他服务事项】—【网签三方协议】。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68595" cy="1415415"/>
            <wp:effectExtent l="0" t="0" r="8255" b="13335"/>
            <wp:docPr id="8" name="图片 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415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（一）新增：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</w:pPr>
      <w:r>
        <w:rPr>
          <w:rFonts w:hint="eastAsia"/>
          <w:sz w:val="24"/>
          <w:szCs w:val="24"/>
          <w:lang w:val="en-US" w:eastAsia="zh-CN"/>
        </w:rPr>
        <w:t>点击【三方协议登记维护】，打开三方协议登记维护表，点击【增加行】，自动填列纳税人名称、纳税人识别号、主管税务机关信息，</w:t>
      </w:r>
      <w:r>
        <w:rPr>
          <w:rFonts w:hint="eastAsia" w:ascii="宋体" w:hAnsi="宋体" w:eastAsia="宋体" w:cs="宋体"/>
          <w:kern w:val="0"/>
          <w:sz w:val="24"/>
          <w:szCs w:val="24"/>
          <w:lang w:val="en-US" w:eastAsia="zh-CN" w:bidi="ar"/>
        </w:rPr>
        <w:t>点击【生成三方协议号】按钮，即可获取三方协议号。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74310" cy="1557655"/>
            <wp:effectExtent l="0" t="0" r="2540" b="4445"/>
            <wp:docPr id="12" name="图片 1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5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highlight w:val="none"/>
          <w:lang w:val="en-US" w:eastAsia="zh-CN"/>
        </w:rPr>
      </w:pPr>
      <w:r>
        <w:rPr>
          <w:rFonts w:hint="eastAsia"/>
          <w:sz w:val="24"/>
          <w:szCs w:val="24"/>
          <w:highlight w:val="none"/>
          <w:lang w:val="en-US" w:eastAsia="zh-CN"/>
        </w:rPr>
        <w:t>单击（开户银行所在行政区域、银行行别、开户银行（营业网点）、缴款账号名称、缴款账号）任意列，弹出存款账户报告中全量银行信息，选择要进行签约的账户行，双击后自动赋值到当前数据行。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62245" cy="2068195"/>
            <wp:effectExtent l="0" t="0" r="14605" b="8255"/>
            <wp:docPr id="13" name="图片 1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true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068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核对行内各项信息，</w:t>
      </w:r>
      <w:r>
        <w:rPr>
          <w:rFonts w:hint="eastAsia" w:asciiTheme="minorEastAsia" w:hAnsiTheme="minorEastAsia" w:cstheme="minorEastAsia"/>
          <w:b/>
          <w:bCs/>
          <w:color w:val="FF0000"/>
          <w:sz w:val="28"/>
          <w:szCs w:val="28"/>
          <w:highlight w:val="none"/>
          <w:lang w:val="en-US" w:eastAsia="zh-CN"/>
        </w:rPr>
        <w:t>注意：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此时需要纳税人点击该行“清算银行账号”处，按照纳税人所在地市，根据附表银行地市对照关系，修改带出的数据。如：纳税人主管税务机关在哈尔滨市南岗区，开户银行为天津市“中国建设银行股份有限公司天津新港支行”，进行三方协议签约时，需要在</w:t>
      </w:r>
      <w:r>
        <w:rPr>
          <w:rFonts w:hint="eastAsia" w:asciiTheme="minorEastAsia" w:hAnsiTheme="minorEastAsia" w:cstheme="minorEastAsia"/>
          <w:sz w:val="24"/>
          <w:szCs w:val="24"/>
          <w:highlight w:val="non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附表</w:t>
      </w:r>
      <w:r>
        <w:rPr>
          <w:rFonts w:hint="eastAsia" w:asciiTheme="minorEastAsia" w:hAnsiTheme="minorEastAsia" w:cstheme="minorEastAsia"/>
          <w:sz w:val="24"/>
          <w:szCs w:val="24"/>
          <w:highlight w:val="none"/>
          <w:lang w:val="en-US" w:eastAsia="zh-CN"/>
        </w:rPr>
        <w:t>”</w:t>
      </w:r>
      <w:r>
        <w:rPr>
          <w:rFonts w:hint="eastAsia" w:asciiTheme="minorEastAsia" w:hAnsiTheme="minorEastAsia" w:eastAsiaTheme="minorEastAsia" w:cstheme="minorEastAsia"/>
          <w:sz w:val="24"/>
          <w:szCs w:val="24"/>
          <w:highlight w:val="none"/>
          <w:lang w:val="en-US" w:eastAsia="zh-CN"/>
        </w:rPr>
        <w:t>中，查找“建设银行”（开户银行）—“哈尔滨”（主管税务机关所在地市）—“105261065185”，则将原自动带出的清算行账号“105110037207”修改为“105261065185”。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2554605"/>
            <wp:effectExtent l="0" t="0" r="7620" b="17145"/>
            <wp:docPr id="19" name="图片 19" descr="111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1111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5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default"/>
          <w:sz w:val="24"/>
          <w:szCs w:val="24"/>
          <w:lang w:val="en-US" w:eastAsia="zh-CN"/>
        </w:rPr>
        <w:t>数据录入完毕后，点击【</w:t>
      </w:r>
      <w:r>
        <w:rPr>
          <w:rFonts w:hint="eastAsia"/>
          <w:sz w:val="24"/>
          <w:szCs w:val="24"/>
          <w:lang w:val="en-US" w:eastAsia="zh-CN"/>
        </w:rPr>
        <w:t>提交</w:t>
      </w:r>
      <w:r>
        <w:rPr>
          <w:rFonts w:hint="default"/>
          <w:sz w:val="24"/>
          <w:szCs w:val="24"/>
          <w:lang w:val="en-US" w:eastAsia="zh-CN"/>
        </w:rPr>
        <w:t>】按钮，该条三方协议信息</w:t>
      </w:r>
      <w:r>
        <w:rPr>
          <w:rFonts w:hint="eastAsia"/>
          <w:sz w:val="24"/>
          <w:szCs w:val="24"/>
          <w:lang w:val="en-US" w:eastAsia="zh-CN"/>
        </w:rPr>
        <w:t>会</w:t>
      </w:r>
      <w:r>
        <w:rPr>
          <w:rFonts w:hint="default"/>
          <w:sz w:val="24"/>
          <w:szCs w:val="24"/>
          <w:lang w:val="en-US" w:eastAsia="zh-CN"/>
        </w:rPr>
        <w:t>进入</w:t>
      </w:r>
      <w:r>
        <w:rPr>
          <w:rFonts w:hint="eastAsia"/>
          <w:sz w:val="24"/>
          <w:szCs w:val="24"/>
          <w:lang w:val="en-US" w:eastAsia="zh-CN"/>
        </w:rPr>
        <w:t>纳税人所属税务机关的</w:t>
      </w:r>
      <w:r>
        <w:rPr>
          <w:rFonts w:hint="default"/>
          <w:sz w:val="24"/>
          <w:szCs w:val="24"/>
          <w:lang w:val="en-US" w:eastAsia="zh-CN"/>
        </w:rPr>
        <w:t>电子税务局局端</w:t>
      </w:r>
      <w:r>
        <w:rPr>
          <w:rFonts w:hint="eastAsia"/>
          <w:sz w:val="24"/>
          <w:szCs w:val="24"/>
          <w:lang w:val="en-US" w:eastAsia="zh-CN"/>
        </w:rPr>
        <w:t>待审批（审批进度和结果查询方式，同上方存款账户账号报告“一、（四）”）。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微软雅黑" w:hAnsi="微软雅黑" w:eastAsia="微软雅黑"/>
          <w:color w:val="004080"/>
          <w:sz w:val="24"/>
          <w:szCs w:val="24"/>
          <w:lang w:val="zh-CN"/>
        </w:rPr>
      </w:pPr>
      <w:r>
        <w:rPr>
          <w:rFonts w:hint="eastAsia" w:ascii="微软雅黑" w:hAnsi="微软雅黑" w:eastAsia="微软雅黑"/>
          <w:color w:val="004080"/>
          <w:sz w:val="24"/>
          <w:szCs w:val="24"/>
          <w:lang w:val="zh-CN"/>
        </w:rPr>
        <w:drawing>
          <wp:inline distT="0" distB="0" distL="114300" distR="114300">
            <wp:extent cx="5905500" cy="2014220"/>
            <wp:effectExtent l="0" t="0" r="0" b="5080"/>
            <wp:docPr id="21" name="图片 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"/>
                    <pic:cNvPicPr>
                      <a:picLocks noChangeAspect="true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05500" cy="201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微软雅黑" w:hAnsi="微软雅黑" w:eastAsia="微软雅黑"/>
          <w:color w:val="004080"/>
          <w:sz w:val="24"/>
          <w:szCs w:val="24"/>
          <w:lang w:val="zh-CN"/>
        </w:rPr>
      </w:pPr>
      <w:r>
        <w:drawing>
          <wp:inline distT="0" distB="0" distL="114300" distR="114300">
            <wp:extent cx="5266690" cy="2867025"/>
            <wp:effectExtent l="0" t="0" r="10160" b="9525"/>
            <wp:docPr id="23" name="图片 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true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修改原三方内容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 xml:space="preserve">    纳税人若需要修改已经存在的三方协议内容，可以在【三方协议登记维护】界面点击要修改的栏次，对其中项进行修改。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b/>
          <w:bCs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72405" cy="2785745"/>
            <wp:effectExtent l="0" t="0" r="4445" b="14605"/>
            <wp:docPr id="4" name="图片 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true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78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1" w:firstLineChars="200"/>
        <w:textAlignment w:val="auto"/>
        <w:rPr>
          <w:rFonts w:hint="eastAsia"/>
          <w:b/>
          <w:bCs/>
          <w:sz w:val="24"/>
          <w:szCs w:val="24"/>
          <w:lang w:val="en-US" w:eastAsia="zh-CN"/>
        </w:rPr>
      </w:pPr>
      <w:r>
        <w:rPr>
          <w:rFonts w:hint="eastAsia"/>
          <w:b/>
          <w:bCs/>
          <w:sz w:val="24"/>
          <w:szCs w:val="24"/>
          <w:lang w:val="en-US" w:eastAsia="zh-CN"/>
        </w:rPr>
        <w:t>（三）验证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待局端审批通过后，纳税人进入到【</w:t>
      </w:r>
      <w:r>
        <w:rPr>
          <w:rFonts w:hint="default"/>
          <w:sz w:val="24"/>
          <w:szCs w:val="24"/>
          <w:lang w:val="en-US" w:eastAsia="zh-CN"/>
        </w:rPr>
        <w:t>三方协议</w:t>
      </w:r>
      <w:r>
        <w:rPr>
          <w:rFonts w:hint="eastAsia"/>
          <w:sz w:val="24"/>
          <w:szCs w:val="24"/>
          <w:lang w:val="en-US" w:eastAsia="zh-CN"/>
        </w:rPr>
        <w:t>登记维护】进行</w:t>
      </w:r>
      <w:r>
        <w:rPr>
          <w:rFonts w:hint="default"/>
          <w:sz w:val="24"/>
          <w:szCs w:val="24"/>
          <w:lang w:val="en-US" w:eastAsia="zh-CN"/>
        </w:rPr>
        <w:t>验证</w:t>
      </w:r>
      <w:r>
        <w:rPr>
          <w:rFonts w:hint="eastAsia"/>
          <w:sz w:val="24"/>
          <w:szCs w:val="24"/>
          <w:lang w:val="en-US" w:eastAsia="zh-CN"/>
        </w:rPr>
        <w:t>，会出现两种情况：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1、具备网签功能银行的验证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根据黑龙江省人民银行提供的开通网签功能的银行信息显示，以下银行：兴业银行、韩亚银行、招商银行、内蒙古银行、农发展、广发银行、锦州银行、工商银行、民生银行、浦发银行、农业银行、中国银行、中信银行、邮储银行、华夏银行、交通银行、光大银行、汇丰银行、建设银行具备网签功能，纳税人可以直接点击【验证】按钮，进行三方协议签约验证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传统签约形式银行的验证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/>
          <w:color w:val="004080"/>
          <w:sz w:val="24"/>
          <w:szCs w:val="24"/>
          <w:lang w:val="zh-CN"/>
        </w:rPr>
        <w:drawing>
          <wp:inline distT="0" distB="0" distL="114300" distR="114300">
            <wp:extent cx="5619750" cy="1577975"/>
            <wp:effectExtent l="0" t="0" r="0" b="3175"/>
            <wp:docPr id="22" name="图片 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3"/>
                    <pic:cNvPicPr>
                      <a:picLocks noChangeAspect="true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1577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如果当前三方协议信息中的银行不支持网签，需要纳税人点击【打印三方协议】按钮，弹出委托扣款协议书窗口，点击【打印】按钮打印委托扣款协议书，携该委托扣款协议书到开户银行（营业网点）办理三方协议登记;待开户银行办理三方协议登记后，纳税人再进入电子税务局该模块进行【验证】操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验证时，会有如下提示：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“验证成功”，验证成功后，该三方协议信息生效，协议状态为“验证通过”；</w:t>
      </w:r>
    </w:p>
    <w:p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验证不成功，协议状态为“验证失败”。需查找失败原因，进行修改。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</w:pPr>
      <w:r>
        <w:drawing>
          <wp:inline distT="0" distB="0" distL="114300" distR="114300">
            <wp:extent cx="5272405" cy="1256030"/>
            <wp:effectExtent l="0" t="0" r="4445" b="1270"/>
            <wp:docPr id="15" name="图片 1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true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256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02" w:firstLineChars="200"/>
        <w:textAlignment w:val="auto"/>
        <w:rPr>
          <w:rFonts w:hint="eastAsia"/>
          <w:b/>
          <w:bCs/>
          <w:sz w:val="30"/>
          <w:szCs w:val="30"/>
          <w:lang w:val="en-US" w:eastAsia="zh-CN"/>
        </w:rPr>
      </w:pPr>
      <w:r>
        <w:rPr>
          <w:rFonts w:hint="eastAsia"/>
          <w:b/>
          <w:bCs/>
          <w:sz w:val="30"/>
          <w:szCs w:val="30"/>
          <w:lang w:val="en-US" w:eastAsia="zh-CN"/>
        </w:rPr>
        <w:t>三、税（费）缴纳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申报成功后，如需缴款，依次点击左侧列表【申报管理】-【税费缴纳】模块。在打开的右侧税费缴纳界面中，点击【获取未清缴信息】，获取当月的未清缴信息。选中一条未清缴的数据，点击发送缴款请求，即可完成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三方协议账户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缴</w:t>
      </w:r>
      <w:r>
        <w:rPr>
          <w:rFonts w:hint="eastAsia" w:asciiTheme="minorEastAsia" w:hAnsiTheme="minorEastAsia" w:cstheme="minorEastAsia"/>
          <w:sz w:val="24"/>
          <w:szCs w:val="24"/>
          <w:lang w:val="en-US" w:eastAsia="zh-CN"/>
        </w:rPr>
        <w:t>纳税费的业务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 xml:space="preserve">  </w:t>
      </w:r>
      <w:r>
        <w:rPr>
          <w:rFonts w:hint="eastAsia" w:ascii="宋体" w:hAnsi="宋体" w:cs="宋体"/>
          <w:sz w:val="28"/>
          <w:szCs w:val="28"/>
          <w:lang w:eastAsia="zh-CN"/>
        </w:rPr>
        <w:drawing>
          <wp:inline distT="0" distB="0" distL="114300" distR="114300">
            <wp:extent cx="4685665" cy="2074545"/>
            <wp:effectExtent l="0" t="0" r="635" b="1905"/>
            <wp:docPr id="17" name="图片 17" descr="0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09"/>
                    <pic:cNvPicPr>
                      <a:picLocks noChangeAspect="true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685665" cy="207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扣款时，若出现失败提示，如：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“F11 账户余额不足支付”（反馈展示内容均为各家商业银行的提示），纳税人可以自行解读的内容，请依照提示进行调整；如出现：“FG5 预算分配比例与国库不一致”等，纳税人无法理解的内容，请联系主管税务机关进行解释和调整。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b/>
          <w:bCs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b/>
          <w:bCs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32"/>
          <w:szCs w:val="32"/>
          <w:lang w:eastAsia="zh-CN"/>
        </w:rPr>
        <w:t>附表：</w:t>
      </w:r>
    </w:p>
    <w:tbl>
      <w:tblPr>
        <w:tblStyle w:val="2"/>
        <w:tblpPr w:leftFromText="180" w:rightFromText="180" w:vertAnchor="text" w:horzAnchor="page" w:tblpX="3931" w:tblpY="399"/>
        <w:tblOverlap w:val="never"/>
        <w:tblW w:w="4516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128"/>
        <w:gridCol w:w="15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5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清算银行行号统计表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银行</w:t>
            </w: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所属地市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清算行行号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农业银行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103261090009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104261088880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农发展银行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203261084040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交通银行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301261000016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华夏银行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304261058006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平安银行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307261049000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招商银行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308261032013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313191000011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锦州银行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313227000730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汇丰银行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501261000010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东亚银行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502261056003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韩亚银行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全省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597100000014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中信银行 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302265045614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牡丹江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302272045517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302261000014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光大银行</w:t>
            </w: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303265000018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303261000019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民生银行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305265001000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305261001002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广发银行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306264000018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306265002058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牡丹江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306272001019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306261000004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兴业银行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309264000015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309265000025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309261000010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浦发银行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310264000010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310265000011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其余地市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310261000014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邮储银行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403261001145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403264000682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403265000220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鸡西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403266000524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鹤岗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403267000379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双鸭山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403268000341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佳木斯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403269000403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伊春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403271000017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牡丹江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403272001013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七台河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403274000233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绥化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403276000227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403278000020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大兴安岭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403279000013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工商银行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102265009004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大兴安岭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102279000018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102261001002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鹤岗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102267001005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102278009005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鸡西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102266000017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佳木斯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102269009003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牡丹江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102272009035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七台河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102274009006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102264005001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双鸭山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102268000012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绥化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102276001007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伊春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102271009008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建设银行</w:t>
            </w: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大庆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105265000537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大兴安岭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105279000011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哈尔滨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105261065185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鹤岗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105267000039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黑河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105278000028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鸡西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105266000012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佳木斯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105269000018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牡丹江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105272086306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七台河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105274000012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齐齐哈尔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105264000017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双鸭山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105268000016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绥化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105276000049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伊春</w:t>
            </w:r>
          </w:p>
        </w:tc>
        <w:tc>
          <w:tcPr>
            <w:tcW w:w="1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105271000015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swiss"/>
    <w:pitch w:val="default"/>
    <w:sig w:usb0="80000287" w:usb1="2A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8CC18A"/>
    <w:multiLevelType w:val="singleLevel"/>
    <w:tmpl w:val="888CC18A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E3A8BC17"/>
    <w:multiLevelType w:val="singleLevel"/>
    <w:tmpl w:val="E3A8BC1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A195293"/>
    <w:multiLevelType w:val="singleLevel"/>
    <w:tmpl w:val="3A195293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7269859B"/>
    <w:multiLevelType w:val="singleLevel"/>
    <w:tmpl w:val="7269859B"/>
    <w:lvl w:ilvl="0" w:tentative="0">
      <w:start w:val="2"/>
      <w:numFmt w:val="decimal"/>
      <w:suff w:val="nothing"/>
      <w:lvlText w:val="%1、"/>
      <w:lvlJc w:val="left"/>
    </w:lvl>
  </w:abstractNum>
  <w:abstractNum w:abstractNumId="4">
    <w:nsid w:val="7C0B5032"/>
    <w:multiLevelType w:val="singleLevel"/>
    <w:tmpl w:val="7C0B503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85C3EB0"/>
    <w:rsid w:val="0BDC5C04"/>
    <w:rsid w:val="10B903A0"/>
    <w:rsid w:val="1A1030A1"/>
    <w:rsid w:val="1C6E37E8"/>
    <w:rsid w:val="1E571510"/>
    <w:rsid w:val="284960FE"/>
    <w:rsid w:val="2CC75F9C"/>
    <w:rsid w:val="315267DC"/>
    <w:rsid w:val="42C91090"/>
    <w:rsid w:val="48CA2095"/>
    <w:rsid w:val="5DC66EB5"/>
    <w:rsid w:val="66612002"/>
    <w:rsid w:val="6C6A1140"/>
    <w:rsid w:val="735B1DCC"/>
    <w:rsid w:val="FF3D6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hover"/>
    <w:basedOn w:val="3"/>
    <w:qFormat/>
    <w:uiPriority w:val="0"/>
  </w:style>
  <w:style w:type="character" w:customStyle="1" w:styleId="5">
    <w:name w:val="hover1"/>
    <w:basedOn w:val="3"/>
    <w:qFormat/>
    <w:uiPriority w:val="0"/>
  </w:style>
  <w:style w:type="character" w:customStyle="1" w:styleId="6">
    <w:name w:val="red2"/>
    <w:basedOn w:val="3"/>
    <w:qFormat/>
    <w:uiPriority w:val="0"/>
    <w:rPr>
      <w:rFonts w:hint="eastAsia" w:ascii="宋体" w:hAnsi="宋体" w:eastAsia="宋体" w:cs="宋体"/>
      <w:b/>
      <w:bCs/>
      <w:color w:val="FF0000"/>
    </w:rPr>
  </w:style>
  <w:style w:type="character" w:customStyle="1" w:styleId="7">
    <w:name w:val="tree-text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4" Type="http://schemas.openxmlformats.org/officeDocument/2006/relationships/fontTable" Target="fontTable.xml"/><Relationship Id="rId23" Type="http://schemas.openxmlformats.org/officeDocument/2006/relationships/numbering" Target="numbering.xml"/><Relationship Id="rId22" Type="http://schemas.openxmlformats.org/officeDocument/2006/relationships/customXml" Target="../customXml/item1.xml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wmf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wmf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2022-08-19T14:28:00Z</dcterms:created>
  <dc:creator>王莹</dc:creator>
  <cp:lastModifiedBy>user</cp:lastModifiedBy>
  <dcterms:modified xsi:type="dcterms:W3CDTF">2022-08-26T08:59:25Z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2052-11.8.2.10183</vt:lpwstr>
  </property>
</Properties>
</file>