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color w:val="auto"/>
          <w:sz w:val="100"/>
          <w:szCs w:val="100"/>
          <w:highlight w:val="none"/>
        </w:rPr>
      </w:pPr>
    </w:p>
    <w:p>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pStyle w:val="12"/>
        <w:spacing w:line="360" w:lineRule="auto"/>
        <w:rPr>
          <w:rFonts w:hint="eastAsia" w:ascii="宋体" w:hAnsi="宋体" w:eastAsia="宋体" w:cs="宋体"/>
          <w:color w:val="auto"/>
          <w:sz w:val="28"/>
          <w:szCs w:val="28"/>
          <w:highlight w:val="none"/>
        </w:rPr>
      </w:pPr>
    </w:p>
    <w:p>
      <w:pPr>
        <w:pStyle w:val="12"/>
        <w:spacing w:line="360" w:lineRule="auto"/>
        <w:rPr>
          <w:rFonts w:hint="eastAsia" w:ascii="宋体" w:hAnsi="宋体" w:eastAsia="宋体" w:cs="宋体"/>
          <w:color w:val="auto"/>
          <w:sz w:val="28"/>
          <w:szCs w:val="28"/>
          <w:highlight w:val="none"/>
        </w:rPr>
      </w:pPr>
    </w:p>
    <w:p>
      <w:pPr>
        <w:snapToGrid w:val="0"/>
        <w:jc w:val="center"/>
        <w:rPr>
          <w:rFonts w:hint="eastAsia" w:ascii="宋体" w:hAnsi="宋体" w:eastAsia="宋体" w:cs="宋体"/>
          <w:b/>
          <w:bCs/>
          <w:color w:val="auto"/>
          <w:highlight w:val="none"/>
        </w:rPr>
      </w:pPr>
    </w:p>
    <w:p>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国家税务总局黑龙江省税务局新电子税务局上线部署和差异化分析改造项目</w:t>
      </w:r>
    </w:p>
    <w:p>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HTCL-ZB-243117</w:t>
      </w:r>
    </w:p>
    <w:p>
      <w:pPr>
        <w:snapToGrid w:val="0"/>
        <w:jc w:val="center"/>
        <w:rPr>
          <w:rFonts w:hint="eastAsia" w:ascii="宋体" w:hAnsi="宋体" w:eastAsia="宋体" w:cs="宋体"/>
          <w:b/>
          <w:bCs/>
          <w:color w:val="auto"/>
          <w:sz w:val="32"/>
          <w:szCs w:val="32"/>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7</w:t>
      </w:r>
      <w:r>
        <w:rPr>
          <w:rFonts w:hint="eastAsia" w:ascii="宋体" w:hAnsi="宋体" w:eastAsia="宋体" w:cs="宋体"/>
          <w:color w:val="auto"/>
          <w:kern w:val="0"/>
          <w:sz w:val="28"/>
          <w:szCs w:val="28"/>
          <w:highlight w:val="none"/>
        </w:rPr>
        <w:t>月</w:t>
      </w:r>
    </w:p>
    <w:p>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pPr>
        <w:pStyle w:val="20"/>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pPr>
        <w:pStyle w:val="36"/>
        <w:tabs>
          <w:tab w:val="right" w:leader="dot" w:pos="8306"/>
        </w:tabs>
        <w:spacing w:line="600" w:lineRule="exact"/>
        <w:rPr>
          <w:rFonts w:hint="eastAsia" w:ascii="宋体" w:hAnsi="宋体" w:eastAsia="宋体" w:cs="宋体"/>
          <w:b/>
          <w:bCs/>
          <w:color w:val="auto"/>
          <w:highlight w:val="none"/>
        </w:rPr>
        <w:sectPr>
          <w:headerReference r:id="rId3" w:type="default"/>
          <w:footerReference r:id="rId4"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pPr>
        <w:pStyle w:val="3"/>
        <w:rPr>
          <w:rFonts w:hint="eastAsia" w:ascii="宋体" w:hAnsi="宋体" w:eastAsia="宋体" w:cs="宋体"/>
          <w:color w:val="auto"/>
          <w:highlight w:val="none"/>
        </w:rPr>
      </w:pPr>
      <w:bookmarkStart w:id="0" w:name="_Toc15817"/>
      <w:bookmarkStart w:id="1" w:name="_Toc1124_WPSOffice_Level1"/>
      <w:bookmarkStart w:id="2" w:name="_Toc78902190"/>
      <w:r>
        <w:rPr>
          <w:rFonts w:hint="eastAsia" w:ascii="宋体" w:hAnsi="宋体" w:eastAsia="宋体" w:cs="宋体"/>
          <w:color w:val="auto"/>
          <w:highlight w:val="none"/>
        </w:rPr>
        <w:t>招标公告</w:t>
      </w:r>
      <w:bookmarkEnd w:id="0"/>
      <w:bookmarkEnd w:id="1"/>
      <w:bookmarkEnd w:id="2"/>
    </w:p>
    <w:tbl>
      <w:tblPr>
        <w:tblStyle w:val="27"/>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40" w:hRule="atLeast"/>
        </w:trPr>
        <w:tc>
          <w:tcPr>
            <w:tcW w:w="8516" w:type="dxa"/>
            <w:noWrap w:val="0"/>
            <w:vAlign w:val="top"/>
          </w:tcPr>
          <w:p>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国家税务总局黑龙江省税务局新电子税务局上线部署和差异化分析改造项目</w:t>
            </w:r>
            <w:r>
              <w:rPr>
                <w:rFonts w:hint="eastAsia" w:ascii="宋体" w:hAnsi="宋体" w:eastAsia="宋体" w:cs="宋体"/>
                <w:color w:val="auto"/>
                <w:highlight w:val="none"/>
              </w:rPr>
              <w:t>的潜在供应商应在黑龙江省招标有限公司一楼获取招标文件，并于202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2</w:t>
            </w:r>
            <w:r>
              <w:rPr>
                <w:rFonts w:hint="eastAsia" w:ascii="宋体" w:hAnsi="宋体" w:eastAsia="宋体" w:cs="宋体"/>
                <w:color w:val="auto"/>
                <w:highlight w:val="none"/>
              </w:rPr>
              <w:t>日</w:t>
            </w:r>
            <w:r>
              <w:rPr>
                <w:rFonts w:hint="eastAsia" w:ascii="宋体" w:hAnsi="宋体" w:cs="宋体"/>
                <w:color w:val="auto"/>
                <w:highlight w:val="none"/>
                <w:lang w:val="en-US" w:eastAsia="zh-CN"/>
              </w:rPr>
              <w:t>14</w:t>
            </w:r>
            <w:r>
              <w:rPr>
                <w:rFonts w:hint="eastAsia" w:ascii="宋体" w:hAnsi="宋体" w:eastAsia="宋体" w:cs="宋体"/>
                <w:color w:val="auto"/>
                <w:highlight w:val="none"/>
              </w:rPr>
              <w:t>点00分（北京时间）前递交投标文件。</w:t>
            </w:r>
          </w:p>
        </w:tc>
      </w:tr>
    </w:tbl>
    <w:p>
      <w:pPr>
        <w:rPr>
          <w:rFonts w:hint="eastAsia" w:ascii="宋体" w:hAnsi="宋体" w:eastAsia="宋体" w:cs="宋体"/>
          <w:color w:val="auto"/>
          <w:highlight w:val="none"/>
        </w:rPr>
      </w:pPr>
      <w:bookmarkStart w:id="3" w:name="_Toc28359002"/>
      <w:bookmarkStart w:id="4" w:name="_Toc28359079"/>
      <w:bookmarkStart w:id="5" w:name="_Hlk24379207"/>
      <w:r>
        <w:rPr>
          <w:rFonts w:hint="eastAsia" w:ascii="宋体" w:hAnsi="宋体" w:eastAsia="宋体" w:cs="宋体"/>
          <w:color w:val="auto"/>
          <w:highlight w:val="none"/>
        </w:rPr>
        <w:t>一、项目基本情况</w:t>
      </w:r>
      <w:bookmarkEnd w:id="3"/>
      <w:bookmarkEnd w:id="4"/>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cs="宋体"/>
          <w:color w:val="auto"/>
          <w:highlight w:val="none"/>
          <w:lang w:eastAsia="zh-CN"/>
        </w:rPr>
        <w:t>HTCL-ZB-243117</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5"/>
      <w:r>
        <w:rPr>
          <w:rFonts w:hint="eastAsia" w:ascii="宋体" w:hAnsi="宋体" w:cs="宋体"/>
          <w:color w:val="auto"/>
          <w:highlight w:val="none"/>
          <w:lang w:eastAsia="zh-CN"/>
        </w:rPr>
        <w:t>国家税务总局黑龙江省税务局新电子税务局上线部署和差异化分析改造项目</w:t>
      </w:r>
    </w:p>
    <w:p>
      <w:pPr>
        <w:rPr>
          <w:rFonts w:hint="default" w:ascii="宋体" w:hAnsi="宋体" w:eastAsia="宋体" w:cs="宋体"/>
          <w:color w:val="auto"/>
          <w:highlight w:val="none"/>
          <w:u w:val="single"/>
          <w:lang w:val="en-US" w:eastAsia="zh-CN"/>
        </w:rPr>
      </w:pPr>
      <w:r>
        <w:rPr>
          <w:rFonts w:hint="eastAsia" w:ascii="宋体" w:hAnsi="宋体" w:eastAsia="宋体" w:cs="宋体"/>
          <w:color w:val="auto"/>
          <w:highlight w:val="none"/>
        </w:rPr>
        <w:t>预算金额：</w:t>
      </w:r>
      <w:r>
        <w:rPr>
          <w:rFonts w:hint="eastAsia" w:ascii="宋体" w:hAnsi="宋体" w:cs="宋体"/>
          <w:color w:val="auto"/>
          <w:highlight w:val="none"/>
          <w:lang w:val="en-US" w:eastAsia="zh-CN"/>
        </w:rPr>
        <w:t>660.54万元</w:t>
      </w:r>
    </w:p>
    <w:p>
      <w:pPr>
        <w:rPr>
          <w:rFonts w:hint="eastAsia" w:ascii="宋体" w:hAnsi="宋体" w:eastAsia="宋体" w:cs="宋体"/>
          <w:color w:val="auto"/>
          <w:highlight w:val="none"/>
        </w:rPr>
      </w:pPr>
      <w:r>
        <w:rPr>
          <w:rFonts w:hint="eastAsia" w:ascii="宋体" w:hAnsi="宋体" w:eastAsia="宋体" w:cs="宋体"/>
          <w:color w:val="auto"/>
          <w:highlight w:val="none"/>
        </w:rPr>
        <w:t>最高限价：</w:t>
      </w:r>
      <w:r>
        <w:rPr>
          <w:rFonts w:hint="eastAsia" w:ascii="宋体" w:hAnsi="宋体" w:cs="宋体"/>
          <w:color w:val="auto"/>
          <w:highlight w:val="none"/>
          <w:lang w:val="en-US" w:eastAsia="zh-CN"/>
        </w:rPr>
        <w:t>660.54万元</w:t>
      </w:r>
    </w:p>
    <w:p>
      <w:pPr>
        <w:pStyle w:val="35"/>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采购需求：第一包：新电子税务局上线部署项目。按照税务总局关于推广上线全国统一电子税务局的要求，进行新电子税务局上线部署工作。包括基础环境搭建、应用部署、系统联调测试、功能和性能测试、系统初始化等。预算480万元</w:t>
      </w:r>
    </w:p>
    <w:p>
      <w:pPr>
        <w:pStyle w:val="35"/>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第二包：本地差异化分析改造项目。对本地特色软件与新电子税局进行差异化分析，按保留功能进行系统重新部署并根据差异分析结果进行相应系统改造。预算180.54万元。</w:t>
      </w:r>
    </w:p>
    <w:p>
      <w:pPr>
        <w:pStyle w:val="35"/>
        <w:ind w:left="0" w:leftChars="0" w:firstLine="0" w:firstLineChars="0"/>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合同履行期限：自合同生效之日起1年。</w:t>
      </w:r>
    </w:p>
    <w:p>
      <w:pPr>
        <w:rPr>
          <w:rFonts w:hint="eastAsia" w:ascii="宋体" w:hAnsi="宋体" w:eastAsia="宋体" w:cs="宋体"/>
          <w:color w:val="auto"/>
          <w:highlight w:val="none"/>
        </w:rPr>
      </w:pPr>
      <w:r>
        <w:rPr>
          <w:rFonts w:hint="eastAsia" w:ascii="宋体" w:hAnsi="宋体" w:eastAsia="宋体" w:cs="宋体"/>
          <w:color w:val="auto"/>
          <w:highlight w:val="none"/>
        </w:rPr>
        <w:t>本项目不接受联合体投标。</w:t>
      </w:r>
    </w:p>
    <w:p>
      <w:pPr>
        <w:rPr>
          <w:rFonts w:hint="eastAsia" w:ascii="宋体" w:hAnsi="宋体" w:eastAsia="宋体" w:cs="宋体"/>
          <w:color w:val="auto"/>
          <w:highlight w:val="none"/>
        </w:rPr>
      </w:pPr>
      <w:bookmarkStart w:id="6" w:name="_Toc28359080"/>
      <w:bookmarkStart w:id="7" w:name="_Toc28359003"/>
      <w:r>
        <w:rPr>
          <w:rFonts w:hint="eastAsia" w:ascii="宋体" w:hAnsi="宋体" w:eastAsia="宋体" w:cs="宋体"/>
          <w:color w:val="auto"/>
          <w:highlight w:val="none"/>
        </w:rPr>
        <w:t>二、申请人的资格要求</w:t>
      </w:r>
      <w:bookmarkEnd w:id="6"/>
      <w:bookmarkEnd w:id="7"/>
    </w:p>
    <w:p>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2、落实政府采购政策需满足的资格要求：</w:t>
      </w:r>
      <w:r>
        <w:rPr>
          <w:rFonts w:hint="eastAsia" w:ascii="宋体" w:hAnsi="宋体" w:eastAsia="宋体" w:cs="宋体"/>
          <w:color w:val="auto"/>
          <w:highlight w:val="none"/>
          <w:lang w:val="en-US" w:eastAsia="zh-CN"/>
        </w:rPr>
        <w:t>无</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pPr>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4、同一供应商可以针对本项目的多个包递交投标文件，但只能在一个包中标，排名在前的供应商可以优先选择中标的包。</w:t>
      </w:r>
    </w:p>
    <w:p>
      <w:pPr>
        <w:rPr>
          <w:rFonts w:hint="eastAsia" w:ascii="宋体" w:hAnsi="宋体" w:eastAsia="宋体" w:cs="宋体"/>
          <w:color w:val="auto"/>
          <w:highlight w:val="none"/>
        </w:rPr>
      </w:pPr>
      <w:bookmarkStart w:id="8" w:name="_Toc28359081"/>
      <w:bookmarkStart w:id="9" w:name="_Toc28359004"/>
      <w:r>
        <w:rPr>
          <w:rFonts w:hint="eastAsia" w:ascii="宋体" w:hAnsi="宋体" w:eastAsia="宋体" w:cs="宋体"/>
          <w:color w:val="auto"/>
          <w:highlight w:val="none"/>
        </w:rPr>
        <w:t>三、获取招标文件</w:t>
      </w:r>
      <w:bookmarkEnd w:id="8"/>
      <w:bookmarkEnd w:id="9"/>
    </w:p>
    <w:p>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7</w:t>
      </w:r>
      <w:r>
        <w:rPr>
          <w:rFonts w:hint="eastAsia" w:ascii="宋体" w:hAnsi="宋体" w:eastAsia="宋体" w:cs="宋体"/>
          <w:color w:val="auto"/>
          <w:highlight w:val="none"/>
        </w:rPr>
        <w:t>月</w:t>
      </w:r>
      <w:r>
        <w:rPr>
          <w:rFonts w:hint="eastAsia" w:ascii="宋体" w:hAnsi="宋体" w:cs="宋体"/>
          <w:color w:val="auto"/>
          <w:highlight w:val="none"/>
          <w:lang w:val="en-US" w:eastAsia="zh-CN"/>
        </w:rPr>
        <w:t>12</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7</w:t>
      </w:r>
      <w:r>
        <w:rPr>
          <w:rFonts w:hint="eastAsia" w:ascii="宋体" w:hAnsi="宋体" w:eastAsia="宋体" w:cs="宋体"/>
          <w:color w:val="auto"/>
          <w:highlight w:val="none"/>
        </w:rPr>
        <w:t>月</w:t>
      </w:r>
      <w:r>
        <w:rPr>
          <w:rFonts w:hint="eastAsia" w:ascii="宋体" w:hAnsi="宋体" w:cs="宋体"/>
          <w:color w:val="auto"/>
          <w:highlight w:val="none"/>
          <w:lang w:val="en-US" w:eastAsia="zh-CN"/>
        </w:rPr>
        <w:t>19</w:t>
      </w:r>
      <w:r>
        <w:rPr>
          <w:rFonts w:hint="eastAsia" w:ascii="宋体" w:hAnsi="宋体" w:eastAsia="宋体" w:cs="宋体"/>
          <w:color w:val="auto"/>
          <w:highlight w:val="none"/>
        </w:rPr>
        <w:t>日，每天上午8点30分至11点30分，下午13点至16点（北京时间，法定节假日除外）</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方式：现场获取。</w:t>
      </w:r>
    </w:p>
    <w:p>
      <w:pPr>
        <w:rPr>
          <w:rFonts w:hint="default" w:ascii="宋体" w:hAnsi="宋体" w:eastAsia="宋体" w:cs="宋体"/>
          <w:color w:val="auto"/>
          <w:highlight w:val="none"/>
          <w:lang w:val="en-US" w:eastAsia="zh-CN"/>
        </w:rPr>
      </w:pPr>
      <w:r>
        <w:rPr>
          <w:rFonts w:hint="eastAsia" w:ascii="宋体" w:hAnsi="宋体" w:eastAsia="宋体" w:cs="宋体"/>
          <w:color w:val="auto"/>
          <w:highlight w:val="none"/>
        </w:rPr>
        <w:t>售价：500元</w:t>
      </w:r>
      <w:r>
        <w:rPr>
          <w:rFonts w:hint="eastAsia" w:ascii="宋体" w:hAnsi="宋体" w:cs="宋体"/>
          <w:color w:val="auto"/>
          <w:highlight w:val="none"/>
          <w:lang w:val="en-US" w:eastAsia="zh-CN"/>
        </w:rPr>
        <w:t>/包</w:t>
      </w:r>
    </w:p>
    <w:p>
      <w:pPr>
        <w:rPr>
          <w:rFonts w:hint="eastAsia" w:ascii="宋体" w:hAnsi="宋体" w:eastAsia="宋体" w:cs="宋体"/>
          <w:color w:val="auto"/>
          <w:highlight w:val="none"/>
        </w:rPr>
      </w:pPr>
      <w:bookmarkStart w:id="10" w:name="_Toc28359005"/>
      <w:bookmarkStart w:id="11" w:name="_Toc28359082"/>
      <w:r>
        <w:rPr>
          <w:rFonts w:hint="eastAsia" w:ascii="宋体" w:hAnsi="宋体" w:eastAsia="宋体" w:cs="宋体"/>
          <w:color w:val="auto"/>
          <w:highlight w:val="none"/>
        </w:rPr>
        <w:t>四、投标文件递交</w:t>
      </w:r>
      <w:bookmarkEnd w:id="10"/>
      <w:bookmarkEnd w:id="11"/>
    </w:p>
    <w:p>
      <w:pPr>
        <w:rPr>
          <w:rFonts w:hint="eastAsia" w:ascii="宋体" w:hAnsi="宋体" w:eastAsia="宋体" w:cs="宋体"/>
          <w:color w:val="auto"/>
          <w:highlight w:val="none"/>
        </w:rPr>
      </w:pPr>
      <w:r>
        <w:rPr>
          <w:rFonts w:hint="eastAsia" w:ascii="宋体" w:hAnsi="宋体" w:eastAsia="宋体" w:cs="宋体"/>
          <w:color w:val="auto"/>
          <w:highlight w:val="none"/>
        </w:rPr>
        <w:t>投标截止时间：202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2</w:t>
      </w:r>
      <w:r>
        <w:rPr>
          <w:rFonts w:hint="eastAsia" w:ascii="宋体" w:hAnsi="宋体" w:eastAsia="宋体" w:cs="宋体"/>
          <w:color w:val="auto"/>
          <w:highlight w:val="none"/>
        </w:rPr>
        <w:t>日</w:t>
      </w:r>
      <w:r>
        <w:rPr>
          <w:rFonts w:hint="eastAsia" w:ascii="宋体" w:hAnsi="宋体" w:cs="宋体"/>
          <w:color w:val="auto"/>
          <w:highlight w:val="none"/>
          <w:lang w:val="en-US" w:eastAsia="zh-CN"/>
        </w:rPr>
        <w:t>14</w:t>
      </w:r>
      <w:r>
        <w:rPr>
          <w:rFonts w:hint="eastAsia" w:ascii="宋体" w:hAnsi="宋体" w:eastAsia="宋体" w:cs="宋体"/>
          <w:color w:val="auto"/>
          <w:highlight w:val="none"/>
        </w:rPr>
        <w:t>点00分（北京时间）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pPr>
        <w:rPr>
          <w:rFonts w:hint="eastAsia" w:ascii="宋体" w:hAnsi="宋体" w:eastAsia="宋体" w:cs="宋体"/>
          <w:color w:val="auto"/>
          <w:highlight w:val="none"/>
        </w:rPr>
      </w:pPr>
      <w:bookmarkStart w:id="12" w:name="_Toc28359083"/>
      <w:bookmarkStart w:id="13" w:name="_Toc28359006"/>
      <w:r>
        <w:rPr>
          <w:rFonts w:hint="eastAsia" w:ascii="宋体" w:hAnsi="宋体" w:eastAsia="宋体" w:cs="宋体"/>
          <w:color w:val="auto"/>
          <w:highlight w:val="none"/>
        </w:rPr>
        <w:t>五、开标</w:t>
      </w:r>
      <w:bookmarkEnd w:id="12"/>
      <w:bookmarkEnd w:id="13"/>
    </w:p>
    <w:p>
      <w:pPr>
        <w:rPr>
          <w:rFonts w:hint="eastAsia" w:ascii="宋体" w:hAnsi="宋体" w:eastAsia="宋体" w:cs="宋体"/>
          <w:color w:val="auto"/>
          <w:highlight w:val="none"/>
        </w:rPr>
      </w:pPr>
      <w:bookmarkStart w:id="14" w:name="_Toc28359007"/>
      <w:bookmarkStart w:id="15" w:name="_Toc28359084"/>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8</w:t>
      </w:r>
      <w:r>
        <w:rPr>
          <w:rFonts w:hint="eastAsia" w:ascii="宋体" w:hAnsi="宋体" w:eastAsia="宋体" w:cs="宋体"/>
          <w:color w:val="auto"/>
          <w:highlight w:val="none"/>
        </w:rPr>
        <w:t>月</w:t>
      </w:r>
      <w:r>
        <w:rPr>
          <w:rFonts w:hint="eastAsia" w:ascii="宋体" w:hAnsi="宋体" w:cs="宋体"/>
          <w:color w:val="auto"/>
          <w:highlight w:val="none"/>
          <w:lang w:val="en-US" w:eastAsia="zh-CN"/>
        </w:rPr>
        <w:t>2</w:t>
      </w:r>
      <w:r>
        <w:rPr>
          <w:rFonts w:hint="eastAsia" w:ascii="宋体" w:hAnsi="宋体" w:eastAsia="宋体" w:cs="宋体"/>
          <w:color w:val="auto"/>
          <w:highlight w:val="none"/>
        </w:rPr>
        <w:t>日</w:t>
      </w:r>
      <w:r>
        <w:rPr>
          <w:rFonts w:hint="eastAsia" w:ascii="宋体" w:hAnsi="宋体" w:cs="宋体"/>
          <w:color w:val="auto"/>
          <w:highlight w:val="none"/>
          <w:lang w:val="en-US" w:eastAsia="zh-CN"/>
        </w:rPr>
        <w:t>14</w:t>
      </w:r>
      <w:r>
        <w:rPr>
          <w:rFonts w:hint="eastAsia" w:ascii="宋体" w:hAnsi="宋体" w:eastAsia="宋体" w:cs="宋体"/>
          <w:color w:val="auto"/>
          <w:highlight w:val="none"/>
        </w:rPr>
        <w:t>点00分（北京时间）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pPr>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4"/>
      <w:bookmarkEnd w:id="15"/>
    </w:p>
    <w:p>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pPr>
        <w:rPr>
          <w:rFonts w:hint="eastAsia" w:ascii="宋体" w:hAnsi="宋体" w:eastAsia="宋体" w:cs="宋体"/>
          <w:color w:val="auto"/>
          <w:highlight w:val="none"/>
        </w:rPr>
      </w:pPr>
      <w:bookmarkStart w:id="16" w:name="_Toc28359085"/>
      <w:bookmarkStart w:id="17" w:name="_Toc28359008"/>
      <w:r>
        <w:rPr>
          <w:rFonts w:hint="eastAsia" w:ascii="宋体" w:hAnsi="宋体" w:eastAsia="宋体" w:cs="宋体"/>
          <w:color w:val="auto"/>
          <w:highlight w:val="none"/>
        </w:rPr>
        <w:t>七、对本次招标提出询问，请按以下方式联系。</w:t>
      </w:r>
      <w:bookmarkEnd w:id="16"/>
      <w:bookmarkEnd w:id="17"/>
    </w:p>
    <w:p>
      <w:pPr>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人：詹女士</w:t>
      </w:r>
    </w:p>
    <w:p>
      <w:pPr>
        <w:rPr>
          <w:rFonts w:hint="default" w:ascii="宋体" w:hAnsi="宋体" w:eastAsia="宋体" w:cs="宋体"/>
          <w:color w:val="auto"/>
          <w:highlight w:val="none"/>
          <w:lang w:val="en-US" w:eastAsia="zh-CN"/>
        </w:rPr>
      </w:pPr>
      <w:r>
        <w:rPr>
          <w:rFonts w:hint="eastAsia" w:ascii="宋体" w:hAnsi="宋体" w:eastAsia="宋体" w:cs="宋体"/>
          <w:color w:val="auto"/>
          <w:highlight w:val="none"/>
        </w:rPr>
        <w:t>联系方式：0451-53611</w:t>
      </w:r>
      <w:r>
        <w:rPr>
          <w:rFonts w:hint="eastAsia" w:ascii="宋体" w:hAnsi="宋体" w:cs="宋体"/>
          <w:color w:val="auto"/>
          <w:highlight w:val="none"/>
          <w:lang w:val="en-US" w:eastAsia="zh-CN"/>
        </w:rPr>
        <w:t>260</w:t>
      </w:r>
    </w:p>
    <w:p>
      <w:pPr>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pPr>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pPr>
        <w:jc w:val="center"/>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8" w:name="_Toc26518_WPSOffice_Level1"/>
      <w:bookmarkStart w:id="19" w:name="_Toc27915"/>
      <w:bookmarkStart w:id="20" w:name="_Toc78902191"/>
      <w:r>
        <w:rPr>
          <w:rStyle w:val="37"/>
          <w:rFonts w:hint="eastAsia" w:ascii="宋体" w:hAnsi="宋体" w:eastAsia="宋体" w:cs="宋体"/>
          <w:color w:val="auto"/>
          <w:highlight w:val="none"/>
        </w:rPr>
        <w:t>第一章 供应商须知</w:t>
      </w:r>
      <w:bookmarkEnd w:id="18"/>
      <w:bookmarkEnd w:id="19"/>
      <w:bookmarkEnd w:id="20"/>
    </w:p>
    <w:p>
      <w:pPr>
        <w:pStyle w:val="4"/>
        <w:rPr>
          <w:rFonts w:hint="eastAsia" w:ascii="宋体" w:hAnsi="宋体" w:eastAsia="宋体" w:cs="宋体"/>
          <w:color w:val="auto"/>
          <w:highlight w:val="none"/>
        </w:rPr>
      </w:pPr>
      <w:bookmarkStart w:id="21" w:name="_Toc18613_WPSOffice_Level2"/>
      <w:r>
        <w:rPr>
          <w:rFonts w:hint="eastAsia" w:ascii="宋体" w:hAnsi="宋体" w:eastAsia="宋体" w:cs="宋体"/>
          <w:color w:val="auto"/>
          <w:highlight w:val="none"/>
        </w:rPr>
        <w:t>一 供应商须知表</w:t>
      </w:r>
      <w:bookmarkEnd w:id="21"/>
    </w:p>
    <w:tbl>
      <w:tblPr>
        <w:tblStyle w:val="27"/>
        <w:tblW w:w="8656" w:type="dxa"/>
        <w:tblInd w:w="108" w:type="dxa"/>
        <w:tblLayout w:type="fixed"/>
        <w:tblCellMar>
          <w:top w:w="0" w:type="dxa"/>
          <w:left w:w="108" w:type="dxa"/>
          <w:bottom w:w="0" w:type="dxa"/>
          <w:right w:w="108" w:type="dxa"/>
        </w:tblCellMar>
      </w:tblPr>
      <w:tblGrid>
        <w:gridCol w:w="852"/>
        <w:gridCol w:w="1917"/>
        <w:gridCol w:w="5887"/>
      </w:tblGrid>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bookmarkStart w:id="22" w:name="sys_招标项目基本内容及要求其他：Block"/>
            <w:bookmarkEnd w:id="22"/>
            <w:bookmarkStart w:id="23" w:name="招标项目基本内容及要求：Block"/>
            <w:bookmarkEnd w:id="23"/>
            <w:bookmarkStart w:id="24" w:name="招标项目基本内容及要求其他：Block"/>
            <w:bookmarkEnd w:id="24"/>
            <w:bookmarkStart w:id="25" w:name="sys_招标项目基本内容及要求：Block"/>
            <w:bookmarkEnd w:id="25"/>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spacing w:line="300" w:lineRule="exact"/>
              <w:rPr>
                <w:rFonts w:hint="eastAsia" w:ascii="宋体" w:hAnsi="宋体" w:eastAsia="宋体" w:cs="宋体"/>
                <w:highlight w:val="none"/>
                <w:lang w:eastAsia="zh-CN"/>
              </w:rPr>
            </w:pPr>
            <w:r>
              <w:rPr>
                <w:rFonts w:hint="eastAsia" w:ascii="宋体" w:hAnsi="宋体" w:eastAsia="宋体" w:cs="宋体"/>
                <w:highlight w:val="none"/>
              </w:rPr>
              <w:t>联系人：詹女士</w:t>
            </w:r>
          </w:p>
          <w:p>
            <w:pPr>
              <w:spacing w:line="300" w:lineRule="exact"/>
              <w:rPr>
                <w:rFonts w:hint="default" w:ascii="宋体" w:hAnsi="宋体" w:eastAsia="宋体" w:cs="宋体"/>
                <w:color w:val="auto"/>
                <w:kern w:val="0"/>
                <w:highlight w:val="none"/>
                <w:lang w:val="en-US" w:eastAsia="zh-CN"/>
              </w:rPr>
            </w:pPr>
            <w:r>
              <w:rPr>
                <w:rFonts w:hint="eastAsia" w:ascii="宋体" w:hAnsi="宋体" w:eastAsia="宋体" w:cs="宋体"/>
                <w:highlight w:val="none"/>
              </w:rPr>
              <w:t>电话：0451-53611</w:t>
            </w:r>
            <w:r>
              <w:rPr>
                <w:rFonts w:hint="eastAsia" w:ascii="宋体" w:hAnsi="宋体" w:cs="宋体"/>
                <w:highlight w:val="none"/>
                <w:lang w:val="en-US" w:eastAsia="zh-CN"/>
              </w:rPr>
              <w:t>260</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是</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否</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tblPrEx>
          <w:tblLayout w:type="fixed"/>
          <w:tblCellMar>
            <w:top w:w="0" w:type="dxa"/>
            <w:left w:w="108" w:type="dxa"/>
            <w:bottom w:w="0" w:type="dxa"/>
            <w:right w:w="108" w:type="dxa"/>
          </w:tblCellMar>
        </w:tblPrEx>
        <w:trPr>
          <w:trHeight w:val="613"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lang w:val="en-US" w:eastAsia="zh-CN"/>
              </w:rPr>
            </w:pPr>
            <w:r>
              <w:rPr>
                <w:rFonts w:hint="eastAsia" w:ascii="宋体" w:hAnsi="宋体" w:eastAsia="宋体" w:cs="宋体"/>
                <w:color w:val="auto"/>
                <w:kern w:val="0"/>
                <w:highlight w:val="none"/>
                <w:lang w:val="en-US" w:eastAsia="zh-CN"/>
              </w:rPr>
              <w:t>第一包：</w:t>
            </w:r>
            <w:r>
              <w:rPr>
                <w:rFonts w:hint="eastAsia"/>
                <w:color w:val="auto"/>
                <w:highlight w:val="none"/>
                <w:lang w:val="en-US" w:eastAsia="zh-CN"/>
              </w:rPr>
              <w:t>480</w:t>
            </w:r>
            <w:r>
              <w:rPr>
                <w:rFonts w:hint="eastAsia" w:ascii="宋体" w:hAnsi="宋体" w:eastAsia="宋体" w:cs="宋体"/>
                <w:color w:val="auto"/>
                <w:kern w:val="0"/>
                <w:highlight w:val="none"/>
                <w:lang w:val="en-US" w:eastAsia="zh-CN"/>
              </w:rPr>
              <w:t>万元</w:t>
            </w:r>
          </w:p>
          <w:p>
            <w:pPr>
              <w:spacing w:line="300" w:lineRule="exact"/>
              <w:rPr>
                <w:rFonts w:hint="default"/>
                <w:lang w:val="en-US" w:eastAsia="zh-CN"/>
              </w:rPr>
            </w:pPr>
            <w:r>
              <w:rPr>
                <w:rFonts w:hint="eastAsia" w:ascii="宋体" w:hAnsi="宋体" w:eastAsia="宋体" w:cs="宋体"/>
                <w:color w:val="auto"/>
                <w:kern w:val="0"/>
                <w:highlight w:val="none"/>
                <w:lang w:val="en-US" w:eastAsia="zh-CN"/>
              </w:rPr>
              <w:t>第二包：180.54万元</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tblPrEx>
          <w:tblLayout w:type="fixed"/>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是</w:t>
            </w:r>
          </w:p>
          <w:p>
            <w:pPr>
              <w:spacing w:line="300" w:lineRule="exact"/>
              <w:rPr>
                <w:rFonts w:hint="eastAsia" w:ascii="宋体" w:hAnsi="宋体" w:eastAsia="宋体" w:cs="宋体"/>
                <w:bCs/>
                <w:color w:val="auto"/>
                <w:kern w:val="0"/>
                <w:highlight w:val="none"/>
              </w:rPr>
            </w:pPr>
            <w:r>
              <w:rPr>
                <w:color w:val="auto"/>
                <w:highlight w:val="none"/>
              </w:rPr>
              <w:sym w:font="Wingdings 2" w:char="0052"/>
            </w:r>
            <w:r>
              <w:rPr>
                <w:rFonts w:hint="eastAsia"/>
                <w:color w:val="auto"/>
                <w:highlight w:val="none"/>
              </w:rPr>
              <w:t>否</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lang w:val="en-US" w:eastAsia="zh-CN"/>
              </w:rPr>
            </w:pPr>
            <w:r>
              <w:rPr>
                <w:rFonts w:hint="eastAsia" w:cs="宋体"/>
                <w:color w:val="auto"/>
                <w:kern w:val="0"/>
                <w:highlight w:val="none"/>
                <w:lang w:val="en-US" w:eastAsia="zh-CN"/>
              </w:rPr>
              <w:t>软件与信息技术服务业</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tblPrEx>
          <w:tblLayout w:type="fixed"/>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第一包：50000元；第二包：25000元</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tblPrEx>
          <w:tblLayout w:type="fixed"/>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tblPrEx>
          <w:tblLayout w:type="fixed"/>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tblPrEx>
          <w:tblLayout w:type="fixed"/>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tblPrEx>
          <w:tblLayout w:type="fixed"/>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（1）小型和微型企业价格扣除：</w:t>
            </w:r>
            <w:r>
              <w:rPr>
                <w:rFonts w:hint="eastAsia" w:ascii="宋体" w:hAnsi="宋体" w:eastAsia="宋体" w:cs="宋体"/>
                <w:color w:val="auto"/>
                <w:highlight w:val="none"/>
                <w:lang w:val="en-US" w:eastAsia="zh-CN"/>
              </w:rPr>
              <w:t>15</w:t>
            </w:r>
            <w:r>
              <w:rPr>
                <w:rFonts w:hint="eastAsia" w:ascii="宋体" w:hAnsi="宋体" w:eastAsia="宋体" w:cs="宋体"/>
                <w:color w:val="auto"/>
                <w:highlight w:val="none"/>
              </w:rPr>
              <w:t>%。</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（2）监狱企业价格扣除：同小型和微型企业。</w:t>
            </w:r>
          </w:p>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（3）残疾人福利性单位价格扣除：同小型和微型企业。</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hint="eastAsia" w:ascii="宋体" w:hAnsi="宋体" w:eastAsia="宋体" w:cs="宋体"/>
                <w:color w:val="auto"/>
                <w:kern w:val="0"/>
                <w:highlight w:val="none"/>
              </w:rPr>
            </w:pPr>
            <w:r>
              <w:rPr>
                <w:rFonts w:hint="eastAsia" w:ascii="宋体" w:hAnsi="宋体" w:cs="宋体"/>
                <w:color w:val="auto"/>
                <w:highlight w:val="none"/>
                <w:lang w:val="en-US" w:eastAsia="zh-CN"/>
              </w:rPr>
              <w:t>每包</w:t>
            </w:r>
            <w:r>
              <w:rPr>
                <w:rFonts w:hint="eastAsia" w:ascii="宋体" w:hAnsi="宋体" w:eastAsia="宋体" w:cs="宋体"/>
                <w:color w:val="auto"/>
                <w:kern w:val="0"/>
                <w:highlight w:val="none"/>
              </w:rPr>
              <w:t>不低于3名</w:t>
            </w:r>
          </w:p>
        </w:tc>
      </w:tr>
      <w:tr>
        <w:tblPrEx>
          <w:tblLayout w:type="fixed"/>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w:t>
            </w:r>
            <w:r>
              <w:rPr>
                <w:rFonts w:hint="eastAsia" w:ascii="宋体" w:hAnsi="宋体" w:cs="宋体"/>
                <w:color w:val="auto"/>
                <w:highlight w:val="none"/>
                <w:lang w:val="en-US" w:eastAsia="zh-CN"/>
              </w:rPr>
              <w:t>每包</w:t>
            </w:r>
            <w:r>
              <w:rPr>
                <w:rFonts w:hint="eastAsia" w:ascii="宋体" w:hAnsi="宋体" w:eastAsia="宋体" w:cs="宋体"/>
                <w:color w:val="auto"/>
                <w:highlight w:val="none"/>
              </w:rPr>
              <w:t>1名</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tblPrEx>
          <w:tblLayout w:type="fixed"/>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tblPrEx>
          <w:tblLayout w:type="fixed"/>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中标人与采购人签订合同后，代理机构向中标人按下列标准收取采购代理服务费。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（1）以《中标通知书》中确定的中标</w:t>
            </w:r>
            <w:r>
              <w:rPr>
                <w:rFonts w:hint="eastAsia" w:ascii="宋体" w:hAnsi="宋体" w:eastAsia="宋体" w:cs="宋体"/>
                <w:color w:val="auto"/>
                <w:highlight w:val="none"/>
                <w:lang w:val="en-US" w:eastAsia="zh-CN"/>
              </w:rPr>
              <w:t>金额</w:t>
            </w:r>
            <w:r>
              <w:rPr>
                <w:rFonts w:hint="eastAsia" w:ascii="宋体" w:hAnsi="宋体" w:eastAsia="宋体" w:cs="宋体"/>
                <w:color w:val="auto"/>
                <w:highlight w:val="none"/>
              </w:rPr>
              <w:t>为收费的计算基数：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（2）分段收取采购代理服务费即各中标金额区间乘相应费率后之和为采购代理服务费。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100万元人民币以下（含 100万元）按1.5%费率收取；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100~500万元人民币（含 500万元）按</w:t>
            </w:r>
            <w:r>
              <w:rPr>
                <w:rFonts w:hint="eastAsia" w:ascii="宋体" w:hAnsi="宋体" w:eastAsia="宋体" w:cs="宋体"/>
                <w:color w:val="auto"/>
                <w:highlight w:val="none"/>
                <w:lang w:val="en-US" w:eastAsia="zh-CN"/>
              </w:rPr>
              <w:t>0.8</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500~1000万元人民币（含 1000万元）按0.</w:t>
            </w:r>
            <w:r>
              <w:rPr>
                <w:rFonts w:hint="eastAsia" w:ascii="宋体" w:hAnsi="宋体" w:eastAsia="宋体" w:cs="宋体"/>
                <w:color w:val="auto"/>
                <w:highlight w:val="none"/>
                <w:lang w:val="en-US" w:eastAsia="zh-CN"/>
              </w:rPr>
              <w:t>45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10</w:t>
            </w:r>
            <w:r>
              <w:rPr>
                <w:rFonts w:hint="eastAsia" w:ascii="宋体" w:hAnsi="宋体" w:eastAsia="宋体" w:cs="宋体"/>
                <w:color w:val="auto"/>
                <w:highlight w:val="none"/>
              </w:rPr>
              <w:t>00~</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 xml:space="preserve">000万元人民币（含 </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000万元）按0.</w:t>
            </w:r>
            <w:r>
              <w:rPr>
                <w:rFonts w:hint="eastAsia" w:ascii="宋体" w:hAnsi="宋体" w:eastAsia="宋体" w:cs="宋体"/>
                <w:color w:val="auto"/>
                <w:highlight w:val="none"/>
                <w:lang w:val="en-US" w:eastAsia="zh-CN"/>
              </w:rPr>
              <w:t>25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tblPrEx>
          <w:tblLayout w:type="fixed"/>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1.接收质疑函的方式：接收加盖单位公章的书面纸</w:t>
            </w:r>
            <w:r>
              <w:rPr>
                <w:rFonts w:hint="eastAsia" w:ascii="宋体" w:hAnsi="宋体" w:cs="宋体"/>
                <w:color w:val="auto"/>
                <w:highlight w:val="none"/>
                <w:lang w:eastAsia="zh-CN"/>
              </w:rPr>
              <w:t>质</w:t>
            </w:r>
            <w:r>
              <w:rPr>
                <w:rFonts w:hint="eastAsia" w:ascii="宋体" w:hAnsi="宋体" w:eastAsia="宋体" w:cs="宋体"/>
                <w:color w:val="auto"/>
                <w:highlight w:val="none"/>
              </w:rPr>
              <w:t>质疑函</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pPr>
        <w:pStyle w:val="4"/>
        <w:adjustRightInd w:val="0"/>
        <w:snapToGrid w:val="0"/>
        <w:rPr>
          <w:rStyle w:val="38"/>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6" w:name="_Toc30384_WPSOffice_Level2"/>
      <w:r>
        <w:rPr>
          <w:rStyle w:val="38"/>
          <w:rFonts w:hint="eastAsia" w:ascii="宋体" w:hAnsi="宋体" w:eastAsia="宋体" w:cs="宋体"/>
          <w:color w:val="auto"/>
          <w:highlight w:val="none"/>
        </w:rPr>
        <w:t>二 总则</w:t>
      </w:r>
      <w:bookmarkEnd w:id="26"/>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4"/>
        <w:jc w:val="left"/>
        <w:rPr>
          <w:rFonts w:hint="eastAsia" w:ascii="宋体" w:hAnsi="宋体" w:eastAsia="宋体" w:cs="宋体"/>
          <w:color w:val="auto"/>
          <w:highlight w:val="none"/>
        </w:rPr>
      </w:pPr>
      <w:bookmarkStart w:id="27" w:name="_Toc266951048"/>
      <w:r>
        <w:rPr>
          <w:rFonts w:hint="eastAsia" w:ascii="宋体" w:hAnsi="宋体" w:eastAsia="宋体" w:cs="宋体"/>
          <w:color w:val="auto"/>
          <w:highlight w:val="none"/>
        </w:rPr>
        <w:t>3.语言文字</w:t>
      </w:r>
      <w:bookmarkEnd w:id="27"/>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pPr>
        <w:pStyle w:val="4"/>
        <w:jc w:val="left"/>
        <w:rPr>
          <w:rFonts w:hint="eastAsia" w:ascii="宋体" w:hAnsi="宋体" w:eastAsia="宋体" w:cs="宋体"/>
          <w:color w:val="auto"/>
          <w:highlight w:val="none"/>
        </w:rPr>
      </w:pPr>
      <w:bookmarkStart w:id="28" w:name="_1.8_计量单位"/>
      <w:bookmarkEnd w:id="28"/>
      <w:bookmarkStart w:id="29" w:name="_Toc266951049"/>
      <w:r>
        <w:rPr>
          <w:rFonts w:hint="eastAsia" w:ascii="宋体" w:hAnsi="宋体" w:eastAsia="宋体" w:cs="宋体"/>
          <w:color w:val="auto"/>
          <w:highlight w:val="none"/>
        </w:rPr>
        <w:t>★4.</w:t>
      </w:r>
      <w:bookmarkEnd w:id="29"/>
      <w:r>
        <w:rPr>
          <w:rFonts w:hint="eastAsia" w:ascii="宋体" w:hAnsi="宋体" w:eastAsia="宋体" w:cs="宋体"/>
          <w:color w:val="auto"/>
          <w:highlight w:val="none"/>
        </w:rPr>
        <w:t>计量单位</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pPr>
        <w:rPr>
          <w:rFonts w:hint="eastAsia" w:ascii="宋体" w:hAnsi="宋体" w:eastAsia="宋体" w:cs="宋体"/>
          <w:color w:val="auto"/>
          <w:highlight w:val="none"/>
        </w:rPr>
      </w:pPr>
      <w:bookmarkStart w:id="30" w:name="_1.10_投标预备会"/>
      <w:bookmarkEnd w:id="30"/>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1"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1"/>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pPr>
        <w:pStyle w:val="33"/>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pPr>
        <w:pStyle w:val="4"/>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pPr>
        <w:pStyle w:val="4"/>
        <w:rPr>
          <w:rFonts w:hint="eastAsia" w:ascii="宋体" w:hAnsi="宋体" w:eastAsia="宋体" w:cs="宋体"/>
          <w:color w:val="auto"/>
          <w:highlight w:val="none"/>
        </w:rPr>
      </w:pPr>
      <w:bookmarkStart w:id="32" w:name="_Toc10106_WPSOffice_Level2"/>
    </w:p>
    <w:p>
      <w:pPr>
        <w:pStyle w:val="4"/>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2"/>
    </w:p>
    <w:p>
      <w:pPr>
        <w:pStyle w:val="4"/>
        <w:numPr>
          <w:ilvl w:val="0"/>
          <w:numId w:val="3"/>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pPr>
        <w:numPr>
          <w:ilvl w:val="1"/>
          <w:numId w:val="3"/>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pPr>
        <w:numPr>
          <w:ilvl w:val="0"/>
          <w:numId w:val="4"/>
        </w:numPr>
        <w:adjustRightInd w:val="0"/>
        <w:snapToGrid w:val="0"/>
        <w:ind w:firstLine="420" w:firstLineChars="200"/>
        <w:rPr>
          <w:rFonts w:hint="eastAsia" w:ascii="宋体" w:hAnsi="宋体" w:eastAsia="宋体" w:cs="宋体"/>
          <w:color w:val="auto"/>
          <w:highlight w:val="none"/>
        </w:rPr>
      </w:pPr>
      <w:bookmarkStart w:id="33" w:name="_Toc24604_WPSOffice_Level2"/>
      <w:bookmarkStart w:id="34" w:name="_Toc188_WPSOffice_Level2"/>
      <w:bookmarkStart w:id="35" w:name="_Toc4961_WPSOffice_Level2"/>
      <w:bookmarkStart w:id="36" w:name="_Toc25935_WPSOffice_Level2"/>
      <w:r>
        <w:rPr>
          <w:rFonts w:hint="eastAsia" w:ascii="宋体" w:hAnsi="宋体" w:eastAsia="宋体" w:cs="宋体"/>
          <w:color w:val="auto"/>
          <w:highlight w:val="none"/>
        </w:rPr>
        <w:t>供应商须知</w:t>
      </w:r>
      <w:bookmarkEnd w:id="33"/>
      <w:bookmarkEnd w:id="34"/>
      <w:bookmarkEnd w:id="35"/>
      <w:bookmarkEnd w:id="36"/>
    </w:p>
    <w:p>
      <w:pPr>
        <w:adjustRightInd w:val="0"/>
        <w:snapToGrid w:val="0"/>
        <w:ind w:firstLine="420" w:firstLineChars="200"/>
        <w:rPr>
          <w:rFonts w:hint="eastAsia" w:ascii="宋体" w:hAnsi="宋体" w:eastAsia="宋体" w:cs="宋体"/>
          <w:color w:val="auto"/>
          <w:highlight w:val="none"/>
        </w:rPr>
      </w:pPr>
      <w:bookmarkStart w:id="37" w:name="_Toc13276_WPSOffice_Level2"/>
      <w:bookmarkStart w:id="38" w:name="_Toc32235_WPSOffice_Level2"/>
      <w:bookmarkStart w:id="39" w:name="_Toc31424_WPSOffice_Level2"/>
      <w:bookmarkStart w:id="40" w:name="_Toc2443_WPSOffice_Level2"/>
      <w:r>
        <w:rPr>
          <w:rFonts w:hint="eastAsia" w:ascii="宋体" w:hAnsi="宋体" w:eastAsia="宋体" w:cs="宋体"/>
          <w:color w:val="auto"/>
          <w:highlight w:val="none"/>
        </w:rPr>
        <w:t>第二章 投标文件内容及格式</w:t>
      </w:r>
      <w:bookmarkEnd w:id="37"/>
      <w:bookmarkEnd w:id="38"/>
      <w:bookmarkEnd w:id="39"/>
      <w:bookmarkEnd w:id="40"/>
    </w:p>
    <w:p>
      <w:pPr>
        <w:adjustRightInd w:val="0"/>
        <w:snapToGrid w:val="0"/>
        <w:ind w:firstLine="420" w:firstLineChars="200"/>
        <w:rPr>
          <w:rFonts w:hint="eastAsia" w:ascii="宋体" w:hAnsi="宋体" w:eastAsia="宋体" w:cs="宋体"/>
          <w:color w:val="auto"/>
          <w:highlight w:val="none"/>
        </w:rPr>
      </w:pPr>
      <w:bookmarkStart w:id="41" w:name="_Toc4416_WPSOffice_Level2"/>
      <w:bookmarkStart w:id="42" w:name="_Toc16269_WPSOffice_Level2"/>
      <w:bookmarkStart w:id="43" w:name="_Toc24836_WPSOffice_Level2"/>
      <w:bookmarkStart w:id="44" w:name="_Toc7005_WPSOffice_Level2"/>
      <w:r>
        <w:rPr>
          <w:rFonts w:hint="eastAsia" w:ascii="宋体" w:hAnsi="宋体" w:eastAsia="宋体" w:cs="宋体"/>
          <w:color w:val="auto"/>
          <w:highlight w:val="none"/>
        </w:rPr>
        <w:t>第三章 服务需求</w:t>
      </w:r>
      <w:bookmarkEnd w:id="41"/>
      <w:bookmarkEnd w:id="42"/>
      <w:bookmarkEnd w:id="43"/>
      <w:bookmarkEnd w:id="44"/>
    </w:p>
    <w:p>
      <w:pPr>
        <w:adjustRightInd w:val="0"/>
        <w:snapToGrid w:val="0"/>
        <w:ind w:firstLine="420" w:firstLineChars="200"/>
        <w:rPr>
          <w:rFonts w:hint="eastAsia" w:ascii="宋体" w:hAnsi="宋体" w:eastAsia="宋体" w:cs="宋体"/>
          <w:color w:val="auto"/>
          <w:highlight w:val="none"/>
        </w:rPr>
      </w:pPr>
      <w:bookmarkStart w:id="45" w:name="_Toc23459_WPSOffice_Level2"/>
      <w:bookmarkStart w:id="46" w:name="_Toc16294_WPSOffice_Level2"/>
      <w:bookmarkStart w:id="47" w:name="_Toc25382_WPSOffice_Level2"/>
      <w:bookmarkStart w:id="48" w:name="_Toc16119_WPSOffice_Level2"/>
      <w:r>
        <w:rPr>
          <w:rFonts w:hint="eastAsia" w:ascii="宋体" w:hAnsi="宋体" w:eastAsia="宋体" w:cs="宋体"/>
          <w:color w:val="auto"/>
          <w:highlight w:val="none"/>
        </w:rPr>
        <w:t>第四章 评标方法</w:t>
      </w:r>
      <w:bookmarkEnd w:id="45"/>
      <w:bookmarkEnd w:id="46"/>
      <w:bookmarkEnd w:id="47"/>
      <w:bookmarkEnd w:id="48"/>
    </w:p>
    <w:p>
      <w:pPr>
        <w:adjustRightInd w:val="0"/>
        <w:snapToGrid w:val="0"/>
        <w:ind w:firstLine="420" w:firstLineChars="200"/>
        <w:rPr>
          <w:rFonts w:hint="eastAsia" w:ascii="宋体" w:hAnsi="宋体" w:eastAsia="宋体" w:cs="宋体"/>
          <w:color w:val="auto"/>
          <w:highlight w:val="none"/>
        </w:rPr>
      </w:pPr>
      <w:bookmarkStart w:id="49" w:name="_Toc17794_WPSOffice_Level2"/>
      <w:bookmarkStart w:id="50" w:name="_Toc9629_WPSOffice_Level2"/>
      <w:bookmarkStart w:id="51" w:name="_Toc28106_WPSOffice_Level2"/>
      <w:bookmarkStart w:id="52" w:name="_Toc16368_WPSOffice_Level2"/>
      <w:r>
        <w:rPr>
          <w:rFonts w:hint="eastAsia" w:ascii="宋体" w:hAnsi="宋体" w:eastAsia="宋体" w:cs="宋体"/>
          <w:color w:val="auto"/>
          <w:highlight w:val="none"/>
        </w:rPr>
        <w:t>第五章 政府采购合同</w:t>
      </w:r>
      <w:bookmarkEnd w:id="49"/>
      <w:bookmarkEnd w:id="50"/>
      <w:bookmarkEnd w:id="51"/>
      <w:bookmarkEnd w:id="52"/>
      <w:r>
        <w:rPr>
          <w:rFonts w:hint="eastAsia" w:ascii="宋体" w:hAnsi="宋体" w:eastAsia="宋体" w:cs="宋体"/>
          <w:color w:val="auto"/>
          <w:highlight w:val="none"/>
        </w:rPr>
        <w:t>条款及格式</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pPr>
        <w:pStyle w:val="4"/>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pPr>
        <w:pStyle w:val="4"/>
        <w:rPr>
          <w:rFonts w:hint="eastAsia" w:ascii="宋体" w:hAnsi="宋体" w:eastAsia="宋体" w:cs="宋体"/>
          <w:color w:val="auto"/>
          <w:highlight w:val="none"/>
        </w:rPr>
      </w:pPr>
      <w:bookmarkStart w:id="53" w:name="_Toc7415_WPSOffice_Level2"/>
      <w:r>
        <w:rPr>
          <w:rFonts w:hint="eastAsia" w:ascii="宋体" w:hAnsi="宋体" w:eastAsia="宋体" w:cs="宋体"/>
          <w:color w:val="auto"/>
          <w:highlight w:val="none"/>
        </w:rPr>
        <w:t>四</w:t>
      </w:r>
      <w:r>
        <w:rPr>
          <w:rFonts w:hint="eastAsia" w:ascii="宋体" w:hAnsi="宋体" w:eastAsia="宋体" w:cs="宋体"/>
          <w:color w:val="auto"/>
          <w:highlight w:val="none"/>
          <w:lang w:val="en-US" w:eastAsia="zh-CN"/>
        </w:rPr>
        <w:t xml:space="preserve"> </w:t>
      </w:r>
      <w:r>
        <w:rPr>
          <w:rFonts w:hint="eastAsia" w:ascii="宋体" w:hAnsi="宋体" w:eastAsia="宋体" w:cs="宋体"/>
          <w:color w:val="auto"/>
          <w:highlight w:val="none"/>
        </w:rPr>
        <w:t>投标文件的编制</w:t>
      </w:r>
      <w:bookmarkEnd w:id="53"/>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pPr>
        <w:adjustRightInd w:val="0"/>
        <w:snapToGrid w:val="0"/>
        <w:rPr>
          <w:rFonts w:hint="eastAsia" w:ascii="宋体" w:hAnsi="宋体" w:eastAsia="宋体" w:cs="宋体"/>
          <w:color w:val="auto"/>
          <w:highlight w:val="none"/>
        </w:rPr>
      </w:pPr>
      <w:bookmarkStart w:id="54" w:name="_Toc22507_WPSOffice_Level2"/>
      <w:bookmarkStart w:id="55" w:name="_Toc31973_WPSOffice_Level2"/>
      <w:r>
        <w:rPr>
          <w:rFonts w:hint="eastAsia" w:ascii="宋体" w:hAnsi="宋体" w:eastAsia="宋体" w:cs="宋体"/>
          <w:color w:val="auto"/>
          <w:highlight w:val="none"/>
        </w:rPr>
        <w:t>12.5除非招标文件另有规定，报价原则上精确到小数点后两位。</w:t>
      </w:r>
      <w:bookmarkEnd w:id="54"/>
      <w:bookmarkEnd w:id="55"/>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pPr>
        <w:pStyle w:val="4"/>
        <w:rPr>
          <w:rFonts w:hint="eastAsia" w:ascii="宋体" w:hAnsi="宋体" w:eastAsia="宋体" w:cs="宋体"/>
          <w:color w:val="auto"/>
          <w:highlight w:val="none"/>
        </w:rPr>
      </w:pPr>
      <w:bookmarkStart w:id="56" w:name="_Toc27725_WPSOffice_Level2"/>
      <w:r>
        <w:rPr>
          <w:rFonts w:hint="eastAsia" w:ascii="宋体" w:hAnsi="宋体" w:eastAsia="宋体" w:cs="宋体"/>
          <w:color w:val="auto"/>
          <w:highlight w:val="none"/>
        </w:rPr>
        <w:t>五 投标文件的递交</w:t>
      </w:r>
      <w:bookmarkEnd w:id="56"/>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pPr>
        <w:pStyle w:val="4"/>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pPr>
        <w:pStyle w:val="4"/>
        <w:rPr>
          <w:rFonts w:hint="eastAsia" w:ascii="宋体" w:hAnsi="宋体" w:eastAsia="宋体" w:cs="宋体"/>
          <w:color w:val="auto"/>
          <w:highlight w:val="none"/>
        </w:rPr>
      </w:pPr>
      <w:bookmarkStart w:id="57" w:name="_Toc988_WPSOffice_Level2"/>
      <w:r>
        <w:rPr>
          <w:rFonts w:hint="eastAsia" w:ascii="宋体" w:hAnsi="宋体" w:eastAsia="宋体" w:cs="宋体"/>
          <w:color w:val="auto"/>
          <w:highlight w:val="none"/>
        </w:rPr>
        <w:t>六 开标及评标</w:t>
      </w:r>
      <w:bookmarkEnd w:id="57"/>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ascii="宋体" w:hAnsi="宋体" w:eastAsia="宋体" w:cs="宋体"/>
          <w:color w:val="auto"/>
          <w:highlight w:val="none"/>
        </w:rPr>
        <w:t>评标委员会组建后，</w:t>
      </w:r>
      <w:bookmarkEnd w:id="58"/>
      <w:r>
        <w:rPr>
          <w:rFonts w:hint="eastAsia" w:ascii="宋体" w:hAnsi="宋体" w:eastAsia="宋体" w:cs="宋体"/>
          <w:color w:val="auto"/>
          <w:highlight w:val="none"/>
        </w:rPr>
        <w:t>评标委员会成员共同推选组长，组长负责组织评标工作，采购人代表不得担任组长。</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pPr>
        <w:ind w:firstLine="0"/>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pPr>
        <w:pStyle w:val="4"/>
        <w:rPr>
          <w:rFonts w:hint="eastAsia" w:ascii="宋体" w:hAnsi="宋体" w:eastAsia="宋体" w:cs="宋体"/>
          <w:color w:val="auto"/>
          <w:highlight w:val="none"/>
        </w:rPr>
      </w:pPr>
      <w:bookmarkStart w:id="59" w:name="_Toc4544_WPSOffice_Level2"/>
      <w:r>
        <w:rPr>
          <w:rFonts w:hint="eastAsia" w:ascii="宋体" w:hAnsi="宋体" w:eastAsia="宋体" w:cs="宋体"/>
          <w:color w:val="auto"/>
          <w:highlight w:val="none"/>
        </w:rPr>
        <w:t>七 确定中标</w:t>
      </w:r>
      <w:bookmarkEnd w:id="59"/>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0" w:name="_Hlk77150539"/>
      <w:r>
        <w:rPr>
          <w:rFonts w:hint="eastAsia" w:ascii="宋体" w:hAnsi="宋体" w:eastAsia="宋体" w:cs="宋体"/>
          <w:color w:val="auto"/>
          <w:highlight w:val="none"/>
        </w:rPr>
        <w:t>详见中国政府采购网或</w:t>
      </w:r>
      <w:bookmarkEnd w:id="60"/>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pPr>
        <w:adjustRightInd w:val="0"/>
        <w:snapToGrid w:val="0"/>
        <w:ind w:firstLine="420"/>
        <w:rPr>
          <w:rFonts w:hint="eastAsia" w:ascii="宋体" w:hAnsi="宋体" w:eastAsia="宋体" w:cs="宋体"/>
          <w:b/>
          <w:color w:val="auto"/>
          <w:highlight w:val="none"/>
        </w:rPr>
        <w:sectPr>
          <w:footerReference r:id="rId5"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pPr>
        <w:pStyle w:val="3"/>
        <w:rPr>
          <w:rFonts w:hint="eastAsia" w:ascii="宋体" w:hAnsi="宋体" w:eastAsia="宋体" w:cs="宋体"/>
          <w:color w:val="auto"/>
          <w:highlight w:val="none"/>
        </w:rPr>
      </w:pPr>
      <w:bookmarkStart w:id="61" w:name="_Toc78902192"/>
      <w:bookmarkStart w:id="62" w:name="_Toc29813"/>
      <w:bookmarkStart w:id="63" w:name="_Toc17725_WPSOffice_Level1"/>
      <w:r>
        <w:rPr>
          <w:rFonts w:hint="eastAsia" w:ascii="宋体" w:hAnsi="宋体" w:eastAsia="宋体" w:cs="宋体"/>
          <w:color w:val="auto"/>
          <w:highlight w:val="none"/>
        </w:rPr>
        <w:t>第二章 投标文件内容及格式</w:t>
      </w:r>
      <w:bookmarkEnd w:id="61"/>
      <w:bookmarkEnd w:id="62"/>
      <w:bookmarkEnd w:id="63"/>
    </w:p>
    <w:p>
      <w:pPr>
        <w:pStyle w:val="5"/>
        <w:rPr>
          <w:rFonts w:hint="eastAsia" w:ascii="宋体" w:hAnsi="宋体" w:eastAsia="宋体" w:cs="宋体"/>
          <w:color w:val="auto"/>
          <w:highlight w:val="none"/>
        </w:rPr>
      </w:pPr>
      <w:bookmarkStart w:id="64" w:name="投标文件内容及格式：Block"/>
      <w:bookmarkEnd w:id="64"/>
      <w:bookmarkStart w:id="65" w:name="sys_投标文件内容及格式：Block"/>
      <w:bookmarkEnd w:id="65"/>
      <w:bookmarkStart w:id="66" w:name="_Toc2481_WPSOffice_Level2"/>
      <w:bookmarkStart w:id="67" w:name="_Toc1538_WPSOffice_Level2"/>
      <w:r>
        <w:rPr>
          <w:rFonts w:hint="eastAsia" w:ascii="宋体" w:hAnsi="宋体" w:eastAsia="宋体" w:cs="宋体"/>
          <w:color w:val="auto"/>
          <w:highlight w:val="none"/>
        </w:rPr>
        <w:t>一、投标文件、电子文档的外封面、封口、封皮及目录</w:t>
      </w:r>
      <w:bookmarkEnd w:id="66"/>
      <w:bookmarkEnd w:id="67"/>
    </w:p>
    <w:tbl>
      <w:tblPr>
        <w:tblStyle w:val="27"/>
        <w:tblW w:w="928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7553"/>
        <w:gridCol w:w="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10"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755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15"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pPr>
        <w:pStyle w:val="5"/>
        <w:rPr>
          <w:rFonts w:hint="eastAsia" w:ascii="宋体" w:hAnsi="宋体" w:eastAsia="宋体" w:cs="宋体"/>
          <w:b/>
          <w:color w:val="auto"/>
          <w:highlight w:val="none"/>
        </w:rPr>
      </w:pPr>
      <w:bookmarkStart w:id="68" w:name="_Toc1266_WPSOffice_Level2"/>
      <w:bookmarkStart w:id="69" w:name="_Toc31052_WPSOffice_Level2"/>
      <w:r>
        <w:rPr>
          <w:rFonts w:hint="eastAsia" w:ascii="宋体" w:hAnsi="宋体" w:eastAsia="宋体" w:cs="宋体"/>
          <w:color w:val="auto"/>
          <w:highlight w:val="none"/>
        </w:rPr>
        <w:t>二、资格证明材料</w:t>
      </w:r>
      <w:bookmarkEnd w:id="68"/>
      <w:bookmarkEnd w:id="69"/>
      <w:r>
        <w:rPr>
          <w:rFonts w:hint="eastAsia" w:ascii="宋体" w:hAnsi="宋体" w:eastAsia="宋体" w:cs="宋体"/>
          <w:color w:val="auto"/>
          <w:highlight w:val="none"/>
        </w:rPr>
        <w:t>（有一项不符合要求，不能进入下一阶段评审）</w:t>
      </w:r>
    </w:p>
    <w:tbl>
      <w:tblPr>
        <w:tblStyle w:val="27"/>
        <w:tblW w:w="9282" w:type="dxa"/>
        <w:jc w:val="center"/>
        <w:tblInd w:w="0" w:type="dxa"/>
        <w:tblLayout w:type="fixed"/>
        <w:tblCellMar>
          <w:top w:w="0" w:type="dxa"/>
          <w:left w:w="0" w:type="dxa"/>
          <w:bottom w:w="0" w:type="dxa"/>
          <w:right w:w="0" w:type="dxa"/>
        </w:tblCellMar>
      </w:tblPr>
      <w:tblGrid>
        <w:gridCol w:w="737"/>
        <w:gridCol w:w="7711"/>
        <w:gridCol w:w="834"/>
      </w:tblGrid>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bookmarkStart w:id="70" w:name="资格性证明材料：Document"/>
            <w:bookmarkStart w:id="71" w:name="sys_资格性证明材料：Document"/>
            <w:r>
              <w:rPr>
                <w:rFonts w:hint="eastAsia" w:ascii="宋体" w:hAnsi="宋体" w:eastAsia="宋体" w:cs="宋体"/>
                <w:color w:val="auto"/>
                <w:highlight w:val="none"/>
              </w:rPr>
              <w:t>序号</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Layout w:type="fixed"/>
          <w:tblCellMar>
            <w:top w:w="0" w:type="dxa"/>
            <w:left w:w="0" w:type="dxa"/>
            <w:bottom w:w="0" w:type="dxa"/>
            <w:right w:w="0" w:type="dxa"/>
          </w:tblCellMar>
        </w:tblPrEx>
        <w:trPr>
          <w:trHeight w:val="113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5若为自然人：提供“身份证明材料”。以上均提供复印件联合体各方均需提供上述证明（如适用）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cs="宋体"/>
                <w:color w:val="auto"/>
                <w:highlight w:val="none"/>
                <w:lang w:val="en-US" w:eastAsia="zh-CN"/>
              </w:rPr>
              <w:t>3</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评标当日之前一年内任一个月的依法缴纳税收的缴款凭据复印件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tblPrEx>
          <w:tblLayout w:type="fixed"/>
          <w:tblCellMar>
            <w:top w:w="0" w:type="dxa"/>
            <w:left w:w="0" w:type="dxa"/>
            <w:bottom w:w="0" w:type="dxa"/>
            <w:right w:w="0" w:type="dxa"/>
          </w:tblCellMar>
        </w:tblPrEx>
        <w:trPr>
          <w:trHeight w:val="9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中小企业声明函格式详见格式15</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699"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11</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bl>
    <w:p>
      <w:pPr>
        <w:pStyle w:val="5"/>
        <w:rPr>
          <w:rFonts w:hint="eastAsia" w:ascii="宋体" w:hAnsi="宋体" w:eastAsia="宋体" w:cs="宋体"/>
          <w:b/>
          <w:color w:val="auto"/>
          <w:highlight w:val="none"/>
        </w:rPr>
      </w:pPr>
      <w:bookmarkStart w:id="72" w:name="_Toc22359_WPSOffice_Level2"/>
      <w:bookmarkStart w:id="73" w:name="_Toc25206_WPSOffice_Level2"/>
      <w:r>
        <w:rPr>
          <w:rFonts w:hint="eastAsia" w:ascii="宋体" w:hAnsi="宋体" w:eastAsia="宋体" w:cs="宋体"/>
          <w:color w:val="auto"/>
          <w:highlight w:val="none"/>
        </w:rPr>
        <w:t>三、符合性证明材料</w:t>
      </w:r>
      <w:bookmarkEnd w:id="72"/>
      <w:bookmarkEnd w:id="73"/>
      <w:r>
        <w:rPr>
          <w:rFonts w:hint="eastAsia" w:ascii="宋体" w:hAnsi="宋体" w:eastAsia="宋体" w:cs="宋体"/>
          <w:color w:val="auto"/>
          <w:highlight w:val="none"/>
        </w:rPr>
        <w:t>（有一项不符合要求，不能进入下一阶段评审）</w:t>
      </w:r>
    </w:p>
    <w:bookmarkEnd w:id="70"/>
    <w:bookmarkEnd w:id="71"/>
    <w:tbl>
      <w:tblPr>
        <w:tblStyle w:val="27"/>
        <w:tblW w:w="92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5"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bookmarkStart w:id="74" w:name="_Toc24432_WPSOffice_Level2"/>
            <w:bookmarkStart w:id="75" w:name="_Toc27769_WPSOffice_Level2"/>
            <w:r>
              <w:rPr>
                <w:rFonts w:hint="eastAsia" w:ascii="宋体" w:hAnsi="宋体" w:eastAsia="宋体" w:cs="宋体"/>
                <w:color w:val="auto"/>
                <w:highlight w:val="none"/>
              </w:rPr>
              <w:t>7</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pPr>
        <w:pStyle w:val="5"/>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4"/>
      <w:bookmarkEnd w:id="75"/>
    </w:p>
    <w:tbl>
      <w:tblPr>
        <w:tblStyle w:val="27"/>
        <w:tblW w:w="928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0"/>
        <w:gridCol w:w="7587"/>
        <w:gridCol w:w="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758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587" w:type="dxa"/>
            <w:vAlign w:val="center"/>
          </w:tcPr>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97" w:type="dxa"/>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b/>
          <w:color w:val="auto"/>
          <w:highlight w:val="none"/>
        </w:rPr>
      </w:pPr>
      <w:bookmarkStart w:id="76" w:name="_Toc23127_WPSOffice_Level2"/>
      <w:bookmarkStart w:id="77" w:name="_Toc24011_WPSOffice_Level2"/>
      <w:r>
        <w:rPr>
          <w:rFonts w:hint="eastAsia" w:ascii="宋体" w:hAnsi="宋体" w:eastAsia="宋体" w:cs="宋体"/>
          <w:b/>
          <w:color w:val="auto"/>
          <w:highlight w:val="none"/>
        </w:rPr>
        <w:t>重要提示：</w:t>
      </w:r>
      <w:bookmarkEnd w:id="76"/>
      <w:bookmarkEnd w:id="77"/>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pPr>
        <w:rPr>
          <w:rStyle w:val="39"/>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bCs/>
          <w:color w:val="auto"/>
          <w:highlight w:val="none"/>
        </w:rPr>
        <w:t>格式1</w:t>
      </w:r>
    </w:p>
    <w:p>
      <w:pPr>
        <w:pStyle w:val="4"/>
        <w:spacing w:before="0" w:after="0"/>
        <w:rPr>
          <w:rFonts w:hint="eastAsia" w:ascii="宋体" w:hAnsi="宋体" w:eastAsia="宋体" w:cs="宋体"/>
          <w:b/>
          <w:bCs/>
          <w:color w:val="auto"/>
          <w:highlight w:val="none"/>
        </w:rPr>
      </w:pPr>
      <w:bookmarkStart w:id="78" w:name="_Toc21090_WPSOffice_Level2"/>
      <w:bookmarkStart w:id="79" w:name="_Toc26322_WPSOffice_Level2"/>
      <w:r>
        <w:rPr>
          <w:rFonts w:hint="eastAsia" w:ascii="宋体" w:hAnsi="宋体" w:eastAsia="宋体" w:cs="宋体"/>
          <w:color w:val="auto"/>
          <w:highlight w:val="none"/>
        </w:rPr>
        <w:t>投标文件、电子文档外封面、封口格式</w:t>
      </w:r>
      <w:bookmarkEnd w:id="78"/>
      <w:bookmarkEnd w:id="79"/>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7"/>
        <w:tblW w:w="596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tc>
      </w:tr>
    </w:tbl>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7"/>
        <w:tblW w:w="878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pPr>
        <w:rPr>
          <w:rFonts w:hint="eastAsia" w:ascii="宋体" w:hAnsi="宋体" w:eastAsia="宋体" w:cs="宋体"/>
          <w:color w:val="auto"/>
          <w:highlight w:val="none"/>
        </w:rPr>
      </w:pPr>
    </w:p>
    <w:p>
      <w:pPr>
        <w:rPr>
          <w:rStyle w:val="39"/>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格式2</w:t>
      </w:r>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J&#10;nZ152AAAAAoBAAAPAAAAAAAAAAEAIAAAACIAAABkcnMvZG93bnJldi54bWxQSwECFAAUAAAACACH&#10;TuJAPLe0fOsBAADpAwAADgAAAAAAAAABACAAAAAnAQAAZHJzL2Uyb0RvYy54bWxQSwUGAAAAAAYA&#10;BgBZAQAAhAUAAAAA&#10;">
                <v:fill on="t" focussize="0,0"/>
                <v:stroke color="#000000" joinstyle="miter"/>
                <v:imagedata o:title=""/>
                <o:lock v:ext="edit" aspectratio="f"/>
                <v:textbo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p>
    <w:p>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pPr>
        <w:rPr>
          <w:rStyle w:val="39"/>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9"/>
          <w:rFonts w:hint="eastAsia" w:ascii="宋体" w:hAnsi="宋体" w:eastAsia="宋体" w:cs="宋体"/>
          <w:color w:val="auto"/>
          <w:highlight w:val="none"/>
        </w:rPr>
        <w:t>格式3</w:t>
      </w:r>
    </w:p>
    <w:p>
      <w:pPr>
        <w:jc w:val="center"/>
        <w:rPr>
          <w:rFonts w:hint="eastAsia" w:ascii="宋体" w:hAnsi="宋体" w:eastAsia="宋体" w:cs="宋体"/>
          <w:color w:val="auto"/>
          <w:sz w:val="32"/>
          <w:szCs w:val="32"/>
          <w:highlight w:val="none"/>
        </w:rPr>
      </w:pPr>
      <w:bookmarkStart w:id="80" w:name="_Toc21414_WPSOffice_Level2"/>
      <w:bookmarkStart w:id="81" w:name="_Toc2304_WPSOffice_Level2"/>
      <w:r>
        <w:rPr>
          <w:rFonts w:hint="eastAsia" w:ascii="宋体" w:hAnsi="宋体" w:eastAsia="宋体" w:cs="宋体"/>
          <w:color w:val="auto"/>
          <w:sz w:val="32"/>
          <w:szCs w:val="32"/>
          <w:highlight w:val="none"/>
        </w:rPr>
        <w:t>目  录</w:t>
      </w:r>
      <w:bookmarkEnd w:id="80"/>
      <w:bookmarkEnd w:id="81"/>
    </w:p>
    <w:p>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pPr>
        <w:rPr>
          <w:rFonts w:hint="eastAsia" w:ascii="宋体" w:hAnsi="宋体" w:eastAsia="宋体" w:cs="宋体"/>
          <w:color w:val="auto"/>
          <w:highlight w:val="none"/>
        </w:rPr>
      </w:pPr>
    </w:p>
    <w:p>
      <w:pPr>
        <w:rPr>
          <w:rFonts w:hint="eastAsia" w:ascii="宋体" w:hAnsi="宋体" w:eastAsia="宋体" w:cs="宋体"/>
          <w:color w:val="auto"/>
          <w:sz w:val="28"/>
          <w:szCs w:val="28"/>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pPr>
        <w:pStyle w:val="4"/>
        <w:adjustRightInd w:val="0"/>
        <w:snapToGrid w:val="0"/>
        <w:spacing w:before="0" w:after="0"/>
        <w:jc w:val="left"/>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格式4</w:t>
      </w:r>
      <w:bookmarkStart w:id="82" w:name="_Toc3401_WPSOffice_Level2"/>
      <w:bookmarkStart w:id="83" w:name="_Toc16924_WPSOffice_Level2"/>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2"/>
      <w:bookmarkEnd w:id="83"/>
    </w:p>
    <w:p>
      <w:pPr>
        <w:ind w:firstLine="420" w:firstLineChars="200"/>
        <w:rPr>
          <w:rFonts w:hint="eastAsia" w:ascii="宋体" w:hAnsi="宋体" w:eastAsia="宋体" w:cs="宋体"/>
          <w:color w:val="auto"/>
          <w:highlight w:val="none"/>
          <w:u w:val="singl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tbl>
      <w:tblPr>
        <w:tblStyle w:val="27"/>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格式5</w:t>
      </w:r>
      <w:bookmarkStart w:id="84" w:name="_Toc21833_WPSOffice_Level2"/>
      <w:bookmarkStart w:id="85" w:name="_Toc122_WPSOffice_Level2"/>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4"/>
      <w:bookmarkEnd w:id="85"/>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pPr>
        <w:rPr>
          <w:rFonts w:hint="eastAsia" w:ascii="宋体" w:hAnsi="宋体" w:eastAsia="宋体" w:cs="宋体"/>
          <w:color w:val="auto"/>
          <w:sz w:val="24"/>
          <w:highlight w:val="none"/>
        </w:rPr>
      </w:pPr>
    </w:p>
    <w:tbl>
      <w:tblPr>
        <w:tblStyle w:val="27"/>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pPr>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9"/>
          <w:rFonts w:hint="eastAsia" w:ascii="宋体" w:hAnsi="宋体" w:eastAsia="宋体" w:cs="宋体"/>
          <w:color w:val="auto"/>
          <w:highlight w:val="none"/>
        </w:rPr>
        <w:t>格式6</w:t>
      </w:r>
    </w:p>
    <w:p>
      <w:pPr>
        <w:pStyle w:val="5"/>
        <w:jc w:val="center"/>
        <w:rPr>
          <w:rFonts w:hint="eastAsia" w:ascii="宋体" w:hAnsi="宋体" w:eastAsia="宋体" w:cs="宋体"/>
          <w:color w:val="auto"/>
          <w:highlight w:val="none"/>
        </w:rPr>
      </w:pPr>
      <w:bookmarkStart w:id="86" w:name="_Toc23728_WPSOffice_Level2"/>
      <w:bookmarkStart w:id="87" w:name="_Toc12037_WPSOffice_Level2"/>
      <w:r>
        <w:rPr>
          <w:rFonts w:hint="eastAsia" w:ascii="宋体" w:hAnsi="宋体" w:eastAsia="宋体" w:cs="宋体"/>
          <w:color w:val="auto"/>
          <w:highlight w:val="none"/>
        </w:rPr>
        <w:t>具备履行合同所必需的设备和专业技术能力声明函</w:t>
      </w:r>
    </w:p>
    <w:p>
      <w:pPr>
        <w:pStyle w:val="2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pPr>
        <w:pStyle w:val="2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pPr>
        <w:adjustRightInd w:val="0"/>
        <w:snapToGrid w:val="0"/>
        <w:ind w:right="105" w:rightChars="50" w:firstLine="544" w:firstLineChars="227"/>
        <w:jc w:val="right"/>
        <w:rPr>
          <w:rFonts w:hint="eastAsia" w:ascii="宋体" w:hAnsi="宋体" w:eastAsia="宋体" w:cs="宋体"/>
          <w:color w:val="auto"/>
          <w:sz w:val="24"/>
          <w:highlight w:val="none"/>
        </w:rPr>
      </w:pPr>
    </w:p>
    <w:p>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6"/>
    <w:bookmarkEnd w:id="87"/>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格式7</w:t>
      </w:r>
    </w:p>
    <w:p>
      <w:pPr>
        <w:pStyle w:val="4"/>
        <w:rPr>
          <w:rFonts w:hint="eastAsia" w:ascii="宋体" w:hAnsi="宋体" w:eastAsia="宋体" w:cs="宋体"/>
          <w:color w:val="auto"/>
          <w:highlight w:val="none"/>
        </w:rPr>
      </w:pPr>
      <w:bookmarkStart w:id="88" w:name="_Toc11967_WPSOffice_Level2"/>
      <w:bookmarkStart w:id="89" w:name="_Toc7498_WPSOffice_Level2"/>
      <w:r>
        <w:rPr>
          <w:rFonts w:hint="eastAsia" w:ascii="宋体" w:hAnsi="宋体" w:eastAsia="宋体" w:cs="宋体"/>
          <w:color w:val="auto"/>
          <w:highlight w:val="none"/>
        </w:rPr>
        <w:t>参加政府采购活动前3年内在经营活动中没有重大违法记录的书面声明</w:t>
      </w:r>
      <w:bookmarkEnd w:id="88"/>
      <w:bookmarkEnd w:id="89"/>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pPr>
        <w:spacing w:line="500" w:lineRule="exact"/>
        <w:ind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pPr>
        <w:ind w:left="2270" w:hanging="2270" w:hangingChars="1081"/>
        <w:jc w:val="left"/>
        <w:rPr>
          <w:rFonts w:hint="eastAsia" w:ascii="宋体" w:hAnsi="宋体" w:eastAsia="宋体" w:cs="宋体"/>
          <w:color w:val="auto"/>
          <w:highlight w:val="none"/>
          <w:u w:val="single"/>
        </w:rPr>
      </w:pPr>
    </w:p>
    <w:p>
      <w:pPr>
        <w:ind w:left="2270" w:hanging="2270" w:hangingChars="1081"/>
        <w:jc w:val="left"/>
        <w:rPr>
          <w:rFonts w:hint="eastAsia" w:ascii="宋体" w:hAnsi="宋体" w:eastAsia="宋体" w:cs="宋体"/>
          <w:color w:val="auto"/>
          <w:highlight w:val="none"/>
          <w:u w:val="single"/>
        </w:rPr>
      </w:pPr>
    </w:p>
    <w:p>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pPr>
        <w:rPr>
          <w:rFonts w:hint="eastAsia" w:ascii="宋体" w:hAnsi="宋体" w:eastAsia="宋体" w:cs="宋体"/>
          <w:color w:val="auto"/>
          <w:highlight w:val="none"/>
        </w:rPr>
      </w:pPr>
      <w:r>
        <w:rPr>
          <w:rFonts w:hint="eastAsia" w:ascii="宋体" w:hAnsi="宋体" w:eastAsia="宋体" w:cs="宋体"/>
          <w:color w:val="auto"/>
          <w:highlight w:val="none"/>
        </w:rPr>
        <w:br w:type="page"/>
      </w: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格式8</w:t>
      </w:r>
    </w:p>
    <w:p>
      <w:pPr>
        <w:pStyle w:val="4"/>
        <w:rPr>
          <w:rFonts w:hint="eastAsia" w:ascii="宋体" w:hAnsi="宋体" w:eastAsia="宋体" w:cs="宋体"/>
          <w:color w:val="auto"/>
          <w:highlight w:val="none"/>
        </w:rPr>
      </w:pPr>
      <w:bookmarkStart w:id="90" w:name="_Toc30548_WPSOffice_Level2"/>
      <w:bookmarkStart w:id="91" w:name="_Toc16873_WPSOffice_Level2"/>
      <w:r>
        <w:rPr>
          <w:rFonts w:hint="eastAsia" w:ascii="宋体" w:hAnsi="宋体" w:eastAsia="宋体" w:cs="宋体"/>
          <w:color w:val="auto"/>
          <w:highlight w:val="none"/>
        </w:rPr>
        <w:t>联合体协议书</w:t>
      </w:r>
      <w:bookmarkEnd w:id="90"/>
      <w:bookmarkEnd w:id="91"/>
    </w:p>
    <w:p>
      <w:pPr>
        <w:pStyle w:val="15"/>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pPr>
        <w:pStyle w:val="15"/>
        <w:ind w:firstLine="420" w:firstLineChars="200"/>
        <w:rPr>
          <w:rFonts w:hint="eastAsia" w:ascii="宋体" w:hAnsi="宋体" w:eastAsia="宋体" w:cs="宋体"/>
          <w:color w:val="auto"/>
          <w:highlight w:val="none"/>
          <w:u w:val="single"/>
        </w:rPr>
      </w:pPr>
      <w:bookmarkStart w:id="92" w:name="_Toc15561_WPSOffice_Level2"/>
      <w:bookmarkStart w:id="93" w:name="_Toc23749_WPSOffice_Level2"/>
      <w:r>
        <w:rPr>
          <w:rFonts w:hint="eastAsia" w:ascii="宋体" w:hAnsi="宋体" w:eastAsia="宋体" w:cs="宋体"/>
          <w:color w:val="auto"/>
          <w:highlight w:val="none"/>
        </w:rPr>
        <w:t>1.</w:t>
      </w:r>
      <w:bookmarkEnd w:id="92"/>
      <w:bookmarkEnd w:id="93"/>
      <w:r>
        <w:rPr>
          <w:rFonts w:hint="eastAsia" w:ascii="宋体" w:hAnsi="宋体" w:eastAsia="宋体" w:cs="宋体"/>
          <w:color w:val="auto"/>
          <w:highlight w:val="none"/>
          <w:u w:val="single"/>
        </w:rPr>
        <w:t xml:space="preserve">                  </w:t>
      </w:r>
    </w:p>
    <w:p>
      <w:pPr>
        <w:pStyle w:val="15"/>
        <w:ind w:firstLine="420" w:firstLineChars="200"/>
        <w:rPr>
          <w:rFonts w:hint="eastAsia" w:ascii="宋体" w:hAnsi="宋体" w:eastAsia="宋体" w:cs="宋体"/>
          <w:color w:val="auto"/>
          <w:highlight w:val="none"/>
        </w:rPr>
      </w:pPr>
      <w:bookmarkStart w:id="94" w:name="_Toc22173_WPSOffice_Level2"/>
      <w:bookmarkStart w:id="95" w:name="_Toc405_WPSOffice_Level2"/>
      <w:r>
        <w:rPr>
          <w:rFonts w:hint="eastAsia" w:ascii="宋体" w:hAnsi="宋体" w:eastAsia="宋体" w:cs="宋体"/>
          <w:color w:val="auto"/>
          <w:highlight w:val="none"/>
        </w:rPr>
        <w:t>2.</w:t>
      </w:r>
      <w:bookmarkEnd w:id="94"/>
      <w:bookmarkEnd w:id="95"/>
      <w:r>
        <w:rPr>
          <w:rFonts w:hint="eastAsia" w:ascii="宋体" w:hAnsi="宋体" w:eastAsia="宋体" w:cs="宋体"/>
          <w:color w:val="auto"/>
          <w:highlight w:val="none"/>
          <w:u w:val="single"/>
        </w:rPr>
        <w:t xml:space="preserve">                  </w:t>
      </w:r>
    </w:p>
    <w:p>
      <w:pPr>
        <w:pStyle w:val="15"/>
        <w:ind w:firstLine="420" w:firstLineChars="200"/>
        <w:rPr>
          <w:rFonts w:hint="eastAsia" w:ascii="宋体" w:hAnsi="宋体" w:eastAsia="宋体" w:cs="宋体"/>
          <w:color w:val="auto"/>
          <w:highlight w:val="none"/>
        </w:rPr>
      </w:pPr>
      <w:bookmarkStart w:id="96" w:name="_Toc7084_WPSOffice_Level2"/>
      <w:bookmarkStart w:id="97" w:name="_Toc23482_WPSOffice_Level2"/>
      <w:r>
        <w:rPr>
          <w:rFonts w:hint="eastAsia" w:ascii="宋体" w:hAnsi="宋体" w:eastAsia="宋体" w:cs="宋体"/>
          <w:color w:val="auto"/>
          <w:highlight w:val="none"/>
        </w:rPr>
        <w:t>3.</w:t>
      </w:r>
      <w:bookmarkEnd w:id="96"/>
      <w:bookmarkEnd w:id="97"/>
      <w:r>
        <w:rPr>
          <w:rFonts w:hint="eastAsia" w:ascii="宋体" w:hAnsi="宋体" w:eastAsia="宋体" w:cs="宋体"/>
          <w:color w:val="auto"/>
          <w:highlight w:val="none"/>
          <w:u w:val="single"/>
        </w:rPr>
        <w:t xml:space="preserve">                  </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pPr>
        <w:pStyle w:val="15"/>
        <w:ind w:firstLine="420" w:firstLineChars="200"/>
        <w:rPr>
          <w:rFonts w:hint="eastAsia" w:ascii="宋体" w:hAnsi="宋体" w:eastAsia="宋体" w:cs="宋体"/>
          <w:color w:val="auto"/>
          <w:highlight w:val="none"/>
        </w:rPr>
      </w:pP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pPr>
        <w:adjustRightInd w:val="0"/>
        <w:snapToGrid w:val="0"/>
        <w:ind w:firstLine="420" w:firstLineChars="200"/>
        <w:rPr>
          <w:rFonts w:hint="eastAsia" w:ascii="宋体" w:hAnsi="宋体" w:eastAsia="宋体" w:cs="宋体"/>
          <w:color w:val="auto"/>
          <w:highlight w:val="none"/>
        </w:rPr>
      </w:pPr>
    </w:p>
    <w:p>
      <w:pPr>
        <w:pStyle w:val="35"/>
        <w:ind w:firstLine="560"/>
        <w:rPr>
          <w:rFonts w:hint="eastAsia" w:ascii="宋体" w:hAnsi="宋体" w:eastAsia="宋体" w:cs="宋体"/>
          <w:color w:val="auto"/>
          <w:sz w:val="28"/>
          <w:szCs w:val="28"/>
          <w:highlight w:val="none"/>
        </w:rPr>
      </w:pPr>
    </w:p>
    <w:p>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pPr>
        <w:pStyle w:val="15"/>
        <w:ind w:firstLine="420" w:firstLineChars="200"/>
        <w:rPr>
          <w:rFonts w:hint="eastAsia" w:ascii="宋体" w:hAnsi="宋体" w:eastAsia="宋体" w:cs="宋体"/>
          <w:color w:val="auto"/>
          <w:highlight w:val="none"/>
        </w:rPr>
        <w:sectPr>
          <w:footerReference r:id="rId6"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格式9</w:t>
      </w:r>
    </w:p>
    <w:p>
      <w:pPr>
        <w:pStyle w:val="4"/>
        <w:rPr>
          <w:rFonts w:hint="eastAsia" w:ascii="宋体" w:hAnsi="宋体" w:eastAsia="宋体" w:cs="宋体"/>
          <w:color w:val="auto"/>
          <w:highlight w:val="none"/>
        </w:rPr>
      </w:pPr>
      <w:bookmarkStart w:id="98" w:name="_Toc14782_WPSOffice_Level2"/>
      <w:bookmarkStart w:id="99" w:name="_Toc24841_WPSOffice_Level2"/>
      <w:r>
        <w:rPr>
          <w:rFonts w:hint="eastAsia" w:ascii="宋体" w:hAnsi="宋体" w:eastAsia="宋体" w:cs="宋体"/>
          <w:color w:val="auto"/>
          <w:highlight w:val="none"/>
        </w:rPr>
        <w:t>投标函</w:t>
      </w:r>
      <w:bookmarkEnd w:id="98"/>
      <w:bookmarkEnd w:id="99"/>
    </w:p>
    <w:p>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eastAsia="宋体" w:cs="宋体"/>
          <w:color w:val="auto"/>
          <w:highlight w:val="none"/>
          <w:u w:val="single"/>
        </w:rPr>
        <w:t>如我方在多个包中标，优先选择的顺序为第 包→第 包</w:t>
      </w:r>
      <w:r>
        <w:rPr>
          <w:rFonts w:hint="eastAsia" w:ascii="宋体" w:hAnsi="宋体" w:eastAsia="宋体" w:cs="宋体"/>
          <w:color w:val="auto"/>
          <w:highlight w:val="none"/>
        </w:rPr>
        <w:t>。</w:t>
      </w:r>
    </w:p>
    <w:p>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pPr>
        <w:pStyle w:val="35"/>
        <w:ind w:firstLine="420"/>
        <w:rPr>
          <w:rFonts w:hint="eastAsia" w:ascii="宋体" w:hAnsi="宋体" w:eastAsia="宋体" w:cs="宋体"/>
          <w:color w:val="auto"/>
          <w:highlight w:val="none"/>
        </w:rPr>
      </w:pPr>
    </w:p>
    <w:p>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adjustRightInd w:val="0"/>
        <w:snapToGrid w:val="0"/>
        <w:ind w:right="1050" w:rightChars="500"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格式10</w:t>
      </w:r>
    </w:p>
    <w:p>
      <w:pPr>
        <w:pStyle w:val="4"/>
        <w:rPr>
          <w:rFonts w:hint="eastAsia" w:ascii="宋体" w:hAnsi="宋体" w:eastAsia="宋体" w:cs="宋体"/>
          <w:b/>
          <w:bCs/>
          <w:color w:val="auto"/>
          <w:highlight w:val="none"/>
        </w:rPr>
      </w:pPr>
      <w:bookmarkStart w:id="100" w:name="_Toc2673_WPSOffice_Level2"/>
      <w:bookmarkStart w:id="101" w:name="_Toc11267_WPSOffice_Level2"/>
      <w:r>
        <w:rPr>
          <w:rFonts w:hint="eastAsia" w:ascii="宋体" w:hAnsi="宋体" w:eastAsia="宋体" w:cs="宋体"/>
          <w:color w:val="auto"/>
          <w:highlight w:val="none"/>
        </w:rPr>
        <w:t>开标一览表</w:t>
      </w:r>
      <w:bookmarkEnd w:id="100"/>
      <w:bookmarkEnd w:id="101"/>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7"/>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8"/>
        <w:gridCol w:w="1710"/>
        <w:gridCol w:w="1509"/>
        <w:gridCol w:w="1277"/>
        <w:gridCol w:w="1443"/>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0" w:hRule="atLeast"/>
          <w:jc w:val="center"/>
        </w:trPr>
        <w:tc>
          <w:tcPr>
            <w:tcW w:w="1478"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71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150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127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14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109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4" w:hRule="atLeast"/>
          <w:jc w:val="center"/>
        </w:trPr>
        <w:tc>
          <w:tcPr>
            <w:tcW w:w="1478" w:type="dxa"/>
            <w:vAlign w:val="center"/>
          </w:tcPr>
          <w:p>
            <w:pPr>
              <w:spacing w:line="300" w:lineRule="exact"/>
              <w:jc w:val="center"/>
              <w:rPr>
                <w:rFonts w:hint="eastAsia" w:ascii="宋体" w:hAnsi="宋体" w:eastAsia="宋体" w:cs="宋体"/>
                <w:color w:val="auto"/>
                <w:highlight w:val="none"/>
              </w:rPr>
            </w:pPr>
          </w:p>
        </w:tc>
        <w:tc>
          <w:tcPr>
            <w:tcW w:w="1710"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小写：</w:t>
            </w:r>
          </w:p>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大写：</w:t>
            </w:r>
          </w:p>
        </w:tc>
        <w:tc>
          <w:tcPr>
            <w:tcW w:w="1509" w:type="dxa"/>
            <w:vAlign w:val="center"/>
          </w:tcPr>
          <w:p>
            <w:pPr>
              <w:spacing w:line="300" w:lineRule="exact"/>
              <w:jc w:val="center"/>
              <w:rPr>
                <w:rFonts w:hint="eastAsia" w:ascii="宋体" w:hAnsi="宋体" w:eastAsia="宋体" w:cs="宋体"/>
                <w:color w:val="auto"/>
                <w:highlight w:val="none"/>
              </w:rPr>
            </w:pPr>
          </w:p>
        </w:tc>
        <w:tc>
          <w:tcPr>
            <w:tcW w:w="1277" w:type="dxa"/>
            <w:vAlign w:val="center"/>
          </w:tcPr>
          <w:p>
            <w:pPr>
              <w:spacing w:line="300" w:lineRule="exact"/>
              <w:jc w:val="center"/>
              <w:rPr>
                <w:rFonts w:hint="eastAsia" w:ascii="宋体" w:hAnsi="宋体" w:eastAsia="宋体" w:cs="宋体"/>
                <w:color w:val="auto"/>
                <w:highlight w:val="none"/>
              </w:rPr>
            </w:pPr>
          </w:p>
        </w:tc>
        <w:tc>
          <w:tcPr>
            <w:tcW w:w="1443" w:type="dxa"/>
            <w:vAlign w:val="center"/>
          </w:tcPr>
          <w:p>
            <w:pPr>
              <w:spacing w:line="300" w:lineRule="exact"/>
              <w:jc w:val="center"/>
              <w:rPr>
                <w:rFonts w:hint="eastAsia" w:ascii="宋体" w:hAnsi="宋体" w:eastAsia="宋体" w:cs="宋体"/>
                <w:color w:val="auto"/>
                <w:highlight w:val="none"/>
              </w:rPr>
            </w:pPr>
          </w:p>
        </w:tc>
        <w:tc>
          <w:tcPr>
            <w:tcW w:w="1096" w:type="dxa"/>
            <w:vAlign w:val="center"/>
          </w:tcPr>
          <w:p>
            <w:pPr>
              <w:spacing w:line="300" w:lineRule="exact"/>
              <w:jc w:val="center"/>
              <w:rPr>
                <w:rFonts w:hint="eastAsia" w:ascii="宋体" w:hAnsi="宋体" w:eastAsia="宋体" w:cs="宋体"/>
                <w:color w:val="auto"/>
                <w:highlight w:val="none"/>
              </w:rPr>
            </w:pPr>
          </w:p>
        </w:tc>
      </w:tr>
    </w:tbl>
    <w:p>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pPr>
        <w:adjustRightInd w:val="0"/>
        <w:snapToGrid w:val="0"/>
        <w:ind w:right="105" w:rightChars="50" w:firstLine="544" w:firstLineChars="227"/>
        <w:jc w:val="left"/>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格式11</w:t>
      </w:r>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7"/>
        <w:tblW w:w="851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8"/>
        <w:gridCol w:w="1523"/>
        <w:gridCol w:w="1169"/>
        <w:gridCol w:w="804"/>
        <w:gridCol w:w="774"/>
        <w:gridCol w:w="763"/>
        <w:gridCol w:w="763"/>
        <w:gridCol w:w="770"/>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8" w:hRule="atLeast"/>
          <w:jc w:val="center"/>
        </w:trPr>
        <w:tc>
          <w:tcPr>
            <w:tcW w:w="1038"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52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116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80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7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76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76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77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90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4" w:hRule="atLeast"/>
          <w:jc w:val="center"/>
        </w:trPr>
        <w:tc>
          <w:tcPr>
            <w:tcW w:w="2561" w:type="dxa"/>
            <w:gridSpan w:val="2"/>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firstLine="480" w:firstLineChars="200"/>
        <w:jc w:val="left"/>
        <w:rPr>
          <w:rFonts w:hint="eastAsia" w:ascii="宋体" w:hAnsi="宋体" w:eastAsia="宋体" w:cs="宋体"/>
          <w:color w:val="auto"/>
          <w:sz w:val="24"/>
          <w:highlight w:val="none"/>
        </w:rPr>
      </w:pPr>
    </w:p>
    <w:p>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格式12</w:t>
      </w:r>
    </w:p>
    <w:p>
      <w:pPr>
        <w:pStyle w:val="4"/>
        <w:rPr>
          <w:rFonts w:hint="eastAsia" w:ascii="宋体" w:hAnsi="宋体" w:eastAsia="宋体" w:cs="宋体"/>
          <w:color w:val="auto"/>
          <w:highlight w:val="none"/>
        </w:rPr>
      </w:pPr>
      <w:bookmarkStart w:id="102" w:name="_Toc31555_WPSOffice_Level2"/>
      <w:bookmarkStart w:id="103" w:name="_Toc9235_WPSOffice_Level2"/>
      <w:r>
        <w:rPr>
          <w:rFonts w:hint="eastAsia" w:ascii="宋体" w:hAnsi="宋体" w:eastAsia="宋体" w:cs="宋体"/>
          <w:color w:val="auto"/>
          <w:highlight w:val="none"/>
        </w:rPr>
        <w:t>服务需求响应表</w:t>
      </w:r>
      <w:bookmarkEnd w:id="102"/>
      <w:bookmarkEnd w:id="103"/>
    </w:p>
    <w:tbl>
      <w:tblPr>
        <w:tblStyle w:val="27"/>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97"/>
        <w:gridCol w:w="2097"/>
        <w:gridCol w:w="1100"/>
        <w:gridCol w:w="1148"/>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1" w:hRule="atLeast"/>
        </w:trPr>
        <w:tc>
          <w:tcPr>
            <w:tcW w:w="8516" w:type="dxa"/>
            <w:gridSpan w:val="5"/>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47"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1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2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bl>
    <w:p>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ind w:firstLine="420" w:firstLineChars="20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格式13</w:t>
      </w:r>
    </w:p>
    <w:p>
      <w:pPr>
        <w:pStyle w:val="4"/>
        <w:rPr>
          <w:rFonts w:hint="eastAsia" w:ascii="宋体" w:hAnsi="宋体" w:eastAsia="宋体" w:cs="宋体"/>
          <w:color w:val="auto"/>
          <w:highlight w:val="none"/>
        </w:rPr>
      </w:pPr>
      <w:bookmarkStart w:id="104" w:name="_Toc4431_WPSOffice_Level2"/>
      <w:bookmarkStart w:id="105" w:name="_Toc8488_WPSOffice_Level2"/>
      <w:r>
        <w:rPr>
          <w:rFonts w:hint="eastAsia" w:ascii="宋体" w:hAnsi="宋体" w:eastAsia="宋体" w:cs="宋体"/>
          <w:color w:val="auto"/>
          <w:highlight w:val="none"/>
        </w:rPr>
        <w:t>商务条款偏离表</w:t>
      </w:r>
      <w:bookmarkEnd w:id="104"/>
      <w:bookmarkEnd w:id="105"/>
    </w:p>
    <w:p>
      <w:pPr>
        <w:adjustRightInd w:val="0"/>
        <w:snapToGrid w:val="0"/>
        <w:ind w:right="105" w:rightChars="50" w:firstLine="479" w:firstLineChars="227"/>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7"/>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3759"/>
        <w:gridCol w:w="2359"/>
        <w:gridCol w:w="1003"/>
        <w:gridCol w:w="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5"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37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23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100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84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★服务期：自合同生效之日起1年</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8"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8" w:hRule="atLeast"/>
          <w:jc w:val="center"/>
        </w:trPr>
        <w:tc>
          <w:tcPr>
            <w:tcW w:w="547" w:type="dxa"/>
            <w:vAlign w:val="center"/>
          </w:tcPr>
          <w:p>
            <w:pPr>
              <w:spacing w:line="300" w:lineRule="exact"/>
              <w:jc w:val="center"/>
              <w:rPr>
                <w:rFonts w:hint="eastAsia" w:ascii="宋体" w:hAnsi="宋体" w:eastAsia="宋体" w:cs="宋体"/>
                <w:color w:val="auto"/>
                <w:highlight w:val="none"/>
              </w:rPr>
            </w:pPr>
          </w:p>
        </w:tc>
        <w:tc>
          <w:tcPr>
            <w:tcW w:w="37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23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bl>
    <w:p>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pStyle w:val="35"/>
        <w:ind w:firstLine="420"/>
        <w:rPr>
          <w:rFonts w:hint="eastAsia" w:ascii="宋体" w:hAnsi="宋体" w:eastAsia="宋体" w:cs="宋体"/>
          <w:color w:val="auto"/>
          <w:highlight w:val="none"/>
        </w:rPr>
      </w:pPr>
    </w:p>
    <w:p>
      <w:pPr>
        <w:ind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9"/>
          <w:rFonts w:hint="eastAsia" w:ascii="宋体" w:hAnsi="宋体" w:eastAsia="宋体" w:cs="宋体"/>
          <w:color w:val="auto"/>
          <w:highlight w:val="none"/>
        </w:rPr>
        <w:t>格式14</w:t>
      </w:r>
    </w:p>
    <w:p>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pPr>
        <w:adjustRightInd w:val="0"/>
        <w:snapToGrid w:val="0"/>
        <w:ind w:right="105" w:rightChars="50" w:firstLine="476" w:firstLineChars="227"/>
        <w:jc w:val="left"/>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pPr>
        <w:pStyle w:val="35"/>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kern w:val="0"/>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pPr>
        <w:adjustRightInd w:val="0"/>
        <w:snapToGrid w:val="0"/>
        <w:ind w:right="105" w:rightChars="50" w:firstLine="476" w:firstLineChars="227"/>
        <w:jc w:val="left"/>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Style w:val="39"/>
          <w:rFonts w:hint="eastAsia" w:ascii="宋体" w:hAnsi="宋体" w:eastAsia="宋体" w:cs="宋体"/>
          <w:color w:val="auto"/>
          <w:highlight w:val="none"/>
        </w:rPr>
      </w:pPr>
      <w:r>
        <w:rPr>
          <w:rStyle w:val="39"/>
          <w:rFonts w:hint="eastAsia" w:ascii="宋体" w:hAnsi="宋体" w:eastAsia="宋体" w:cs="宋体"/>
          <w:color w:val="auto"/>
          <w:highlight w:val="none"/>
        </w:rPr>
        <w:br w:type="page"/>
      </w: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格式15</w:t>
      </w:r>
    </w:p>
    <w:p>
      <w:pPr>
        <w:pStyle w:val="4"/>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21"/>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pPr>
        <w:pStyle w:val="5"/>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格式16</w:t>
      </w:r>
    </w:p>
    <w:p>
      <w:pPr>
        <w:pStyle w:val="4"/>
        <w:rPr>
          <w:rFonts w:hint="eastAsia" w:ascii="宋体" w:hAnsi="宋体" w:eastAsia="宋体" w:cs="宋体"/>
          <w:color w:val="auto"/>
          <w:szCs w:val="21"/>
          <w:highlight w:val="none"/>
        </w:rPr>
      </w:pPr>
      <w:bookmarkStart w:id="106" w:name="_Toc13566_WPSOffice_Level2"/>
      <w:bookmarkStart w:id="107" w:name="_Toc29880_WPSOffice_Level2"/>
      <w:r>
        <w:rPr>
          <w:rFonts w:hint="eastAsia" w:ascii="宋体" w:hAnsi="宋体" w:eastAsia="宋体" w:cs="宋体"/>
          <w:color w:val="auto"/>
          <w:highlight w:val="none"/>
        </w:rPr>
        <w:t>残疾人福利性单位声明函</w:t>
      </w:r>
      <w:bookmarkEnd w:id="106"/>
      <w:bookmarkEnd w:id="107"/>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7"/>
        <w:tblpPr w:leftFromText="180" w:rightFromText="180" w:vertAnchor="text" w:horzAnchor="page" w:tblpX="1873" w:tblpY="403"/>
        <w:tblOverlap w:val="never"/>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4"/>
        <w:gridCol w:w="1617"/>
        <w:gridCol w:w="1623"/>
        <w:gridCol w:w="1459"/>
        <w:gridCol w:w="1459"/>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61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162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14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14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1381"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8513" w:type="dxa"/>
            <w:gridSpan w:val="6"/>
            <w:vAlign w:val="center"/>
          </w:tcPr>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pPr>
        <w:pStyle w:val="5"/>
        <w:spacing w:before="0" w:after="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pPr>
        <w:pStyle w:val="4"/>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35"/>
        <w:ind w:firstLine="480"/>
        <w:rPr>
          <w:rFonts w:hint="eastAsia" w:ascii="宋体" w:hAnsi="宋体" w:eastAsia="宋体" w:cs="宋体"/>
          <w:color w:val="auto"/>
          <w:sz w:val="24"/>
          <w:szCs w:val="24"/>
          <w:highlight w:val="none"/>
        </w:rPr>
      </w:pPr>
    </w:p>
    <w:p>
      <w:pPr>
        <w:pStyle w:val="35"/>
        <w:ind w:firstLine="480"/>
        <w:rPr>
          <w:rFonts w:hint="eastAsia" w:ascii="宋体" w:hAnsi="宋体" w:eastAsia="宋体" w:cs="宋体"/>
          <w:color w:val="auto"/>
          <w:sz w:val="24"/>
          <w:szCs w:val="24"/>
          <w:highlight w:val="none"/>
        </w:rPr>
      </w:pPr>
    </w:p>
    <w:p>
      <w:pPr>
        <w:pStyle w:val="35"/>
        <w:ind w:firstLine="480"/>
        <w:rPr>
          <w:rFonts w:hint="eastAsia" w:ascii="宋体" w:hAnsi="宋体" w:eastAsia="宋体" w:cs="宋体"/>
          <w:color w:val="auto"/>
          <w:sz w:val="24"/>
          <w:szCs w:val="24"/>
          <w:highlight w:val="none"/>
        </w:rPr>
      </w:pPr>
    </w:p>
    <w:p>
      <w:pPr>
        <w:spacing w:before="200" w:after="200"/>
        <w:jc w:val="center"/>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8" w:name="_Toc78902193"/>
      <w:bookmarkStart w:id="109" w:name="_Toc18902"/>
      <w:bookmarkStart w:id="110" w:name="_Toc4498_WPSOffice_Level1"/>
      <w:r>
        <w:rPr>
          <w:rStyle w:val="37"/>
          <w:rFonts w:hint="eastAsia" w:ascii="宋体" w:hAnsi="宋体" w:eastAsia="宋体" w:cs="宋体"/>
          <w:color w:val="auto"/>
          <w:highlight w:val="none"/>
        </w:rPr>
        <w:t>第三章 服务需求</w:t>
      </w:r>
      <w:bookmarkEnd w:id="108"/>
      <w:bookmarkEnd w:id="109"/>
      <w:bookmarkEnd w:id="110"/>
    </w:p>
    <w:p>
      <w:pPr>
        <w:pageBreakBefore w:val="0"/>
        <w:suppressAutoHyphens/>
        <w:kinsoku/>
        <w:wordWrap/>
        <w:topLinePunct w:val="0"/>
        <w:bidi w:val="0"/>
        <w:spacing w:beforeAutospacing="0" w:afterAutospacing="0" w:line="360" w:lineRule="auto"/>
        <w:ind w:left="0" w:leftChars="0"/>
        <w:jc w:val="center"/>
        <w:outlineLvl w:val="0"/>
        <w:rPr>
          <w:rFonts w:hint="eastAsia" w:asciiTheme="minorEastAsia" w:hAnsiTheme="minorEastAsia" w:eastAsiaTheme="minorEastAsia" w:cstheme="minorEastAsia"/>
          <w:color w:val="auto"/>
          <w:sz w:val="24"/>
          <w:szCs w:val="24"/>
          <w:lang w:val="en"/>
        </w:rPr>
      </w:pPr>
      <w:bookmarkStart w:id="111" w:name="_Toc2821_WPSOffice_Level1"/>
      <w:bookmarkStart w:id="112" w:name="_Toc78902194"/>
      <w:r>
        <w:rPr>
          <w:rFonts w:hint="eastAsia" w:asciiTheme="minorEastAsia" w:hAnsiTheme="minorEastAsia" w:eastAsiaTheme="minorEastAsia" w:cstheme="minorEastAsia"/>
          <w:color w:val="auto"/>
          <w:sz w:val="24"/>
          <w:szCs w:val="24"/>
          <w:lang w:eastAsia="zh-CN"/>
        </w:rPr>
        <w:t>第一包：</w:t>
      </w:r>
      <w:r>
        <w:rPr>
          <w:rFonts w:hint="eastAsia" w:asciiTheme="minorEastAsia" w:hAnsiTheme="minorEastAsia" w:eastAsiaTheme="minorEastAsia" w:cstheme="minorEastAsia"/>
          <w:color w:val="auto"/>
          <w:sz w:val="24"/>
          <w:szCs w:val="24"/>
        </w:rPr>
        <w:t>新电子税务局上线部署项目</w:t>
      </w:r>
    </w:p>
    <w:p>
      <w:pPr>
        <w:pageBreakBefore w:val="0"/>
        <w:widowControl w:val="0"/>
        <w:suppressAutoHyphens/>
        <w:kinsoku/>
        <w:wordWrap/>
        <w:topLinePunct w:val="0"/>
        <w:bidi w:val="0"/>
        <w:spacing w:before="0" w:beforeAutospacing="0" w:after="0" w:afterAutospacing="0" w:line="360" w:lineRule="auto"/>
        <w:ind w:left="0" w:leftChars="0"/>
        <w:jc w:val="center"/>
        <w:outlineLvl w:val="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（预算480万元）</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第1章 项目概述</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为了更好的贯彻落实中共中央办公厅、国务院办公厅印发的《关于进一步深化税收征管改革的意见》，确保深化税收征管改革取得突破、见到实效。以深化税收征管改革为抓手，统筹推进金税四期重点任务，国家税务总局统一建设标准和规范指引，充分利用新技术发展优势，以数据驱动为引领，以用户体验为导向，完成全国统一规范电子税务局上线推广工作。</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第2章 项目内容</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项目建设目标：为保障完成总局统推新电子税务局顺利上线，组织专业实施团队，配合总局计划完成系统上线工作。充分发挥电子税务局办税服务主渠道作用，围绕最大限度地实现纳税人“一次都不跑、全程网上办”的目标，通过软件升级改造及整合，落实“非接触式”办税事项，依照总局下发电子税务局建设规范、完善需求和持续进行优化完善等系列措施，不断拓展电子税务局业务办理功能、扎实推进电子税务局建设，切实提高纳税人缴费人网上办税体验度。</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项目实施工作主要内容：国家税务总局黑龙江省税务局新电子税务局系统实施项目配合甲方工作组依照总局下发的上线计划，保质保量按时完成推广任务。包括：调研论证、制定方案及组建团队、存量系统需求分析、监督考评、存量系统改造、上线策略、发布公告、基础环境准备及设备安装、云平台部署、资源申请、应用部署、初始化、数据迁移、系统联调、系统测试、系统培训、辅助宣传辅导、上线切换和系统运维。</w:t>
      </w:r>
    </w:p>
    <w:p>
      <w:pPr>
        <w:keepNext/>
        <w:keepLines/>
        <w:pageBreakBefore w:val="0"/>
        <w:widowControl w:val="0"/>
        <w:numPr>
          <w:ilvl w:val="0"/>
          <w:numId w:val="6"/>
        </w:numPr>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项目具体需求</w:t>
      </w:r>
    </w:p>
    <w:p>
      <w:pPr>
        <w:pageBreakBefore w:val="0"/>
        <w:numPr>
          <w:ilvl w:val="0"/>
          <w:numId w:val="0"/>
        </w:numPr>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 xml:space="preserve">    </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全国统一规范电子税务局，主要包括纳税人端和税务人端两部分。纳税人端，主要为纳税人缴费人及公众提供网上办税、公众查询、征纳互动、消息提醒等服务；为国家或省级政务平台中的前述功能提供后台支撑；根据不同用户群体，提供网页端、移动端、接口端访问渠道。税务人端，主要包括与纳税人端关联紧密的系统管理、业务办理等功能设计，同时集成整合税务人端存量应用系统功能，形成统一的税务人端应用平台，并提供相关业务服务。“全国统一规范的电子税务局”在黑龙江省上线主要工作有：承担基础资源准备、环境部署、差异分析、双轨验证、纳税辅导、体验评估、技术保障、压力测试等相关工作。</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kern w:val="2"/>
          <w:sz w:val="24"/>
          <w:szCs w:val="24"/>
          <w:lang w:val="en-US" w:eastAsia="zh-CN" w:bidi="ar-SA"/>
        </w:rPr>
        <w:t>基于上线主要工作，本次的上线推广项目主要涉及需求有：系统集成服务、环境部署、准生产环境配合搭建、多系统联通性验证、预生产环境搭建、存量系统环境准备、差异化分析、系统初始化、大测试、安全测试、上线辅导、上线切换、纳税人扩围保障。</w:t>
      </w:r>
    </w:p>
    <w:p>
      <w:pPr>
        <w:keepNext/>
        <w:keepLines/>
        <w:pageBreakBefore w:val="0"/>
        <w:widowControl w:val="0"/>
        <w:numPr>
          <w:ilvl w:val="0"/>
          <w:numId w:val="7"/>
        </w:numPr>
        <w:suppressAutoHyphens/>
        <w:kinsoku/>
        <w:wordWrap/>
        <w:topLinePunct w:val="0"/>
        <w:bidi w:val="0"/>
        <w:spacing w:before="0" w:beforeLines="0" w:beforeAutospacing="0" w:after="0" w:afterLines="0" w:afterAutospacing="0" w:line="360" w:lineRule="auto"/>
        <w:ind w:left="0" w:leftChars="0" w:hanging="425" w:firstLine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系统集成管控优化服务</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为完成黑龙江税务新电子税局项目上线过程中各项任务，应对新电子税局上线面临的挑战，需要在新电子税局总体架构的基础上，应用先进科学的服务体系和工具手段，对新电子税局基础环境进行统一的协调调度、集成管控、运行监控、系统优化、科学维护，提升系统整体运行效果和标准化程度，保障应用系统安全高效上线使用。</w:t>
      </w:r>
    </w:p>
    <w:p>
      <w:pPr>
        <w:keepNext/>
        <w:keepLines/>
        <w:pageBreakBefore w:val="0"/>
        <w:widowControl w:val="0"/>
        <w:numPr>
          <w:ilvl w:val="0"/>
          <w:numId w:val="7"/>
        </w:numPr>
        <w:suppressAutoHyphens/>
        <w:kinsoku/>
        <w:wordWrap/>
        <w:topLinePunct w:val="0"/>
        <w:bidi w:val="0"/>
        <w:spacing w:before="0" w:beforeLines="0" w:beforeAutospacing="0" w:after="0" w:afterLines="0" w:afterAutospacing="0" w:line="360" w:lineRule="auto"/>
        <w:ind w:left="0" w:leftChars="0" w:hanging="425" w:firstLine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系统优化服务</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本项目所指系统优化服务主要是指新电子税局项目在黑龙江省税务局上线前、中、后过程中，根据所预见和所遇见的各类情况，所进行的持续的、迭代的基础服务。</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系统优化服务的目标：</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1、对比架构要求和应用系统真实设计运行情况，提出差异点和风险点，并给出改进和优化方案；</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2、根据运行监控状况和运行要求，提出对系统层面和软件层面的优化解决方案，并指导和组织应用系统厂商实施优化；</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3、在黑龙江省税务局新电子税局系统上线之前，根据各种要素对应用系统整体情况进行评估，提出有预见性的建议和方案，避免上线过程中可能出现的全局性影响。</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系统优化服务主要包括：安装规范优化，环境初始化检查优化，系统优化，应用优化、专项优化和环境及资源评估优化。</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1）安装规范优化</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在应用开发商提供的各应用系统安装对基础环境（操作系统、计算系统、存储系统和网络系统等）安装规范的基础上，进行检查和优化，进一步提升标准化程度。</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以操作系统安装检查为例，操作系统安装完成后，需要进行以下检查：操作系统标准项检查（参考示例）、应用服务器操作系统检查（参考示例）、数据库服务器操作系统检查（参考示例）。</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2）环境初始化检查优化</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配合各应用厂商完成新电子税局系统上线所需的基础环境及应用软件安装配置和初始化工作，并负责检查和提出优化的初始化参数配置。</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上线过程环境初始化配置主要包括：操作系统配置、DNS配置、NTP配置、安全策略配置、负载均衡配置、单点登录配置、数据库配置、应用配置、数据同步配置、集成配置、数据初始化参数配置等。</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3）系统优化</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现场监控、定期巡检、故障处理等信息进行综合分析,并结合运行要求，对运行环境提出优化建议和应对方案，并指导和组织应用系统厂商实施优化工作，系统优化是一个持续优化过程，下面以中间件和数据库为例，提出常见的优化管理有：</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应用优化参数</w:t>
      </w:r>
    </w:p>
    <w:tbl>
      <w:tblPr>
        <w:tblStyle w:val="27"/>
        <w:tblW w:w="5820" w:type="dxa"/>
        <w:jc w:val="center"/>
        <w:tblInd w:w="0" w:type="dxa"/>
        <w:tblLayout w:type="fixed"/>
        <w:tblCellMar>
          <w:top w:w="0" w:type="dxa"/>
          <w:left w:w="108" w:type="dxa"/>
          <w:bottom w:w="0" w:type="dxa"/>
          <w:right w:w="108" w:type="dxa"/>
        </w:tblCellMar>
      </w:tblPr>
      <w:tblGrid>
        <w:gridCol w:w="2100"/>
        <w:gridCol w:w="3720"/>
      </w:tblGrid>
      <w:tr>
        <w:tblPrEx>
          <w:tblLayout w:type="fixed"/>
          <w:tblCellMar>
            <w:top w:w="0" w:type="dxa"/>
            <w:left w:w="108" w:type="dxa"/>
            <w:bottom w:w="0" w:type="dxa"/>
            <w:right w:w="108" w:type="dxa"/>
          </w:tblCellMar>
        </w:tblPrEx>
        <w:trPr>
          <w:trHeight w:val="290" w:hRule="atLeast"/>
          <w:jc w:val="center"/>
        </w:trPr>
        <w:tc>
          <w:tcPr>
            <w:tcW w:w="2100" w:type="dxa"/>
            <w:tcBorders>
              <w:top w:val="single" w:color="auto" w:sz="8" w:space="0"/>
              <w:left w:val="single" w:color="auto" w:sz="8" w:space="0"/>
              <w:bottom w:val="single" w:color="auto" w:sz="8" w:space="0"/>
              <w:right w:val="single" w:color="auto" w:sz="8" w:space="0"/>
            </w:tcBorders>
            <w:shd w:val="clear" w:color="000000" w:fill="D9D9D9"/>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优化类别</w:t>
            </w:r>
          </w:p>
        </w:tc>
        <w:tc>
          <w:tcPr>
            <w:tcW w:w="3720" w:type="dxa"/>
            <w:tcBorders>
              <w:top w:val="single" w:color="auto" w:sz="8" w:space="0"/>
              <w:left w:val="nil"/>
              <w:bottom w:val="single" w:color="auto" w:sz="8" w:space="0"/>
              <w:right w:val="single" w:color="auto" w:sz="8" w:space="0"/>
            </w:tcBorders>
            <w:shd w:val="clear" w:color="000000" w:fill="D9D9D9"/>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指标项</w:t>
            </w:r>
          </w:p>
        </w:tc>
      </w:tr>
      <w:tr>
        <w:tblPrEx>
          <w:tblLayout w:type="fixed"/>
          <w:tblCellMar>
            <w:top w:w="0" w:type="dxa"/>
            <w:left w:w="108" w:type="dxa"/>
            <w:bottom w:w="0" w:type="dxa"/>
            <w:right w:w="108" w:type="dxa"/>
          </w:tblCellMar>
        </w:tblPrEx>
        <w:trPr>
          <w:trHeight w:val="423" w:hRule="atLeast"/>
          <w:jc w:val="center"/>
        </w:trPr>
        <w:tc>
          <w:tcPr>
            <w:tcW w:w="2100" w:type="dxa"/>
            <w:vMerge w:val="restart"/>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1、cpu限制</w:t>
            </w: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Request</w:t>
            </w:r>
          </w:p>
        </w:tc>
      </w:tr>
      <w:tr>
        <w:tblPrEx>
          <w:tblLayout w:type="fixed"/>
          <w:tblCellMar>
            <w:top w:w="0" w:type="dxa"/>
            <w:left w:w="108" w:type="dxa"/>
            <w:bottom w:w="0" w:type="dxa"/>
            <w:right w:w="108" w:type="dxa"/>
          </w:tblCellMar>
        </w:tblPrEx>
        <w:trPr>
          <w:trHeight w:val="395" w:hRule="atLeast"/>
          <w:jc w:val="center"/>
        </w:trPr>
        <w:tc>
          <w:tcPr>
            <w:tcW w:w="21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Limit</w:t>
            </w:r>
          </w:p>
        </w:tc>
      </w:tr>
      <w:tr>
        <w:tblPrEx>
          <w:tblLayout w:type="fixed"/>
          <w:tblCellMar>
            <w:top w:w="0" w:type="dxa"/>
            <w:left w:w="108" w:type="dxa"/>
            <w:bottom w:w="0" w:type="dxa"/>
            <w:right w:w="108" w:type="dxa"/>
          </w:tblCellMar>
        </w:tblPrEx>
        <w:trPr>
          <w:trHeight w:val="367" w:hRule="atLeast"/>
          <w:jc w:val="center"/>
        </w:trPr>
        <w:tc>
          <w:tcPr>
            <w:tcW w:w="2100" w:type="dxa"/>
            <w:vMerge w:val="restart"/>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2、内存限制</w:t>
            </w: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Request</w:t>
            </w:r>
          </w:p>
        </w:tc>
      </w:tr>
      <w:tr>
        <w:tblPrEx>
          <w:tblLayout w:type="fixed"/>
          <w:tblCellMar>
            <w:top w:w="0" w:type="dxa"/>
            <w:left w:w="108" w:type="dxa"/>
            <w:bottom w:w="0" w:type="dxa"/>
            <w:right w:w="108" w:type="dxa"/>
          </w:tblCellMar>
        </w:tblPrEx>
        <w:trPr>
          <w:trHeight w:val="368" w:hRule="atLeast"/>
          <w:jc w:val="center"/>
        </w:trPr>
        <w:tc>
          <w:tcPr>
            <w:tcW w:w="21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Limit</w:t>
            </w:r>
          </w:p>
        </w:tc>
      </w:tr>
      <w:tr>
        <w:tblPrEx>
          <w:tblLayout w:type="fixed"/>
          <w:tblCellMar>
            <w:top w:w="0" w:type="dxa"/>
            <w:left w:w="108" w:type="dxa"/>
            <w:bottom w:w="0" w:type="dxa"/>
            <w:right w:w="108" w:type="dxa"/>
          </w:tblCellMar>
        </w:tblPrEx>
        <w:trPr>
          <w:trHeight w:val="354" w:hRule="atLeast"/>
          <w:jc w:val="center"/>
        </w:trPr>
        <w:tc>
          <w:tcPr>
            <w:tcW w:w="2100" w:type="dxa"/>
            <w:vMerge w:val="restart"/>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3、jdk内存参数</w:t>
            </w: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Xms</w:t>
            </w:r>
          </w:p>
        </w:tc>
      </w:tr>
      <w:tr>
        <w:tblPrEx>
          <w:tblLayout w:type="fixed"/>
          <w:tblCellMar>
            <w:top w:w="0" w:type="dxa"/>
            <w:left w:w="108" w:type="dxa"/>
            <w:bottom w:w="0" w:type="dxa"/>
            <w:right w:w="108" w:type="dxa"/>
          </w:tblCellMar>
        </w:tblPrEx>
        <w:trPr>
          <w:trHeight w:val="290" w:hRule="atLeast"/>
          <w:jc w:val="center"/>
        </w:trPr>
        <w:tc>
          <w:tcPr>
            <w:tcW w:w="21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Xmx</w:t>
            </w:r>
          </w:p>
        </w:tc>
      </w:tr>
      <w:tr>
        <w:tblPrEx>
          <w:tblLayout w:type="fixed"/>
          <w:tblCellMar>
            <w:top w:w="0" w:type="dxa"/>
            <w:left w:w="108" w:type="dxa"/>
            <w:bottom w:w="0" w:type="dxa"/>
            <w:right w:w="108" w:type="dxa"/>
          </w:tblCellMar>
        </w:tblPrEx>
        <w:trPr>
          <w:trHeight w:val="381" w:hRule="atLeast"/>
          <w:jc w:val="center"/>
        </w:trPr>
        <w:tc>
          <w:tcPr>
            <w:tcW w:w="21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MetaspaceSize</w:t>
            </w:r>
          </w:p>
        </w:tc>
      </w:tr>
      <w:tr>
        <w:tblPrEx>
          <w:tblLayout w:type="fixed"/>
          <w:tblCellMar>
            <w:top w:w="0" w:type="dxa"/>
            <w:left w:w="108" w:type="dxa"/>
            <w:bottom w:w="0" w:type="dxa"/>
            <w:right w:w="108" w:type="dxa"/>
          </w:tblCellMar>
        </w:tblPrEx>
        <w:trPr>
          <w:trHeight w:val="368" w:hRule="atLeast"/>
          <w:jc w:val="center"/>
        </w:trPr>
        <w:tc>
          <w:tcPr>
            <w:tcW w:w="21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MaxMetaspaceSize</w:t>
            </w:r>
          </w:p>
        </w:tc>
      </w:tr>
      <w:tr>
        <w:tblPrEx>
          <w:tblLayout w:type="fixed"/>
          <w:tblCellMar>
            <w:top w:w="0" w:type="dxa"/>
            <w:left w:w="108" w:type="dxa"/>
            <w:bottom w:w="0" w:type="dxa"/>
            <w:right w:w="108" w:type="dxa"/>
          </w:tblCellMar>
        </w:tblPrEx>
        <w:trPr>
          <w:trHeight w:val="382" w:hRule="atLeast"/>
          <w:jc w:val="center"/>
        </w:trPr>
        <w:tc>
          <w:tcPr>
            <w:tcW w:w="2100" w:type="dxa"/>
            <w:vMerge w:val="restart"/>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4端口设置</w:t>
            </w: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容器端口</w:t>
            </w:r>
          </w:p>
        </w:tc>
      </w:tr>
      <w:tr>
        <w:tblPrEx>
          <w:tblLayout w:type="fixed"/>
          <w:tblCellMar>
            <w:top w:w="0" w:type="dxa"/>
            <w:left w:w="108" w:type="dxa"/>
            <w:bottom w:w="0" w:type="dxa"/>
            <w:right w:w="108" w:type="dxa"/>
          </w:tblCellMar>
        </w:tblPrEx>
        <w:trPr>
          <w:trHeight w:val="396" w:hRule="atLeast"/>
          <w:jc w:val="center"/>
        </w:trPr>
        <w:tc>
          <w:tcPr>
            <w:tcW w:w="21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服务端口</w:t>
            </w:r>
          </w:p>
        </w:tc>
      </w:tr>
      <w:tr>
        <w:tblPrEx>
          <w:tblLayout w:type="fixed"/>
          <w:tblCellMar>
            <w:top w:w="0" w:type="dxa"/>
            <w:left w:w="108" w:type="dxa"/>
            <w:bottom w:w="0" w:type="dxa"/>
            <w:right w:w="108" w:type="dxa"/>
          </w:tblCellMar>
        </w:tblPrEx>
        <w:trPr>
          <w:trHeight w:val="381" w:hRule="atLeast"/>
          <w:jc w:val="center"/>
        </w:trPr>
        <w:tc>
          <w:tcPr>
            <w:tcW w:w="2100" w:type="dxa"/>
            <w:vMerge w:val="restart"/>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5、agent容器</w:t>
            </w: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CPU:Request</w:t>
            </w:r>
          </w:p>
        </w:tc>
      </w:tr>
      <w:tr>
        <w:tblPrEx>
          <w:tblLayout w:type="fixed"/>
          <w:tblCellMar>
            <w:top w:w="0" w:type="dxa"/>
            <w:left w:w="108" w:type="dxa"/>
            <w:bottom w:w="0" w:type="dxa"/>
            <w:right w:w="108" w:type="dxa"/>
          </w:tblCellMar>
        </w:tblPrEx>
        <w:trPr>
          <w:trHeight w:val="353" w:hRule="atLeast"/>
          <w:jc w:val="center"/>
        </w:trPr>
        <w:tc>
          <w:tcPr>
            <w:tcW w:w="21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CPU:limit</w:t>
            </w:r>
          </w:p>
        </w:tc>
      </w:tr>
      <w:tr>
        <w:tblPrEx>
          <w:tblLayout w:type="fixed"/>
          <w:tblCellMar>
            <w:top w:w="0" w:type="dxa"/>
            <w:left w:w="108" w:type="dxa"/>
            <w:bottom w:w="0" w:type="dxa"/>
            <w:right w:w="108" w:type="dxa"/>
          </w:tblCellMar>
        </w:tblPrEx>
        <w:trPr>
          <w:trHeight w:val="367" w:hRule="atLeast"/>
          <w:jc w:val="center"/>
        </w:trPr>
        <w:tc>
          <w:tcPr>
            <w:tcW w:w="21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内存:Request</w:t>
            </w:r>
          </w:p>
        </w:tc>
      </w:tr>
      <w:tr>
        <w:tblPrEx>
          <w:tblLayout w:type="fixed"/>
          <w:tblCellMar>
            <w:top w:w="0" w:type="dxa"/>
            <w:left w:w="108" w:type="dxa"/>
            <w:bottom w:w="0" w:type="dxa"/>
            <w:right w:w="108" w:type="dxa"/>
          </w:tblCellMar>
        </w:tblPrEx>
        <w:trPr>
          <w:trHeight w:val="367" w:hRule="atLeast"/>
          <w:jc w:val="center"/>
        </w:trPr>
        <w:tc>
          <w:tcPr>
            <w:tcW w:w="21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内存:limit</w:t>
            </w:r>
          </w:p>
        </w:tc>
      </w:tr>
      <w:tr>
        <w:tblPrEx>
          <w:tblLayout w:type="fixed"/>
          <w:tblCellMar>
            <w:top w:w="0" w:type="dxa"/>
            <w:left w:w="108" w:type="dxa"/>
            <w:bottom w:w="0" w:type="dxa"/>
            <w:right w:w="108" w:type="dxa"/>
          </w:tblCellMar>
        </w:tblPrEx>
        <w:trPr>
          <w:trHeight w:val="367" w:hRule="atLeast"/>
          <w:jc w:val="center"/>
        </w:trPr>
        <w:tc>
          <w:tcPr>
            <w:tcW w:w="2100" w:type="dxa"/>
            <w:vMerge w:val="restart"/>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6、网络访问方式</w:t>
            </w: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选择对应访问方式</w:t>
            </w:r>
          </w:p>
        </w:tc>
      </w:tr>
      <w:tr>
        <w:tblPrEx>
          <w:tblLayout w:type="fixed"/>
          <w:tblCellMar>
            <w:top w:w="0" w:type="dxa"/>
            <w:left w:w="108" w:type="dxa"/>
            <w:bottom w:w="0" w:type="dxa"/>
            <w:right w:w="108" w:type="dxa"/>
          </w:tblCellMar>
        </w:tblPrEx>
        <w:trPr>
          <w:trHeight w:val="368" w:hRule="atLeast"/>
          <w:jc w:val="center"/>
        </w:trPr>
        <w:tc>
          <w:tcPr>
            <w:tcW w:w="21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选择对应访问子网</w:t>
            </w:r>
          </w:p>
        </w:tc>
      </w:tr>
      <w:tr>
        <w:tblPrEx>
          <w:tblLayout w:type="fixed"/>
          <w:tblCellMar>
            <w:top w:w="0" w:type="dxa"/>
            <w:left w:w="108" w:type="dxa"/>
            <w:bottom w:w="0" w:type="dxa"/>
            <w:right w:w="108" w:type="dxa"/>
          </w:tblCellMar>
        </w:tblPrEx>
        <w:trPr>
          <w:trHeight w:val="402" w:hRule="atLeast"/>
          <w:jc w:val="center"/>
        </w:trPr>
        <w:tc>
          <w:tcPr>
            <w:tcW w:w="2100" w:type="dxa"/>
            <w:tcBorders>
              <w:top w:val="nil"/>
              <w:left w:val="single" w:color="auto" w:sz="8" w:space="0"/>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7、pod实例数</w:t>
            </w:r>
          </w:p>
        </w:tc>
        <w:tc>
          <w:tcPr>
            <w:tcW w:w="372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设置pod数量</w:t>
            </w:r>
          </w:p>
        </w:tc>
      </w:tr>
    </w:tbl>
    <w:p>
      <w:pPr>
        <w:pageBreakBefore w:val="0"/>
        <w:widowControl/>
        <w:numPr>
          <w:ilvl w:val="0"/>
          <w:numId w:val="8"/>
        </w:numPr>
        <w:suppressAutoHyphens/>
        <w:kinsoku/>
        <w:wordWrap/>
        <w:overflowPunct w:val="0"/>
        <w:topLinePunct w:val="0"/>
        <w:autoSpaceDE w:val="0"/>
        <w:autoSpaceDN w:val="0"/>
        <w:bidi w:val="0"/>
        <w:adjustRightInd w:val="0"/>
        <w:spacing w:beforeAutospacing="0" w:afterAutospacing="0" w:line="360" w:lineRule="auto"/>
        <w:ind w:left="1427" w:leftChars="0" w:hanging="72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数据库优化管理</w:t>
      </w:r>
    </w:p>
    <w:tbl>
      <w:tblPr>
        <w:tblStyle w:val="27"/>
        <w:tblW w:w="5600" w:type="dxa"/>
        <w:jc w:val="center"/>
        <w:tblInd w:w="0" w:type="dxa"/>
        <w:tblLayout w:type="fixed"/>
        <w:tblCellMar>
          <w:top w:w="0" w:type="dxa"/>
          <w:left w:w="108" w:type="dxa"/>
          <w:bottom w:w="0" w:type="dxa"/>
          <w:right w:w="108" w:type="dxa"/>
        </w:tblCellMar>
      </w:tblPr>
      <w:tblGrid>
        <w:gridCol w:w="2500"/>
        <w:gridCol w:w="3100"/>
      </w:tblGrid>
      <w:tr>
        <w:tblPrEx>
          <w:tblLayout w:type="fixed"/>
          <w:tblCellMar>
            <w:top w:w="0" w:type="dxa"/>
            <w:left w:w="108" w:type="dxa"/>
            <w:bottom w:w="0" w:type="dxa"/>
            <w:right w:w="108" w:type="dxa"/>
          </w:tblCellMar>
        </w:tblPrEx>
        <w:trPr>
          <w:trHeight w:val="290" w:hRule="atLeast"/>
          <w:jc w:val="center"/>
        </w:trPr>
        <w:tc>
          <w:tcPr>
            <w:tcW w:w="2500" w:type="dxa"/>
            <w:tcBorders>
              <w:top w:val="single" w:color="auto" w:sz="8" w:space="0"/>
              <w:left w:val="single" w:color="auto" w:sz="8" w:space="0"/>
              <w:bottom w:val="single" w:color="auto" w:sz="8" w:space="0"/>
              <w:right w:val="single" w:color="auto" w:sz="8" w:space="0"/>
            </w:tcBorders>
            <w:shd w:val="clear" w:color="000000" w:fill="D9D9D9"/>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优化类别</w:t>
            </w:r>
          </w:p>
        </w:tc>
        <w:tc>
          <w:tcPr>
            <w:tcW w:w="3100" w:type="dxa"/>
            <w:tcBorders>
              <w:top w:val="single" w:color="auto" w:sz="8" w:space="0"/>
              <w:left w:val="nil"/>
              <w:bottom w:val="single" w:color="auto" w:sz="8" w:space="0"/>
              <w:right w:val="single" w:color="auto" w:sz="8" w:space="0"/>
            </w:tcBorders>
            <w:shd w:val="clear" w:color="000000" w:fill="D9D9D9"/>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指标项</w:t>
            </w:r>
          </w:p>
        </w:tc>
      </w:tr>
      <w:tr>
        <w:tblPrEx>
          <w:tblLayout w:type="fixed"/>
          <w:tblCellMar>
            <w:top w:w="0" w:type="dxa"/>
            <w:left w:w="108" w:type="dxa"/>
            <w:bottom w:w="0" w:type="dxa"/>
            <w:right w:w="108" w:type="dxa"/>
          </w:tblCellMar>
        </w:tblPrEx>
        <w:trPr>
          <w:trHeight w:val="409" w:hRule="atLeast"/>
          <w:jc w:val="center"/>
        </w:trPr>
        <w:tc>
          <w:tcPr>
            <w:tcW w:w="2500" w:type="dxa"/>
            <w:vMerge w:val="restart"/>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1、数据库优化</w:t>
            </w:r>
          </w:p>
        </w:tc>
        <w:tc>
          <w:tcPr>
            <w:tcW w:w="310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内存</w:t>
            </w:r>
          </w:p>
        </w:tc>
      </w:tr>
      <w:tr>
        <w:tblPrEx>
          <w:tblLayout w:type="fixed"/>
          <w:tblCellMar>
            <w:top w:w="0" w:type="dxa"/>
            <w:left w:w="108" w:type="dxa"/>
            <w:bottom w:w="0" w:type="dxa"/>
            <w:right w:w="108" w:type="dxa"/>
          </w:tblCellMar>
        </w:tblPrEx>
        <w:trPr>
          <w:trHeight w:val="368" w:hRule="atLeast"/>
          <w:jc w:val="center"/>
        </w:trPr>
        <w:tc>
          <w:tcPr>
            <w:tcW w:w="25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10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存储空间</w:t>
            </w:r>
          </w:p>
        </w:tc>
      </w:tr>
      <w:tr>
        <w:tblPrEx>
          <w:tblLayout w:type="fixed"/>
          <w:tblCellMar>
            <w:top w:w="0" w:type="dxa"/>
            <w:left w:w="108" w:type="dxa"/>
            <w:bottom w:w="0" w:type="dxa"/>
            <w:right w:w="108" w:type="dxa"/>
          </w:tblCellMar>
        </w:tblPrEx>
        <w:trPr>
          <w:trHeight w:val="367" w:hRule="atLeast"/>
          <w:jc w:val="center"/>
        </w:trPr>
        <w:tc>
          <w:tcPr>
            <w:tcW w:w="25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10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CPU</w:t>
            </w:r>
          </w:p>
        </w:tc>
      </w:tr>
      <w:tr>
        <w:tblPrEx>
          <w:tblLayout w:type="fixed"/>
          <w:tblCellMar>
            <w:top w:w="0" w:type="dxa"/>
            <w:left w:w="108" w:type="dxa"/>
            <w:bottom w:w="0" w:type="dxa"/>
            <w:right w:w="108" w:type="dxa"/>
          </w:tblCellMar>
        </w:tblPrEx>
        <w:trPr>
          <w:trHeight w:val="367" w:hRule="atLeast"/>
          <w:jc w:val="center"/>
        </w:trPr>
        <w:tc>
          <w:tcPr>
            <w:tcW w:w="2500" w:type="dxa"/>
            <w:vMerge w:val="restart"/>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2、数据库实例优化</w:t>
            </w:r>
          </w:p>
        </w:tc>
        <w:tc>
          <w:tcPr>
            <w:tcW w:w="310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TDSQL分片</w:t>
            </w:r>
          </w:p>
        </w:tc>
      </w:tr>
      <w:tr>
        <w:tblPrEx>
          <w:tblLayout w:type="fixed"/>
          <w:tblCellMar>
            <w:top w:w="0" w:type="dxa"/>
            <w:left w:w="108" w:type="dxa"/>
            <w:bottom w:w="0" w:type="dxa"/>
            <w:right w:w="108" w:type="dxa"/>
          </w:tblCellMar>
        </w:tblPrEx>
        <w:trPr>
          <w:trHeight w:val="367" w:hRule="atLeast"/>
          <w:jc w:val="center"/>
        </w:trPr>
        <w:tc>
          <w:tcPr>
            <w:tcW w:w="25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10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参数配置</w:t>
            </w:r>
          </w:p>
        </w:tc>
      </w:tr>
      <w:tr>
        <w:tblPrEx>
          <w:tblLayout w:type="fixed"/>
          <w:tblCellMar>
            <w:top w:w="0" w:type="dxa"/>
            <w:left w:w="108" w:type="dxa"/>
            <w:bottom w:w="0" w:type="dxa"/>
            <w:right w:w="108" w:type="dxa"/>
          </w:tblCellMar>
        </w:tblPrEx>
        <w:trPr>
          <w:trHeight w:val="354" w:hRule="atLeast"/>
          <w:jc w:val="center"/>
        </w:trPr>
        <w:tc>
          <w:tcPr>
            <w:tcW w:w="25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10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系统资源</w:t>
            </w:r>
          </w:p>
        </w:tc>
      </w:tr>
      <w:tr>
        <w:tblPrEx>
          <w:tblLayout w:type="fixed"/>
          <w:tblCellMar>
            <w:top w:w="0" w:type="dxa"/>
            <w:left w:w="108" w:type="dxa"/>
            <w:bottom w:w="0" w:type="dxa"/>
            <w:right w:w="108" w:type="dxa"/>
          </w:tblCellMar>
        </w:tblPrEx>
        <w:trPr>
          <w:trHeight w:val="436" w:hRule="atLeast"/>
          <w:jc w:val="center"/>
        </w:trPr>
        <w:tc>
          <w:tcPr>
            <w:tcW w:w="25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10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权限配置</w:t>
            </w:r>
          </w:p>
        </w:tc>
      </w:tr>
      <w:tr>
        <w:tblPrEx>
          <w:tblLayout w:type="fixed"/>
          <w:tblCellMar>
            <w:top w:w="0" w:type="dxa"/>
            <w:left w:w="108" w:type="dxa"/>
            <w:bottom w:w="0" w:type="dxa"/>
            <w:right w:w="108" w:type="dxa"/>
          </w:tblCellMar>
        </w:tblPrEx>
        <w:trPr>
          <w:trHeight w:val="354" w:hRule="atLeast"/>
          <w:jc w:val="center"/>
        </w:trPr>
        <w:tc>
          <w:tcPr>
            <w:tcW w:w="25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10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备份配置</w:t>
            </w:r>
          </w:p>
        </w:tc>
      </w:tr>
      <w:tr>
        <w:tblPrEx>
          <w:tblLayout w:type="fixed"/>
          <w:tblCellMar>
            <w:top w:w="0" w:type="dxa"/>
            <w:left w:w="108" w:type="dxa"/>
            <w:bottom w:w="0" w:type="dxa"/>
            <w:right w:w="108" w:type="dxa"/>
          </w:tblCellMar>
        </w:tblPrEx>
        <w:trPr>
          <w:trHeight w:val="354" w:hRule="atLeast"/>
          <w:jc w:val="center"/>
        </w:trPr>
        <w:tc>
          <w:tcPr>
            <w:tcW w:w="25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10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主从库设置</w:t>
            </w:r>
          </w:p>
        </w:tc>
      </w:tr>
      <w:tr>
        <w:tblPrEx>
          <w:tblLayout w:type="fixed"/>
          <w:tblCellMar>
            <w:top w:w="0" w:type="dxa"/>
            <w:left w:w="108" w:type="dxa"/>
            <w:bottom w:w="0" w:type="dxa"/>
            <w:right w:w="108" w:type="dxa"/>
          </w:tblCellMar>
        </w:tblPrEx>
        <w:trPr>
          <w:trHeight w:val="340" w:hRule="atLeast"/>
          <w:jc w:val="center"/>
        </w:trPr>
        <w:tc>
          <w:tcPr>
            <w:tcW w:w="2500" w:type="dxa"/>
            <w:vMerge w:val="restart"/>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3、数据访问优化</w:t>
            </w:r>
          </w:p>
        </w:tc>
        <w:tc>
          <w:tcPr>
            <w:tcW w:w="310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索引管理</w:t>
            </w:r>
          </w:p>
        </w:tc>
      </w:tr>
      <w:tr>
        <w:tblPrEx>
          <w:tblLayout w:type="fixed"/>
          <w:tblCellMar>
            <w:top w:w="0" w:type="dxa"/>
            <w:left w:w="108" w:type="dxa"/>
            <w:bottom w:w="0" w:type="dxa"/>
            <w:right w:w="108" w:type="dxa"/>
          </w:tblCellMar>
        </w:tblPrEx>
        <w:trPr>
          <w:trHeight w:val="381" w:hRule="atLeast"/>
          <w:jc w:val="center"/>
        </w:trPr>
        <w:tc>
          <w:tcPr>
            <w:tcW w:w="25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10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表分区管理</w:t>
            </w:r>
          </w:p>
        </w:tc>
      </w:tr>
      <w:tr>
        <w:tblPrEx>
          <w:tblLayout w:type="fixed"/>
          <w:tblCellMar>
            <w:top w:w="0" w:type="dxa"/>
            <w:left w:w="108" w:type="dxa"/>
            <w:bottom w:w="0" w:type="dxa"/>
            <w:right w:w="108" w:type="dxa"/>
          </w:tblCellMar>
        </w:tblPrEx>
        <w:trPr>
          <w:trHeight w:val="381" w:hRule="atLeast"/>
          <w:jc w:val="center"/>
        </w:trPr>
        <w:tc>
          <w:tcPr>
            <w:tcW w:w="25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10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数据质量管理</w:t>
            </w:r>
          </w:p>
        </w:tc>
      </w:tr>
      <w:tr>
        <w:tblPrEx>
          <w:tblLayout w:type="fixed"/>
          <w:tblCellMar>
            <w:top w:w="0" w:type="dxa"/>
            <w:left w:w="108" w:type="dxa"/>
            <w:bottom w:w="0" w:type="dxa"/>
            <w:right w:w="108" w:type="dxa"/>
          </w:tblCellMar>
        </w:tblPrEx>
        <w:trPr>
          <w:trHeight w:val="382" w:hRule="atLeast"/>
          <w:jc w:val="center"/>
        </w:trPr>
        <w:tc>
          <w:tcPr>
            <w:tcW w:w="25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10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SQL质量管理</w:t>
            </w:r>
          </w:p>
        </w:tc>
      </w:tr>
      <w:tr>
        <w:tblPrEx>
          <w:tblLayout w:type="fixed"/>
          <w:tblCellMar>
            <w:top w:w="0" w:type="dxa"/>
            <w:left w:w="108" w:type="dxa"/>
            <w:bottom w:w="0" w:type="dxa"/>
            <w:right w:w="108" w:type="dxa"/>
          </w:tblCellMar>
        </w:tblPrEx>
        <w:trPr>
          <w:trHeight w:val="290" w:hRule="atLeast"/>
          <w:jc w:val="center"/>
        </w:trPr>
        <w:tc>
          <w:tcPr>
            <w:tcW w:w="25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10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包、过程等数据对象质量管理</w:t>
            </w:r>
          </w:p>
        </w:tc>
      </w:tr>
      <w:tr>
        <w:tblPrEx>
          <w:tblLayout w:type="fixed"/>
          <w:tblCellMar>
            <w:top w:w="0" w:type="dxa"/>
            <w:left w:w="108" w:type="dxa"/>
            <w:bottom w:w="0" w:type="dxa"/>
            <w:right w:w="108" w:type="dxa"/>
          </w:tblCellMar>
        </w:tblPrEx>
        <w:trPr>
          <w:trHeight w:val="382" w:hRule="atLeast"/>
          <w:jc w:val="center"/>
        </w:trPr>
        <w:tc>
          <w:tcPr>
            <w:tcW w:w="25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10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统计信息管理</w:t>
            </w:r>
          </w:p>
        </w:tc>
      </w:tr>
      <w:tr>
        <w:tblPrEx>
          <w:tblLayout w:type="fixed"/>
          <w:tblCellMar>
            <w:top w:w="0" w:type="dxa"/>
            <w:left w:w="108" w:type="dxa"/>
            <w:bottom w:w="0" w:type="dxa"/>
            <w:right w:w="108" w:type="dxa"/>
          </w:tblCellMar>
        </w:tblPrEx>
        <w:trPr>
          <w:trHeight w:val="401" w:hRule="atLeast"/>
          <w:jc w:val="center"/>
        </w:trPr>
        <w:tc>
          <w:tcPr>
            <w:tcW w:w="2500" w:type="dxa"/>
            <w:vMerge w:val="continue"/>
            <w:tcBorders>
              <w:top w:val="nil"/>
              <w:left w:val="single" w:color="auto" w:sz="8" w:space="0"/>
              <w:bottom w:val="single" w:color="000000"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p>
        </w:tc>
        <w:tc>
          <w:tcPr>
            <w:tcW w:w="3100" w:type="dxa"/>
            <w:tcBorders>
              <w:top w:val="nil"/>
              <w:left w:val="nil"/>
              <w:bottom w:val="single" w:color="auto" w:sz="8" w:space="0"/>
              <w:right w:val="single" w:color="auto" w:sz="8" w:space="0"/>
            </w:tcBorders>
            <w:noWrap w:val="0"/>
            <w:vAlign w:val="center"/>
          </w:tcPr>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数据库引擎管理</w:t>
            </w:r>
          </w:p>
        </w:tc>
      </w:tr>
    </w:tbl>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4）应用优化</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根据应用系统运行指标要求，提供对关键代码、数据模型、SQL脚本等优化服务。</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优化原则</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业务服务化、服务和技术解耦是关键；</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动静分离、读写分离，减少一次页面后台访问的请求数和数据库访问次数，保持小事务粒度，注意线程安全，避免大数据量的查询，建立索引（多表联合、union、非参数化sql、笛卡儿积计算、返回大数据集等数据库操作应该避免），充分利用分布式内存级缓存；</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客户端的requirejs+underscore等客户端类模块就比使用服务端的JSP或Freemarker要好，毕竟这样就让客户机来负责页面渲染了，且可以有效地使用CDN；</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事务异步处理技术：采用长事务异步处理技术解决长时间处理任务执行问题。通过使用消息中间件，先将任务执行请求放入消息队列服务器中并立即返回，系统可以根据当前运行情况，由适当的服务器从消息队列服务器的长事务任务队列中取出任务并执行。采用长事务异步处理技术可以有效缩短系统影响时间，提高系统单位时间内并发数量；通过合理的调配资料，可以有效的降低系统处理时间，减小长事务对交易系统的影响；</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数据模型优化及数据库调优</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通过适当反范式设计、数据方案、数据分库及分区等设计手段，对核心数据模型进行精简并优化，同时利用专业调优技术进行相关sql的深度优化。</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对于交易类系统的需要充分利用分区技术，从而大幅提高系统的并行处理和实时响应能力。</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数据大集中系统需要集中大量的业务数据，为了使大量的数据在读操作和查询中速度更快，引入对表和索引进行分区的技术，可以满足海量数据的存储和管理。</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分区功能通过改善可管理性、性能和可用性，从而为各式应用程序带来了极大的好处：</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增强可用性，如果表的某个分区出现故障，表在其他分区的数据仍然可用；</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维护方便，如果表的某个分区出现故障，需要修复数据，只修复该分区即可；</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均衡I/O，可以把不同的分区映射到磁盘以平衡I/O，改善整个系统性能；</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改善查询性能，对分区对象的查询可以仅搜索自己关心的分区，提高检索速度。</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5）专项优化</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随着业务规模的不断增加，可能会产生各类疑难问题（如数据架构优化、数据同步优化和数据复制优化等），新电子税局和应用总集成项目组提供相应的综合优化解决方案，用以指导并组织各应用厂商完成各相关优化解决方案的实施，以数据同步优化为例：</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数据同步方面，目前同步运行稳定，但同步节点过多，对数据同步工具完全依赖，没有有效的备用通道和机制。由于数据是影响所有应用的最关键数据，数据同步应最大程度予以确保，因此可建立数据同步的备用通道或者相应的保障机制如增加专门的同步进程转发服务器等。</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从数据使用情况来分析，由于数据同步存在时延，消费方能获取到准确的数据比较困难；从消费方式来看，有采用读取副本和接口调用的方式，访问副本的方式简单，但存在访问脏数据的可能，接口调用访问方式复杂，应用关联性强；</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从访问效率来看，目前采用分布式部署，访问效率不是问题。从服务方来分析，存在数据同步时延，因此很难保证消费方的数据准确性；同步通道单一，由于数据库复制工具是互斥的，通道只能采用数据库复制加前台应用补偿的方式进行保障。</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6）环境及资源评估优化</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黑龙江省税务新电子税局系统上线之前，收集各类要素对整体环境和所需资源进行评估，包括环境、新应用系统运行环境以及相关联系统环境，同时还包括新增新应用系统上线运行对原有运行应用系统环境，有预见性提前发现的风险及应对方案，同时负责组织协调相关方对风险进行事前排除，避免新应用系统上线造成全局性影响。</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产出物</w:t>
      </w:r>
    </w:p>
    <w:tbl>
      <w:tblPr>
        <w:tblStyle w:val="27"/>
        <w:tblW w:w="8420" w:type="dxa"/>
        <w:tblInd w:w="108" w:type="dxa"/>
        <w:tblLayout w:type="fixed"/>
        <w:tblCellMar>
          <w:top w:w="0" w:type="dxa"/>
          <w:left w:w="108" w:type="dxa"/>
          <w:bottom w:w="0" w:type="dxa"/>
          <w:right w:w="108" w:type="dxa"/>
        </w:tblCellMar>
      </w:tblPr>
      <w:tblGrid>
        <w:gridCol w:w="823"/>
        <w:gridCol w:w="1276"/>
        <w:gridCol w:w="2381"/>
        <w:gridCol w:w="3940"/>
      </w:tblGrid>
      <w:tr>
        <w:tblPrEx>
          <w:tblLayout w:type="fixed"/>
          <w:tblCellMar>
            <w:top w:w="0" w:type="dxa"/>
            <w:left w:w="108" w:type="dxa"/>
            <w:bottom w:w="0" w:type="dxa"/>
            <w:right w:w="108" w:type="dxa"/>
          </w:tblCellMar>
        </w:tblPrEx>
        <w:trPr>
          <w:trHeight w:val="310" w:hRule="atLeast"/>
        </w:trPr>
        <w:tc>
          <w:tcPr>
            <w:tcW w:w="823" w:type="dxa"/>
            <w:tcBorders>
              <w:top w:val="single" w:color="auto" w:sz="8" w:space="0"/>
              <w:left w:val="single" w:color="auto" w:sz="8" w:space="0"/>
              <w:bottom w:val="single" w:color="auto" w:sz="8" w:space="0"/>
              <w:right w:val="single" w:color="auto" w:sz="8" w:space="0"/>
            </w:tcBorders>
            <w:shd w:val="clear" w:color="000000" w:fill="D9D9D9"/>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序号</w:t>
            </w:r>
          </w:p>
        </w:tc>
        <w:tc>
          <w:tcPr>
            <w:tcW w:w="1276" w:type="dxa"/>
            <w:tcBorders>
              <w:top w:val="single" w:color="auto" w:sz="8" w:space="0"/>
              <w:left w:val="nil"/>
              <w:bottom w:val="single" w:color="auto" w:sz="8" w:space="0"/>
              <w:right w:val="single" w:color="auto" w:sz="8" w:space="0"/>
            </w:tcBorders>
            <w:shd w:val="clear" w:color="000000" w:fill="D9D9D9"/>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分类</w:t>
            </w:r>
          </w:p>
        </w:tc>
        <w:tc>
          <w:tcPr>
            <w:tcW w:w="2381" w:type="dxa"/>
            <w:tcBorders>
              <w:top w:val="single" w:color="auto" w:sz="8" w:space="0"/>
              <w:left w:val="nil"/>
              <w:bottom w:val="single" w:color="auto" w:sz="8" w:space="0"/>
              <w:right w:val="single" w:color="auto" w:sz="8" w:space="0"/>
            </w:tcBorders>
            <w:shd w:val="clear" w:color="000000" w:fill="D9D9D9"/>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产出物名称</w:t>
            </w:r>
          </w:p>
        </w:tc>
        <w:tc>
          <w:tcPr>
            <w:tcW w:w="3940" w:type="dxa"/>
            <w:tcBorders>
              <w:top w:val="single" w:color="auto" w:sz="8" w:space="0"/>
              <w:left w:val="nil"/>
              <w:bottom w:val="single" w:color="auto" w:sz="8" w:space="0"/>
              <w:right w:val="single" w:color="auto" w:sz="8" w:space="0"/>
            </w:tcBorders>
            <w:shd w:val="clear" w:color="000000" w:fill="D9D9D9"/>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描述</w:t>
            </w:r>
          </w:p>
        </w:tc>
      </w:tr>
      <w:tr>
        <w:tblPrEx>
          <w:tblLayout w:type="fixed"/>
          <w:tblCellMar>
            <w:top w:w="0" w:type="dxa"/>
            <w:left w:w="108" w:type="dxa"/>
            <w:bottom w:w="0" w:type="dxa"/>
            <w:right w:w="108" w:type="dxa"/>
          </w:tblCellMar>
        </w:tblPrEx>
        <w:trPr>
          <w:trHeight w:val="950" w:hRule="atLeast"/>
        </w:trPr>
        <w:tc>
          <w:tcPr>
            <w:tcW w:w="823" w:type="dxa"/>
            <w:tcBorders>
              <w:top w:val="nil"/>
              <w:left w:val="single" w:color="auto" w:sz="8" w:space="0"/>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w:t>
            </w:r>
          </w:p>
        </w:tc>
        <w:tc>
          <w:tcPr>
            <w:tcW w:w="1276"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优化报告</w:t>
            </w:r>
          </w:p>
        </w:tc>
        <w:tc>
          <w:tcPr>
            <w:tcW w:w="2381"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《新电子税局系统优化报告-需求文档-XXX-日期-编号》</w:t>
            </w:r>
          </w:p>
        </w:tc>
        <w:tc>
          <w:tcPr>
            <w:tcW w:w="3940"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描述优化范围、优化对象、优化原因及优化目的等。</w:t>
            </w:r>
          </w:p>
        </w:tc>
      </w:tr>
      <w:tr>
        <w:tblPrEx>
          <w:tblLayout w:type="fixed"/>
          <w:tblCellMar>
            <w:top w:w="0" w:type="dxa"/>
            <w:left w:w="108" w:type="dxa"/>
            <w:bottom w:w="0" w:type="dxa"/>
            <w:right w:w="108" w:type="dxa"/>
          </w:tblCellMar>
        </w:tblPrEx>
        <w:trPr>
          <w:trHeight w:val="950" w:hRule="atLeast"/>
        </w:trPr>
        <w:tc>
          <w:tcPr>
            <w:tcW w:w="823" w:type="dxa"/>
            <w:tcBorders>
              <w:top w:val="nil"/>
              <w:left w:val="single" w:color="auto" w:sz="8" w:space="0"/>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w:t>
            </w:r>
          </w:p>
        </w:tc>
        <w:tc>
          <w:tcPr>
            <w:tcW w:w="1276"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优化报告</w:t>
            </w:r>
          </w:p>
        </w:tc>
        <w:tc>
          <w:tcPr>
            <w:tcW w:w="2381"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《新电子税局系统优化报告-详细设计-XXX-日期-编号》</w:t>
            </w:r>
          </w:p>
        </w:tc>
        <w:tc>
          <w:tcPr>
            <w:tcW w:w="3940"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描述整体优化思路及优化原理，给出可能出现的影响范围及优化指标</w:t>
            </w:r>
          </w:p>
        </w:tc>
      </w:tr>
      <w:tr>
        <w:tblPrEx>
          <w:tblLayout w:type="fixed"/>
          <w:tblCellMar>
            <w:top w:w="0" w:type="dxa"/>
            <w:left w:w="108" w:type="dxa"/>
            <w:bottom w:w="0" w:type="dxa"/>
            <w:right w:w="108" w:type="dxa"/>
          </w:tblCellMar>
        </w:tblPrEx>
        <w:trPr>
          <w:trHeight w:val="950" w:hRule="atLeast"/>
        </w:trPr>
        <w:tc>
          <w:tcPr>
            <w:tcW w:w="823" w:type="dxa"/>
            <w:tcBorders>
              <w:top w:val="nil"/>
              <w:left w:val="single" w:color="auto" w:sz="8" w:space="0"/>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w:t>
            </w:r>
          </w:p>
        </w:tc>
        <w:tc>
          <w:tcPr>
            <w:tcW w:w="1276"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优化报告</w:t>
            </w:r>
          </w:p>
        </w:tc>
        <w:tc>
          <w:tcPr>
            <w:tcW w:w="2381"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《新电子税局系统优化报告-实施方案-XXX-日期-编号》</w:t>
            </w:r>
          </w:p>
        </w:tc>
        <w:tc>
          <w:tcPr>
            <w:tcW w:w="3940"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描述优化方案的详细实施步骤，包括组织、流程、风险及回退方案。</w:t>
            </w:r>
          </w:p>
        </w:tc>
      </w:tr>
      <w:tr>
        <w:tblPrEx>
          <w:tblLayout w:type="fixed"/>
          <w:tblCellMar>
            <w:top w:w="0" w:type="dxa"/>
            <w:left w:w="108" w:type="dxa"/>
            <w:bottom w:w="0" w:type="dxa"/>
            <w:right w:w="108" w:type="dxa"/>
          </w:tblCellMar>
        </w:tblPrEx>
        <w:trPr>
          <w:trHeight w:val="930" w:hRule="atLeast"/>
        </w:trPr>
        <w:tc>
          <w:tcPr>
            <w:tcW w:w="823" w:type="dxa"/>
            <w:tcBorders>
              <w:top w:val="nil"/>
              <w:left w:val="single" w:color="auto" w:sz="8" w:space="0"/>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w:t>
            </w:r>
          </w:p>
        </w:tc>
        <w:tc>
          <w:tcPr>
            <w:tcW w:w="1276"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优化用例</w:t>
            </w:r>
          </w:p>
        </w:tc>
        <w:tc>
          <w:tcPr>
            <w:tcW w:w="2381"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《新电子税局系统优化测试用例-XXX-日期-编号》</w:t>
            </w:r>
          </w:p>
        </w:tc>
        <w:tc>
          <w:tcPr>
            <w:tcW w:w="3940"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描述优化报告中需重点测试的各项指标及详细操作过程。</w:t>
            </w:r>
          </w:p>
        </w:tc>
      </w:tr>
      <w:tr>
        <w:tblPrEx>
          <w:tblLayout w:type="fixed"/>
          <w:tblCellMar>
            <w:top w:w="0" w:type="dxa"/>
            <w:left w:w="108" w:type="dxa"/>
            <w:bottom w:w="0" w:type="dxa"/>
            <w:right w:w="108" w:type="dxa"/>
          </w:tblCellMar>
        </w:tblPrEx>
        <w:trPr>
          <w:trHeight w:val="930" w:hRule="atLeast"/>
        </w:trPr>
        <w:tc>
          <w:tcPr>
            <w:tcW w:w="823" w:type="dxa"/>
            <w:tcBorders>
              <w:top w:val="nil"/>
              <w:left w:val="single" w:color="auto" w:sz="8" w:space="0"/>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w:t>
            </w:r>
          </w:p>
        </w:tc>
        <w:tc>
          <w:tcPr>
            <w:tcW w:w="1276"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测试报告</w:t>
            </w:r>
          </w:p>
        </w:tc>
        <w:tc>
          <w:tcPr>
            <w:tcW w:w="2381"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《新电子税局系统优化测试报告-XXX-日期-编号》</w:t>
            </w:r>
          </w:p>
        </w:tc>
        <w:tc>
          <w:tcPr>
            <w:tcW w:w="3940"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描述对优化报告的测试结果，包括详细的测试过程。</w:t>
            </w:r>
          </w:p>
        </w:tc>
      </w:tr>
    </w:tbl>
    <w:p>
      <w:pPr>
        <w:keepNext/>
        <w:keepLines/>
        <w:pageBreakBefore w:val="0"/>
        <w:widowControl w:val="0"/>
        <w:numPr>
          <w:ilvl w:val="0"/>
          <w:numId w:val="7"/>
        </w:numPr>
        <w:suppressAutoHyphens/>
        <w:kinsoku/>
        <w:wordWrap/>
        <w:topLinePunct w:val="0"/>
        <w:bidi w:val="0"/>
        <w:spacing w:before="0" w:beforeLines="0" w:beforeAutospacing="0" w:after="0" w:afterLines="0" w:afterAutospacing="0" w:line="360" w:lineRule="auto"/>
        <w:ind w:left="0" w:leftChars="0" w:hanging="425" w:firstLine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故障分析服务</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故障分析服务主要用来解决应用系统在黑龙江省税务上线过程中碰到的各类技术问题，涵盖从前端基层税务人员操作或纳税人体验、途中数据流向至后台运行及管理各环节可能出现的各类故障。</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故障分析服务目标是提供端到端（包含客户端至应用系统后台处理系统全环节）的运行信息探针式收集和故障情况综合分析定位服务，打通从应用软件到基础设施间的故障分析瓶颈，对问题或故障进行快速定位，指导故障处理和应对，对故障处理结果负责；对疑难问题定性定位并提出综合解决方案，协调组织各应用系统厂商实施解决方案。</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新电子税局系统覆盖本地特色软件的各种集成，涉及基础实施、操作系统、安全策略、数据库、中间件、负载均衡、DNS、NTP、应用系统、应用集成、数据同步等各种综合故障，快速进行故障分析定位是金税三期高效稳定运行的基础保障，通过故障分析服务，以快速解决前期经常出现的如:登录异常、系统不稳定、系统运行慢、数据不同步、功能无法使用等问题，并逐步积累，形成知识库。</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服务内容：</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故障处理服务主要内容包括：事前预警，事中定位、事后分析以及故障处理，其中事中定位和事后分析为专家服务。</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事前预警：对各环境进行全环节预警采集，提供综合监控台，并可与与邮件、短信的集成，实现对各类故障的事前预警。事前预警需要借助监控工具实现，更多的通过运维保障的值守服务和巡检服务提供预警信息。</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事中定位：供对故障的快速定位功能，能够定位故障发生的环节，发生故障环节的具体点，以及引起故障的具体事件，并可根据故障定位需要满足按不同维度对可能引起故障问题的进程或事件的抓取。事中定位需要借助应用分析工具和诊断调优工具，进行高效快速分析定位。</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事后分析：供端到端（服务发起到服务执行完成后的全过程）相关信息采集，提供各环境应用系统运行状况的全景视图，应用系统瓶颈预警。事后分析需要借助应用分析工具和诊断调优工具，进行综合分析。</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故障处理：故障进行分析定位，提出明确的故障处理方案，指导并组织故障处理，对故障处理结果负责；非阻断性故障分析定位时间不能超过2小时，征期阻断性故障不得超过1小时，并指导各相关厂商在最短的时间内消除故障。</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专家服务：供专家服务团队，对疑难问题或故障进行会诊，定位问题并提出响应的解决方案。</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产出物</w:t>
      </w:r>
    </w:p>
    <w:tbl>
      <w:tblPr>
        <w:tblStyle w:val="27"/>
        <w:tblW w:w="8431" w:type="dxa"/>
        <w:jc w:val="center"/>
        <w:tblInd w:w="0" w:type="dxa"/>
        <w:tblLayout w:type="fixed"/>
        <w:tblCellMar>
          <w:top w:w="0" w:type="dxa"/>
          <w:left w:w="108" w:type="dxa"/>
          <w:bottom w:w="0" w:type="dxa"/>
          <w:right w:w="108" w:type="dxa"/>
        </w:tblCellMar>
      </w:tblPr>
      <w:tblGrid>
        <w:gridCol w:w="939"/>
        <w:gridCol w:w="1998"/>
        <w:gridCol w:w="2497"/>
        <w:gridCol w:w="2997"/>
      </w:tblGrid>
      <w:tr>
        <w:tblPrEx>
          <w:tblLayout w:type="fixed"/>
          <w:tblCellMar>
            <w:top w:w="0" w:type="dxa"/>
            <w:left w:w="108" w:type="dxa"/>
            <w:bottom w:w="0" w:type="dxa"/>
            <w:right w:w="108" w:type="dxa"/>
          </w:tblCellMar>
        </w:tblPrEx>
        <w:trPr>
          <w:trHeight w:val="310" w:hRule="atLeast"/>
          <w:jc w:val="center"/>
        </w:trPr>
        <w:tc>
          <w:tcPr>
            <w:tcW w:w="939" w:type="dxa"/>
            <w:tcBorders>
              <w:top w:val="single" w:color="auto" w:sz="8" w:space="0"/>
              <w:left w:val="single" w:color="auto" w:sz="8" w:space="0"/>
              <w:bottom w:val="single" w:color="auto" w:sz="8" w:space="0"/>
              <w:right w:val="single" w:color="auto" w:sz="8" w:space="0"/>
            </w:tcBorders>
            <w:shd w:val="clear" w:color="000000" w:fill="D9D9D9"/>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序号</w:t>
            </w:r>
          </w:p>
        </w:tc>
        <w:tc>
          <w:tcPr>
            <w:tcW w:w="1998" w:type="dxa"/>
            <w:tcBorders>
              <w:top w:val="single" w:color="auto" w:sz="8" w:space="0"/>
              <w:left w:val="nil"/>
              <w:bottom w:val="single" w:color="auto" w:sz="8" w:space="0"/>
              <w:right w:val="single" w:color="auto" w:sz="8" w:space="0"/>
            </w:tcBorders>
            <w:shd w:val="clear" w:color="000000" w:fill="D9D9D9"/>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分类</w:t>
            </w:r>
          </w:p>
        </w:tc>
        <w:tc>
          <w:tcPr>
            <w:tcW w:w="2497" w:type="dxa"/>
            <w:tcBorders>
              <w:top w:val="single" w:color="auto" w:sz="8" w:space="0"/>
              <w:left w:val="nil"/>
              <w:bottom w:val="single" w:color="auto" w:sz="8" w:space="0"/>
              <w:right w:val="single" w:color="auto" w:sz="8" w:space="0"/>
            </w:tcBorders>
            <w:shd w:val="clear" w:color="000000" w:fill="D9D9D9"/>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产出物名称</w:t>
            </w:r>
          </w:p>
        </w:tc>
        <w:tc>
          <w:tcPr>
            <w:tcW w:w="2997" w:type="dxa"/>
            <w:tcBorders>
              <w:top w:val="single" w:color="auto" w:sz="8" w:space="0"/>
              <w:left w:val="nil"/>
              <w:bottom w:val="single" w:color="auto" w:sz="8" w:space="0"/>
              <w:right w:val="single" w:color="auto" w:sz="8" w:space="0"/>
            </w:tcBorders>
            <w:shd w:val="clear" w:color="000000" w:fill="D9D9D9"/>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描述</w:t>
            </w:r>
          </w:p>
        </w:tc>
      </w:tr>
      <w:tr>
        <w:tblPrEx>
          <w:tblLayout w:type="fixed"/>
          <w:tblCellMar>
            <w:top w:w="0" w:type="dxa"/>
            <w:left w:w="108" w:type="dxa"/>
            <w:bottom w:w="0" w:type="dxa"/>
            <w:right w:w="108" w:type="dxa"/>
          </w:tblCellMar>
        </w:tblPrEx>
        <w:trPr>
          <w:trHeight w:val="2282" w:hRule="atLeast"/>
          <w:jc w:val="center"/>
        </w:trPr>
        <w:tc>
          <w:tcPr>
            <w:tcW w:w="939" w:type="dxa"/>
            <w:tcBorders>
              <w:top w:val="nil"/>
              <w:left w:val="single" w:color="auto" w:sz="8" w:space="0"/>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w:t>
            </w:r>
          </w:p>
        </w:tc>
        <w:tc>
          <w:tcPr>
            <w:tcW w:w="1998"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故障分析报告</w:t>
            </w:r>
          </w:p>
        </w:tc>
        <w:tc>
          <w:tcPr>
            <w:tcW w:w="2497"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《新电子税局系统故障分析报告-XXX故障-日期-编号》</w:t>
            </w:r>
          </w:p>
        </w:tc>
        <w:tc>
          <w:tcPr>
            <w:tcW w:w="2997"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详细描述所有发生的故障，从故障发生时间、故障现象、故障分析及故障原因、故障处理过程、故障解决方案、总结或改进建议等</w:t>
            </w:r>
          </w:p>
        </w:tc>
      </w:tr>
      <w:tr>
        <w:tblPrEx>
          <w:tblLayout w:type="fixed"/>
          <w:tblCellMar>
            <w:top w:w="0" w:type="dxa"/>
            <w:left w:w="108" w:type="dxa"/>
            <w:bottom w:w="0" w:type="dxa"/>
            <w:right w:w="108" w:type="dxa"/>
          </w:tblCellMar>
        </w:tblPrEx>
        <w:trPr>
          <w:trHeight w:val="2942" w:hRule="atLeast"/>
          <w:jc w:val="center"/>
        </w:trPr>
        <w:tc>
          <w:tcPr>
            <w:tcW w:w="939" w:type="dxa"/>
            <w:tcBorders>
              <w:top w:val="nil"/>
              <w:left w:val="single" w:color="auto" w:sz="8" w:space="0"/>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w:t>
            </w:r>
          </w:p>
        </w:tc>
        <w:tc>
          <w:tcPr>
            <w:tcW w:w="1998"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故障解决方案</w:t>
            </w:r>
          </w:p>
        </w:tc>
        <w:tc>
          <w:tcPr>
            <w:tcW w:w="2497"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《新电子税局系统XXX故障解决方案》</w:t>
            </w:r>
          </w:p>
        </w:tc>
        <w:tc>
          <w:tcPr>
            <w:tcW w:w="2997" w:type="dxa"/>
            <w:tcBorders>
              <w:top w:val="nil"/>
              <w:left w:val="nil"/>
              <w:bottom w:val="single" w:color="auto" w:sz="8" w:space="0"/>
              <w:right w:val="single" w:color="auto"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针对复杂疑难综合故障，根据故障分析报告，提出详细描述故障的解决方案，包括故障原因、故障解决方法，故障解决详细步骤、故障解决验证计划、故障恢复实施计划等</w:t>
            </w:r>
          </w:p>
        </w:tc>
      </w:tr>
    </w:tbl>
    <w:p>
      <w:pPr>
        <w:keepNext/>
        <w:keepLines/>
        <w:pageBreakBefore w:val="0"/>
        <w:widowControl w:val="0"/>
        <w:numPr>
          <w:ilvl w:val="0"/>
          <w:numId w:val="7"/>
        </w:numPr>
        <w:suppressAutoHyphens/>
        <w:kinsoku/>
        <w:wordWrap/>
        <w:topLinePunct w:val="0"/>
        <w:bidi w:val="0"/>
        <w:spacing w:before="0" w:beforeLines="0" w:beforeAutospacing="0" w:after="0" w:afterLines="0" w:afterAutospacing="0" w:line="360" w:lineRule="auto"/>
        <w:ind w:left="0" w:leftChars="0" w:hanging="425" w:firstLine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环境搭建</w:t>
      </w:r>
    </w:p>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新电局所用云产品组件，包括数据库与应用组件。</w:t>
      </w:r>
    </w:p>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腾讯云组件列表：</w:t>
      </w:r>
    </w:p>
    <w:tbl>
      <w:tblPr>
        <w:tblStyle w:val="27"/>
        <w:tblW w:w="8462" w:type="dxa"/>
        <w:jc w:val="center"/>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787"/>
        <w:gridCol w:w="1341"/>
        <w:gridCol w:w="633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00" w:hRule="atLeast"/>
          <w:jc w:val="center"/>
        </w:trPr>
        <w:tc>
          <w:tcPr>
            <w:tcW w:w="787" w:type="dxa"/>
            <w:shd w:val="clear" w:color="000000" w:fill="D7D7D7"/>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类别</w:t>
            </w:r>
          </w:p>
        </w:tc>
        <w:tc>
          <w:tcPr>
            <w:tcW w:w="1341" w:type="dxa"/>
            <w:shd w:val="clear" w:color="000000" w:fill="D7D7D7"/>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产品名称</w:t>
            </w:r>
          </w:p>
        </w:tc>
        <w:tc>
          <w:tcPr>
            <w:tcW w:w="6334" w:type="dxa"/>
            <w:shd w:val="clear" w:color="000000" w:fill="D7D7D7"/>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产品说明</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2202" w:hRule="atLeast"/>
          <w:jc w:val="center"/>
        </w:trPr>
        <w:tc>
          <w:tcPr>
            <w:tcW w:w="787" w:type="dxa"/>
            <w:vMerge w:val="restart"/>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数据库服务</w:t>
            </w:r>
          </w:p>
        </w:tc>
        <w:tc>
          <w:tcPr>
            <w:tcW w:w="1341" w:type="dxa"/>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TDSQL</w:t>
            </w:r>
          </w:p>
        </w:tc>
        <w:tc>
          <w:tcPr>
            <w:tcW w:w="6334" w:type="dxa"/>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TDSQL MySQL 版（TDSQL for MySQL）是腾讯打造的一款分布式数据库产品，具备强一致高可用、全球部署架构、分布式水平扩展、高性能、企业级安全等特性，同时提供智能 DBA、自动化运营、监控告警等配套设施，为客户提供完整的分布式数据库解决方案。</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2249" w:hRule="atLeast"/>
          <w:jc w:val="center"/>
        </w:trPr>
        <w:tc>
          <w:tcPr>
            <w:tcW w:w="787" w:type="dxa"/>
            <w:vMerge w:val="continue"/>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p>
        </w:tc>
        <w:tc>
          <w:tcPr>
            <w:tcW w:w="1341" w:type="dxa"/>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TBASE</w:t>
            </w:r>
          </w:p>
        </w:tc>
        <w:tc>
          <w:tcPr>
            <w:tcW w:w="6334" w:type="dxa"/>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TDSQL PostgreSQL 版（TDSQL for PostgreSQL， 原 TBase）是腾讯自主研发的分布式数据库系统，具备高 SQL 兼容度、完整分布式事务、高安全、高扩展、多级容灾等能力，成功应用在金融、政府、电信等行业核心业务中。同时提供完善的容灾、备份、监控、审计等全套方案，适用于GB～PB级海量 HTAP 场景。</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2270" w:hRule="atLeast"/>
          <w:jc w:val="center"/>
        </w:trPr>
        <w:tc>
          <w:tcPr>
            <w:tcW w:w="787" w:type="dxa"/>
            <w:vMerge w:val="continue"/>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p>
        </w:tc>
        <w:tc>
          <w:tcPr>
            <w:tcW w:w="1341" w:type="dxa"/>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MySQL</w:t>
            </w:r>
          </w:p>
        </w:tc>
        <w:tc>
          <w:tcPr>
            <w:tcW w:w="6334" w:type="dxa"/>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腾讯云数据库 MySQL（TencentDB for MySQL）为用户提供安全可靠，性能卓越、易于维护的企业级云数据库服务。其具备6大企业级特性，包括企业级定制内核、企业级高可用、企业级高可靠、企业级安全、企业级扩展以及企业级智能运维。通过使用腾讯云数据库 MySQL，可实现分钟级别的数据库部署、弹性扩展以及全自动化的运维管理</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2305" w:hRule="atLeast"/>
          <w:jc w:val="center"/>
        </w:trPr>
        <w:tc>
          <w:tcPr>
            <w:tcW w:w="787" w:type="dxa"/>
            <w:vMerge w:val="continue"/>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p>
        </w:tc>
        <w:tc>
          <w:tcPr>
            <w:tcW w:w="1341" w:type="dxa"/>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REDIS</w:t>
            </w:r>
          </w:p>
        </w:tc>
        <w:tc>
          <w:tcPr>
            <w:tcW w:w="6334" w:type="dxa"/>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Redis是一个开源(BSD许可)的内存数据结构存储，用作数据库、缓存和消息代理。Redis提供数据结构，如字符串、哈希、列表、集合、带范围查询、位图、超对数、地理空间索引和流的排序集。Redis具有内置的复制、Lua脚本、LRU驱逐、事务和不同级别的磁盘持久性，并通过Redis Sentinel和Redis Cluster的自动分区提供高可用性。</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990" w:hRule="atLeast"/>
          <w:jc w:val="center"/>
        </w:trPr>
        <w:tc>
          <w:tcPr>
            <w:tcW w:w="787" w:type="dxa"/>
            <w:vMerge w:val="continue"/>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p>
        </w:tc>
        <w:tc>
          <w:tcPr>
            <w:tcW w:w="1341" w:type="dxa"/>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DSG</w:t>
            </w:r>
          </w:p>
        </w:tc>
        <w:tc>
          <w:tcPr>
            <w:tcW w:w="6334" w:type="dxa"/>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数据库迁移服务实现对Oracle、DB2、MySQL、SQL Server、Informix、Tbase、TDbase、达梦等多种主流数据库的同构之间实时迁移，不同数据库的异构实时迁移；实现线上和线下的数据库实时迁移;实现线上和线下的系统级迁移</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302" w:hRule="atLeast"/>
          <w:jc w:val="center"/>
        </w:trPr>
        <w:tc>
          <w:tcPr>
            <w:tcW w:w="787" w:type="dxa"/>
            <w:vMerge w:val="restart"/>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应用</w:t>
            </w:r>
          </w:p>
        </w:tc>
        <w:tc>
          <w:tcPr>
            <w:tcW w:w="1341" w:type="dxa"/>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TKE</w:t>
            </w:r>
          </w:p>
        </w:tc>
        <w:tc>
          <w:tcPr>
            <w:tcW w:w="6334" w:type="dxa"/>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腾讯云容器服务（Tencent Kubernetes Engine，TKE）基于原生 kubernetes 提供以容器为核心的、高度可扩展的高性能容器管理服务。腾讯云容器服务完全兼容原生 kubernetes API ，扩展了腾讯云的云硬盘、负载均衡等 kubernetes 插件，为容器化的应用提供高效部署、资源调度、服务发现和动态伸缩等一系列完整功能，解决用户开发、测试及运维过程的环境一致性问题，提高了大规模容器集群管理的便捷性。</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658" w:hRule="atLeast"/>
          <w:jc w:val="center"/>
        </w:trPr>
        <w:tc>
          <w:tcPr>
            <w:tcW w:w="787" w:type="dxa"/>
            <w:vMerge w:val="continue"/>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p>
        </w:tc>
        <w:tc>
          <w:tcPr>
            <w:tcW w:w="1341" w:type="dxa"/>
            <w:vMerge w:val="restart"/>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TSF(K8S)</w:t>
            </w:r>
          </w:p>
        </w:tc>
        <w:tc>
          <w:tcPr>
            <w:tcW w:w="6334" w:type="dxa"/>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Kubernetes(k8s)是Google开源的容器集群管理系统（谷歌内部:Borg）。在Docker技术的基础上，为容器化的应用提供部署运行、资源调度、服务发现和动态伸缩等一系列完整功能，提高了大规模容器集群管理的便捷性。</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2761" w:hRule="atLeast"/>
          <w:jc w:val="center"/>
        </w:trPr>
        <w:tc>
          <w:tcPr>
            <w:tcW w:w="787" w:type="dxa"/>
            <w:vMerge w:val="continue"/>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p>
        </w:tc>
        <w:tc>
          <w:tcPr>
            <w:tcW w:w="1341" w:type="dxa"/>
            <w:vMerge w:val="continue"/>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p>
        </w:tc>
        <w:tc>
          <w:tcPr>
            <w:tcW w:w="6334" w:type="dxa"/>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Kubernetes是一个完备的分布式系统支撑平台，具有完备的集群管理能力，多扩多层次的安全防护和准入机制、多租户应用支撑能力、透明的服务注册和发现机制、內建智能负载均衡器、强大的故障发现和自我修复能力、服务滚动升级和在线扩容能力、可扩展的资源自动调度机制以及多粒度的资源配额管理能力。同时Kubernetes提供完善的管理工具，涵盖了包括开发、部署测试、运维监控在内的各个环节。</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2277" w:hRule="atLeast"/>
          <w:jc w:val="center"/>
        </w:trPr>
        <w:tc>
          <w:tcPr>
            <w:tcW w:w="787" w:type="dxa"/>
            <w:vMerge w:val="continue"/>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p>
        </w:tc>
        <w:tc>
          <w:tcPr>
            <w:tcW w:w="1341" w:type="dxa"/>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COS</w:t>
            </w:r>
          </w:p>
        </w:tc>
        <w:tc>
          <w:tcPr>
            <w:tcW w:w="6334" w:type="dxa"/>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对象存储（Cloud Object Storage，COS）是由腾讯云推出的无目录层次结构、无数据格式限制，可容纳海量数据且支持 HTTP/HTTPS 协议访问的分布式存储服务。腾讯云 COS 的存储桶空间无容量上限，无需分区管理，适用于 CDN 数据分发、数据万象处理或大数据计算与分析的数据湖等多种场景。</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937" w:hRule="atLeast"/>
          <w:jc w:val="center"/>
        </w:trPr>
        <w:tc>
          <w:tcPr>
            <w:tcW w:w="787" w:type="dxa"/>
            <w:vMerge w:val="continue"/>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p>
        </w:tc>
        <w:tc>
          <w:tcPr>
            <w:tcW w:w="1341" w:type="dxa"/>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CLB</w:t>
            </w:r>
          </w:p>
        </w:tc>
        <w:tc>
          <w:tcPr>
            <w:tcW w:w="6334" w:type="dxa"/>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负载均衡（Cloud Load Balancer，CLB）提供安全快捷的流量分发服务，访问流量经由 CLB 可以自动分配到云中的多台云服务器上，扩展系统的服务能力并消除单点故障。负载均衡支持亿级连接和千万级并发，可轻松应对大流量访问，满足业务需求。</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961" w:hRule="atLeast"/>
          <w:jc w:val="center"/>
        </w:trPr>
        <w:tc>
          <w:tcPr>
            <w:tcW w:w="787" w:type="dxa"/>
            <w:vMerge w:val="continue"/>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p>
        </w:tc>
        <w:tc>
          <w:tcPr>
            <w:tcW w:w="1341" w:type="dxa"/>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kafka</w:t>
            </w:r>
          </w:p>
        </w:tc>
        <w:tc>
          <w:tcPr>
            <w:tcW w:w="6334" w:type="dxa"/>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消息队列 Kafka 版是基于 Apache Kafka 构建的高吞吐量、高可扩展性的分布式消息队列服务，广泛用于日志收集、监控数据聚合、流式数据处理、在线和离线分析等场景，是大数据生态中不可或缺的产品之一;</w:t>
            </w:r>
          </w:p>
        </w:tc>
      </w:tr>
    </w:tbl>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sz w:val="24"/>
          <w:szCs w:val="24"/>
        </w:rPr>
      </w:pP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组件性能要求</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 服务集群能提供稳定的高并发支持，支持每秒处理超过2000并发请求量。在网络稳定的情况下，框架处理时延低于 100毫秒 。</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 集群负载均衡：集群自动均衡负载，容器集群可以完成对负载自动均衡功能，且负载需在微秒级完成。</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(3) 集群自动复制保持副本，容器集群能够完成集群中容器的自动复制功能，且跨节点的复制耗时小于 5 分钟。</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(4) 容器的并发访问性能达到性能指标要求，并发数 500 时，事务平均响应时间小于3秒。</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(5) 高可用：根据任务的资源调度，提供 99.99% 的可用性，采用纯分布式架构，无单点故障，支持故障自动恢复。</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(6) 支持在线扩容，扩容时容器的启动时间小于10秒。节点监控需在 5 分钟内发现性能瓶颈和故障的节点。</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(7) 数据库支持多维度保障数据库安全，如主从复制、多副本，当单点发生故障切换时间小于10秒。</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部署实施规划</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部署实施过程中需要对云上VPC、租户、命名空间、安全组进行规划。使用VPC主要有两方面的核心优势。一是安全，即用户需要更安全的网络隔离，VPC基于隧道技术，实现数据链路层的隔离，为每个租户提供一张独立、隔离的安全网络。二是VPC让用户有了网络管理能力，比如IP规划，路由管理等等；云组织部门用于区分税务内部项目组织使用。云组织命名规范：一级部门使用项目名字或项目名字简写，二级部门使用项目名称_环境用途(预生产、生产、其他)；多个业务场景时建议划分多个命名空间，一是方便管理应用版本，二是利于资源管理；云环境使用域名时，不建议使用多个，减少系统间变更配置，以便后期维护；创建CVM，统一采用8C、32G，可发挥arm架构numa最大性能；生产环境采用一主两备模式，预生产建议采用一主一备；</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用户帐号规划</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租户账号管理规范按照账号类型划分不同用户组拆分各账户权限，达到各租户用户账号独立权限管理。</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账号类型主要分为主账号、子帐号两种类型：</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主账号主要是租户管理员，默认拥有账号下腾讯云所有资源，无需授权，可以任意访问其任何资源。</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子账号由主账号创建，完全归属于创建该子账号的主账号，子账号权限由主账号根据用户类型情况分配对应平台产品权限。</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其他规划</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云组织部门规划：云组织部门用于区分税务内部项目组织使用。云组织命名规范：一级部门使用项目名字或项目名字简写，二级部门使用项目名称_环境用途(预生产、生产、其他)。</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云集群空间规划：多个业务场景时建议划分多个命名空间，一是方便管理应用版本，二是利于资源管理。</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域名规划：云环境使用域名时，不建议使用多个，减少系统间变更配置，以便后期维护。</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 xml:space="preserve">CVM规划：创建CVM，统一采用8C、32G，可发挥arm架构numa最大性能； </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数据库规划：生产环境采用一主两备模式，预生产建议采用一主一备；</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bookmarkStart w:id="113" w:name="_Toc118534102"/>
      <w:r>
        <w:rPr>
          <w:rFonts w:hint="eastAsia" w:asciiTheme="minorEastAsia" w:hAnsiTheme="minorEastAsia" w:eastAsiaTheme="minorEastAsia" w:cstheme="minorEastAsia"/>
          <w:color w:val="auto"/>
          <w:kern w:val="2"/>
          <w:sz w:val="24"/>
          <w:szCs w:val="24"/>
          <w:lang w:val="en-US" w:eastAsia="zh-CN" w:bidi="ar-SA"/>
        </w:rPr>
        <w:t>环境部署周期</w:t>
      </w:r>
      <w:bookmarkEnd w:id="113"/>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上线单位黑龙江应用环境部署周期计划:</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省局端部署周期计划：</w:t>
      </w:r>
    </w:p>
    <w:tbl>
      <w:tblPr>
        <w:tblStyle w:val="27"/>
        <w:tblW w:w="8428" w:type="dxa"/>
        <w:tblInd w:w="93" w:type="dxa"/>
        <w:tblLayout w:type="fixed"/>
        <w:tblCellMar>
          <w:top w:w="0" w:type="dxa"/>
          <w:left w:w="108" w:type="dxa"/>
          <w:bottom w:w="0" w:type="dxa"/>
          <w:right w:w="108" w:type="dxa"/>
        </w:tblCellMar>
      </w:tblPr>
      <w:tblGrid>
        <w:gridCol w:w="866"/>
        <w:gridCol w:w="850"/>
        <w:gridCol w:w="5803"/>
        <w:gridCol w:w="909"/>
      </w:tblGrid>
      <w:tr>
        <w:tblPrEx>
          <w:tblLayout w:type="fixed"/>
          <w:tblCellMar>
            <w:top w:w="0" w:type="dxa"/>
            <w:left w:w="108" w:type="dxa"/>
            <w:bottom w:w="0" w:type="dxa"/>
            <w:right w:w="108" w:type="dxa"/>
          </w:tblCellMar>
        </w:tblPrEx>
        <w:trPr>
          <w:trHeight w:val="270" w:hRule="atLeast"/>
        </w:trPr>
        <w:tc>
          <w:tcPr>
            <w:tcW w:w="866" w:type="dxa"/>
            <w:tcBorders>
              <w:top w:val="single" w:color="000000" w:sz="4" w:space="0"/>
              <w:left w:val="single" w:color="000000" w:sz="4" w:space="0"/>
              <w:bottom w:val="single" w:color="000000" w:sz="4" w:space="0"/>
              <w:right w:val="single" w:color="000000" w:sz="4" w:space="0"/>
            </w:tcBorders>
            <w:shd w:val="clear" w:color="auto" w:fill="D7D7D7"/>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任务分类</w:t>
            </w:r>
          </w:p>
        </w:tc>
        <w:tc>
          <w:tcPr>
            <w:tcW w:w="850" w:type="dxa"/>
            <w:tcBorders>
              <w:top w:val="single" w:color="000000" w:sz="4" w:space="0"/>
              <w:left w:val="single" w:color="000000" w:sz="4" w:space="0"/>
              <w:bottom w:val="single" w:color="000000" w:sz="4" w:space="0"/>
              <w:right w:val="single" w:color="000000" w:sz="4" w:space="0"/>
            </w:tcBorders>
            <w:shd w:val="clear" w:color="auto" w:fill="D7D7D7"/>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编号</w:t>
            </w:r>
          </w:p>
        </w:tc>
        <w:tc>
          <w:tcPr>
            <w:tcW w:w="5803" w:type="dxa"/>
            <w:tcBorders>
              <w:top w:val="single" w:color="000000" w:sz="4" w:space="0"/>
              <w:left w:val="single" w:color="000000" w:sz="4" w:space="0"/>
              <w:bottom w:val="single" w:color="000000" w:sz="4" w:space="0"/>
              <w:right w:val="single" w:color="000000" w:sz="4" w:space="0"/>
            </w:tcBorders>
            <w:shd w:val="clear" w:color="auto" w:fill="D7D7D7"/>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任务名称</w:t>
            </w:r>
          </w:p>
        </w:tc>
        <w:tc>
          <w:tcPr>
            <w:tcW w:w="909" w:type="dxa"/>
            <w:tcBorders>
              <w:top w:val="single" w:color="000000" w:sz="4" w:space="0"/>
              <w:left w:val="single" w:color="000000" w:sz="4" w:space="0"/>
              <w:bottom w:val="single" w:color="000000" w:sz="4" w:space="0"/>
              <w:right w:val="single" w:color="000000" w:sz="4" w:space="0"/>
            </w:tcBorders>
            <w:shd w:val="clear" w:color="auto" w:fill="D7D7D7"/>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计划天数</w:t>
            </w:r>
          </w:p>
        </w:tc>
      </w:tr>
      <w:tr>
        <w:tblPrEx>
          <w:tblLayout w:type="fixed"/>
          <w:tblCellMar>
            <w:top w:w="0" w:type="dxa"/>
            <w:left w:w="108" w:type="dxa"/>
            <w:bottom w:w="0" w:type="dxa"/>
            <w:right w:w="108" w:type="dxa"/>
          </w:tblCellMar>
        </w:tblPrEx>
        <w:trPr>
          <w:trHeight w:val="270" w:hRule="atLeast"/>
        </w:trPr>
        <w:tc>
          <w:tcPr>
            <w:tcW w:w="866" w:type="dxa"/>
            <w:vMerge w:val="restart"/>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应用</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部署</w:t>
            </w:r>
          </w:p>
        </w:tc>
        <w:tc>
          <w:tcPr>
            <w:tcW w:w="850" w:type="dxa"/>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w:t>
            </w:r>
          </w:p>
        </w:tc>
        <w:tc>
          <w:tcPr>
            <w:tcW w:w="5803" w:type="dxa"/>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公网域名申请：etax.heilongjiang.chinatax.gov.cn</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w:t>
            </w:r>
          </w:p>
        </w:tc>
      </w:tr>
      <w:tr>
        <w:tblPrEx>
          <w:tblLayout w:type="fixed"/>
          <w:tblCellMar>
            <w:top w:w="0" w:type="dxa"/>
            <w:left w:w="108" w:type="dxa"/>
            <w:bottom w:w="0" w:type="dxa"/>
            <w:right w:w="108" w:type="dxa"/>
          </w:tblCellMar>
        </w:tblPrEx>
        <w:trPr>
          <w:trHeight w:val="270" w:hRule="atLeast"/>
        </w:trPr>
        <w:tc>
          <w:tcPr>
            <w:tcW w:w="866" w:type="dxa"/>
            <w:vMerge w:val="continue"/>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p>
        </w:tc>
        <w:tc>
          <w:tcPr>
            <w:tcW w:w="850" w:type="dxa"/>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w:t>
            </w:r>
          </w:p>
        </w:tc>
        <w:tc>
          <w:tcPr>
            <w:tcW w:w="5803" w:type="dxa"/>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应用部署和数据库部署IP分配</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w:t>
            </w:r>
          </w:p>
        </w:tc>
      </w:tr>
      <w:tr>
        <w:tblPrEx>
          <w:tblLayout w:type="fixed"/>
          <w:tblCellMar>
            <w:top w:w="0" w:type="dxa"/>
            <w:left w:w="108" w:type="dxa"/>
            <w:bottom w:w="0" w:type="dxa"/>
            <w:right w:w="108" w:type="dxa"/>
          </w:tblCellMar>
        </w:tblPrEx>
        <w:trPr>
          <w:trHeight w:val="270" w:hRule="atLeast"/>
        </w:trPr>
        <w:tc>
          <w:tcPr>
            <w:tcW w:w="866" w:type="dxa"/>
            <w:vMerge w:val="continue"/>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p>
        </w:tc>
        <w:tc>
          <w:tcPr>
            <w:tcW w:w="850" w:type="dxa"/>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3</w:t>
            </w:r>
          </w:p>
        </w:tc>
        <w:tc>
          <w:tcPr>
            <w:tcW w:w="5803" w:type="dxa"/>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新电子税局预生产环境搭建</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3</w:t>
            </w:r>
          </w:p>
        </w:tc>
      </w:tr>
      <w:tr>
        <w:tblPrEx>
          <w:tblLayout w:type="fixed"/>
          <w:tblCellMar>
            <w:top w:w="0" w:type="dxa"/>
            <w:left w:w="108" w:type="dxa"/>
            <w:bottom w:w="0" w:type="dxa"/>
            <w:right w:w="108" w:type="dxa"/>
          </w:tblCellMar>
        </w:tblPrEx>
        <w:trPr>
          <w:trHeight w:val="270" w:hRule="atLeast"/>
        </w:trPr>
        <w:tc>
          <w:tcPr>
            <w:tcW w:w="866" w:type="dxa"/>
            <w:vMerge w:val="continue"/>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p>
        </w:tc>
        <w:tc>
          <w:tcPr>
            <w:tcW w:w="850" w:type="dxa"/>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4</w:t>
            </w:r>
          </w:p>
        </w:tc>
        <w:tc>
          <w:tcPr>
            <w:tcW w:w="5803" w:type="dxa"/>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新电子税局版本出厂（内网、互联网）</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w:t>
            </w:r>
          </w:p>
        </w:tc>
      </w:tr>
      <w:tr>
        <w:tblPrEx>
          <w:tblLayout w:type="fixed"/>
          <w:tblCellMar>
            <w:top w:w="0" w:type="dxa"/>
            <w:left w:w="108" w:type="dxa"/>
            <w:bottom w:w="0" w:type="dxa"/>
            <w:right w:w="108" w:type="dxa"/>
          </w:tblCellMar>
        </w:tblPrEx>
        <w:trPr>
          <w:trHeight w:val="2967" w:hRule="atLeast"/>
        </w:trPr>
        <w:tc>
          <w:tcPr>
            <w:tcW w:w="866" w:type="dxa"/>
            <w:vMerge w:val="continue"/>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p>
        </w:tc>
        <w:tc>
          <w:tcPr>
            <w:tcW w:w="850" w:type="dxa"/>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5</w:t>
            </w:r>
          </w:p>
        </w:tc>
        <w:tc>
          <w:tcPr>
            <w:tcW w:w="5803" w:type="dxa"/>
            <w:tcBorders>
              <w:top w:val="single" w:color="000000" w:sz="4" w:space="0"/>
              <w:left w:val="single" w:color="000000" w:sz="4" w:space="0"/>
              <w:bottom w:val="single" w:color="000000" w:sz="4" w:space="0"/>
              <w:right w:val="single" w:color="000000" w:sz="4" w:space="0"/>
            </w:tcBorders>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【关键】生产环境部署：</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信创云上数据库与消息队列创建及应用部署：</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创建25个TDSQL库</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创建7个REDIS</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创建3个TDMQ实例</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创建3个Mongodb库</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创建2个CSP（内外网各1个）</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创建1个MariaDB库</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外网部署40个应用（创建160个POD）</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 xml:space="preserve">内网部署80个应用（创建320个POD） </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外网配置40个站点</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外网配置20个应用路由</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内网配置80个应用路由</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创建120个应用配置</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创建2个全局配置</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5</w:t>
            </w:r>
          </w:p>
        </w:tc>
      </w:tr>
      <w:tr>
        <w:tblPrEx>
          <w:tblLayout w:type="fixed"/>
          <w:tblCellMar>
            <w:top w:w="0" w:type="dxa"/>
            <w:left w:w="108" w:type="dxa"/>
            <w:bottom w:w="0" w:type="dxa"/>
            <w:right w:w="108" w:type="dxa"/>
          </w:tblCellMar>
        </w:tblPrEx>
        <w:trPr>
          <w:trHeight w:val="4320" w:hRule="atLeast"/>
        </w:trPr>
        <w:tc>
          <w:tcPr>
            <w:tcW w:w="866" w:type="dxa"/>
            <w:vMerge w:val="continue"/>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p>
        </w:tc>
        <w:tc>
          <w:tcPr>
            <w:tcW w:w="850" w:type="dxa"/>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6</w:t>
            </w:r>
          </w:p>
        </w:tc>
        <w:tc>
          <w:tcPr>
            <w:tcW w:w="5803" w:type="dxa"/>
            <w:tcBorders>
              <w:top w:val="single" w:color="000000" w:sz="4" w:space="0"/>
              <w:left w:val="single" w:color="000000" w:sz="4" w:space="0"/>
              <w:bottom w:val="single" w:color="000000" w:sz="4" w:space="0"/>
              <w:right w:val="single" w:color="000000" w:sz="4" w:space="0"/>
            </w:tcBorders>
            <w:noWrap w:val="0"/>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预生产环境部署：</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信创云上数据库与消息队列创建及应用部署：</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创建25个TDSQL库</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创建7个REDIS</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创建3个TDMQ实例</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创建3个Mongodb库</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创建2个CSP（内外网各1个）</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创建1个MariaDB库</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外网部署40个应用（创建40个POD）</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 xml:space="preserve">内网部署80个应用（创建80个POD） </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外网配置40个站点</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外网配置20个应用路由</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内网配置80个应用路由</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创建120个应用配置</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创建2个全局配置</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3</w:t>
            </w:r>
          </w:p>
        </w:tc>
      </w:tr>
    </w:tbl>
    <w:p>
      <w:pPr>
        <w:keepNext/>
        <w:keepLines/>
        <w:pageBreakBefore w:val="0"/>
        <w:widowControl w:val="0"/>
        <w:numPr>
          <w:ilvl w:val="0"/>
          <w:numId w:val="7"/>
        </w:numPr>
        <w:suppressAutoHyphens/>
        <w:kinsoku/>
        <w:wordWrap/>
        <w:topLinePunct w:val="0"/>
        <w:bidi w:val="0"/>
        <w:spacing w:before="0" w:beforeLines="0" w:beforeAutospacing="0" w:after="0" w:afterLines="0" w:afterAutospacing="0" w:line="360" w:lineRule="auto"/>
        <w:ind w:left="0" w:leftChars="0" w:hanging="425" w:firstLine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系统初始化</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组织本省各级税务机关开展初始化采集工作。采集完成后推广上线单位需建立初始化数据基线，形成相关的初始化数据脚本，并在新电子税局的准生产环境、预生产环境中完成初始化配置。初始化工作内容可分为基础环境初始化和应用初始化。应用初始化包括：新电子税局基础环境初始化、税智撑基础环境初始化和应用初始化。</w:t>
      </w:r>
    </w:p>
    <w:p>
      <w:pPr>
        <w:keepNext/>
        <w:keepLines/>
        <w:pageBreakBefore w:val="0"/>
        <w:widowControl w:val="0"/>
        <w:numPr>
          <w:ilvl w:val="0"/>
          <w:numId w:val="7"/>
        </w:numPr>
        <w:suppressAutoHyphens/>
        <w:kinsoku/>
        <w:wordWrap/>
        <w:topLinePunct w:val="0"/>
        <w:bidi w:val="0"/>
        <w:spacing w:before="0" w:beforeLines="0" w:beforeAutospacing="0" w:after="0" w:afterLines="0" w:afterAutospacing="0" w:line="360" w:lineRule="auto"/>
        <w:ind w:left="0" w:leftChars="0" w:hanging="425" w:firstLine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双轨验证过程支持</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双轨目标和范围</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首月双轨，由试点省局选定试点区县局以及试点区县选取一定量纳税人作为双轨纳税人，以新电局已开发完成的业务事项为主，通过双轨纳税人的运行测试，对上线业务进行功能性和准确性验证。</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次月起，双轨测试工作（包括参与区县及双轨纳税人范围等）由试点省局自行组织。</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双轨的实施条件：包括基本策略、双轨操作环境、</w:t>
      </w:r>
      <w:r>
        <w:rPr>
          <w:rFonts w:hint="eastAsia" w:asciiTheme="minorEastAsia" w:hAnsiTheme="minorEastAsia" w:eastAsiaTheme="minorEastAsia" w:cstheme="minorEastAsia"/>
          <w:color w:val="auto"/>
          <w:kern w:val="2"/>
          <w:sz w:val="24"/>
          <w:szCs w:val="24"/>
          <w:lang w:val="en-US" w:eastAsia="zh-CN" w:bidi="ar-SA"/>
        </w:rPr>
        <w:tab/>
      </w:r>
      <w:r>
        <w:rPr>
          <w:rFonts w:hint="eastAsia" w:asciiTheme="minorEastAsia" w:hAnsiTheme="minorEastAsia" w:eastAsiaTheme="minorEastAsia" w:cstheme="minorEastAsia"/>
          <w:color w:val="auto"/>
          <w:kern w:val="2"/>
          <w:sz w:val="24"/>
          <w:szCs w:val="24"/>
          <w:lang w:val="en-US" w:eastAsia="zh-CN" w:bidi="ar-SA"/>
        </w:rPr>
        <w:t>数据准备、人员、设备和场地环境。工作任务主要包括：制定工作方案、成立双轨工作团队、做好数据准备、准备双轨工作环境、确定双轨纳税人清册、开展双轨数据录入和组织数据验证。</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持续优化</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双轨工作团队在操作过程中发现的各类问题，通过禅道提交，由乙方建设团队负责统一受理，按职责分工过滤、解答、处理，确认需要进行程序优化的，推送相关厂商实施优化；涉及系统架构、数据链路、业务需求的，分别推送给架构组、税智撑项目组和业务统筹组明确意见，明确优化措施。试点省新电局试点项目组跟踪每日问题，与试点单位开展联合研判，对于双轨过程中产生的征管差异性问题进行分析，从省局角度提出业务、系统优化建议。</w:t>
      </w:r>
    </w:p>
    <w:p>
      <w:pPr>
        <w:keepNext/>
        <w:keepLines/>
        <w:pageBreakBefore w:val="0"/>
        <w:widowControl w:val="0"/>
        <w:numPr>
          <w:ilvl w:val="0"/>
          <w:numId w:val="7"/>
        </w:numPr>
        <w:suppressAutoHyphens/>
        <w:kinsoku/>
        <w:wordWrap/>
        <w:topLinePunct w:val="0"/>
        <w:bidi w:val="0"/>
        <w:spacing w:before="0" w:beforeLines="0" w:beforeAutospacing="0" w:after="0" w:afterLines="0" w:afterAutospacing="0" w:line="360" w:lineRule="auto"/>
        <w:ind w:left="0" w:leftChars="0" w:hanging="425" w:firstLine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业务差异分析、数据差异分析服务</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基于原电子税局总局规范业务功能对照新电子税局业务事项、业务需求说明书等资料进行比对分析，原电子税局基于总局规范建设同时与新电子税局的功能需求一致，直接采集新电子税局功能有313项。具体业务功能如下表：</w:t>
      </w:r>
    </w:p>
    <w:tbl>
      <w:tblPr>
        <w:tblStyle w:val="27"/>
        <w:tblW w:w="8090" w:type="dxa"/>
        <w:jc w:val="center"/>
        <w:tblInd w:w="0" w:type="dxa"/>
        <w:tblLayout w:type="fixed"/>
        <w:tblCellMar>
          <w:top w:w="0" w:type="dxa"/>
          <w:left w:w="108" w:type="dxa"/>
          <w:bottom w:w="0" w:type="dxa"/>
          <w:right w:w="108" w:type="dxa"/>
        </w:tblCellMar>
      </w:tblPr>
      <w:tblGrid>
        <w:gridCol w:w="1217"/>
        <w:gridCol w:w="6873"/>
      </w:tblGrid>
      <w:tr>
        <w:tblPrEx>
          <w:tblLayout w:type="fixed"/>
          <w:tblCellMar>
            <w:top w:w="0" w:type="dxa"/>
            <w:left w:w="108" w:type="dxa"/>
            <w:bottom w:w="0" w:type="dxa"/>
            <w:right w:w="108" w:type="dxa"/>
          </w:tblCellMar>
        </w:tblPrEx>
        <w:trPr>
          <w:trHeight w:val="290" w:hRule="atLeast"/>
          <w:jc w:val="center"/>
        </w:trPr>
        <w:tc>
          <w:tcPr>
            <w:tcW w:w="1217" w:type="dxa"/>
            <w:tcBorders>
              <w:top w:val="single" w:color="000000" w:sz="8" w:space="0"/>
              <w:left w:val="single" w:color="000000" w:sz="8" w:space="0"/>
              <w:bottom w:val="single" w:color="000000" w:sz="8" w:space="0"/>
              <w:right w:val="single" w:color="000000" w:sz="8" w:space="0"/>
            </w:tcBorders>
            <w:shd w:val="clear" w:color="000000" w:fill="BFBFBF"/>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序号</w:t>
            </w:r>
          </w:p>
        </w:tc>
        <w:tc>
          <w:tcPr>
            <w:tcW w:w="6873" w:type="dxa"/>
            <w:tcBorders>
              <w:top w:val="single" w:color="000000" w:sz="8" w:space="0"/>
              <w:left w:val="nil"/>
              <w:bottom w:val="single" w:color="000000" w:sz="8" w:space="0"/>
              <w:right w:val="single" w:color="000000" w:sz="8" w:space="0"/>
            </w:tcBorders>
            <w:shd w:val="clear" w:color="000000" w:fill="BFBFBF"/>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新电子税局业务功能名称</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涉税市场主体身份信息报告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涉税市场主体信息变更</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跨区域涉税事项信息反馈</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w:t>
            </w:r>
          </w:p>
        </w:tc>
        <w:tc>
          <w:tcPr>
            <w:tcW w:w="6873"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主管税务机关及科所分配</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财务会计制度及核算软件备案报告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存款账户账号报告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总分机构列名纳税人征缴信息维护</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汇总纳税报告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9</w:t>
            </w:r>
          </w:p>
        </w:tc>
        <w:tc>
          <w:tcPr>
            <w:tcW w:w="6873"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合并分立报告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w:t>
            </w:r>
          </w:p>
        </w:tc>
        <w:tc>
          <w:tcPr>
            <w:tcW w:w="6873"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停业复业报告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11</w:t>
            </w:r>
          </w:p>
        </w:tc>
        <w:tc>
          <w:tcPr>
            <w:tcW w:w="6873"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清税申报（税务注销办理）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取消扣缴税款登记</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税收减免报告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税收优惠资格取消</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欠税人处置不动产或者大额资产报告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16</w:t>
            </w:r>
          </w:p>
        </w:tc>
        <w:tc>
          <w:tcPr>
            <w:tcW w:w="6873"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增值税一般纳税人登记</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选择按小规模纳税人纳税的情况说明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跨境应税行为免征增值税报告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纳税人放弃增值税免（减）税权声明</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货物运输业小规模纳税人异地代开增值税专用发票备案及管理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21</w:t>
            </w:r>
          </w:p>
        </w:tc>
        <w:tc>
          <w:tcPr>
            <w:tcW w:w="6873"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发票遗失、损毁报告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出口退（免）税备案</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出口退（免）税备案变更</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出口退（免）税备案撤回</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生产企业委托代办退税情况备案</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生产企业委托代办退税情况备案撤回</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出口货物劳务及服务放弃退（免）税权</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出口货物劳务及服务放弃免税权</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出口货物劳务恢复退（免）税备案</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集团公司成员企业备案</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边贸代理出口备案</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退税商店备案</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软件和集成电路产业企业所得税优惠事项资料采集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境外注册中资控股企业居民身份认定申请</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核定征收企业所得税重大变化报告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居民企业跨年度企业所得税事项信息报告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居民企业投资类企业所得税事项信息报告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居民企业特定类企业所得税事项信息报告</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居民企业适用企业所得税事项处理方式信息报告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居民企业所得税税前扣除凭证信息报告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水资源税税源信息报告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车船税税源明细采集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土地增值税项目信息报告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新建商品房房源信息采集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环境保护税税源信息采集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非居民企业身份信息采集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源泉扣缴合同信息采集及变更</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境内机构和个人发包工程作业或劳务项目管理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服务贸易等项目对外支付税务备案</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非居民企业间接转让财产事项报告</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非居民企业股权转让适用特殊性税务处理的备案</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境外注册中资控股企业居民身份认定</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境外注册中资控股企业居民身份取消</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税务师事务所行政登记</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涉税专业服务信息采集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涉税专业服务报告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增量房信息采集（开发商）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58</w:t>
            </w:r>
          </w:p>
        </w:tc>
        <w:tc>
          <w:tcPr>
            <w:tcW w:w="6873"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跨区域迁移申请</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跨区税源登记</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两千户集团总部名单确定</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两千户集团成员企业名单确定</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两千户集团及成员名单动态管理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列名企业名单确定</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两千户集团直报白名单管理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一般纳税人辅导期管理</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软件产品增值税即征即退进项分摊方式资料报送与信息采集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全国炼油企业信息采集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农产品增值税进项税额扣除标准备案</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增值税及附加税费申报（一般纳税人适用）</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增值税及附加税费申报（小规模纳税人）</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原油天然气增值税申报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消费税及附加税费申报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航空运输企业年度清算申报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车辆购置税申报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增值税申报比对</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增值税留抵税额退税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增值税留抵抵欠</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留抵退税缴回</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石脑油、燃料油消费税退税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80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车辆购置税退税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81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海关缴款书核查申请</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82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代开增值税专用发票</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83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代开增值税普通发票</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84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代开发票作废</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85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免抵退税申报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86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免退税申报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87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外贸综合服务企业代办退税申报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88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出口已使用过设备免退税申报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89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购进自用货物免退税申报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90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航天发射业务免退税申报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91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生产企业出口非自产货物消费税退税申报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92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出口退（免）凭证信息查询</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93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企业撤回申报数据申请</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94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特殊核准退税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95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进料加工计划分配率备案</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96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生产企业进料加工业务免抵退税核销</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97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调整年度计划分配率</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98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进货凭证信息回退申请</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99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先退税后核销资格申请</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代理出口货物证明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代理进口货物证明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委托出口货物证明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来料加工免税证明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来料加工免税证明核销</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免税出口卷烟计划</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准予免税购进出口卷烟证明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出口卷烟已免税证明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出口卷烟免税核销</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出口货物转内销证明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110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出口货物已补税（未退税）证明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111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中标证明通知书</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112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补办出口退、免税相关证明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113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出口证明及核销作废</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114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居民企业（核定征收）企业所得税月（季）度申报</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115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居民企业（核定征收）企业所得税年度申报</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116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居民企业（查账征收）企业所得税月（季）度申报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117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居民企业(查账征收)企业所得税年度申报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118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清算企业所得税申报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119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企业所得税清算报备</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120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汇算清缴结算退抵税</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121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合伙创投企业法人合伙人所得分配情况采集</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122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对采取实际利润额预缴以外的其他企业所得税预缴方式的核定</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123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房产税、城镇土地使用税申报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124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契税申报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125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城市维护建设税申报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126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土地增值税预征申报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127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土地增值税清算申报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128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土地增值税尾盘申报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129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其他情况土地增值税申报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130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印花税申报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131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增值税适用加计抵减政策声明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132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代扣代缴证券交易印花税申报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133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车船税自行申报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134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代收代缴车船税申报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135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烟叶税申报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136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耕地占用税申报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137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资源税申报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138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水资源税申报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139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环境保护税（调整）核定申请</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140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环境保护税申报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141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土地交易申报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142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自然人出租不动产预缴申报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143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扣缴企业所得税报告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144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非居民企业所得税自行申报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145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非居民企业所得税预缴申报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146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非居民企业所得税年度申报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147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关联业务往来年度报告申报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148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中国税收居民身份证明开具</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149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“走出去”税收服务</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150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税收协定相互协商程序</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151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特别纳税调整相互协商程序申请</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152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特别纳税调查自行调整（缴纳）</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153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单边预约定价安排谈签与执行（适用简易程序）</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154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单边预约定价安排谈签与执行（适用一般程序）</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155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双边、多边预约定价安排谈签与执行</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156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代扣代缴文化事业建设费申报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157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残疾人就业保障金申报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158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油价调控风险准备金申报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159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文化事业建设费缴费信息报告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160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文化事业建设费申报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161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石油特别收益金申报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162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矿区使用费申报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163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废弃电器电子产品处理基金申报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164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重点税源补充信息采集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165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定期定额户自行申报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166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定期定额户简易申报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167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定期定额终止</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168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印花税票代售报告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169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其他代扣代缴、代收代缴申报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170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委托代征报告</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171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税（费）种认定</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172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申报错误更正</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173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财务报表报送</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174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银税三方（委托）划缴协议</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175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税务证件增补发</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176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对纳税人变更纳税定额的核准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177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税收减免核准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178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缴款开票</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179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转开税收完税证明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180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开具完税分割单</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181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转开税收缴款书（出口货物劳务专用）</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182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开具税收完税证明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183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入库减免退抵税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184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抵缴欠税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185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税收收入退还书开具</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186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不予加收滞纳金确认</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187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税务事项通知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188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文书送达</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189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涉税专业服务机构批量申报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190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涉税信息查询管理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191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第三方涉税保密信息查询</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192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税费宣传</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193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税费辅导</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194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全国税收资料调查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195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发票票种核定</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196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发票领用</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197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发票缴销</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198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发票验（交）旧</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199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发票用票需求申请</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200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工会经费申报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201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小微企业快速响应机制业务需求</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202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开具中央非税收入统一票据</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203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大企业涉税诉求服务</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204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大企业调查问卷服务</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205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税务文书电子送达确认书查询</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206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办税进度及结果信息查询</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207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历史办税操作查询</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208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申报查询</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209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小微企业（个体工商户）生产经营情况跟踪调查问卷</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210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批量零申报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211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千户集团基础涉税数据报送</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212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涉税服务人员代理办税权限授予</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213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纳税人涉税资料补正</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214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增值税期末留</w:t>
            </w:r>
            <w:r>
              <w:rPr>
                <w:rFonts w:hint="eastAsia" w:asciiTheme="minorEastAsia" w:hAnsiTheme="minorEastAsia" w:eastAsiaTheme="minorEastAsia" w:cstheme="minorEastAsia"/>
                <w:color w:val="000000"/>
                <w:sz w:val="24"/>
                <w:szCs w:val="24"/>
                <w:lang w:eastAsia="zh-CN"/>
              </w:rPr>
              <w:t>抵</w:t>
            </w:r>
            <w:r>
              <w:rPr>
                <w:rFonts w:hint="eastAsia" w:asciiTheme="minorEastAsia" w:hAnsiTheme="minorEastAsia" w:eastAsiaTheme="minorEastAsia" w:cstheme="minorEastAsia"/>
                <w:color w:val="000000"/>
                <w:sz w:val="24"/>
                <w:szCs w:val="24"/>
              </w:rPr>
              <w:t>退税意愿补充填报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215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农产品增值税进项税额扣除标准核定</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216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农产品耗用率核定</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217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一类出口企业评定</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218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出口企业分类管理复评</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219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居民企业所得税核定</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居民企业所得税征管异常情形日常管理</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居民企业所得税税前扣除凭证异常情形日常管理</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跨地区经营居民企业税务机关日常联动管理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企业所得税后续管理（非优惠类）</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居民企业所得税税收政策遵从风险提示</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居民企业所得税特殊监管对象日常管理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居民企业所得税重点关注群体日常管理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居民企业所得税征管异常数据日常管理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土地增值税清算审核</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环境保护税（调整）核定</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230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环保税复核处理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231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耕地占用税复核认定处理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232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非居民企业所得税核定</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233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非居民企业扣缴义务人指定</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234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跨境税源日常管理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235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特别纳税调整数据采集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236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一般反避税调查延期报送资料</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237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非正常户解除</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238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调查巡查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239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定期定额户核定及调整定额</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240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纳税信用修复</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241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纳税信用复评</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242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纳税信用补评</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243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当前年度纳税信用状况提醒</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244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纳税信用复核</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245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涉税专业服务机构（人员）信用信息查询</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246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稽查案源管理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247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稽查案件检查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248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稽查案件审理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249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责令限期改正</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250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简易程序处罚</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251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税务行政处罚听证</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252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延（分）期缴纳罚款申请审批</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253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税收违法行为检举管理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254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纳税担保申请确认</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255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复议申请管理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256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复议听证</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257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和解处理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258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查阅行政复议资料申请</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259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赔偿申请处理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260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赔偿申请撤回</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261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税务行政补偿</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262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申请税务人员回避处理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263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纳税服务投诉处理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264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首违不罚处理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265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税务检查证管理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266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税收预测</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267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会统报表</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268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收入快报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269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会计监督</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270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应申报清册</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271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场景式需求-税务稽查案件综合管理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272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场景式需求-新办智能开业</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273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场景式需求-签署银税三方划缴协议</w:t>
            </w:r>
          </w:p>
        </w:tc>
      </w:tr>
      <w:tr>
        <w:tblPrEx>
          <w:tblLayout w:type="fixed"/>
          <w:tblCellMar>
            <w:top w:w="0" w:type="dxa"/>
            <w:left w:w="108" w:type="dxa"/>
            <w:bottom w:w="0" w:type="dxa"/>
            <w:right w:w="108" w:type="dxa"/>
          </w:tblCellMar>
        </w:tblPrEx>
        <w:trPr>
          <w:trHeight w:val="56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274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场景式需求-财产和行为税税源采集及合并申报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275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场景式需求-跨区域涉税事项管理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276</w:t>
            </w:r>
          </w:p>
        </w:tc>
        <w:tc>
          <w:tcPr>
            <w:tcW w:w="6873"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场景式需求-发票代开</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277</w:t>
            </w:r>
          </w:p>
        </w:tc>
        <w:tc>
          <w:tcPr>
            <w:tcW w:w="6873"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场景式需求-发票使用</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278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场景式需求-一站式退税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279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场景式需求-解除非正常</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280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场景式需求-清税注销</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281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场景式需求-涉税专业服务机构管理</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282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场景式需求-扣缴申报场景</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283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场景式需求-走出去税收服务</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284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场景式需求-非居民企业跨境办税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285</w:t>
            </w:r>
          </w:p>
        </w:tc>
        <w:tc>
          <w:tcPr>
            <w:tcW w:w="6873"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场景式需求-简易确认式申报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286</w:t>
            </w:r>
          </w:p>
        </w:tc>
        <w:tc>
          <w:tcPr>
            <w:tcW w:w="6873"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场景式需求-综合关联式申报</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287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场景式需求-企业集团内控式办税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288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自然人代开增值税电子普票</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289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自然人代开增值税红字电子普票</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290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数电票扫描查验</w:t>
            </w:r>
          </w:p>
        </w:tc>
      </w:tr>
      <w:tr>
        <w:tblPrEx>
          <w:tblLayout w:type="fixed"/>
          <w:tblCellMar>
            <w:top w:w="0" w:type="dxa"/>
            <w:left w:w="108" w:type="dxa"/>
            <w:bottom w:w="0" w:type="dxa"/>
            <w:right w:w="108" w:type="dxa"/>
          </w:tblCellMar>
        </w:tblPrEx>
        <w:trPr>
          <w:trHeight w:val="55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291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增值税及附加税费要素化申报（一般纳税人适用）</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292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修改跨区域涉税事项报验登记信息</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293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跨区域涉税事项延期</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294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补建车购税登记信息</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295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停供发票购票特批</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296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超限量领购发票购票特批</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297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福利企业退税</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298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汇算清缴结算清缴退税（费）</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299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涉税专业服务人员信息变更</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300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涉税专业服务中止</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301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涉税服务机构代理自然人</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302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涉税专业服务人员信用复核</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303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税务师事务所行政登记变更及终止</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304</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其他税种核定申请</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305</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中央非税收入统一票据补打</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306</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税务行政诉讼</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307</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税务行政诉讼</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308</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当前年度信用预评价查询</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309</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稽查检查陈述申辩</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310</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稽查检查文书确认</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311</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政策速递消息提醒</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312</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一体式网格化服务消息提醒</w:t>
            </w:r>
          </w:p>
        </w:tc>
      </w:tr>
      <w:tr>
        <w:tblPrEx>
          <w:tblLayout w:type="fixed"/>
          <w:tblCellMar>
            <w:top w:w="0" w:type="dxa"/>
            <w:left w:w="108" w:type="dxa"/>
            <w:bottom w:w="0" w:type="dxa"/>
            <w:right w:w="108" w:type="dxa"/>
          </w:tblCellMar>
        </w:tblPrEx>
        <w:trPr>
          <w:trHeight w:val="290" w:hRule="atLeast"/>
          <w:jc w:val="center"/>
        </w:trPr>
        <w:tc>
          <w:tcPr>
            <w:tcW w:w="1217" w:type="dxa"/>
            <w:tcBorders>
              <w:top w:val="nil"/>
              <w:left w:val="single" w:color="000000" w:sz="8" w:space="0"/>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313</w:t>
            </w:r>
          </w:p>
        </w:tc>
        <w:tc>
          <w:tcPr>
            <w:tcW w:w="6873"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清缴税款</w:t>
            </w:r>
          </w:p>
        </w:tc>
      </w:tr>
    </w:tbl>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总局规范类保留功能</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基于现电子税局业务功能（总局规范及黑龙江省本地创新业务）对照新电子税局业务事项、业务需求、业务需求分析等资料进行比对分析差异，以下64项为总局规范要求实现的“非接触办税”事项。</w:t>
      </w:r>
    </w:p>
    <w:tbl>
      <w:tblPr>
        <w:tblStyle w:val="27"/>
        <w:tblW w:w="8380" w:type="dxa"/>
        <w:tblInd w:w="108" w:type="dxa"/>
        <w:tblLayout w:type="fixed"/>
        <w:tblCellMar>
          <w:top w:w="0" w:type="dxa"/>
          <w:left w:w="108" w:type="dxa"/>
          <w:bottom w:w="0" w:type="dxa"/>
          <w:right w:w="108" w:type="dxa"/>
        </w:tblCellMar>
      </w:tblPr>
      <w:tblGrid>
        <w:gridCol w:w="640"/>
        <w:gridCol w:w="924"/>
        <w:gridCol w:w="1276"/>
        <w:gridCol w:w="2760"/>
        <w:gridCol w:w="2780"/>
      </w:tblGrid>
      <w:tr>
        <w:tblPrEx>
          <w:tblLayout w:type="fixed"/>
          <w:tblCellMar>
            <w:top w:w="0" w:type="dxa"/>
            <w:left w:w="108" w:type="dxa"/>
            <w:bottom w:w="0" w:type="dxa"/>
            <w:right w:w="108" w:type="dxa"/>
          </w:tblCellMar>
        </w:tblPrEx>
        <w:trPr>
          <w:trHeight w:val="610" w:hRule="atLeast"/>
        </w:trPr>
        <w:tc>
          <w:tcPr>
            <w:tcW w:w="640" w:type="dxa"/>
            <w:tcBorders>
              <w:top w:val="single" w:color="000000" w:sz="8" w:space="0"/>
              <w:left w:val="single" w:color="000000" w:sz="8" w:space="0"/>
              <w:bottom w:val="single" w:color="000000" w:sz="8" w:space="0"/>
              <w:right w:val="single" w:color="000000" w:sz="8" w:space="0"/>
            </w:tcBorders>
            <w:shd w:val="clear" w:color="000000" w:fill="A4A4A4"/>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序号</w:t>
            </w:r>
          </w:p>
        </w:tc>
        <w:tc>
          <w:tcPr>
            <w:tcW w:w="924" w:type="dxa"/>
            <w:tcBorders>
              <w:top w:val="single" w:color="000000" w:sz="8" w:space="0"/>
              <w:left w:val="nil"/>
              <w:bottom w:val="single" w:color="000000" w:sz="8" w:space="0"/>
              <w:right w:val="single" w:color="000000" w:sz="8" w:space="0"/>
            </w:tcBorders>
            <w:shd w:val="clear" w:color="000000" w:fill="A4A4A4"/>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功能模块</w:t>
            </w:r>
          </w:p>
        </w:tc>
        <w:tc>
          <w:tcPr>
            <w:tcW w:w="1276" w:type="dxa"/>
            <w:tcBorders>
              <w:top w:val="single" w:color="000000" w:sz="8" w:space="0"/>
              <w:left w:val="nil"/>
              <w:bottom w:val="single" w:color="000000" w:sz="8" w:space="0"/>
              <w:right w:val="single" w:color="000000" w:sz="8" w:space="0"/>
            </w:tcBorders>
            <w:shd w:val="clear" w:color="000000" w:fill="A4A4A4"/>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功能分类</w:t>
            </w:r>
          </w:p>
        </w:tc>
        <w:tc>
          <w:tcPr>
            <w:tcW w:w="2760" w:type="dxa"/>
            <w:tcBorders>
              <w:top w:val="single" w:color="000000" w:sz="8" w:space="0"/>
              <w:left w:val="nil"/>
              <w:bottom w:val="single" w:color="000000" w:sz="8" w:space="0"/>
              <w:right w:val="single" w:color="000000" w:sz="8" w:space="0"/>
            </w:tcBorders>
            <w:shd w:val="clear" w:color="000000" w:fill="A4A4A4"/>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功能名称</w:t>
            </w:r>
          </w:p>
        </w:tc>
        <w:tc>
          <w:tcPr>
            <w:tcW w:w="2780" w:type="dxa"/>
            <w:tcBorders>
              <w:top w:val="single" w:color="000000" w:sz="8" w:space="0"/>
              <w:left w:val="nil"/>
              <w:bottom w:val="single" w:color="000000" w:sz="8" w:space="0"/>
              <w:right w:val="single" w:color="000000" w:sz="8" w:space="0"/>
            </w:tcBorders>
            <w:shd w:val="clear" w:color="000000" w:fill="A4A4A4"/>
            <w:noWrap/>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b/>
                <w:bCs/>
                <w:color w:val="000000"/>
                <w:sz w:val="24"/>
                <w:szCs w:val="24"/>
              </w:rPr>
            </w:pPr>
            <w:r>
              <w:rPr>
                <w:rFonts w:hint="eastAsia" w:asciiTheme="minorEastAsia" w:hAnsiTheme="minorEastAsia" w:eastAsiaTheme="minorEastAsia" w:cstheme="minorEastAsia"/>
                <w:b/>
                <w:bCs/>
                <w:color w:val="000000"/>
                <w:sz w:val="24"/>
                <w:szCs w:val="24"/>
              </w:rPr>
              <w:t>对应总局规范目录编号</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w:t>
            </w:r>
          </w:p>
        </w:tc>
        <w:tc>
          <w:tcPr>
            <w:tcW w:w="924" w:type="dxa"/>
            <w:vMerge w:val="restart"/>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我要办税</w:t>
            </w:r>
          </w:p>
        </w:tc>
        <w:tc>
          <w:tcPr>
            <w:tcW w:w="1276" w:type="dxa"/>
            <w:vMerge w:val="restart"/>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税费申报及缴纳</w:t>
            </w: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增量房销售信息采集</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2.2.1.4.14</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印花税票代售报告</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2.2.3.5.5.2</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中外合作及海上自营油气田资源税纳税申报</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2.2.3.5</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委托代征证券交易印花税报告</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2.2.3.5.5.3</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扣缴储蓄存款利息所得个人所得税申报</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2.2.3.5</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清缴税款（预缴税费）</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2.2.3.14</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7</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小微金融增值税优惠政策数据统计</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2.2.3.11.8</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8</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对外合作开采石油企业信息采集</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2.2.3.11.4</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9</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企业所得税汇总纳税企业总分支机构信息备案</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2.2.3.4.5</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10</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税收统计调查相关资料</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2.2.3.11</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11</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税收统计调查数据采集</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2.2.3.11.2.1</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12</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restart"/>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发票使用</w:t>
            </w: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作废开具红字发票信息表</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2.2.2.7.2</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13</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一般纳税人红字增值税专用发票开具预申请</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2.2.2.7.1</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14</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增值税税控系统专用设备初始发行</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2.6.1.1</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15</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增值税税控系统专用设备变更发行</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2.2.2.5</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16</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增值税税控系统专用设备注销发行</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2.2.2.5</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17</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restart"/>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综合信息报告</w:t>
            </w: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个体工商户登记信息确认</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2.2.1.1.3</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18</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一照一码户登记信息确认</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2.2.1.1.1</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19</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电子发票服务平台初始备案</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2.2.1.2.8.1</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20</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电子发票服务平台备案信息变更</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2.2.1.2.8.2</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21</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电子发票服务平台税控服务器信息维护</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2.2.1.2.9.1</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注销建筑业项目报告</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2.2.1.4.6</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23</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建筑业项目报告</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2.2.1.4.5</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24</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不动产项目报告</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2.2.1.4.7</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25</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不动产项目变更</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2.2.1.4.7</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26</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注销不动产项目报告</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 xml:space="preserve">2.2.1.4.8 </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27</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土地增值税项目房源信息报告</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2.2.1.4.18</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28</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注销扣缴税款登记</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2.2.1.5.9</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29</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跨省（市）迁移涉税事项报告</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2.2.1.5.10</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30</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税务证件增补发</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2.2.1.6.1</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31</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电子发票服务平台初始备案</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2.2.1.2.8.1</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32</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电子发票服务平台备案信息变更</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2.2.1.2.8.2</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33</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电子发票服务平台税控服务器信息维护</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2.2.1.2.9.1</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34</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签订税务文书电子送达确认书</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2.2.1.2.9</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35</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建筑业项目报告</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2.2.1.4.5</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36</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注销建筑业项目报告</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2.2.1.4.6</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37</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不动产项目报告</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2.2.1.4.7</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38</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不动产项目变更</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2.2.1.4.7</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39</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注销不动产项目报告</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2.2.1.4.7</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40</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土地增值税项目房源信息报告</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2.2.1.4.18</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41</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注销税务登记</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2.2.1.5.1</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42</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注销税务登记优化</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2.2.1.5.1</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43</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跨省(市)迁移涉税事项报告</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2.2.1.5.10</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44</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注销扣缴税款登记</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2.2.1.5.9</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45</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税务证件增补发</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2.2.1.6.1</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46</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印制有本单位名称发票</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 xml:space="preserve"> 3.4.1.1 </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47</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税收减免</w:t>
            </w: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石脑油、燃料油消费税退税资格备案</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2.2.8.1.7</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48</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税务行政许可</w:t>
            </w: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增值税专用发票（增值税税控系统）最高开票限额审批</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2.2.6.5</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49</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核定管理</w:t>
            </w: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纳税人申请调整核定印花税</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2.2.7.4</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50</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restart"/>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一般退（抵）税管理</w:t>
            </w: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退抵税费申请（车船税）</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2.2.8.1.5</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51</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退抵税费申请（即征即退缴回申请）</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2.2.8.1.10</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52</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restart"/>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法律追责与救济事项</w:t>
            </w: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税务行政诉讼</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2.2.16.3.</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53</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行政处罚申辩</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2.2.16.3.1</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54</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重新作出行政行为处理文书确认</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2.2.16.3.4</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55</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中国居民（国民）申请启动税务相互协商程序</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2.2.16.3.5</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56</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restart"/>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涉税专业服务机构管理</w:t>
            </w: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涉税专业服务机构信息汇总报送</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2.2.15.2.5</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57</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涉税专业服务机构信用复核申请</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2.2.15.2.6</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58</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涉税专业服务协议变更及终止</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2.2.15.2.1</w:t>
            </w:r>
          </w:p>
        </w:tc>
      </w:tr>
      <w:tr>
        <w:tblPrEx>
          <w:tblLayout w:type="fixed"/>
          <w:tblCellMar>
            <w:top w:w="0" w:type="dxa"/>
            <w:left w:w="108" w:type="dxa"/>
            <w:bottom w:w="0" w:type="dxa"/>
            <w:right w:w="108" w:type="dxa"/>
          </w:tblCellMar>
        </w:tblPrEx>
        <w:trPr>
          <w:trHeight w:val="3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59</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涉税专业服务协议信息采集</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2.2.15.2.2</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60</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税务代保管资金收取</w:t>
            </w: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税务代保管资金收取</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2.2.11</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61</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增值税抵扣凭证管理</w:t>
            </w: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未按期申报抵扣增值税扣税凭证抵扣管理</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 xml:space="preserve">3.4.1.1 </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62</w:t>
            </w:r>
          </w:p>
        </w:tc>
        <w:tc>
          <w:tcPr>
            <w:tcW w:w="924" w:type="dxa"/>
            <w:vMerge w:val="restart"/>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我要查询</w:t>
            </w:r>
          </w:p>
        </w:tc>
        <w:tc>
          <w:tcPr>
            <w:tcW w:w="1276"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办税进度及结果查询</w:t>
            </w: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扣缴税款登记及变更</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2.2.1.1.5.2</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63</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违法违章信息查询类</w:t>
            </w: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违法违章信息查询类</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2.3.10</w:t>
            </w:r>
          </w:p>
        </w:tc>
      </w:tr>
      <w:tr>
        <w:tblPrEx>
          <w:tblLayout w:type="fixed"/>
          <w:tblCellMar>
            <w:top w:w="0" w:type="dxa"/>
            <w:left w:w="108" w:type="dxa"/>
            <w:bottom w:w="0" w:type="dxa"/>
            <w:right w:w="108" w:type="dxa"/>
          </w:tblCellMar>
        </w:tblPrEx>
        <w:trPr>
          <w:trHeight w:val="610" w:hRule="atLeast"/>
        </w:trPr>
        <w:tc>
          <w:tcPr>
            <w:tcW w:w="640" w:type="dxa"/>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center"/>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64</w:t>
            </w:r>
          </w:p>
        </w:tc>
        <w:tc>
          <w:tcPr>
            <w:tcW w:w="924" w:type="dxa"/>
            <w:vMerge w:val="continue"/>
            <w:tcBorders>
              <w:top w:val="nil"/>
              <w:left w:val="single" w:color="000000" w:sz="8" w:space="0"/>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p>
        </w:tc>
        <w:tc>
          <w:tcPr>
            <w:tcW w:w="1276"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简易注销纳税人未办结涉税事项查询</w:t>
            </w:r>
          </w:p>
        </w:tc>
        <w:tc>
          <w:tcPr>
            <w:tcW w:w="2760" w:type="dxa"/>
            <w:tcBorders>
              <w:top w:val="nil"/>
              <w:left w:val="nil"/>
              <w:bottom w:val="single" w:color="000000" w:sz="8" w:space="0"/>
              <w:right w:val="single" w:color="000000" w:sz="8" w:space="0"/>
            </w:tcBorders>
            <w:noWrap w:val="0"/>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简易注销纳税人未办结涉税事项查询</w:t>
            </w:r>
          </w:p>
        </w:tc>
        <w:tc>
          <w:tcPr>
            <w:tcW w:w="2780" w:type="dxa"/>
            <w:tcBorders>
              <w:top w:val="nil"/>
              <w:left w:val="nil"/>
              <w:bottom w:val="single" w:color="000000" w:sz="8" w:space="0"/>
              <w:right w:val="single" w:color="000000" w:sz="8" w:space="0"/>
            </w:tcBorders>
            <w:noWrap/>
            <w:vAlign w:val="center"/>
          </w:tcPr>
          <w:p>
            <w:pPr>
              <w:pageBreakBefore w:val="0"/>
              <w:widowControl/>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2.2.1.5.2</w:t>
            </w:r>
          </w:p>
        </w:tc>
      </w:tr>
    </w:tbl>
    <w:p>
      <w:pPr>
        <w:keepNext/>
        <w:keepLines/>
        <w:pageBreakBefore w:val="0"/>
        <w:widowControl w:val="0"/>
        <w:numPr>
          <w:ilvl w:val="0"/>
          <w:numId w:val="7"/>
        </w:numPr>
        <w:suppressAutoHyphens/>
        <w:kinsoku/>
        <w:wordWrap/>
        <w:topLinePunct w:val="0"/>
        <w:bidi w:val="0"/>
        <w:spacing w:before="0" w:beforeLines="0" w:beforeAutospacing="0" w:after="0" w:afterLines="0" w:afterAutospacing="0" w:line="360" w:lineRule="auto"/>
        <w:ind w:left="0" w:leftChars="0" w:hanging="425" w:firstLine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压力测试及安全管理支持</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压力测试目标</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制定新电子税局系统的性能测试方案，保证性能测试的有效性，使性能测试有序高效进行。通过对系统业务处理能力、系统响应时间等性能进行测试，分析估算系统稳定运行所能承受的并发用户数、响应时间等系统主要性能参数指标，以识别在极限负载下生产系统的弱点并进行对应系统优化，确保系统上线后高效平稳运行。</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以四川、陕西、天津、总局试点的业务数据进行分析，以及结合黑龙江省上线提供接口场景等高频情况，初步拟定新电子税局系统主要场景的压测目标，以及为保障整体用户体验，制定“95分位耗时 &lt; 3秒”的指标。</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ab/>
      </w:r>
      <w:r>
        <w:rPr>
          <w:rFonts w:hint="eastAsia" w:asciiTheme="minorEastAsia" w:hAnsiTheme="minorEastAsia" w:eastAsiaTheme="minorEastAsia" w:cstheme="minorEastAsia"/>
          <w:color w:val="auto"/>
          <w:kern w:val="2"/>
          <w:sz w:val="24"/>
          <w:szCs w:val="24"/>
          <w:lang w:val="en-US" w:eastAsia="zh-CN" w:bidi="ar-SA"/>
        </w:rPr>
        <w:t>压力测试对象</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根据项目建设要求,本次压测方案针对新电子税局系统在生产进行压测。压测场景目标通过摸高取得,本次压测主要针对黑龙江省新电子税局与税智撑支撑新电局部分应用接口及关键数据链路进行,根据实际场景需求进行压测,得出压测结果供开发分析代码性能,供环境组评估设备负载能力,供黑龙江省税务局评估整体性能情况。</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系统数据同步链路压测,通过对相关数据表的写入或调整对链路进行压测和监控。</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安全管理支持</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密切配合项目组针对新电子税局的漏洞扫描与渗透测试工作，并负责基础环境的修复和安全加固，如出现应用层漏洞，组织漏洞修复。新电子税局系统上线后，对新电子税局系统遭受的网络攻击情况按日统计，每日报送《网络安全情况统计表》，上线后每月15日和最后一个工作日报送《网络安全情况半月报》、漏洞扫描、渗透测试报告至项目组。</w:t>
      </w:r>
    </w:p>
    <w:p>
      <w:pPr>
        <w:keepNext/>
        <w:keepLines/>
        <w:pageBreakBefore w:val="0"/>
        <w:widowControl w:val="0"/>
        <w:numPr>
          <w:ilvl w:val="0"/>
          <w:numId w:val="7"/>
        </w:numPr>
        <w:suppressAutoHyphens/>
        <w:kinsoku/>
        <w:wordWrap/>
        <w:topLinePunct w:val="0"/>
        <w:bidi w:val="0"/>
        <w:spacing w:before="0" w:beforeLines="0" w:beforeAutospacing="0" w:after="0" w:afterLines="0" w:afterAutospacing="0" w:line="360" w:lineRule="auto"/>
        <w:ind w:left="0" w:leftChars="0" w:hanging="425" w:firstLine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数据清理及上线切换支持</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准生产环境数据清理</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准生产环境数据清理是新电子税局系统上线切换的前序任务。清理对象是准生产环境在双轨验证过程中所产生的垃圾数据，需清理的数据包括在准生产环境中保存的交易数据、过程数据和日志数据等。清理过程包括清理脚本审核、清理脚本执行以及清理结果复核等任务项。</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上线切换</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准生产环境切换生产环境的工作包括制定切换计划、版本检查与升级、初始化检查与验证、生产环境配置检查、生产环境与存量系统的联调验证、冒烟测试以及正式开放等步骤。</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切换过程是根据切换计划依次执行切换任务的方式进行，由切换负责人统一发布任务执行指令，对应的任务执行人或小组开始执行对应的任务项并对最后的任务执行结果负责。主要任务项包括：制定切换计划、版本检查与升级相关工作项、初始化检查与验证相关工作项、生产环境配置检查项、生产环境与存量系统的联调验证、冒烟测试和正式开放。</w:t>
      </w:r>
    </w:p>
    <w:p>
      <w:pPr>
        <w:keepNext/>
        <w:keepLines/>
        <w:pageBreakBefore w:val="0"/>
        <w:widowControl w:val="0"/>
        <w:numPr>
          <w:ilvl w:val="0"/>
          <w:numId w:val="7"/>
        </w:numPr>
        <w:suppressAutoHyphens/>
        <w:kinsoku/>
        <w:wordWrap/>
        <w:topLinePunct w:val="0"/>
        <w:bidi w:val="0"/>
        <w:spacing w:before="0" w:beforeLines="0" w:beforeAutospacing="0" w:after="0" w:afterLines="0" w:afterAutospacing="0" w:line="360" w:lineRule="auto"/>
        <w:ind w:left="0" w:leftChars="0" w:hanging="425" w:firstLine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双轨上线运行保障服务</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为保障发票电子化改革（金税四期）试点阶段统一规范电子税务局的平稳运行，提升问题处理质效，建立快速合理有效的问题处理机制，充分发挥运维团队保障作用，同时为运维人员提供运维工作指引。</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双轨问题处理保障</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对用户在系统使用过程中遇到的操作性、业务性、维护性等各类问题，技术支持人员应进行解答并帮助其解决问题，同时记录问题内容，根据问题提出的频率整理出技术支持问题列表和相应的文档资料，定期进行发布，帮助用户更好的理解和使用系统。</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生产环境全链路监控</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服务器弹性伸缩和情况：新电子税局生产环境目前已针对所有应用的POD配置了弹性伸缩规则，并启用了弹性伸缩功能，预设低频业务，中频业务和高频业务档位POD。根据业务量、响应时间和复杂度等伸缩规则选择进行弹性调整服务器配置。</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服务接口性能情况</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详细记录每天高峰期服务接口吞吐量，使用每小时访问次数、平均错误率、平均响应耗时;微服务网关总调用次数、平均错误率、平均响应耗时。详细描述接口性能情况。</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故障分析及应急处理</w:t>
      </w:r>
    </w:p>
    <w:p>
      <w:pPr>
        <w:pageBreakBefore w:val="0"/>
        <w:widowControl/>
        <w:suppressAutoHyphens/>
        <w:kinsoku/>
        <w:wordWrap/>
        <w:overflowPunct w:val="0"/>
        <w:topLinePunct w:val="0"/>
        <w:autoSpaceDE w:val="0"/>
        <w:autoSpaceDN w:val="0"/>
        <w:bidi w:val="0"/>
        <w:adjustRightInd w:val="0"/>
        <w:spacing w:beforeAutospacing="0" w:afterAutospacing="0" w:line="360" w:lineRule="auto"/>
        <w:ind w:left="0" w:leftChars="0" w:firstLine="530" w:firstLineChars="221"/>
        <w:textAlignment w:val="baseline"/>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当上线保障人员发现或收到系统出现技术故障的情况时，将立即分析处理，必要时派出后台专业技术人员到达用户故障现场，与现场各相关的软件承建商一起以最快的速度分析故障原因，确定故障点，再根据故障类型，进行故障排除。在故障解决后，上线保障人员将提交故障处理报告，说明故障种类、故障原因、故障解决中使用的方法及造成的损失等情况。</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第4章 总体技术要求</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firstLine="480" w:firstLineChars="200"/>
        <w:jc w:val="both"/>
        <w:outlineLvl w:val="2"/>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1、安全性</w:t>
      </w:r>
    </w:p>
    <w:p>
      <w:pPr>
        <w:pageBreakBefore w:val="0"/>
        <w:suppressAutoHyphens/>
        <w:kinsoku/>
        <w:wordWrap/>
        <w:topLinePunct w:val="0"/>
        <w:bidi w:val="0"/>
        <w:spacing w:beforeAutospacing="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重点关注应用层安全和数据层安全问题，应用层安全需要重点考虑：</w:t>
      </w:r>
    </w:p>
    <w:p>
      <w:pPr>
        <w:pageBreakBefore w:val="0"/>
        <w:widowControl w:val="0"/>
        <w:numPr>
          <w:ilvl w:val="0"/>
          <w:numId w:val="9"/>
        </w:numPr>
        <w:suppressAutoHyphens/>
        <w:kinsoku/>
        <w:wordWrap/>
        <w:topLinePunct w:val="0"/>
        <w:bidi w:val="0"/>
        <w:spacing w:beforeAutospacing="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用户身份安全</w:t>
      </w:r>
    </w:p>
    <w:p>
      <w:pPr>
        <w:pageBreakBefore w:val="0"/>
        <w:widowControl w:val="0"/>
        <w:numPr>
          <w:ilvl w:val="0"/>
          <w:numId w:val="9"/>
        </w:numPr>
        <w:suppressAutoHyphens/>
        <w:kinsoku/>
        <w:wordWrap/>
        <w:topLinePunct w:val="0"/>
        <w:bidi w:val="0"/>
        <w:spacing w:beforeAutospacing="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数据传输安全</w:t>
      </w:r>
    </w:p>
    <w:p>
      <w:pPr>
        <w:pageBreakBefore w:val="0"/>
        <w:widowControl w:val="0"/>
        <w:numPr>
          <w:ilvl w:val="0"/>
          <w:numId w:val="9"/>
        </w:numPr>
        <w:suppressAutoHyphens/>
        <w:kinsoku/>
        <w:wordWrap/>
        <w:topLinePunct w:val="0"/>
        <w:bidi w:val="0"/>
        <w:spacing w:beforeAutospacing="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外网数据安全</w:t>
      </w:r>
    </w:p>
    <w:p>
      <w:pPr>
        <w:pageBreakBefore w:val="0"/>
        <w:widowControl w:val="0"/>
        <w:numPr>
          <w:ilvl w:val="0"/>
          <w:numId w:val="9"/>
        </w:numPr>
        <w:suppressAutoHyphens/>
        <w:kinsoku/>
        <w:wordWrap/>
        <w:topLinePunct w:val="0"/>
        <w:bidi w:val="0"/>
        <w:spacing w:beforeAutospacing="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越权访问安全</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firstLine="480" w:firstLineChars="200"/>
        <w:jc w:val="both"/>
        <w:outlineLvl w:val="2"/>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2、可靠性/可用性/可复原性</w:t>
      </w:r>
    </w:p>
    <w:p>
      <w:pPr>
        <w:pageBreakBefore w:val="0"/>
        <w:suppressAutoHyphens/>
        <w:kinsoku/>
        <w:wordWrap/>
        <w:topLinePunct w:val="0"/>
        <w:bidi w:val="0"/>
        <w:spacing w:beforeAutospacing="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应保证在正常情况下和极端情况下业务逻辑的正确性。</w:t>
      </w:r>
    </w:p>
    <w:p>
      <w:pPr>
        <w:pageBreakBefore w:val="0"/>
        <w:suppressAutoHyphens/>
        <w:kinsoku/>
        <w:wordWrap/>
        <w:topLinePunct w:val="0"/>
        <w:bidi w:val="0"/>
        <w:spacing w:beforeAutospacing="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要求系统7x24小时运行。</w:t>
      </w:r>
    </w:p>
    <w:p>
      <w:pPr>
        <w:pageBreakBefore w:val="0"/>
        <w:suppressAutoHyphens/>
        <w:kinsoku/>
        <w:wordWrap/>
        <w:topLinePunct w:val="0"/>
        <w:bidi w:val="0"/>
        <w:spacing w:beforeAutospacing="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提供灾难恢复机制，在发生故障时能够快速恢复正常业务运作。</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firstLine="480" w:firstLineChars="200"/>
        <w:jc w:val="both"/>
        <w:outlineLvl w:val="2"/>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3、可维护性/可扩展性/可伸缩性</w:t>
      </w:r>
    </w:p>
    <w:p>
      <w:pPr>
        <w:pageBreakBefore w:val="0"/>
        <w:suppressAutoHyphens/>
        <w:kinsoku/>
        <w:wordWrap/>
        <w:topLinePunct w:val="0"/>
        <w:bidi w:val="0"/>
        <w:spacing w:beforeAutospacing="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系统对可扩展性，在设计上必须具有适应业务变化的能力，当系统新增业务功能或现有业务功能改变时（界面的改变、业务实体变化、业务流程变化、规则的改变、代码改变等），应尽可能的保证业务变化造成的影响局部化。</w:t>
      </w:r>
    </w:p>
    <w:p>
      <w:pPr>
        <w:pageBreakBefore w:val="0"/>
        <w:suppressAutoHyphens/>
        <w:kinsoku/>
        <w:wordWrap/>
        <w:topLinePunct w:val="0"/>
        <w:bidi w:val="0"/>
        <w:spacing w:beforeAutospacing="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需要考虑并解决当系统容量发生变化时，应能动态通过各个层次的扩充，保证系统合理的响应时间和吞吐量，支持负载的划分与均衡。</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firstLine="480" w:firstLineChars="200"/>
        <w:jc w:val="both"/>
        <w:outlineLvl w:val="2"/>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4、可管理性/可运维性</w:t>
      </w:r>
    </w:p>
    <w:p>
      <w:pPr>
        <w:pageBreakBefore w:val="0"/>
        <w:suppressAutoHyphens/>
        <w:kinsoku/>
        <w:wordWrap/>
        <w:topLinePunct w:val="0"/>
        <w:bidi w:val="0"/>
        <w:spacing w:beforeAutospacing="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应该考虑包括系统在无人工干预条件下的稳定性，自排错能力，可测试性。故障的可排查能力，系统的修正，升级，备份，恢复机制以及方便与否。</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firstLine="480" w:firstLineChars="200"/>
        <w:jc w:val="both"/>
        <w:outlineLvl w:val="2"/>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5、易用性</w:t>
      </w:r>
    </w:p>
    <w:p>
      <w:pPr>
        <w:pageBreakBefore w:val="0"/>
        <w:suppressAutoHyphens/>
        <w:kinsoku/>
        <w:wordWrap/>
        <w:topLinePunct w:val="0"/>
        <w:bidi w:val="0"/>
        <w:spacing w:beforeAutospacing="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针对税务人员应该设计良好的用户体验，要做到易理解、易学习、易操作。</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firstLine="480" w:firstLineChars="200"/>
        <w:jc w:val="both"/>
        <w:outlineLvl w:val="2"/>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6、数据一致性</w:t>
      </w:r>
    </w:p>
    <w:p>
      <w:pPr>
        <w:pageBreakBefore w:val="0"/>
        <w:suppressAutoHyphens/>
        <w:kinsoku/>
        <w:wordWrap/>
        <w:topLinePunct w:val="0"/>
        <w:bidi w:val="0"/>
        <w:spacing w:beforeAutospacing="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要确保系统内部各个子系统之间、系统与外部关联系统之间的数据一致性。为了提高性能，允许通过技术手段只保证最终结果一致性。</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firstLine="480" w:firstLineChars="200"/>
        <w:jc w:val="both"/>
        <w:outlineLvl w:val="2"/>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 xml:space="preserve">7、性能要求 </w:t>
      </w:r>
    </w:p>
    <w:p>
      <w:pPr>
        <w:pageBreakBefore w:val="0"/>
        <w:suppressAutoHyphens/>
        <w:kinsoku/>
        <w:wordWrap/>
        <w:topLinePunct w:val="0"/>
        <w:bidi w:val="0"/>
        <w:snapToGrid/>
        <w:spacing w:beforeAutospacing="0" w:afterAutospacing="0" w:line="360" w:lineRule="auto"/>
        <w:ind w:left="0" w:leftChars="0" w:firstLine="480" w:firstLineChars="200"/>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为提高用户体验、保证系统流畅性和稳定性，服务接口应满足如下的性能要求：</w:t>
      </w:r>
    </w:p>
    <w:tbl>
      <w:tblPr>
        <w:tblStyle w:val="27"/>
        <w:tblW w:w="8516"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464"/>
        <w:gridCol w:w="1748"/>
        <w:gridCol w:w="1600"/>
        <w:gridCol w:w="1564"/>
        <w:gridCol w:w="11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1" w:hRule="atLeast"/>
          <w:jc w:val="center"/>
        </w:trPr>
        <w:tc>
          <w:tcPr>
            <w:tcW w:w="2464" w:type="dxa"/>
            <w:vMerge w:val="restart"/>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性能体现的关键点</w:t>
            </w:r>
          </w:p>
        </w:tc>
        <w:tc>
          <w:tcPr>
            <w:tcW w:w="6052" w:type="dxa"/>
            <w:gridSpan w:val="4"/>
            <w:tcBorders>
              <w:bottom w:val="single" w:color="auto" w:sz="4" w:space="0"/>
            </w:tcBorders>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请求响应时间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35" w:hRule="atLeast"/>
          <w:jc w:val="center"/>
        </w:trPr>
        <w:tc>
          <w:tcPr>
            <w:tcW w:w="2464" w:type="dxa"/>
            <w:vMerge w:val="continue"/>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p>
        </w:tc>
        <w:tc>
          <w:tcPr>
            <w:tcW w:w="1748" w:type="dxa"/>
            <w:tcBorders>
              <w:top w:val="single" w:color="auto" w:sz="4" w:space="0"/>
            </w:tcBorders>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优秀（低负荷）</w:t>
            </w:r>
          </w:p>
        </w:tc>
        <w:tc>
          <w:tcPr>
            <w:tcW w:w="1600" w:type="dxa"/>
            <w:tcBorders>
              <w:top w:val="single" w:color="auto" w:sz="4" w:space="0"/>
            </w:tcBorders>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良好（均值）</w:t>
            </w:r>
          </w:p>
        </w:tc>
        <w:tc>
          <w:tcPr>
            <w:tcW w:w="1564" w:type="dxa"/>
            <w:tcBorders>
              <w:top w:val="single" w:color="auto" w:sz="4" w:space="0"/>
            </w:tcBorders>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一般（高负荷）</w:t>
            </w:r>
          </w:p>
        </w:tc>
        <w:tc>
          <w:tcPr>
            <w:tcW w:w="1140" w:type="dxa"/>
            <w:tcBorders>
              <w:top w:val="single" w:color="auto" w:sz="4" w:space="0"/>
            </w:tcBorders>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差（满载）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464"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系统登录</w:t>
            </w:r>
          </w:p>
        </w:tc>
        <w:tc>
          <w:tcPr>
            <w:tcW w:w="1748"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1秒</w:t>
            </w:r>
          </w:p>
        </w:tc>
        <w:tc>
          <w:tcPr>
            <w:tcW w:w="1600"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3秒</w:t>
            </w:r>
          </w:p>
        </w:tc>
        <w:tc>
          <w:tcPr>
            <w:tcW w:w="1564"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5秒</w:t>
            </w:r>
          </w:p>
        </w:tc>
        <w:tc>
          <w:tcPr>
            <w:tcW w:w="1140"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&gt;8秒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464"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表单页面打开时间</w:t>
            </w:r>
          </w:p>
        </w:tc>
        <w:tc>
          <w:tcPr>
            <w:tcW w:w="1748"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2秒</w:t>
            </w:r>
          </w:p>
        </w:tc>
        <w:tc>
          <w:tcPr>
            <w:tcW w:w="1600"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3秒</w:t>
            </w:r>
          </w:p>
        </w:tc>
        <w:tc>
          <w:tcPr>
            <w:tcW w:w="1564"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6秒</w:t>
            </w:r>
          </w:p>
        </w:tc>
        <w:tc>
          <w:tcPr>
            <w:tcW w:w="1140"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&gt;10秒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464"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操作数据提交成功</w:t>
            </w:r>
          </w:p>
        </w:tc>
        <w:tc>
          <w:tcPr>
            <w:tcW w:w="1748"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3秒</w:t>
            </w:r>
          </w:p>
        </w:tc>
        <w:tc>
          <w:tcPr>
            <w:tcW w:w="1600"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5秒</w:t>
            </w:r>
          </w:p>
        </w:tc>
        <w:tc>
          <w:tcPr>
            <w:tcW w:w="1564"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8秒</w:t>
            </w:r>
          </w:p>
        </w:tc>
        <w:tc>
          <w:tcPr>
            <w:tcW w:w="1140"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&gt;10秒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2464"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查询类</w:t>
            </w:r>
          </w:p>
        </w:tc>
        <w:tc>
          <w:tcPr>
            <w:tcW w:w="1748"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3秒</w:t>
            </w:r>
          </w:p>
        </w:tc>
        <w:tc>
          <w:tcPr>
            <w:tcW w:w="1600"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6秒</w:t>
            </w:r>
          </w:p>
        </w:tc>
        <w:tc>
          <w:tcPr>
            <w:tcW w:w="1564"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10秒</w:t>
            </w:r>
          </w:p>
        </w:tc>
        <w:tc>
          <w:tcPr>
            <w:tcW w:w="1140" w:type="dxa"/>
            <w:noWrap w:val="0"/>
            <w:vAlign w:val="center"/>
          </w:tcPr>
          <w:p>
            <w:pPr>
              <w:pageBreakBefore w:val="0"/>
              <w:widowControl w:val="0"/>
              <w:suppressAutoHyphens/>
              <w:kinsoku/>
              <w:wordWrap/>
              <w:topLinePunct w:val="0"/>
              <w:bidi w:val="0"/>
              <w:spacing w:beforeAutospacing="0" w:afterAutospacing="0" w:line="360" w:lineRule="auto"/>
              <w:ind w:left="0" w:leftChars="0"/>
              <w:jc w:val="left"/>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&gt;15秒</w:t>
            </w:r>
          </w:p>
        </w:tc>
      </w:tr>
    </w:tbl>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第5章 服务要求</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系统上线后，中标人需要按合同约定的期限进行技术支持保障工作，保证系统平稳运行。在服务期内，中标人提供的服务和技术支持包括但不限于以下内容：</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1.</w:t>
      </w:r>
      <w:r>
        <w:rPr>
          <w:rFonts w:hint="eastAsia" w:asciiTheme="minorEastAsia" w:hAnsiTheme="minorEastAsia" w:eastAsiaTheme="minorEastAsia" w:cstheme="minorEastAsia"/>
          <w:color w:val="auto"/>
          <w:sz w:val="24"/>
          <w:szCs w:val="24"/>
        </w:rPr>
        <w:t>中标人应对软件使用过程中出现的各类问题进行解答；</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2.</w:t>
      </w:r>
      <w:r>
        <w:rPr>
          <w:rFonts w:hint="eastAsia" w:asciiTheme="minorEastAsia" w:hAnsiTheme="minorEastAsia" w:eastAsiaTheme="minorEastAsia" w:cstheme="minorEastAsia"/>
          <w:color w:val="auto"/>
          <w:sz w:val="24"/>
          <w:szCs w:val="24"/>
        </w:rPr>
        <w:t>处理建议应以前台操作为主，能够通过前台操作完成的，尽量不在后台调整；</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3.</w:t>
      </w:r>
      <w:r>
        <w:rPr>
          <w:rFonts w:hint="eastAsia" w:asciiTheme="minorEastAsia" w:hAnsiTheme="minorEastAsia" w:eastAsiaTheme="minorEastAsia" w:cstheme="minorEastAsia"/>
          <w:color w:val="auto"/>
          <w:sz w:val="24"/>
          <w:szCs w:val="24"/>
        </w:rPr>
        <w:t>操作中出现的常见问题，应及时通过技术支持渠道向用户发布；</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第6章 验收要求</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验收工作由招标人组织实施，投标人应完成项目验收的相关验收场景和资料的准备。</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1"/>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6.1验收标准</w:t>
      </w:r>
      <w:r>
        <w:rPr>
          <w:rFonts w:hint="eastAsia" w:asciiTheme="minorEastAsia" w:hAnsiTheme="minorEastAsia" w:eastAsiaTheme="minorEastAsia" w:cstheme="minorEastAsia"/>
          <w:b/>
          <w:bCs/>
          <w:color w:val="auto"/>
          <w:kern w:val="2"/>
          <w:sz w:val="24"/>
          <w:szCs w:val="24"/>
          <w:lang w:val="en-US" w:eastAsia="zh-CN" w:bidi="ar-SA"/>
        </w:rPr>
        <w:tab/>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1.验收的原则和依据</w:t>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本着保证质量、注重应用、功能适用的原则，以本项目招标文件、合同和业务需求及相关技术标准规范为验收的主要依据。</w:t>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2.验收标准</w:t>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（一）系统运行正常。</w:t>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（二）招标文件和合同要求全部完成，并满足要求。</w:t>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（三）各种技术文档和验收资料完备，符合合同的内容。</w:t>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（四）系统监控和数据处理符合信息安全的要求。</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color w:val="auto"/>
          <w:sz w:val="24"/>
          <w:szCs w:val="24"/>
        </w:rPr>
        <w:t>（五）合同或合同附件规定的其他验收条件。</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1"/>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6.2项目验收</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投标人应根据合同约定验收的要求以及验收工作的内容，协助制定验收方案；</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投标人应为验收工作准备相应的验收环境和所需资料；</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协助招标人全面、准确验证软件的各项功能模块是否达到标准；</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协助招标人全面、准确验证软件的各项性能是否能达到要求；</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投标人应对验收中发现的问题制定详细明确的处理方案并及时修改；</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投标人必须按招标人要求提交移交物清单及清单所列内容的最终版本（包括纸制和电子版），并经招标人签字确认；</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投标人协助编写并提交验收报告等文档。</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1"/>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6.3交付物要求</w:t>
      </w:r>
    </w:p>
    <w:p>
      <w:pPr>
        <w:pageBreakBefore w:val="0"/>
        <w:widowControl w:val="0"/>
        <w:suppressAutoHyphens/>
        <w:kinsoku/>
        <w:wordWrap/>
        <w:topLinePunct w:val="0"/>
        <w:bidi w:val="0"/>
        <w:spacing w:beforeAutospacing="0" w:afterAutospacing="0" w:line="360" w:lineRule="auto"/>
        <w:ind w:left="0" w:leftChars="0" w:firstLine="64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提请验收前需提供以下文档：</w:t>
      </w:r>
    </w:p>
    <w:p>
      <w:pPr>
        <w:pageBreakBefore w:val="0"/>
        <w:widowControl w:val="0"/>
        <w:suppressAutoHyphens/>
        <w:kinsoku/>
        <w:wordWrap/>
        <w:topLinePunct w:val="0"/>
        <w:bidi w:val="0"/>
        <w:spacing w:beforeAutospacing="0" w:afterAutospacing="0" w:line="360" w:lineRule="auto"/>
        <w:ind w:left="0" w:leftChars="0" w:firstLine="64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1、需求分析报告终稿。</w:t>
      </w:r>
    </w:p>
    <w:p>
      <w:pPr>
        <w:pageBreakBefore w:val="0"/>
        <w:widowControl w:val="0"/>
        <w:suppressAutoHyphens/>
        <w:kinsoku/>
        <w:wordWrap/>
        <w:topLinePunct w:val="0"/>
        <w:bidi w:val="0"/>
        <w:spacing w:beforeAutospacing="0" w:afterAutospacing="0" w:line="360" w:lineRule="auto"/>
        <w:ind w:left="0" w:leftChars="0" w:firstLine="64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2、概要设计、详细设计终稿。</w:t>
      </w:r>
    </w:p>
    <w:p>
      <w:pPr>
        <w:pageBreakBefore w:val="0"/>
        <w:widowControl w:val="0"/>
        <w:suppressAutoHyphens/>
        <w:kinsoku/>
        <w:wordWrap/>
        <w:topLinePunct w:val="0"/>
        <w:bidi w:val="0"/>
        <w:spacing w:beforeAutospacing="0" w:afterAutospacing="0" w:line="360" w:lineRule="auto"/>
        <w:ind w:left="0" w:leftChars="0" w:firstLine="64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3、项目建设报告，包括目标实现情况、计划进度执行情况等。</w:t>
      </w:r>
    </w:p>
    <w:p>
      <w:pPr>
        <w:pageBreakBefore w:val="0"/>
        <w:widowControl w:val="0"/>
        <w:suppressAutoHyphens/>
        <w:kinsoku/>
        <w:wordWrap/>
        <w:topLinePunct w:val="0"/>
        <w:bidi w:val="0"/>
        <w:spacing w:beforeAutospacing="0" w:afterAutospacing="0" w:line="360" w:lineRule="auto"/>
        <w:ind w:left="0" w:leftChars="0" w:firstLine="64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4、系统测试报告，包括性能测试和功能测试的方案、用例、结果和反馈等。</w:t>
      </w:r>
    </w:p>
    <w:p>
      <w:pPr>
        <w:pageBreakBefore w:val="0"/>
        <w:widowControl w:val="0"/>
        <w:suppressAutoHyphens/>
        <w:kinsoku/>
        <w:wordWrap/>
        <w:topLinePunct w:val="0"/>
        <w:bidi w:val="0"/>
        <w:spacing w:beforeAutospacing="0" w:afterAutospacing="0" w:line="360" w:lineRule="auto"/>
        <w:ind w:left="0" w:leftChars="0" w:firstLine="64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5、系统试运行报告，包括试运行方案、问题和结论等。</w:t>
      </w:r>
    </w:p>
    <w:p>
      <w:pPr>
        <w:pageBreakBefore w:val="0"/>
        <w:widowControl w:val="0"/>
        <w:suppressAutoHyphens/>
        <w:kinsoku/>
        <w:wordWrap/>
        <w:topLinePunct w:val="0"/>
        <w:bidi w:val="0"/>
        <w:spacing w:beforeAutospacing="0" w:afterAutospacing="0" w:line="360" w:lineRule="auto"/>
        <w:ind w:left="0" w:leftChars="0" w:firstLine="64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6、用户操作手册。</w:t>
      </w:r>
    </w:p>
    <w:p>
      <w:pPr>
        <w:pageBreakBefore w:val="0"/>
        <w:widowControl w:val="0"/>
        <w:suppressAutoHyphens/>
        <w:kinsoku/>
        <w:wordWrap/>
        <w:topLinePunct w:val="0"/>
        <w:bidi w:val="0"/>
        <w:spacing w:beforeAutospacing="0" w:afterAutospacing="0" w:line="360" w:lineRule="auto"/>
        <w:ind w:left="0" w:leftChars="0" w:firstLine="64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7、项目源代码及注释。</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第7章 其他要求</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7.1保密要求</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7.2知识产权要求</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2、中标人应保证在本项目中所有预装和为本项目安装的软件为在中国境内具有合法版权或使用权的正版软件且无质量瑕疵。</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3、中标人保证所提供的产品及服务不侵犯第三方的知识产权，否则，由此给招标人造成的一切损失由中标人承担。</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7.3归档要求</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70" w:firstLineChars="196"/>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中标人应对该项目所涉及的需求分析、联调测试、培训推广等各阶段工作文档，按招标人质量、数量、提供方式、提供时间等要求进行整理，并提交招标人归档。</w:t>
      </w:r>
    </w:p>
    <w:p>
      <w:pP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br w:type="page"/>
      </w:r>
    </w:p>
    <w:p>
      <w:pPr>
        <w:pageBreakBefore w:val="0"/>
        <w:suppressAutoHyphens/>
        <w:kinsoku/>
        <w:wordWrap/>
        <w:topLinePunct w:val="0"/>
        <w:bidi w:val="0"/>
        <w:spacing w:beforeAutospacing="0" w:afterAutospacing="0" w:line="360" w:lineRule="auto"/>
        <w:ind w:left="0" w:leftChars="0"/>
        <w:jc w:val="center"/>
        <w:outlineLvl w:val="0"/>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rPr>
        <w:t>第</w:t>
      </w:r>
      <w:r>
        <w:rPr>
          <w:rFonts w:hint="eastAsia" w:asciiTheme="minorEastAsia" w:hAnsiTheme="minorEastAsia" w:eastAsiaTheme="minorEastAsia" w:cstheme="minorEastAsia"/>
          <w:color w:val="auto"/>
          <w:sz w:val="24"/>
          <w:szCs w:val="24"/>
          <w:lang w:eastAsia="zh-CN"/>
        </w:rPr>
        <w:t>二</w:t>
      </w:r>
      <w:r>
        <w:rPr>
          <w:rFonts w:hint="eastAsia" w:asciiTheme="minorEastAsia" w:hAnsiTheme="minorEastAsia" w:eastAsiaTheme="minorEastAsia" w:cstheme="minorEastAsia"/>
          <w:color w:val="auto"/>
          <w:sz w:val="24"/>
          <w:szCs w:val="24"/>
        </w:rPr>
        <w:t>包：</w:t>
      </w:r>
      <w:r>
        <w:rPr>
          <w:rFonts w:hint="eastAsia" w:asciiTheme="minorEastAsia" w:hAnsiTheme="minorEastAsia" w:eastAsiaTheme="minorEastAsia" w:cstheme="minorEastAsia"/>
          <w:color w:val="auto"/>
          <w:sz w:val="24"/>
          <w:szCs w:val="24"/>
          <w:lang w:val="en-US" w:eastAsia="zh-CN"/>
        </w:rPr>
        <w:t>新电子税务局本地差异化分析改造项目</w:t>
      </w:r>
    </w:p>
    <w:p>
      <w:pPr>
        <w:pageBreakBefore w:val="0"/>
        <w:widowControl w:val="0"/>
        <w:suppressAutoHyphens/>
        <w:kinsoku/>
        <w:wordWrap/>
        <w:topLinePunct w:val="0"/>
        <w:bidi w:val="0"/>
        <w:spacing w:before="0" w:beforeAutospacing="0" w:after="0" w:afterAutospacing="0" w:line="360" w:lineRule="auto"/>
        <w:ind w:left="0" w:leftChars="0"/>
        <w:jc w:val="center"/>
        <w:outlineLvl w:val="0"/>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（预算180.54万元）</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第1章 项目概述</w:t>
      </w:r>
    </w:p>
    <w:p>
      <w:pPr>
        <w:pageBreakBefore w:val="0"/>
        <w:suppressAutoHyphens/>
        <w:kinsoku/>
        <w:wordWrap/>
        <w:topLinePunct w:val="0"/>
        <w:bidi w:val="0"/>
        <w:snapToGrid/>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按照全国统一规范电子税务局推广上线计划，黑龙江老电子税务局系统将保留差异化功能将持续运行，配合全国统一规范电子税务局建设进行相关集成改造，满足原电子税务局对接全国统一规范电子税务局系统和本地特软改造等相关内容，为适用黑龙江省税务局特色业务需求，对老电子税务局和特色软件保留地方特色功能进行适应性改造。</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第2章 项目内容</w:t>
      </w:r>
    </w:p>
    <w:p>
      <w:pPr>
        <w:pageBreakBefore w:val="0"/>
        <w:widowControl w:val="0"/>
        <w:suppressAutoHyphens/>
        <w:kinsoku/>
        <w:wordWrap/>
        <w:topLinePunct w:val="0"/>
        <w:bidi w:val="0"/>
        <w:adjustRightInd/>
        <w:snapToGrid/>
        <w:spacing w:before="0" w:beforeAutospacing="0" w:after="0" w:afterAutospacing="0" w:line="360" w:lineRule="auto"/>
        <w:ind w:left="0" w:leftChars="0" w:firstLine="480" w:firstLineChars="200"/>
        <w:jc w:val="both"/>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kern w:val="2"/>
          <w:sz w:val="24"/>
          <w:szCs w:val="24"/>
          <w:lang w:val="en-US" w:eastAsia="zh-CN" w:bidi="ar-SA"/>
        </w:rPr>
        <w:t>根据全国统一规范电子税务局上线要求，根据地方特色保留集成方案内容要求，黑龙江省老电局及特色功能需进行升级改造。全国统一规范电子税务局上线后，结合本省业务特色保留部分纳税人端功能、税务人端功能、政务服务网对接功能和本省特色软件对接改造等应用功能。本省特色软件配合全国统一规范电子税务局建设进行相关集成改造。包括：社保特色业务对接改造、非税特色业务对接改造、其他特色集成对接改造（纳税人端，税务人端）、银税互动对接可信的改造、政务服务对接可信的改造、基于消息驱动的全国统一规范电子税务局与特色软件对接、特色软件对接新电局纳税人端提醒与反馈中心、本省大数据平台特软与新电局数据交互。</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第3章 项目具体需求</w:t>
      </w:r>
    </w:p>
    <w:p>
      <w:pPr>
        <w:keepNext w:val="0"/>
        <w:keepLines w:val="0"/>
        <w:pageBreakBefore w:val="0"/>
        <w:widowControl/>
        <w:suppressAutoHyphens/>
        <w:kinsoku/>
        <w:wordWrap/>
        <w:topLinePunct w:val="0"/>
        <w:bidi w:val="0"/>
        <w:spacing w:before="0" w:beforeLines="0" w:beforeAutospacing="0" w:after="0" w:afterLines="0" w:afterAutospacing="0" w:line="360" w:lineRule="auto"/>
        <w:ind w:left="0" w:leftChars="0"/>
        <w:jc w:val="left"/>
        <w:outlineLvl w:val="2"/>
        <w:rPr>
          <w:rFonts w:hint="eastAsia" w:asciiTheme="minorEastAsia" w:hAnsiTheme="minorEastAsia" w:eastAsiaTheme="minorEastAsia" w:cstheme="minorEastAsia"/>
          <w:b/>
          <w:color w:val="auto"/>
          <w:kern w:val="0"/>
          <w:sz w:val="24"/>
          <w:szCs w:val="24"/>
          <w:highlight w:val="none"/>
          <w:lang w:val="en-US" w:eastAsia="zh-CN" w:bidi="ar-SA"/>
        </w:rPr>
      </w:pPr>
      <w:r>
        <w:rPr>
          <w:rFonts w:hint="eastAsia" w:asciiTheme="minorEastAsia" w:hAnsiTheme="minorEastAsia" w:eastAsiaTheme="minorEastAsia" w:cstheme="minorEastAsia"/>
          <w:b/>
          <w:color w:val="auto"/>
          <w:kern w:val="0"/>
          <w:sz w:val="24"/>
          <w:szCs w:val="24"/>
          <w:highlight w:val="none"/>
          <w:lang w:val="en-US" w:eastAsia="zh-CN" w:bidi="ar-SA"/>
        </w:rPr>
        <w:t>3.1社保特色业务对接改造</w:t>
      </w:r>
    </w:p>
    <w:p>
      <w:pPr>
        <w:keepNext/>
        <w:keepLines/>
        <w:pageBreakBefore w:val="0"/>
        <w:widowControl/>
        <w:suppressAutoHyphens/>
        <w:kinsoku/>
        <w:wordWrap/>
        <w:topLinePunct w:val="0"/>
        <w:bidi w:val="0"/>
        <w:spacing w:before="0" w:beforeLines="0" w:beforeAutospacing="0" w:after="0" w:afterLines="0" w:afterAutospacing="0" w:line="360" w:lineRule="auto"/>
        <w:ind w:left="0" w:leftChars="0"/>
        <w:jc w:val="left"/>
        <w:outlineLvl w:val="2"/>
        <w:rPr>
          <w:rFonts w:hint="eastAsia" w:asciiTheme="minorEastAsia" w:hAnsiTheme="minorEastAsia" w:eastAsiaTheme="minorEastAsia" w:cstheme="minorEastAsia"/>
          <w:b/>
          <w:bCs/>
          <w:color w:val="auto"/>
          <w:kern w:val="2"/>
          <w:sz w:val="24"/>
          <w:szCs w:val="24"/>
          <w:highlight w:val="none"/>
          <w:lang w:val="en-US" w:eastAsia="zh-CN" w:bidi="ar-SA"/>
        </w:rPr>
      </w:pPr>
      <w:bookmarkStart w:id="114" w:name="_Toc117633429"/>
      <w:r>
        <w:rPr>
          <w:rFonts w:hint="eastAsia" w:asciiTheme="minorEastAsia" w:hAnsiTheme="minorEastAsia" w:eastAsiaTheme="minorEastAsia" w:cstheme="minorEastAsia"/>
          <w:b/>
          <w:bCs/>
          <w:color w:val="auto"/>
          <w:kern w:val="2"/>
          <w:sz w:val="24"/>
          <w:szCs w:val="24"/>
          <w:highlight w:val="none"/>
          <w:lang w:val="en-US" w:eastAsia="zh-CN" w:bidi="ar-SA"/>
        </w:rPr>
        <w:t>3.1.1</w:t>
      </w:r>
      <w:bookmarkEnd w:id="114"/>
      <w:r>
        <w:rPr>
          <w:rFonts w:hint="eastAsia" w:asciiTheme="minorEastAsia" w:hAnsiTheme="minorEastAsia" w:eastAsiaTheme="minorEastAsia" w:cstheme="minorEastAsia"/>
          <w:b/>
          <w:bCs/>
          <w:color w:val="auto"/>
          <w:kern w:val="2"/>
          <w:sz w:val="24"/>
          <w:szCs w:val="24"/>
          <w:highlight w:val="none"/>
          <w:lang w:val="en-US" w:eastAsia="zh-CN" w:bidi="ar-SA"/>
        </w:rPr>
        <w:t>年度工资申报（险种）</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网上办中日常需要对本单位（含机关事业单位）职工的缴费工资进行调整的缴费单位，可在本功能依照相关法律法规规定进行缴费工资申报。</w:t>
      </w:r>
    </w:p>
    <w:p>
      <w:pPr>
        <w:keepNext/>
        <w:keepLines/>
        <w:pageBreakBefore w:val="0"/>
        <w:widowControl/>
        <w:suppressAutoHyphens/>
        <w:kinsoku/>
        <w:wordWrap/>
        <w:topLinePunct w:val="0"/>
        <w:bidi w:val="0"/>
        <w:spacing w:before="0" w:beforeLines="0" w:beforeAutospacing="0" w:after="0" w:afterLines="0" w:afterAutospacing="0" w:line="360" w:lineRule="auto"/>
        <w:ind w:left="0" w:leftChars="0"/>
        <w:jc w:val="left"/>
        <w:outlineLvl w:val="2"/>
        <w:rPr>
          <w:rFonts w:hint="eastAsia" w:asciiTheme="minorEastAsia" w:hAnsiTheme="minorEastAsia" w:eastAsiaTheme="minorEastAsia" w:cstheme="minorEastAsia"/>
          <w:b/>
          <w:bCs/>
          <w:color w:val="auto"/>
          <w:kern w:val="2"/>
          <w:sz w:val="24"/>
          <w:szCs w:val="24"/>
          <w:highlight w:val="none"/>
          <w:lang w:val="en-US" w:eastAsia="zh-CN" w:bidi="ar-SA"/>
        </w:rPr>
      </w:pPr>
      <w:bookmarkStart w:id="115" w:name="_Toc117633430"/>
      <w:r>
        <w:rPr>
          <w:rFonts w:hint="eastAsia" w:asciiTheme="minorEastAsia" w:hAnsiTheme="minorEastAsia" w:eastAsiaTheme="minorEastAsia" w:cstheme="minorEastAsia"/>
          <w:b/>
          <w:bCs/>
          <w:color w:val="auto"/>
          <w:kern w:val="2"/>
          <w:sz w:val="24"/>
          <w:szCs w:val="24"/>
          <w:highlight w:val="none"/>
          <w:lang w:val="en-US" w:eastAsia="zh-CN" w:bidi="ar-SA"/>
        </w:rPr>
        <w:t>3.1.2</w:t>
      </w:r>
      <w:bookmarkEnd w:id="115"/>
      <w:r>
        <w:rPr>
          <w:rFonts w:hint="eastAsia" w:asciiTheme="minorEastAsia" w:hAnsiTheme="minorEastAsia" w:eastAsiaTheme="minorEastAsia" w:cstheme="minorEastAsia"/>
          <w:b/>
          <w:bCs/>
          <w:color w:val="auto"/>
          <w:kern w:val="2"/>
          <w:sz w:val="24"/>
          <w:szCs w:val="24"/>
          <w:highlight w:val="none"/>
          <w:lang w:val="en-US" w:eastAsia="zh-CN" w:bidi="ar-SA"/>
        </w:rPr>
        <w:t>年度工资申报（按人）</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网上办中需要对本单位（含机关事业单位）职工的进行年度缴费工资调整的缴费单位，可在本功能依照相关法律法规规定进行缴费工资申报。</w:t>
      </w:r>
    </w:p>
    <w:p>
      <w:pPr>
        <w:keepNext/>
        <w:keepLines/>
        <w:pageBreakBefore w:val="0"/>
        <w:widowControl/>
        <w:suppressAutoHyphens/>
        <w:kinsoku/>
        <w:wordWrap/>
        <w:topLinePunct w:val="0"/>
        <w:bidi w:val="0"/>
        <w:spacing w:before="0" w:beforeLines="0" w:beforeAutospacing="0" w:after="0" w:afterLines="0" w:afterAutospacing="0" w:line="360" w:lineRule="auto"/>
        <w:ind w:left="0" w:leftChars="0"/>
        <w:jc w:val="left"/>
        <w:outlineLvl w:val="2"/>
        <w:rPr>
          <w:rFonts w:hint="eastAsia" w:asciiTheme="minorEastAsia" w:hAnsiTheme="minorEastAsia" w:eastAsiaTheme="minorEastAsia" w:cstheme="minorEastAsia"/>
          <w:b/>
          <w:bCs/>
          <w:color w:val="auto"/>
          <w:kern w:val="2"/>
          <w:sz w:val="24"/>
          <w:szCs w:val="24"/>
          <w:highlight w:val="none"/>
          <w:lang w:val="en-US" w:eastAsia="zh-CN" w:bidi="ar-SA"/>
        </w:rPr>
      </w:pPr>
      <w:bookmarkStart w:id="116" w:name="_Toc117633431"/>
      <w:r>
        <w:rPr>
          <w:rFonts w:hint="eastAsia" w:asciiTheme="minorEastAsia" w:hAnsiTheme="minorEastAsia" w:eastAsiaTheme="minorEastAsia" w:cstheme="minorEastAsia"/>
          <w:b/>
          <w:bCs/>
          <w:color w:val="auto"/>
          <w:kern w:val="2"/>
          <w:sz w:val="24"/>
          <w:szCs w:val="24"/>
          <w:highlight w:val="none"/>
          <w:lang w:val="en-US" w:eastAsia="zh-CN" w:bidi="ar-SA"/>
        </w:rPr>
        <w:t>3.1.3</w:t>
      </w:r>
      <w:bookmarkEnd w:id="116"/>
      <w:r>
        <w:rPr>
          <w:rFonts w:hint="eastAsia" w:asciiTheme="minorEastAsia" w:hAnsiTheme="minorEastAsia" w:eastAsiaTheme="minorEastAsia" w:cstheme="minorEastAsia"/>
          <w:b/>
          <w:bCs/>
          <w:color w:val="auto"/>
          <w:kern w:val="2"/>
          <w:sz w:val="24"/>
          <w:szCs w:val="24"/>
          <w:highlight w:val="none"/>
          <w:lang w:val="en-US" w:eastAsia="zh-CN" w:bidi="ar-SA"/>
        </w:rPr>
        <w:t>年度工资申报查询</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网上办中职工年度工资申报后，由管理子系统生成社保费应缴信息，缴费单位可在本功能依照相关法律法规规定进行社保费申报。</w:t>
      </w:r>
    </w:p>
    <w:p>
      <w:pPr>
        <w:keepNext/>
        <w:keepLines/>
        <w:pageBreakBefore w:val="0"/>
        <w:widowControl/>
        <w:suppressAutoHyphens/>
        <w:kinsoku/>
        <w:wordWrap/>
        <w:topLinePunct w:val="0"/>
        <w:bidi w:val="0"/>
        <w:spacing w:before="0" w:beforeLines="0" w:beforeAutospacing="0" w:after="0" w:afterLines="0" w:afterAutospacing="0" w:line="360" w:lineRule="auto"/>
        <w:ind w:left="0" w:leftChars="0"/>
        <w:jc w:val="left"/>
        <w:outlineLvl w:val="2"/>
        <w:rPr>
          <w:rFonts w:hint="eastAsia" w:asciiTheme="minorEastAsia" w:hAnsiTheme="minorEastAsia" w:eastAsiaTheme="minorEastAsia" w:cstheme="minorEastAsia"/>
          <w:b/>
          <w:bCs/>
          <w:color w:val="auto"/>
          <w:kern w:val="2"/>
          <w:sz w:val="24"/>
          <w:szCs w:val="24"/>
          <w:highlight w:val="none"/>
          <w:lang w:val="en-US" w:eastAsia="zh-CN" w:bidi="ar-SA"/>
        </w:rPr>
      </w:pPr>
      <w:bookmarkStart w:id="117" w:name="_Toc117633432"/>
      <w:r>
        <w:rPr>
          <w:rFonts w:hint="eastAsia" w:asciiTheme="minorEastAsia" w:hAnsiTheme="minorEastAsia" w:eastAsiaTheme="minorEastAsia" w:cstheme="minorEastAsia"/>
          <w:b/>
          <w:bCs/>
          <w:color w:val="auto"/>
          <w:kern w:val="2"/>
          <w:sz w:val="24"/>
          <w:szCs w:val="24"/>
          <w:highlight w:val="none"/>
          <w:lang w:val="en-US" w:eastAsia="zh-CN" w:bidi="ar-SA"/>
        </w:rPr>
        <w:t>3.1.4社保费确认申报</w:t>
      </w:r>
      <w:bookmarkEnd w:id="117"/>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网上办中代收单位代收管辖范围内的城乡居民社会保险费后，可在本功能依照相关法律法规规定，向税务机关申报代收单位管辖范围内的城乡居民社会保险费。</w:t>
      </w:r>
    </w:p>
    <w:p>
      <w:pPr>
        <w:keepNext/>
        <w:keepLines/>
        <w:pageBreakBefore w:val="0"/>
        <w:widowControl/>
        <w:suppressAutoHyphens/>
        <w:kinsoku/>
        <w:wordWrap/>
        <w:topLinePunct w:val="0"/>
        <w:bidi w:val="0"/>
        <w:spacing w:before="0" w:beforeLines="0" w:beforeAutospacing="0" w:after="0" w:afterLines="0" w:afterAutospacing="0" w:line="360" w:lineRule="auto"/>
        <w:ind w:left="0" w:leftChars="0"/>
        <w:jc w:val="left"/>
        <w:outlineLvl w:val="2"/>
        <w:rPr>
          <w:rFonts w:hint="eastAsia" w:asciiTheme="minorEastAsia" w:hAnsiTheme="minorEastAsia" w:eastAsiaTheme="minorEastAsia" w:cstheme="minorEastAsia"/>
          <w:b/>
          <w:bCs/>
          <w:color w:val="auto"/>
          <w:kern w:val="2"/>
          <w:sz w:val="24"/>
          <w:szCs w:val="24"/>
          <w:highlight w:val="none"/>
          <w:lang w:val="en-US" w:eastAsia="zh-CN" w:bidi="ar-SA"/>
        </w:rPr>
      </w:pPr>
      <w:bookmarkStart w:id="118" w:name="_Toc117633433"/>
      <w:r>
        <w:rPr>
          <w:rFonts w:hint="eastAsia" w:asciiTheme="minorEastAsia" w:hAnsiTheme="minorEastAsia" w:eastAsiaTheme="minorEastAsia" w:cstheme="minorEastAsia"/>
          <w:b/>
          <w:bCs/>
          <w:color w:val="auto"/>
          <w:kern w:val="2"/>
          <w:sz w:val="24"/>
          <w:szCs w:val="24"/>
          <w:highlight w:val="none"/>
          <w:lang w:val="en-US" w:eastAsia="zh-CN" w:bidi="ar-SA"/>
        </w:rPr>
        <w:t>3.1.5</w:t>
      </w:r>
      <w:bookmarkEnd w:id="118"/>
      <w:r>
        <w:rPr>
          <w:rFonts w:hint="eastAsia" w:asciiTheme="minorEastAsia" w:hAnsiTheme="minorEastAsia" w:eastAsiaTheme="minorEastAsia" w:cstheme="minorEastAsia"/>
          <w:b/>
          <w:bCs/>
          <w:color w:val="auto"/>
          <w:kern w:val="2"/>
          <w:sz w:val="24"/>
          <w:szCs w:val="24"/>
          <w:highlight w:val="none"/>
          <w:lang w:val="en-US" w:eastAsia="zh-CN" w:bidi="ar-SA"/>
        </w:rPr>
        <w:t>社保费申报（特殊缴费）</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网上办中过了正常征缴期限后，城乡居民缴费人如需补缴以前年度的社保费，需要由人社部门确定城乡居民的征集信息，生成对应的特殊缴费申报的征集通知流水信息，传递给税务部门，税务部门以此履行征收职能。</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p>
    <w:p>
      <w:pPr>
        <w:keepNext/>
        <w:keepLines/>
        <w:pageBreakBefore w:val="0"/>
        <w:widowControl/>
        <w:suppressAutoHyphens/>
        <w:kinsoku/>
        <w:wordWrap/>
        <w:topLinePunct w:val="0"/>
        <w:bidi w:val="0"/>
        <w:spacing w:before="0" w:beforeLines="0" w:beforeAutospacing="0" w:after="0" w:afterLines="0" w:afterAutospacing="0" w:line="360" w:lineRule="auto"/>
        <w:ind w:left="0" w:leftChars="0"/>
        <w:jc w:val="left"/>
        <w:outlineLvl w:val="2"/>
        <w:rPr>
          <w:rFonts w:hint="eastAsia" w:asciiTheme="minorEastAsia" w:hAnsiTheme="minorEastAsia" w:eastAsiaTheme="minorEastAsia" w:cstheme="minorEastAsia"/>
          <w:b/>
          <w:bCs/>
          <w:color w:val="auto"/>
          <w:kern w:val="2"/>
          <w:sz w:val="24"/>
          <w:szCs w:val="24"/>
          <w:highlight w:val="none"/>
          <w:lang w:val="en-US" w:eastAsia="zh-CN" w:bidi="ar-SA"/>
        </w:rPr>
      </w:pPr>
      <w:bookmarkStart w:id="119" w:name="_Toc117633434"/>
      <w:r>
        <w:rPr>
          <w:rFonts w:hint="eastAsia" w:asciiTheme="minorEastAsia" w:hAnsiTheme="minorEastAsia" w:eastAsiaTheme="minorEastAsia" w:cstheme="minorEastAsia"/>
          <w:b/>
          <w:bCs/>
          <w:color w:val="auto"/>
          <w:kern w:val="2"/>
          <w:sz w:val="24"/>
          <w:szCs w:val="24"/>
          <w:highlight w:val="none"/>
          <w:lang w:val="en-US" w:eastAsia="zh-CN" w:bidi="ar-SA"/>
        </w:rPr>
        <w:t>3.1.6申报作废</w:t>
      </w:r>
      <w:bookmarkEnd w:id="119"/>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社保费网上办中缴费人已完成的申报业务，可以通过电子税务局办理作废申报。</w:t>
      </w:r>
    </w:p>
    <w:p>
      <w:pPr>
        <w:keepNext/>
        <w:keepLines/>
        <w:pageBreakBefore w:val="0"/>
        <w:widowControl/>
        <w:suppressAutoHyphens/>
        <w:kinsoku/>
        <w:wordWrap/>
        <w:topLinePunct w:val="0"/>
        <w:bidi w:val="0"/>
        <w:spacing w:before="0" w:beforeLines="0" w:beforeAutospacing="0" w:after="0" w:afterLines="0" w:afterAutospacing="0" w:line="360" w:lineRule="auto"/>
        <w:ind w:left="0" w:leftChars="0"/>
        <w:jc w:val="left"/>
        <w:outlineLvl w:val="2"/>
        <w:rPr>
          <w:rFonts w:hint="eastAsia" w:asciiTheme="minorEastAsia" w:hAnsiTheme="minorEastAsia" w:eastAsiaTheme="minorEastAsia" w:cstheme="minorEastAsia"/>
          <w:b/>
          <w:bCs/>
          <w:color w:val="auto"/>
          <w:kern w:val="2"/>
          <w:sz w:val="24"/>
          <w:szCs w:val="24"/>
          <w:highlight w:val="none"/>
          <w:lang w:val="en-US" w:eastAsia="zh-CN" w:bidi="ar-SA"/>
        </w:rPr>
      </w:pPr>
      <w:bookmarkStart w:id="120" w:name="_Toc117633435"/>
      <w:r>
        <w:rPr>
          <w:rFonts w:hint="eastAsia" w:asciiTheme="minorEastAsia" w:hAnsiTheme="minorEastAsia" w:eastAsiaTheme="minorEastAsia" w:cstheme="minorEastAsia"/>
          <w:b/>
          <w:bCs/>
          <w:color w:val="auto"/>
          <w:kern w:val="2"/>
          <w:sz w:val="24"/>
          <w:szCs w:val="24"/>
          <w:highlight w:val="none"/>
          <w:lang w:val="en-US" w:eastAsia="zh-CN" w:bidi="ar-SA"/>
        </w:rPr>
        <w:t>3.1.7</w:t>
      </w:r>
      <w:bookmarkEnd w:id="120"/>
      <w:r>
        <w:rPr>
          <w:rFonts w:hint="eastAsia" w:asciiTheme="minorEastAsia" w:hAnsiTheme="minorEastAsia" w:eastAsiaTheme="minorEastAsia" w:cstheme="minorEastAsia"/>
          <w:b/>
          <w:bCs/>
          <w:color w:val="auto"/>
          <w:kern w:val="2"/>
          <w:sz w:val="24"/>
          <w:szCs w:val="24"/>
          <w:highlight w:val="none"/>
          <w:lang w:val="en-US" w:eastAsia="zh-CN" w:bidi="ar-SA"/>
        </w:rPr>
        <w:t>社保费划款</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社保费网上办中用人单位可通过三方协议缴费、银行端凭证缴费、银联缴款、第三方支付等方式缴纳各项社保费应缴费信息，包括申报产生的应纳税额、逾期未缴纳的欠费、滞纳金和违法违章罚款。</w:t>
      </w:r>
    </w:p>
    <w:p>
      <w:pPr>
        <w:keepNext/>
        <w:keepLines/>
        <w:pageBreakBefore w:val="0"/>
        <w:widowControl/>
        <w:suppressAutoHyphens/>
        <w:kinsoku/>
        <w:wordWrap/>
        <w:topLinePunct w:val="0"/>
        <w:bidi w:val="0"/>
        <w:spacing w:before="0" w:beforeLines="0" w:beforeAutospacing="0" w:after="0" w:afterLines="0" w:afterAutospacing="0" w:line="360" w:lineRule="auto"/>
        <w:ind w:left="0" w:leftChars="0"/>
        <w:jc w:val="left"/>
        <w:outlineLvl w:val="2"/>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3.1.8申报明细查询</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社保费网上办中缴费单位对申报信息进行查询操作，可在本模块查询明细数据。</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p>
    <w:p>
      <w:pPr>
        <w:keepNext/>
        <w:keepLines/>
        <w:pageBreakBefore w:val="0"/>
        <w:widowControl/>
        <w:suppressAutoHyphens/>
        <w:kinsoku/>
        <w:wordWrap/>
        <w:topLinePunct w:val="0"/>
        <w:bidi w:val="0"/>
        <w:spacing w:before="0" w:beforeLines="0" w:beforeAutospacing="0" w:after="0" w:afterLines="0" w:afterAutospacing="0" w:line="360" w:lineRule="auto"/>
        <w:ind w:left="0" w:leftChars="0"/>
        <w:jc w:val="left"/>
        <w:outlineLvl w:val="2"/>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3.1.9建筑业工商保险申报</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社保费网上办中建筑业单位工伤保险进行申报操作，缴费单位可通过本模块查询项目信息，对某一个项目进行申报操作。</w:t>
      </w:r>
    </w:p>
    <w:p>
      <w:pPr>
        <w:keepNext/>
        <w:keepLines/>
        <w:pageBreakBefore w:val="0"/>
        <w:widowControl/>
        <w:suppressAutoHyphens/>
        <w:kinsoku/>
        <w:wordWrap/>
        <w:topLinePunct w:val="0"/>
        <w:bidi w:val="0"/>
        <w:spacing w:before="0" w:beforeLines="0" w:beforeAutospacing="0" w:after="0" w:afterLines="0" w:afterAutospacing="0" w:line="360" w:lineRule="auto"/>
        <w:ind w:left="0" w:leftChars="0"/>
        <w:jc w:val="left"/>
        <w:outlineLvl w:val="2"/>
        <w:rPr>
          <w:rFonts w:hint="eastAsia" w:asciiTheme="minorEastAsia" w:hAnsiTheme="minorEastAsia" w:eastAsiaTheme="minorEastAsia" w:cstheme="minorEastAsia"/>
          <w:b/>
          <w:bCs/>
          <w:color w:val="auto"/>
          <w:kern w:val="2"/>
          <w:sz w:val="24"/>
          <w:szCs w:val="24"/>
          <w:highlight w:val="none"/>
          <w:lang w:val="en-US" w:eastAsia="zh-CN" w:bidi="ar-SA"/>
        </w:rPr>
      </w:pPr>
      <w:bookmarkStart w:id="121" w:name="_Toc117633439"/>
      <w:bookmarkStart w:id="122" w:name="_Toc16601"/>
      <w:r>
        <w:rPr>
          <w:rFonts w:hint="eastAsia" w:asciiTheme="minorEastAsia" w:hAnsiTheme="minorEastAsia" w:eastAsiaTheme="minorEastAsia" w:cstheme="minorEastAsia"/>
          <w:b/>
          <w:bCs/>
          <w:color w:val="auto"/>
          <w:kern w:val="2"/>
          <w:sz w:val="24"/>
          <w:szCs w:val="24"/>
          <w:highlight w:val="none"/>
          <w:lang w:val="en-US" w:eastAsia="zh-CN" w:bidi="ar-SA"/>
        </w:rPr>
        <w:t>3.1.1</w:t>
      </w:r>
      <w:bookmarkEnd w:id="121"/>
      <w:bookmarkEnd w:id="122"/>
      <w:r>
        <w:rPr>
          <w:rFonts w:hint="eastAsia" w:asciiTheme="minorEastAsia" w:hAnsiTheme="minorEastAsia" w:eastAsiaTheme="minorEastAsia" w:cstheme="minorEastAsia"/>
          <w:b/>
          <w:bCs/>
          <w:color w:val="auto"/>
          <w:kern w:val="2"/>
          <w:sz w:val="24"/>
          <w:szCs w:val="24"/>
          <w:highlight w:val="none"/>
          <w:lang w:val="en-US" w:eastAsia="zh-CN" w:bidi="ar-SA"/>
        </w:rPr>
        <w:t>0三方协议设置</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社保费网上办中单位设置划款三方协议信息。</w:t>
      </w:r>
    </w:p>
    <w:p>
      <w:pPr>
        <w:keepNext/>
        <w:keepLines/>
        <w:pageBreakBefore w:val="0"/>
        <w:widowControl/>
        <w:suppressAutoHyphens/>
        <w:kinsoku/>
        <w:wordWrap/>
        <w:topLinePunct w:val="0"/>
        <w:bidi w:val="0"/>
        <w:spacing w:before="0" w:beforeLines="0" w:beforeAutospacing="0" w:after="0" w:afterLines="0" w:afterAutospacing="0" w:line="360" w:lineRule="auto"/>
        <w:ind w:left="0" w:leftChars="0"/>
        <w:jc w:val="left"/>
        <w:outlineLvl w:val="2"/>
        <w:rPr>
          <w:rFonts w:hint="eastAsia" w:asciiTheme="minorEastAsia" w:hAnsiTheme="minorEastAsia" w:eastAsiaTheme="minorEastAsia" w:cstheme="minorEastAsia"/>
          <w:b/>
          <w:bCs/>
          <w:color w:val="auto"/>
          <w:kern w:val="2"/>
          <w:sz w:val="24"/>
          <w:szCs w:val="24"/>
          <w:highlight w:val="none"/>
          <w:lang w:val="en-US" w:eastAsia="zh-CN" w:bidi="ar-SA"/>
        </w:rPr>
      </w:pPr>
      <w:bookmarkStart w:id="123" w:name="_Toc23036"/>
      <w:bookmarkStart w:id="124" w:name="_Toc117633440"/>
      <w:r>
        <w:rPr>
          <w:rFonts w:hint="eastAsia" w:asciiTheme="minorEastAsia" w:hAnsiTheme="minorEastAsia" w:eastAsiaTheme="minorEastAsia" w:cstheme="minorEastAsia"/>
          <w:b/>
          <w:bCs/>
          <w:color w:val="auto"/>
          <w:kern w:val="2"/>
          <w:sz w:val="24"/>
          <w:szCs w:val="24"/>
          <w:highlight w:val="none"/>
          <w:lang w:val="en-US" w:eastAsia="zh-CN" w:bidi="ar-SA"/>
        </w:rPr>
        <w:t>3.1.1</w:t>
      </w:r>
      <w:bookmarkEnd w:id="123"/>
      <w:bookmarkEnd w:id="124"/>
      <w:r>
        <w:rPr>
          <w:rFonts w:hint="eastAsia" w:asciiTheme="minorEastAsia" w:hAnsiTheme="minorEastAsia" w:eastAsiaTheme="minorEastAsia" w:cstheme="minorEastAsia"/>
          <w:b/>
          <w:bCs/>
          <w:color w:val="auto"/>
          <w:kern w:val="2"/>
          <w:sz w:val="24"/>
          <w:szCs w:val="24"/>
          <w:highlight w:val="none"/>
          <w:lang w:val="en-US" w:eastAsia="zh-CN" w:bidi="ar-SA"/>
        </w:rPr>
        <w:t>1权限管理</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社保费网上办中单位设置密码，涉及工资明细操作的模块使用到。</w:t>
      </w:r>
    </w:p>
    <w:p>
      <w:pPr>
        <w:keepNext/>
        <w:keepLines/>
        <w:pageBreakBefore w:val="0"/>
        <w:widowControl/>
        <w:suppressAutoHyphens/>
        <w:kinsoku/>
        <w:wordWrap/>
        <w:topLinePunct w:val="0"/>
        <w:bidi w:val="0"/>
        <w:spacing w:before="0" w:beforeLines="0" w:beforeAutospacing="0" w:after="0" w:afterLines="0" w:afterAutospacing="0" w:line="360" w:lineRule="auto"/>
        <w:ind w:left="0" w:leftChars="0"/>
        <w:jc w:val="left"/>
        <w:outlineLvl w:val="2"/>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3.1.12社保费缴款期限设置管理</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税务人设置社保费网上办单位缴款期限，社保企业在缴款时需要查询税务管理员设置的缴款期限，判断是否可以进行缴款。</w:t>
      </w:r>
    </w:p>
    <w:p>
      <w:pPr>
        <w:keepNext w:val="0"/>
        <w:keepLines w:val="0"/>
        <w:pageBreakBefore w:val="0"/>
        <w:widowControl/>
        <w:suppressAutoHyphens/>
        <w:kinsoku/>
        <w:wordWrap/>
        <w:topLinePunct w:val="0"/>
        <w:bidi w:val="0"/>
        <w:spacing w:before="0" w:beforeLines="0" w:beforeAutospacing="0" w:after="0" w:afterLines="0" w:afterAutospacing="0" w:line="360" w:lineRule="auto"/>
        <w:ind w:left="0" w:leftChars="0"/>
        <w:jc w:val="left"/>
        <w:outlineLvl w:val="2"/>
        <w:rPr>
          <w:rFonts w:hint="eastAsia" w:asciiTheme="minorEastAsia" w:hAnsiTheme="minorEastAsia" w:eastAsiaTheme="minorEastAsia" w:cstheme="minorEastAsia"/>
          <w:b/>
          <w:color w:val="auto"/>
          <w:kern w:val="0"/>
          <w:sz w:val="24"/>
          <w:szCs w:val="24"/>
          <w:highlight w:val="none"/>
          <w:lang w:val="en-US" w:eastAsia="zh-CN" w:bidi="ar-SA"/>
        </w:rPr>
      </w:pPr>
      <w:r>
        <w:rPr>
          <w:rFonts w:hint="eastAsia" w:asciiTheme="minorEastAsia" w:hAnsiTheme="minorEastAsia" w:eastAsiaTheme="minorEastAsia" w:cstheme="minorEastAsia"/>
          <w:b/>
          <w:color w:val="auto"/>
          <w:kern w:val="0"/>
          <w:sz w:val="24"/>
          <w:szCs w:val="24"/>
          <w:highlight w:val="none"/>
          <w:lang w:val="en-US" w:eastAsia="zh-CN" w:bidi="ar-SA"/>
        </w:rPr>
        <w:t>3.2非税特色业务对接改造</w:t>
      </w:r>
    </w:p>
    <w:p>
      <w:pPr>
        <w:keepNext/>
        <w:keepLines/>
        <w:pageBreakBefore w:val="0"/>
        <w:widowControl/>
        <w:suppressAutoHyphens/>
        <w:kinsoku/>
        <w:wordWrap/>
        <w:topLinePunct w:val="0"/>
        <w:bidi w:val="0"/>
        <w:spacing w:before="0" w:beforeLines="0" w:beforeAutospacing="0" w:after="0" w:afterLines="0" w:afterAutospacing="0" w:line="360" w:lineRule="auto"/>
        <w:ind w:left="0" w:leftChars="0"/>
        <w:jc w:val="left"/>
        <w:outlineLvl w:val="2"/>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3.2.1城镇垃圾处理费社区代收模式升级改造</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3.2.1.1系统主体界面</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城镇垃圾处理费社区代收模式系统主体界面，该功能将社区代收模式进行区域划分，分为用户管理区域、数据查询区域、业务办理区域等。</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3.2.1.2账号申请</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城镇垃圾处理费社区代收模式提供账号申请功能，此功能需要有社区管理人员进行申请，包含社区所属区域、税务机关管辖范围、账号密码、联系人姓名、联系电话等，提交后由税务人员进行审核，审核通过则短信通知管理人员账号详情</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3.2.1.3系统登录</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城镇垃圾处理费社区代收模式提供系统登录功能，该功能由社区系统管理人员进行维护登录人员信息，登录人员在登录时需输入统一用户名，用户手机号码以及认证短信密码进行登录</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3.2.1.4登录人员管理</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城镇垃圾处理费社区代收模式提供系统登录人员管理功能，该功能由社区系统管理人员进行维护登录人员信息，需维护信息包含登录人手机号码、姓名等内容</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3.2.1.5街道信息维护</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城镇垃圾处理费社区代收模式提供系统街道信息维护功能，在城镇垃圾处理费代收业务发生前，需要维护所属代收单位所属辖区，需要录入所管辖的街道信息，维护的内容包含街道名称、街道对应的行政区划数字代码等</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3.2.1.6小区信息维护</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城镇垃圾处理费社区代收模式提供系统小区信息维护功能，在城镇垃圾处理费代收业务发生前，需要维护代收单位所管辖的小区信息，维护的内容包含小区名称、小区地址、小区所对应的主管税务机关以及备注等信息</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3.2.1.7单元信息维护</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城镇垃圾处理费社区代收模式提供系统单元信息维护功能，在城镇垃圾处理费代收业务发生前，需要维护代收单位所管辖小区的单元信息，维护的内容包含所属小区、单元名称以及备注等信息</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3.2.1.8缴费人员信息维护</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城镇垃圾处理费社区代收模式提供系统缴费人员信息维护功能，在城镇垃圾处理费代收业务发生前，需要维护缴费人员信息，维护的内容包含所属小区、所属单元、缴费人姓名、缴费人手机号码、缴费人身份证号码、备注等信息</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3.2.1.9缴费人员信息查询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城镇垃圾处理费社区代收模式提供系统缴费人员信息查询，本模块可查询缴费人员所属小区、所属单元、系统录入时间、缴费人姓名、缴费人联系电话、缴费人状态、录入人员等信息，并可导出查询结果</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3.2.1.10街道信息查询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城镇垃圾处理费社区代收模式提供系统街道信息查询，本模块可查询街道名称、录入时间、街道状态、录入人员等信息，并可导出查询结果</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3.2.1.11小区信息查询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城镇垃圾处理费社区代收模式提供系统小区信息查询，本模块可查询街道名称、小区名称、所属税务机关、录入时间、小区状态、录入人员等信息，并可导出查询结果</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3.2.1.12单元信息查询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eastAsia="zh-CN"/>
        </w:rPr>
        <w:t>城镇垃圾处理费社区代收模式提供系统单元信息查询，本模块可查询街道名称、小区名称、单元名称、所属税务机关、录入时间、单元状态、录入人员等信息，并可导出查询结果</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3.2.1.13缴费人员信息作废</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城镇垃圾处理费社区代收模式提供缴费人员信息作废，本模块对指定查询出的缴费人员信息进行作废</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3.2.1.14街道信息作废</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城镇垃圾处理费社区代收模式提供街道信息作废功能，本功能对指定街道信息进行作废操作</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3.2.1.15小区信息作废</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城镇垃圾处理费社区代收模式提供小区信息作废功能，本功能对指定小区信息进行作废操作</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3.2.1.16单元信息作废</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城镇垃圾处理费社区代收模式提供单元信息作废功能，本功能对指定单元信息进行作废操作</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3.2.1.17缴费统计查询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城镇垃圾处理费社区代收模式提供缴费统计查询功能，本功能根据用户指定时间范围区间进行数据统计，查询本辖区内缴费人员信息并可导出查询结果</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3.2.1.18缴费人员信息验证</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城镇垃圾处理费社区代收模式在维护缴费人员信息时，系统对用户姓名和身份证号码进行统一封装核验，核验内容包含调用国家税务总局接口核验用户姓名和身份证号码的真实有效性，核验用户的</w:t>
      </w:r>
      <w:r>
        <w:rPr>
          <w:rFonts w:hint="eastAsia" w:asciiTheme="minorEastAsia" w:hAnsiTheme="minorEastAsia" w:eastAsiaTheme="minorEastAsia" w:cstheme="minorEastAsia"/>
          <w:color w:val="auto"/>
          <w:sz w:val="24"/>
          <w:szCs w:val="24"/>
          <w:highlight w:val="none"/>
          <w:lang w:val="en-US" w:eastAsia="zh-CN"/>
        </w:rPr>
        <w:t>ITS信息是否可用等</w:t>
      </w:r>
      <w:r>
        <w:rPr>
          <w:rFonts w:hint="eastAsia" w:asciiTheme="minorEastAsia" w:hAnsiTheme="minorEastAsia" w:eastAsiaTheme="minorEastAsia" w:cstheme="minorEastAsia"/>
          <w:color w:val="auto"/>
          <w:sz w:val="24"/>
          <w:szCs w:val="24"/>
          <w:highlight w:val="none"/>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highlight w:val="none"/>
          <w:lang w:val="en-US" w:eastAsia="zh-CN" w:bidi="ar-SA"/>
        </w:rPr>
      </w:pPr>
      <w:r>
        <w:rPr>
          <w:rFonts w:hint="eastAsia" w:asciiTheme="minorEastAsia" w:hAnsiTheme="minorEastAsia" w:eastAsiaTheme="minorEastAsia" w:cstheme="minorEastAsia"/>
          <w:b/>
          <w:color w:val="auto"/>
          <w:kern w:val="2"/>
          <w:sz w:val="24"/>
          <w:szCs w:val="24"/>
          <w:highlight w:val="none"/>
          <w:lang w:val="en-US" w:eastAsia="zh-CN" w:bidi="ar-SA"/>
        </w:rPr>
        <w:t>3.2.2非税收入互联互通升级改造</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3.2.2.1 企业登记信息公共窗体</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提供纳税人登记信息选择功能，该模块通过纳税人识别号（社会信用代码）获取企业有效登记信息，包含登记序号，纳税人名称，主管税务机关，是否跨区报验登记等信息</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eastAsia="zh-CN"/>
        </w:rPr>
        <w:t>在选择确认登记信息后，将选择信息反馈至主窗体。</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3.2.2.2 行政区划公共窗体</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提供行政区划选择功能，该模块与非税收入互联互通业务办理功能界面进行联动，并根据主体税务机关和行政区划信息进行默认赋值，通过选择所属区域，以及街道名称和对应税务机关信息，选择确认后将行政区划等信息反馈至主窗体界面。</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3.2.2.3 附件上传公共窗体</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提供附件上传功能，该功能与非税收入互联互通业务办理的补充功能，提供</w:t>
      </w:r>
      <w:r>
        <w:rPr>
          <w:rFonts w:hint="eastAsia" w:asciiTheme="minorEastAsia" w:hAnsiTheme="minorEastAsia" w:eastAsiaTheme="minorEastAsia" w:cstheme="minorEastAsia"/>
          <w:color w:val="auto"/>
          <w:sz w:val="24"/>
          <w:szCs w:val="24"/>
          <w:highlight w:val="none"/>
          <w:lang w:val="en-US" w:eastAsia="zh-CN"/>
        </w:rPr>
        <w:t>Rar/Zip等格式的压缩包上传</w:t>
      </w:r>
      <w:r>
        <w:rPr>
          <w:rFonts w:hint="eastAsia" w:asciiTheme="minorEastAsia" w:hAnsiTheme="minorEastAsia" w:eastAsiaTheme="minorEastAsia" w:cstheme="minorEastAsia"/>
          <w:color w:val="auto"/>
          <w:sz w:val="24"/>
          <w:szCs w:val="24"/>
          <w:highlight w:val="none"/>
          <w:lang w:eastAsia="zh-CN"/>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3.2.2.4 人防部门缴费办理</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提供人防部门缴费办理业务，本功能通过填报纳税人信息、项目联系人信息、费款缴纳种类、金额以及上传附件内容。在表单提交后数据传递至税务局局端管理系统</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3.2.2.5 人防部门缴费查询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人防部门缴费查询业务，本功能通过通过选择业务办理区间进行数据检索，检索信息包含纳税人名称、纳税人识别号、表单状态、提交日期、是否已申报、是否完税等信息，在完税后通过此表单可下载完税证明，可供三方部门办理后续业务</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3.2.2.6 环保部门缴费办理</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提供环保部门缴费办理业务，本功能通过填报纳税人信息、项目联系人信息、费款缴纳种类、金额以及上传附件内容。在表单提交后数据传递至税务局局端管理系统</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3.2.2.7 环保部门缴费查询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环保部门缴费查询业务，本功能通过通过选择业务办理区间进行数据检索，检索信息包含纳税人名称、纳税人识别号、表单状态、提交日期、是否已申报、是否完税等信息，在完税后通过此表单可下载完税证明，可供三方部门办理后续业务</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3.2.2.8 城管部门缴费办理</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提供城管部门缴费办理业务，本功能通过填报纳税人信息、项目联系人信息、费款缴纳种类、金额以及上传附件内容。在表单提交后数据传递至税务局局端管理系统</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3.2.2.9 城管部门缴费查询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城管部门缴费查询业务，本功能通过通过选择业务办理区间进行数据检索，检索信息包含纳税人名称、纳税人识别号、表单状态、提交日期、是否已申报、是否完税等信息，在完税后通过此表单可下载完税证明，可供三方部门办理后续业务</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3.2.2.10 水务部门缴费办理</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水务</w:t>
      </w:r>
      <w:r>
        <w:rPr>
          <w:rFonts w:hint="eastAsia" w:asciiTheme="minorEastAsia" w:hAnsiTheme="minorEastAsia" w:eastAsiaTheme="minorEastAsia" w:cstheme="minorEastAsia"/>
          <w:color w:val="auto"/>
          <w:sz w:val="24"/>
          <w:szCs w:val="24"/>
          <w:highlight w:val="none"/>
          <w:lang w:eastAsia="zh-CN"/>
        </w:rPr>
        <w:t>部门缴费办理业务，本功能通过填报纳税人信息、项目联系人信息、费款缴纳种类、金额以及上传附件内容。在表单提交后数据传递至税务局局端管理系统</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3.2.2.11 水务部门缴费查询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水务</w:t>
      </w:r>
      <w:r>
        <w:rPr>
          <w:rFonts w:hint="eastAsia" w:asciiTheme="minorEastAsia" w:hAnsiTheme="minorEastAsia" w:eastAsiaTheme="minorEastAsia" w:cstheme="minorEastAsia"/>
          <w:color w:val="auto"/>
          <w:sz w:val="24"/>
          <w:szCs w:val="24"/>
          <w:highlight w:val="none"/>
          <w:lang w:eastAsia="zh-CN"/>
        </w:rPr>
        <w:t>部门缴费查询业务，本功能通过通过选择业务办理区间进行数据检索，检索信息包含纳税人名称、纳税人识别号、表单状态、提交日期、是否已申报、是否完税等信息，在完税后通过此表单可下载完税证明，可供三方部门办理后续业务</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3.2.2.12 水务部门入库查询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水务</w:t>
      </w:r>
      <w:r>
        <w:rPr>
          <w:rFonts w:hint="eastAsia" w:asciiTheme="minorEastAsia" w:hAnsiTheme="minorEastAsia" w:eastAsiaTheme="minorEastAsia" w:cstheme="minorEastAsia"/>
          <w:color w:val="auto"/>
          <w:sz w:val="24"/>
          <w:szCs w:val="24"/>
          <w:highlight w:val="none"/>
          <w:lang w:eastAsia="zh-CN"/>
        </w:rPr>
        <w:t>部门入库查询业务，本功能提供水务部门监管企业建设期或开采期的入库信息情况，检索条件包含纳税人名称、纳税人识别号、项目编号等</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3.2.2.13 林草部门草原业务办理</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省林草局的草原业务</w:t>
      </w:r>
      <w:r>
        <w:rPr>
          <w:rFonts w:hint="eastAsia" w:asciiTheme="minorEastAsia" w:hAnsiTheme="minorEastAsia" w:eastAsiaTheme="minorEastAsia" w:cstheme="minorEastAsia"/>
          <w:color w:val="auto"/>
          <w:sz w:val="24"/>
          <w:szCs w:val="24"/>
          <w:highlight w:val="none"/>
          <w:lang w:eastAsia="zh-CN"/>
        </w:rPr>
        <w:t>缴费办理，本功能通过填报纳税人信息、项目联系人信息、费款缴纳种类、金额以及上传附件内容。在表单提交后数据传递至税务局局端管理系统</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3.2.2.14 林草部门草原缴费查询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省林草局的草原业务</w:t>
      </w:r>
      <w:r>
        <w:rPr>
          <w:rFonts w:hint="eastAsia" w:asciiTheme="minorEastAsia" w:hAnsiTheme="minorEastAsia" w:eastAsiaTheme="minorEastAsia" w:cstheme="minorEastAsia"/>
          <w:color w:val="auto"/>
          <w:sz w:val="24"/>
          <w:szCs w:val="24"/>
          <w:highlight w:val="none"/>
          <w:lang w:eastAsia="zh-CN"/>
        </w:rPr>
        <w:t>缴费查询，本功能通过通过选择业务办理区间进行数据检索，检索信息包含纳税人名称、纳税人识别号、表单状态、提交日期、是否已申报、是否完税等信息，在完税后通过此表单可下载完税证明，可供三方部门办理后续业务</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3.2.2.15 林草部门草原入库查询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省林草局的草原业务</w:t>
      </w:r>
      <w:r>
        <w:rPr>
          <w:rFonts w:hint="eastAsia" w:asciiTheme="minorEastAsia" w:hAnsiTheme="minorEastAsia" w:eastAsiaTheme="minorEastAsia" w:cstheme="minorEastAsia"/>
          <w:color w:val="auto"/>
          <w:sz w:val="24"/>
          <w:szCs w:val="24"/>
          <w:highlight w:val="none"/>
          <w:lang w:eastAsia="zh-CN"/>
        </w:rPr>
        <w:t>入库查询，本功能提供草原业务的入库查询，检索条件包含纳税人名称、纳税人识别号、项目编号等</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3.2.2.16 林草部门森林业务办理</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省林草局的森林业务</w:t>
      </w:r>
      <w:r>
        <w:rPr>
          <w:rFonts w:hint="eastAsia" w:asciiTheme="minorEastAsia" w:hAnsiTheme="minorEastAsia" w:eastAsiaTheme="minorEastAsia" w:cstheme="minorEastAsia"/>
          <w:color w:val="auto"/>
          <w:sz w:val="24"/>
          <w:szCs w:val="24"/>
          <w:highlight w:val="none"/>
          <w:lang w:eastAsia="zh-CN"/>
        </w:rPr>
        <w:t>缴费办理，本功能通过填报纳税人信息、项目联系人信息、费款缴纳种类、金额以及上传附件内容。在表单提交后数据传递至税务局局端管理系统</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3.2.2.17 林草部门森林缴费查询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省林草局的森林业务</w:t>
      </w:r>
      <w:r>
        <w:rPr>
          <w:rFonts w:hint="eastAsia" w:asciiTheme="minorEastAsia" w:hAnsiTheme="minorEastAsia" w:eastAsiaTheme="minorEastAsia" w:cstheme="minorEastAsia"/>
          <w:color w:val="auto"/>
          <w:sz w:val="24"/>
          <w:szCs w:val="24"/>
          <w:highlight w:val="none"/>
          <w:lang w:eastAsia="zh-CN"/>
        </w:rPr>
        <w:t>缴费查询，本功能通过通过选择业务办理区间进行数据检索，检索信息包含纳税人名称、纳税人识别号、表单状态、提交日期、是否已申报、是否完税等信息，在完税后通过此表单可下载完税证明，可供三方部门办理后续业务</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3.2.2.18 林草部门森林入库查询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省林草局的森林业务</w:t>
      </w:r>
      <w:r>
        <w:rPr>
          <w:rFonts w:hint="eastAsia" w:asciiTheme="minorEastAsia" w:hAnsiTheme="minorEastAsia" w:eastAsiaTheme="minorEastAsia" w:cstheme="minorEastAsia"/>
          <w:color w:val="auto"/>
          <w:sz w:val="24"/>
          <w:szCs w:val="24"/>
          <w:highlight w:val="none"/>
          <w:lang w:eastAsia="zh-CN"/>
        </w:rPr>
        <w:t>入库查询，本功能提供森林业务的入库查询，检索条件包含纳税人名称、纳税人识别号、项目编号等</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3.2.2.19 自然资源土地使用权出让业务办理</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省自然资源厅土地使用权出让</w:t>
      </w:r>
      <w:r>
        <w:rPr>
          <w:rFonts w:hint="eastAsia" w:asciiTheme="minorEastAsia" w:hAnsiTheme="minorEastAsia" w:eastAsiaTheme="minorEastAsia" w:cstheme="minorEastAsia"/>
          <w:color w:val="auto"/>
          <w:sz w:val="24"/>
          <w:szCs w:val="24"/>
          <w:highlight w:val="none"/>
          <w:lang w:eastAsia="zh-CN"/>
        </w:rPr>
        <w:t>缴费办理，本功能通过填报纳税人信息、项目联系人信息、土地项目编号、土地等级、费款缴纳种类、金额以及上传附件内容。在表单提交后数据传递至税务局局端管理系统进行预审核</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3.2.2.20 自然资源土地使用权出让信息查询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省自然资源厅土地使用权出让信息</w:t>
      </w:r>
      <w:r>
        <w:rPr>
          <w:rFonts w:hint="eastAsia" w:asciiTheme="minorEastAsia" w:hAnsiTheme="minorEastAsia" w:eastAsiaTheme="minorEastAsia" w:cstheme="minorEastAsia"/>
          <w:color w:val="auto"/>
          <w:sz w:val="24"/>
          <w:szCs w:val="24"/>
          <w:highlight w:val="none"/>
          <w:lang w:eastAsia="zh-CN"/>
        </w:rPr>
        <w:t>查询，本功能通过通过选择业务办理区间进行数据检索，检索信息包含纳税人名称、纳税人识别号、表单状态、提交日期、是否已申报、是否完税等信息，在完税后通过此表单可下载完税证明，可供三方部门办理后续业务</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3.2.2.21 自然资源土地使用权出让入库查询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省自然资源厅土地使用权出让</w:t>
      </w:r>
      <w:r>
        <w:rPr>
          <w:rFonts w:hint="eastAsia" w:asciiTheme="minorEastAsia" w:hAnsiTheme="minorEastAsia" w:eastAsiaTheme="minorEastAsia" w:cstheme="minorEastAsia"/>
          <w:color w:val="auto"/>
          <w:sz w:val="24"/>
          <w:szCs w:val="24"/>
          <w:highlight w:val="none"/>
          <w:lang w:eastAsia="zh-CN"/>
        </w:rPr>
        <w:t>入库查询，本功能提土地划转后逐年在税务系统费款申报以及缴存入库情况，检索条件包含纳税人名称、纳税人识别号、土地项目编号等</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3.2.2.22 自然资源探矿权采矿权业务办理</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省自然资源厅探矿权采矿权</w:t>
      </w:r>
      <w:r>
        <w:rPr>
          <w:rFonts w:hint="eastAsia" w:asciiTheme="minorEastAsia" w:hAnsiTheme="minorEastAsia" w:eastAsiaTheme="minorEastAsia" w:cstheme="minorEastAsia"/>
          <w:color w:val="auto"/>
          <w:sz w:val="24"/>
          <w:szCs w:val="24"/>
          <w:highlight w:val="none"/>
          <w:lang w:eastAsia="zh-CN"/>
        </w:rPr>
        <w:t>缴费办理，本功能通过填报纳税人信息、项目联系人信息、土地项目编号、土地等级、费款缴纳种类、金额以及上传附件内容。在表单提交后数据传递至税务局局端管理系统进行预审核</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3.2.2.23 自然资源探矿权采矿权信息查询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省自然资源厅探矿权采矿权信息</w:t>
      </w:r>
      <w:r>
        <w:rPr>
          <w:rFonts w:hint="eastAsia" w:asciiTheme="minorEastAsia" w:hAnsiTheme="minorEastAsia" w:eastAsiaTheme="minorEastAsia" w:cstheme="minorEastAsia"/>
          <w:color w:val="auto"/>
          <w:sz w:val="24"/>
          <w:szCs w:val="24"/>
          <w:highlight w:val="none"/>
          <w:lang w:eastAsia="zh-CN"/>
        </w:rPr>
        <w:t>查询，本功能通过通过选择业务办理区间进行数据检索，检索信息包含纳税人名称、纳税人识别号、表单状态、提交日期、是否已申报、是否完税等信息，在完税后通过此表单可下载完税证明，可供三方部门办理后续业务</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3.2.2.24 自然资源探矿权采矿权入库查询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省自然资源厅探矿权采矿权</w:t>
      </w:r>
      <w:r>
        <w:rPr>
          <w:rFonts w:hint="eastAsia" w:asciiTheme="minorEastAsia" w:hAnsiTheme="minorEastAsia" w:eastAsiaTheme="minorEastAsia" w:cstheme="minorEastAsia"/>
          <w:color w:val="auto"/>
          <w:sz w:val="24"/>
          <w:szCs w:val="24"/>
          <w:highlight w:val="none"/>
          <w:lang w:eastAsia="zh-CN"/>
        </w:rPr>
        <w:t>入库查询，本功能查询划转后逐年在税务系统费款申报以及缴存入库情况，检索条件包含纳税人名称、纳税人识别号、矿产编号等</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3.2.2.25 矿业权出让收益-收益率业务办理</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省自然资源厅矿业权出让收益-收益率</w:t>
      </w:r>
      <w:r>
        <w:rPr>
          <w:rFonts w:hint="eastAsia" w:asciiTheme="minorEastAsia" w:hAnsiTheme="minorEastAsia" w:eastAsiaTheme="minorEastAsia" w:cstheme="minorEastAsia"/>
          <w:color w:val="auto"/>
          <w:sz w:val="24"/>
          <w:szCs w:val="24"/>
          <w:highlight w:val="none"/>
          <w:lang w:eastAsia="zh-CN"/>
        </w:rPr>
        <w:t>缴费办理，本功能通过填报纳税人信息、项目联系人信息、矿产项目编号、矿产等级、费款缴纳种类、金额以及上传附件内容。在表单提交后数据传递至税务局局端管理系统进行预审核</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3.2.2.26 矿业权出让收益-收益率信息查询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省自然资源厅矿业权出让收益-收益率信息</w:t>
      </w:r>
      <w:r>
        <w:rPr>
          <w:rFonts w:hint="eastAsia" w:asciiTheme="minorEastAsia" w:hAnsiTheme="minorEastAsia" w:eastAsiaTheme="minorEastAsia" w:cstheme="minorEastAsia"/>
          <w:color w:val="auto"/>
          <w:sz w:val="24"/>
          <w:szCs w:val="24"/>
          <w:highlight w:val="none"/>
          <w:lang w:eastAsia="zh-CN"/>
        </w:rPr>
        <w:t>查询，本功能通过通过选择业务办理区间进行数据检索，检索信息包含纳税人名称、纳税人识别号、表单状态、提交日期、是否已申报、是否完税等信息，在完税后通过此表单可下载完税证明，可供三方部门办理后续业务</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3.2.2.27 矿业权出让收益-收益率入库查询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省自然资源厅矿业权出让收益-收益率</w:t>
      </w:r>
      <w:r>
        <w:rPr>
          <w:rFonts w:hint="eastAsia" w:asciiTheme="minorEastAsia" w:hAnsiTheme="minorEastAsia" w:eastAsiaTheme="minorEastAsia" w:cstheme="minorEastAsia"/>
          <w:color w:val="auto"/>
          <w:sz w:val="24"/>
          <w:szCs w:val="24"/>
          <w:highlight w:val="none"/>
          <w:lang w:eastAsia="zh-CN"/>
        </w:rPr>
        <w:t>入库查询，本功能查询划转后逐年在税务系统费款申报以及缴存入库情况，检索条件包含纳税人名称、纳税人识别号、矿产编号等</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3.2.2.28 矿业权出让收益-出让金额业务办理</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省自然资源厅矿业权出让收益-出让金额</w:t>
      </w:r>
      <w:r>
        <w:rPr>
          <w:rFonts w:hint="eastAsia" w:asciiTheme="minorEastAsia" w:hAnsiTheme="minorEastAsia" w:eastAsiaTheme="minorEastAsia" w:cstheme="minorEastAsia"/>
          <w:color w:val="auto"/>
          <w:sz w:val="24"/>
          <w:szCs w:val="24"/>
          <w:highlight w:val="none"/>
          <w:lang w:eastAsia="zh-CN"/>
        </w:rPr>
        <w:t>缴费办理，本功能通过填报纳税人信息、项目联系人信息、矿产项目编号、矿产等级、费款缴纳种类、金额以及上传附件内容。在表单提交后数据传递至税务局局端管理系统进行预审核</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3.2.2.29 矿业权出让收益-出让金额信息查询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省自然资源厅矿业权出让收益-出让金额信息</w:t>
      </w:r>
      <w:r>
        <w:rPr>
          <w:rFonts w:hint="eastAsia" w:asciiTheme="minorEastAsia" w:hAnsiTheme="minorEastAsia" w:eastAsiaTheme="minorEastAsia" w:cstheme="minorEastAsia"/>
          <w:color w:val="auto"/>
          <w:sz w:val="24"/>
          <w:szCs w:val="24"/>
          <w:highlight w:val="none"/>
          <w:lang w:eastAsia="zh-CN"/>
        </w:rPr>
        <w:t>查询，本功能通过通过选择业务办理区间进行数据检索，检索信息包含纳税人名称、纳税人识别号、表单状态、提交日期、是否已申报、是否完税等信息，在完税后通过此表单可下载完税证明，可供三方部门办理后续业务</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3.2.2.30 矿业权出让收益-出让金额入库查询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省自然资源厅矿业权出让收益-出让金额</w:t>
      </w:r>
      <w:r>
        <w:rPr>
          <w:rFonts w:hint="eastAsia" w:asciiTheme="minorEastAsia" w:hAnsiTheme="minorEastAsia" w:eastAsiaTheme="minorEastAsia" w:cstheme="minorEastAsia"/>
          <w:color w:val="auto"/>
          <w:sz w:val="24"/>
          <w:szCs w:val="24"/>
          <w:highlight w:val="none"/>
          <w:lang w:eastAsia="zh-CN"/>
        </w:rPr>
        <w:t>入库查询，本功能查询划转后逐年在税务系统费款申报以及缴存入库情况，检索条件包含纳税人名称、纳税人识别号、矿产编号等</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3.2.2.31 工会互联互通-业务办理</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省工会部门互通业务办理，</w:t>
      </w:r>
      <w:r>
        <w:rPr>
          <w:rFonts w:hint="eastAsia" w:asciiTheme="minorEastAsia" w:hAnsiTheme="minorEastAsia" w:eastAsiaTheme="minorEastAsia" w:cstheme="minorEastAsia"/>
          <w:color w:val="auto"/>
          <w:sz w:val="24"/>
          <w:szCs w:val="24"/>
          <w:highlight w:val="none"/>
          <w:lang w:eastAsia="zh-CN"/>
        </w:rPr>
        <w:t>本功能主要是工会部门根据企业工会建会筹备期转为正式工会后，工会部门向税务部门传递建会期限，由税务部门进行业务审核，当审验无误后对企业征收工会经费</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3.2.2.32 工会互联互通-信息查询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省工会部门互通业务查询功能，</w:t>
      </w:r>
      <w:r>
        <w:rPr>
          <w:rFonts w:hint="eastAsia" w:asciiTheme="minorEastAsia" w:hAnsiTheme="minorEastAsia" w:eastAsiaTheme="minorEastAsia" w:cstheme="minorEastAsia"/>
          <w:color w:val="auto"/>
          <w:sz w:val="24"/>
          <w:szCs w:val="24"/>
          <w:highlight w:val="none"/>
          <w:lang w:eastAsia="zh-CN"/>
        </w:rPr>
        <w:t>本功能提供查询工会部门传递的业务受理单信息，此表单显示表单填报日期、企业纳税人识别号、纳税人名称、工会筹备金日期起、工会筹备金日期止、工会经费日期起、工会经费日期止等信息</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3.2.2.33 工会互联互通-入库信息查询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省工会部门入库信息查询功能，</w:t>
      </w:r>
      <w:r>
        <w:rPr>
          <w:rFonts w:hint="eastAsia" w:asciiTheme="minorEastAsia" w:hAnsiTheme="minorEastAsia" w:eastAsiaTheme="minorEastAsia" w:cstheme="minorEastAsia"/>
          <w:color w:val="auto"/>
          <w:sz w:val="24"/>
          <w:szCs w:val="24"/>
          <w:highlight w:val="none"/>
          <w:lang w:eastAsia="zh-CN"/>
        </w:rPr>
        <w:t>本功能可根据纳税人识别号、纳税人名称以及征缴类型（工会筹备金、工会经费）以及入库日期起止等条件进行查询企业申报入库情况</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3.2.2.34 工会互联互通-登记信息查询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省工会部门登记信息查询功能，</w:t>
      </w:r>
      <w:r>
        <w:rPr>
          <w:rFonts w:hint="eastAsia" w:asciiTheme="minorEastAsia" w:hAnsiTheme="minorEastAsia" w:eastAsiaTheme="minorEastAsia" w:cstheme="minorEastAsia"/>
          <w:color w:val="auto"/>
          <w:sz w:val="24"/>
          <w:szCs w:val="24"/>
          <w:highlight w:val="none"/>
          <w:lang w:eastAsia="zh-CN"/>
        </w:rPr>
        <w:t>本功能可根据检索条件日期范围，进行检索一定区间内在税务进行登记的企业，查询内容包含纳税人识别号、纳税人名称、登记日期、所属行业、经营范围、法人姓名、法人联系电话等</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3.2.2.35 工会互联互通-注销信息查询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省工会部门注销信息查询功能，</w:t>
      </w:r>
      <w:r>
        <w:rPr>
          <w:rFonts w:hint="eastAsia" w:asciiTheme="minorEastAsia" w:hAnsiTheme="minorEastAsia" w:eastAsiaTheme="minorEastAsia" w:cstheme="minorEastAsia"/>
          <w:color w:val="auto"/>
          <w:sz w:val="24"/>
          <w:szCs w:val="24"/>
          <w:highlight w:val="none"/>
          <w:lang w:eastAsia="zh-CN"/>
        </w:rPr>
        <w:t>本功能可根据检索条件日期范围，进行检索一定区间内在税务进行注销的企业，查询内容包含纳税人识别号、纳税人名称、所属行业、经营范围、注销日期、法人姓名、法人联系电话等</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3.2.2.36 工会互联互通-认定信息查询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省工会部门认定信息查询功能，</w:t>
      </w:r>
      <w:r>
        <w:rPr>
          <w:rFonts w:hint="eastAsia" w:asciiTheme="minorEastAsia" w:hAnsiTheme="minorEastAsia" w:eastAsiaTheme="minorEastAsia" w:cstheme="minorEastAsia"/>
          <w:color w:val="auto"/>
          <w:sz w:val="24"/>
          <w:szCs w:val="24"/>
          <w:highlight w:val="none"/>
          <w:lang w:eastAsia="zh-CN"/>
        </w:rPr>
        <w:t>本功能可根据检索条件日期范围，进行检索一定区间内在税务进行工会经费或工会筹备金税费种认定的企业，查询内容包含纳税人识别号、纳税人名称、所属行业、征收项目、征收品目、认定有效期限起、认定有效期限止等</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3.2.2.37 非税收入通用申报-土地使用权出让收入</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非税收入通用申报-土地使用权出让收入申报功能，</w:t>
      </w:r>
      <w:r>
        <w:rPr>
          <w:rFonts w:hint="eastAsia" w:asciiTheme="minorEastAsia" w:hAnsiTheme="minorEastAsia" w:eastAsiaTheme="minorEastAsia" w:cstheme="minorEastAsia"/>
          <w:color w:val="auto"/>
          <w:sz w:val="24"/>
          <w:szCs w:val="24"/>
          <w:highlight w:val="none"/>
          <w:lang w:eastAsia="zh-CN"/>
        </w:rPr>
        <w:t>本功能通过提取核心非税合同项目信息，该项目信息是通过非税处工作流转并审核通过的合同信息，通过合同信息拉起特定项目信息采集功能，填报完毕后自动生成非税收入通用申报表，改申报表不可修改</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3.2.2.38 非税收入通用申报-矿产资源专项收益</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非税收入通用申报-矿产资源专项收益申报功能，</w:t>
      </w:r>
      <w:r>
        <w:rPr>
          <w:rFonts w:hint="eastAsia" w:asciiTheme="minorEastAsia" w:hAnsiTheme="minorEastAsia" w:eastAsiaTheme="minorEastAsia" w:cstheme="minorEastAsia"/>
          <w:color w:val="auto"/>
          <w:sz w:val="24"/>
          <w:szCs w:val="24"/>
          <w:highlight w:val="none"/>
          <w:lang w:eastAsia="zh-CN"/>
        </w:rPr>
        <w:t>本功初始化过程中拉起特定项目信息采集，自动对特定项目信息采集赋值合同编号、税款所属期起止、缴款金额，缴费人需手动填报许可证有效期起止、矿中等信息，填报完毕后自动生成非税收入通用申报表，改申报表不可修改</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3.2.2.39 非税收入通用申报-探矿权采矿权使用费</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非税收入通用申报-探矿权采矿权使用费申报功能，本功能</w:t>
      </w:r>
      <w:r>
        <w:rPr>
          <w:rFonts w:hint="eastAsia" w:asciiTheme="minorEastAsia" w:hAnsiTheme="minorEastAsia" w:eastAsiaTheme="minorEastAsia" w:cstheme="minorEastAsia"/>
          <w:color w:val="auto"/>
          <w:sz w:val="24"/>
          <w:szCs w:val="24"/>
          <w:highlight w:val="none"/>
          <w:lang w:eastAsia="zh-CN"/>
        </w:rPr>
        <w:t>初始化过程中拉起特定项目信息采集，自动对特定项目信息采集赋值合同编号、税款所属期起止、缴款金额，缴费人需手动填报许可证有效期起止、矿中等信息，填报完毕后自动生成非税收入通用申报表，改申报表不可修改</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3.2.2.40 非税收入通用申报-互联互通</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w:t>
      </w:r>
      <w:r>
        <w:rPr>
          <w:rFonts w:hint="eastAsia" w:asciiTheme="minorEastAsia" w:hAnsiTheme="minorEastAsia" w:eastAsiaTheme="minorEastAsia" w:cstheme="minorEastAsia"/>
          <w:color w:val="auto"/>
          <w:sz w:val="24"/>
          <w:szCs w:val="24"/>
          <w:highlight w:val="none"/>
          <w:lang w:val="en-US" w:eastAsia="zh-CN"/>
        </w:rPr>
        <w:t>非税收入通用申报功能，本功能为集合申报，包含水务部门、人防部门、环保部门、城管部门以及林草部门，通过调取局端已审核通过的互联互通表单，</w:t>
      </w:r>
      <w:r>
        <w:rPr>
          <w:rFonts w:hint="eastAsia" w:asciiTheme="minorEastAsia" w:hAnsiTheme="minorEastAsia" w:eastAsiaTheme="minorEastAsia" w:cstheme="minorEastAsia"/>
          <w:color w:val="auto"/>
          <w:sz w:val="24"/>
          <w:szCs w:val="24"/>
          <w:highlight w:val="none"/>
          <w:lang w:eastAsia="zh-CN"/>
        </w:rPr>
        <w:t>自动对非税收入通用申报表进行预填，改申报表不可修改，缴费人确认无误后点击申报提交至核心系统</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3.2.2.41 税费缴纳-土地使用权出让收入</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eastAsia="zh-CN"/>
        </w:rPr>
        <w:t>提供税费缴纳</w:t>
      </w:r>
      <w:r>
        <w:rPr>
          <w:rFonts w:hint="eastAsia" w:asciiTheme="minorEastAsia" w:hAnsiTheme="minorEastAsia" w:eastAsiaTheme="minorEastAsia" w:cstheme="minorEastAsia"/>
          <w:color w:val="auto"/>
          <w:sz w:val="24"/>
          <w:szCs w:val="24"/>
          <w:highlight w:val="none"/>
          <w:lang w:val="en-US" w:eastAsia="zh-CN"/>
        </w:rPr>
        <w:t>-土地使用权出让收入功能，本功能为核心税费缴纳的补偿功能，由于非税征缴的外部门税款包含分期缴款方式，目前总局对已申报的非税土地信息无法计算利息部分，所以由非税处提出单独成立缴款模块来进行利息计算，通过获取核心土地使用权出让收益待缴款信息，通过互联互通信息确认当前缴款条目是第几期共计多少天等信息，通过表单的利息利率来计算利息金额，在缴纳土地使用权出让收入的同时，向核心征管系统写入利息申报信息。</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3.2.2.42 税费缴纳-矿产资源专项收益</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eastAsia="zh-CN"/>
        </w:rPr>
        <w:t>提供税费缴纳</w:t>
      </w:r>
      <w:r>
        <w:rPr>
          <w:rFonts w:hint="eastAsia" w:asciiTheme="minorEastAsia" w:hAnsiTheme="minorEastAsia" w:eastAsiaTheme="minorEastAsia" w:cstheme="minorEastAsia"/>
          <w:color w:val="auto"/>
          <w:sz w:val="24"/>
          <w:szCs w:val="24"/>
          <w:highlight w:val="none"/>
          <w:lang w:val="en-US" w:eastAsia="zh-CN"/>
        </w:rPr>
        <w:t>-矿产资源专项收益功能，本功能为核心税费缴纳的补偿功能，由于非税征缴的外部门税款包含分期缴款方式，目前总局对已申报的非税矿产资源专项收益无法计算滞纳金部分，所以由非税处提出单独成立缴款模块来进行滞纳金计算，通过获取核心矿产资源专项收益待缴款信息，通过表单的滞纳金利率来计算滞纳金额，在缴纳矿产专项收入的同时，向核心征管系统写入滞纳金申报信息。</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3.2.2.43税费缴纳-探矿权采矿权使用费</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提供税费缴纳</w:t>
      </w:r>
      <w:r>
        <w:rPr>
          <w:rFonts w:hint="eastAsia" w:asciiTheme="minorEastAsia" w:hAnsiTheme="minorEastAsia" w:eastAsiaTheme="minorEastAsia" w:cstheme="minorEastAsia"/>
          <w:color w:val="auto"/>
          <w:sz w:val="24"/>
          <w:szCs w:val="24"/>
          <w:highlight w:val="none"/>
          <w:lang w:val="en-US" w:eastAsia="zh-CN"/>
        </w:rPr>
        <w:t>-探矿权采矿权使用费功能，本功能为核心税费缴纳的补偿功能，由于非税征缴的外部门税款包含分期缴款方式，目前总局对已申报的非税探矿权采矿权使用费无法计算滞纳金部分，所以由非税处提出单独成立缴款模块来进行滞纳金计算，通过获取核心探矿权采矿权使用费待缴款信息，通过表单的滞纳金利率来计算滞纳金额，在缴纳探矿权采矿权使用费的同时，向核心征管系统写入滞纳金申报信息。</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highlight w:val="none"/>
          <w:lang w:val="en-US" w:eastAsia="zh-CN" w:bidi="ar-SA"/>
        </w:rPr>
      </w:pPr>
      <w:r>
        <w:rPr>
          <w:rFonts w:hint="eastAsia" w:asciiTheme="minorEastAsia" w:hAnsiTheme="minorEastAsia" w:eastAsiaTheme="minorEastAsia" w:cstheme="minorEastAsia"/>
          <w:b/>
          <w:color w:val="auto"/>
          <w:kern w:val="2"/>
          <w:sz w:val="24"/>
          <w:szCs w:val="24"/>
          <w:highlight w:val="none"/>
          <w:lang w:val="en-US" w:eastAsia="zh-CN" w:bidi="ar-SA"/>
        </w:rPr>
        <w:t>3.2.3电子税务局税务人端非税业务改造</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3.2.3.1 第三方税费收入</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电子税务局局端提供</w:t>
      </w:r>
      <w:r>
        <w:rPr>
          <w:rFonts w:hint="eastAsia" w:asciiTheme="minorEastAsia" w:hAnsiTheme="minorEastAsia" w:eastAsiaTheme="minorEastAsia" w:cstheme="minorEastAsia"/>
          <w:color w:val="auto"/>
          <w:sz w:val="24"/>
          <w:szCs w:val="24"/>
          <w:highlight w:val="none"/>
          <w:lang w:val="en-US" w:eastAsia="zh-CN"/>
        </w:rPr>
        <w:t>第三方非税收入业务受理功能，</w:t>
      </w:r>
      <w:r>
        <w:rPr>
          <w:rFonts w:hint="eastAsia" w:asciiTheme="minorEastAsia" w:hAnsiTheme="minorEastAsia" w:eastAsiaTheme="minorEastAsia" w:cstheme="minorEastAsia"/>
          <w:color w:val="auto"/>
          <w:sz w:val="24"/>
          <w:szCs w:val="24"/>
          <w:highlight w:val="none"/>
          <w:lang w:eastAsia="zh-CN"/>
        </w:rPr>
        <w:t>本功能接收人防、水务、环保、城管、工商、林草局、自然资源厅传递过来的互联互通业务数据，由局端人员进行业务人工审核，审核通过后推送税智撑系统</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3.2.3.2 第三方税费收入查询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电子税务局局端提供</w:t>
      </w:r>
      <w:r>
        <w:rPr>
          <w:rFonts w:hint="eastAsia" w:asciiTheme="minorEastAsia" w:hAnsiTheme="minorEastAsia" w:eastAsiaTheme="minorEastAsia" w:cstheme="minorEastAsia"/>
          <w:color w:val="auto"/>
          <w:sz w:val="24"/>
          <w:szCs w:val="24"/>
          <w:highlight w:val="none"/>
          <w:lang w:val="en-US" w:eastAsia="zh-CN"/>
        </w:rPr>
        <w:t>第三方非税收入查询业务功能，</w:t>
      </w:r>
      <w:r>
        <w:rPr>
          <w:rFonts w:hint="eastAsia" w:asciiTheme="minorEastAsia" w:hAnsiTheme="minorEastAsia" w:eastAsiaTheme="minorEastAsia" w:cstheme="minorEastAsia"/>
          <w:color w:val="auto"/>
          <w:sz w:val="24"/>
          <w:szCs w:val="24"/>
          <w:highlight w:val="none"/>
          <w:lang w:eastAsia="zh-CN"/>
        </w:rPr>
        <w:t>本功能根据所属行政区划以及税务机关和业务受理时间区间进行数据检索，查询内容包含：涉税事项名称、纳税人名称、业务受理时间、业务受理状态，点击表单可查询明细信息以及附件下载功能</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3.2.3.3 未回盘数据查询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电子税务局局端提供</w:t>
      </w:r>
      <w:r>
        <w:rPr>
          <w:rFonts w:hint="eastAsia" w:asciiTheme="minorEastAsia" w:hAnsiTheme="minorEastAsia" w:eastAsiaTheme="minorEastAsia" w:cstheme="minorEastAsia"/>
          <w:color w:val="auto"/>
          <w:sz w:val="24"/>
          <w:szCs w:val="24"/>
          <w:highlight w:val="none"/>
          <w:lang w:val="en-US" w:eastAsia="zh-CN"/>
        </w:rPr>
        <w:t>未回盘数据查询功能，</w:t>
      </w:r>
      <w:r>
        <w:rPr>
          <w:rFonts w:hint="eastAsia" w:asciiTheme="minorEastAsia" w:hAnsiTheme="minorEastAsia" w:eastAsiaTheme="minorEastAsia" w:cstheme="minorEastAsia"/>
          <w:color w:val="auto"/>
          <w:sz w:val="24"/>
          <w:szCs w:val="24"/>
          <w:highlight w:val="none"/>
          <w:lang w:eastAsia="zh-CN"/>
        </w:rPr>
        <w:t>本功能根据已受理并且已申报缴款的互联互通信息，从中识别回盘异常数据进行数据展示</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3.2.3.4 国有土地使用权出让收入利息（资金占用费）计算表</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电子税务局局端提供</w:t>
      </w:r>
      <w:r>
        <w:rPr>
          <w:rFonts w:hint="eastAsia" w:asciiTheme="minorEastAsia" w:hAnsiTheme="minorEastAsia" w:eastAsiaTheme="minorEastAsia" w:cstheme="minorEastAsia"/>
          <w:color w:val="auto"/>
          <w:sz w:val="24"/>
          <w:szCs w:val="24"/>
          <w:highlight w:val="none"/>
          <w:lang w:val="en-US" w:eastAsia="zh-CN"/>
        </w:rPr>
        <w:t>国有土地使用权出让收入利息（资金占用费）计算表功能，</w:t>
      </w:r>
      <w:r>
        <w:rPr>
          <w:rFonts w:hint="eastAsia" w:asciiTheme="minorEastAsia" w:hAnsiTheme="minorEastAsia" w:eastAsiaTheme="minorEastAsia" w:cstheme="minorEastAsia"/>
          <w:color w:val="auto"/>
          <w:sz w:val="24"/>
          <w:szCs w:val="24"/>
          <w:highlight w:val="none"/>
          <w:lang w:eastAsia="zh-CN"/>
        </w:rPr>
        <w:t>本功能为第三方业务受理的辅助功能，主要通过此模块计算国有土地使用权业务申报计算的缴费金额是否正确</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3.2.3.5 矿业权出让收益资金占用费（利息）计算表</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电子税务局局端提供</w:t>
      </w:r>
      <w:r>
        <w:rPr>
          <w:rFonts w:hint="eastAsia" w:asciiTheme="minorEastAsia" w:hAnsiTheme="minorEastAsia" w:eastAsiaTheme="minorEastAsia" w:cstheme="minorEastAsia"/>
          <w:color w:val="auto"/>
          <w:sz w:val="24"/>
          <w:szCs w:val="24"/>
          <w:highlight w:val="none"/>
          <w:lang w:val="en-US" w:eastAsia="zh-CN"/>
        </w:rPr>
        <w:t>矿业权出让收益资金占用费（利息）计算表功能，</w:t>
      </w:r>
      <w:r>
        <w:rPr>
          <w:rFonts w:hint="eastAsia" w:asciiTheme="minorEastAsia" w:hAnsiTheme="minorEastAsia" w:eastAsiaTheme="minorEastAsia" w:cstheme="minorEastAsia"/>
          <w:color w:val="auto"/>
          <w:sz w:val="24"/>
          <w:szCs w:val="24"/>
          <w:highlight w:val="none"/>
          <w:lang w:eastAsia="zh-CN"/>
        </w:rPr>
        <w:t>本功能为第三方业务受理的辅助功能，主要通过此模块计算矿业权出让收益资金占用费的缴费金额是否正确</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3.2.3.6 矿业权出让收益滞纳金计算表</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电子税务局局端提供</w:t>
      </w:r>
      <w:r>
        <w:rPr>
          <w:rFonts w:hint="eastAsia" w:asciiTheme="minorEastAsia" w:hAnsiTheme="minorEastAsia" w:eastAsiaTheme="minorEastAsia" w:cstheme="minorEastAsia"/>
          <w:color w:val="auto"/>
          <w:sz w:val="24"/>
          <w:szCs w:val="24"/>
          <w:highlight w:val="none"/>
          <w:lang w:val="en-US" w:eastAsia="zh-CN"/>
        </w:rPr>
        <w:t>矿业权出让收益滞纳金计算表功能，</w:t>
      </w:r>
      <w:r>
        <w:rPr>
          <w:rFonts w:hint="eastAsia" w:asciiTheme="minorEastAsia" w:hAnsiTheme="minorEastAsia" w:eastAsiaTheme="minorEastAsia" w:cstheme="minorEastAsia"/>
          <w:color w:val="auto"/>
          <w:sz w:val="24"/>
          <w:szCs w:val="24"/>
          <w:highlight w:val="none"/>
          <w:lang w:eastAsia="zh-CN"/>
        </w:rPr>
        <w:t>本功能为第三方业务受理的辅助功能，表单根据逻辑运算计算纳税人矿业权出让收益滞纳金</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3.2.3.7 矿产资源专项收入（矿业权）逐笔征缴结果反馈表</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电子税务局局端提供</w:t>
      </w:r>
      <w:r>
        <w:rPr>
          <w:rFonts w:hint="eastAsia" w:asciiTheme="minorEastAsia" w:hAnsiTheme="minorEastAsia" w:eastAsiaTheme="minorEastAsia" w:cstheme="minorEastAsia"/>
          <w:color w:val="auto"/>
          <w:sz w:val="24"/>
          <w:szCs w:val="24"/>
          <w:highlight w:val="none"/>
          <w:lang w:val="en-US" w:eastAsia="zh-CN"/>
        </w:rPr>
        <w:t>矿产资源专项收入（矿业权）逐笔征缴结果反馈表功能，可通过此模块查询</w:t>
      </w:r>
      <w:r>
        <w:rPr>
          <w:rFonts w:hint="eastAsia" w:asciiTheme="minorEastAsia" w:hAnsiTheme="minorEastAsia" w:eastAsiaTheme="minorEastAsia" w:cstheme="minorEastAsia"/>
          <w:color w:val="auto"/>
          <w:sz w:val="24"/>
          <w:szCs w:val="24"/>
          <w:highlight w:val="none"/>
          <w:lang w:eastAsia="zh-CN"/>
        </w:rPr>
        <w:t>缴费人每年的矿产资源专项收入申报缴费状态</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3.2.3.8 矿产资源专项收入（探矿权采矿权）逐笔征缴结果反馈表</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电子税务局局端提供</w:t>
      </w:r>
      <w:r>
        <w:rPr>
          <w:rFonts w:hint="eastAsia" w:asciiTheme="minorEastAsia" w:hAnsiTheme="minorEastAsia" w:eastAsiaTheme="minorEastAsia" w:cstheme="minorEastAsia"/>
          <w:color w:val="auto"/>
          <w:sz w:val="24"/>
          <w:szCs w:val="24"/>
          <w:highlight w:val="none"/>
          <w:lang w:val="en-US" w:eastAsia="zh-CN"/>
        </w:rPr>
        <w:t>矿产资源专项收入（探矿权采矿权）逐笔征缴结果反馈表功能，可通过此模块查询</w:t>
      </w:r>
      <w:r>
        <w:rPr>
          <w:rFonts w:hint="eastAsia" w:asciiTheme="minorEastAsia" w:hAnsiTheme="minorEastAsia" w:eastAsiaTheme="minorEastAsia" w:cstheme="minorEastAsia"/>
          <w:color w:val="auto"/>
          <w:sz w:val="24"/>
          <w:szCs w:val="24"/>
          <w:highlight w:val="none"/>
          <w:lang w:eastAsia="zh-CN"/>
        </w:rPr>
        <w:t>缴费人每年的矿产资源专项收入申报缴费状态</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3.2.3.9 国有土地使用权矿产资源专项收入入库明细查询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电子税务局局端提供</w:t>
      </w:r>
      <w:r>
        <w:rPr>
          <w:rFonts w:hint="eastAsia" w:asciiTheme="minorEastAsia" w:hAnsiTheme="minorEastAsia" w:eastAsiaTheme="minorEastAsia" w:cstheme="minorEastAsia"/>
          <w:color w:val="auto"/>
          <w:sz w:val="24"/>
          <w:szCs w:val="24"/>
          <w:highlight w:val="none"/>
          <w:lang w:val="en-US" w:eastAsia="zh-CN"/>
        </w:rPr>
        <w:t>国有土地使用权矿产资源专项收入入库明细查询功能，可通过此模块根据纳税人名称、纳税人识别号、入库日期起止范围查询国有土地使用权矿产资源专项收入入库明细信息</w:t>
      </w:r>
      <w:r>
        <w:rPr>
          <w:rFonts w:hint="eastAsia" w:asciiTheme="minorEastAsia" w:hAnsiTheme="minorEastAsia" w:eastAsiaTheme="minorEastAsia" w:cstheme="minorEastAsia"/>
          <w:color w:val="auto"/>
          <w:sz w:val="24"/>
          <w:szCs w:val="24"/>
          <w:highlight w:val="none"/>
        </w:rPr>
        <w:t>。</w:t>
      </w:r>
    </w:p>
    <w:p>
      <w:pPr>
        <w:keepNext/>
        <w:keepLines/>
        <w:pageBreakBefore w:val="0"/>
        <w:widowControl/>
        <w:tabs>
          <w:tab w:val="left" w:pos="864"/>
        </w:tabs>
        <w:suppressAutoHyphens/>
        <w:kinsoku/>
        <w:wordWrap/>
        <w:topLinePunct w:val="0"/>
        <w:bidi w:val="0"/>
        <w:spacing w:before="0" w:beforeLines="0" w:beforeAutospacing="0" w:after="0" w:afterLines="0" w:afterAutospacing="0" w:line="360" w:lineRule="auto"/>
        <w:ind w:left="0" w:leftChars="0" w:firstLine="0"/>
        <w:jc w:val="left"/>
        <w:outlineLvl w:val="3"/>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3.2.3.10 第三方非税收入（国土使用权）查询</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电子税务局局端提供</w:t>
      </w:r>
      <w:r>
        <w:rPr>
          <w:rFonts w:hint="eastAsia" w:asciiTheme="minorEastAsia" w:hAnsiTheme="minorEastAsia" w:eastAsiaTheme="minorEastAsia" w:cstheme="minorEastAsia"/>
          <w:color w:val="auto"/>
          <w:sz w:val="24"/>
          <w:szCs w:val="24"/>
          <w:highlight w:val="none"/>
          <w:lang w:val="en-US" w:eastAsia="zh-CN"/>
        </w:rPr>
        <w:t>第三方非税收入（国土使用权）查询功能，可通过此模块根据纳税人名称、纳税人识别号、入库日期起止范围查询国有土地使用权矿产资源专项收入业务受理信息</w:t>
      </w:r>
      <w:r>
        <w:rPr>
          <w:rFonts w:hint="eastAsia" w:asciiTheme="minorEastAsia" w:hAnsiTheme="minorEastAsia" w:eastAsiaTheme="minorEastAsia" w:cstheme="minorEastAsia"/>
          <w:color w:val="auto"/>
          <w:sz w:val="24"/>
          <w:szCs w:val="24"/>
          <w:highlight w:val="none"/>
        </w:rPr>
        <w:t>。</w:t>
      </w:r>
    </w:p>
    <w:p>
      <w:pPr>
        <w:keepNext/>
        <w:keepLines/>
        <w:pageBreakBefore w:val="0"/>
        <w:widowControl w:val="0"/>
        <w:numPr>
          <w:ilvl w:val="0"/>
          <w:numId w:val="0"/>
        </w:numPr>
        <w:suppressAutoHyphens/>
        <w:kinsoku/>
        <w:wordWrap/>
        <w:topLinePunct w:val="0"/>
        <w:bidi w:val="0"/>
        <w:spacing w:before="0" w:beforeLines="0" w:beforeAutospacing="0" w:after="0" w:afterLines="0" w:afterAutospacing="0" w:line="360" w:lineRule="auto"/>
        <w:ind w:left="0" w:leftChars="0" w:right="0" w:rightChars="0"/>
        <w:jc w:val="both"/>
        <w:outlineLvl w:val="2"/>
        <w:rPr>
          <w:rFonts w:hint="eastAsia" w:asciiTheme="minorEastAsia" w:hAnsiTheme="minorEastAsia" w:eastAsiaTheme="minorEastAsia" w:cstheme="minorEastAsia"/>
          <w:b/>
          <w:color w:val="auto"/>
          <w:kern w:val="2"/>
          <w:sz w:val="24"/>
          <w:szCs w:val="24"/>
          <w:highlight w:val="none"/>
          <w:lang w:val="en-US" w:eastAsia="zh-CN" w:bidi="ar-SA"/>
        </w:rPr>
      </w:pPr>
      <w:r>
        <w:rPr>
          <w:rFonts w:hint="eastAsia" w:asciiTheme="minorEastAsia" w:hAnsiTheme="minorEastAsia" w:eastAsiaTheme="minorEastAsia" w:cstheme="minorEastAsia"/>
          <w:b/>
          <w:color w:val="auto"/>
          <w:kern w:val="2"/>
          <w:sz w:val="24"/>
          <w:szCs w:val="24"/>
          <w:highlight w:val="none"/>
          <w:lang w:val="en-US" w:eastAsia="zh-CN" w:bidi="ar-SA"/>
        </w:rPr>
        <w:t>3.3.其他特色集成对接改造（纳税人端，税务人端）</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3.3.1电子税务局集成界面调整（纳税人端）</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b w:val="0"/>
          <w:color w:val="auto"/>
          <w:kern w:val="2"/>
          <w:sz w:val="24"/>
          <w:szCs w:val="24"/>
          <w:highlight w:val="none"/>
          <w:lang w:val="en-US" w:eastAsia="zh-CN" w:bidi="ar-SA"/>
        </w:rPr>
        <w:t>电子税务局登录成功后，针对使用地方特色用户，对电子税务局页面及菜单进行调整。</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3.3.2税收优惠政策自检（纳税人端）</w:t>
      </w:r>
    </w:p>
    <w:p>
      <w:pPr>
        <w:pageBreakBefore w:val="0"/>
        <w:widowControl w:val="0"/>
        <w:suppressAutoHyphens/>
        <w:kinsoku/>
        <w:wordWrap/>
        <w:topLinePunct w:val="0"/>
        <w:bidi w:val="0"/>
        <w:spacing w:before="0" w:beforeAutospacing="0" w:after="0" w:afterAutospacing="0" w:line="360" w:lineRule="auto"/>
        <w:ind w:left="0" w:leftChars="0" w:firstLine="720"/>
        <w:jc w:val="both"/>
        <w:rPr>
          <w:rFonts w:hint="eastAsia" w:asciiTheme="minorEastAsia" w:hAnsiTheme="minorEastAsia" w:eastAsiaTheme="minorEastAsia" w:cstheme="minorEastAsia"/>
          <w:color w:val="000000"/>
          <w:kern w:val="2"/>
          <w:sz w:val="24"/>
          <w:szCs w:val="24"/>
          <w:highlight w:val="none"/>
          <w:lang w:val="en-US" w:eastAsia="zh-CN" w:bidi="ar-SA"/>
        </w:rPr>
      </w:pPr>
      <w:r>
        <w:rPr>
          <w:rFonts w:hint="eastAsia" w:asciiTheme="minorEastAsia" w:hAnsiTheme="minorEastAsia" w:eastAsiaTheme="minorEastAsia" w:cstheme="minorEastAsia"/>
          <w:color w:val="000000"/>
          <w:kern w:val="2"/>
          <w:sz w:val="24"/>
          <w:szCs w:val="24"/>
          <w:highlight w:val="none"/>
          <w:lang w:val="en-US" w:eastAsia="zh-CN" w:bidi="ar-SA"/>
        </w:rPr>
        <w:t>纳税人、缴费人登录电子税务局后可通过该功能集中查看自身可享受的税收优惠政策，便利其及时了解、知晓自己所适用的政策，确保税收优惠政策应知尽知、应享尽享。</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3.3.3供需链查询与反馈（纳税人端）</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3.3.3.1供需链查询（我要买）</w:t>
      </w:r>
    </w:p>
    <w:p>
      <w:pPr>
        <w:keepNext w:val="0"/>
        <w:keepLines w:val="0"/>
        <w:pageBreakBefore w:val="0"/>
        <w:widowControl w:val="0"/>
        <w:numPr>
          <w:ilvl w:val="0"/>
          <w:numId w:val="0"/>
        </w:numPr>
        <w:suppressAutoHyphens/>
        <w:kinsoku/>
        <w:wordWrap/>
        <w:overflowPunct/>
        <w:topLinePunct w:val="0"/>
        <w:autoSpaceDE/>
        <w:autoSpaceDN/>
        <w:bidi w:val="0"/>
        <w:adjustRightInd/>
        <w:snapToGrid/>
        <w:spacing w:beforeAutospacing="0" w:afterAutospacing="0" w:line="360" w:lineRule="auto"/>
        <w:ind w:left="0" w:leftChars="0" w:firstLine="480" w:firstLineChars="200"/>
        <w:textAlignment w:val="auto"/>
        <w:outlineLvl w:val="9"/>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按照“智慧税务”建设及重点工作部署要求，我局积极探索新模式，努力实现纳税人自主查找上下游供销商信息。拟申请在电子税务局中开发“供需链查询”模块，允许有需求的企业自行查询，为企业提供便利，进一步助力企业固链补链。</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3.3.3.1供需链查询（我要卖）</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企业可以自行填写需求信息；系统按照对企业填写的需求信息进行数据筛选；</w:t>
      </w:r>
      <w:r>
        <w:rPr>
          <w:rFonts w:hint="eastAsia" w:asciiTheme="minorEastAsia" w:hAnsiTheme="minorEastAsia" w:eastAsiaTheme="minorEastAsia" w:cstheme="minorEastAsia"/>
          <w:color w:val="auto"/>
          <w:sz w:val="24"/>
          <w:szCs w:val="24"/>
          <w:highlight w:val="none"/>
        </w:rPr>
        <w:t>允许有需求的企业自行查询，提高查询效率和用户满意度</w:t>
      </w:r>
      <w:r>
        <w:rPr>
          <w:rFonts w:hint="eastAsia" w:asciiTheme="minorEastAsia" w:hAnsiTheme="minorEastAsia" w:eastAsiaTheme="minorEastAsia" w:cstheme="minorEastAsia"/>
          <w:color w:val="auto"/>
          <w:sz w:val="24"/>
          <w:szCs w:val="24"/>
          <w:highlight w:val="none"/>
          <w:lang w:val="en-US" w:eastAsia="zh-CN"/>
        </w:rPr>
        <w:t>；</w:t>
      </w:r>
      <w:r>
        <w:rPr>
          <w:rFonts w:hint="eastAsia" w:asciiTheme="minorEastAsia" w:hAnsiTheme="minorEastAsia" w:eastAsiaTheme="minorEastAsia" w:cstheme="minorEastAsia"/>
          <w:color w:val="auto"/>
          <w:sz w:val="24"/>
          <w:szCs w:val="24"/>
          <w:highlight w:val="none"/>
        </w:rPr>
        <w:t>提供数据可视化功能，生成</w:t>
      </w:r>
      <w:r>
        <w:rPr>
          <w:rFonts w:hint="eastAsia" w:asciiTheme="minorEastAsia" w:hAnsiTheme="minorEastAsia" w:eastAsiaTheme="minorEastAsia" w:cstheme="minorEastAsia"/>
          <w:color w:val="auto"/>
          <w:sz w:val="24"/>
          <w:szCs w:val="24"/>
          <w:highlight w:val="none"/>
          <w:lang w:eastAsia="zh-CN"/>
        </w:rPr>
        <w:t>表格</w:t>
      </w:r>
      <w:r>
        <w:rPr>
          <w:rFonts w:hint="eastAsia" w:asciiTheme="minorEastAsia" w:hAnsiTheme="minorEastAsia" w:eastAsiaTheme="minorEastAsia" w:cstheme="minorEastAsia"/>
          <w:color w:val="auto"/>
          <w:sz w:val="24"/>
          <w:szCs w:val="24"/>
          <w:highlight w:val="none"/>
        </w:rPr>
        <w:t>，方便</w:t>
      </w:r>
      <w:r>
        <w:rPr>
          <w:rFonts w:hint="eastAsia" w:asciiTheme="minorEastAsia" w:hAnsiTheme="minorEastAsia" w:eastAsiaTheme="minorEastAsia" w:cstheme="minorEastAsia"/>
          <w:color w:val="auto"/>
          <w:sz w:val="24"/>
          <w:szCs w:val="24"/>
          <w:highlight w:val="none"/>
          <w:lang w:val="en-US" w:eastAsia="zh-CN"/>
        </w:rPr>
        <w:t>企业</w:t>
      </w:r>
      <w:r>
        <w:rPr>
          <w:rFonts w:hint="eastAsia" w:asciiTheme="minorEastAsia" w:hAnsiTheme="minorEastAsia" w:eastAsiaTheme="minorEastAsia" w:cstheme="minorEastAsia"/>
          <w:color w:val="auto"/>
          <w:sz w:val="24"/>
          <w:szCs w:val="24"/>
          <w:highlight w:val="none"/>
        </w:rPr>
        <w:t>进行数据分析</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对比</w:t>
      </w:r>
      <w:r>
        <w:rPr>
          <w:rFonts w:hint="eastAsia" w:asciiTheme="minorEastAsia" w:hAnsiTheme="minorEastAsia" w:eastAsiaTheme="minorEastAsia" w:cstheme="minorEastAsia"/>
          <w:color w:val="auto"/>
          <w:sz w:val="24"/>
          <w:szCs w:val="24"/>
          <w:highlight w:val="none"/>
        </w:rPr>
        <w:t>和决策。</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3.3.4退税减税缓税红利账单（纳税人端）</w:t>
      </w:r>
    </w:p>
    <w:p>
      <w:pPr>
        <w:pageBreakBefore w:val="0"/>
        <w:widowControl w:val="0"/>
        <w:suppressAutoHyphens/>
        <w:kinsoku/>
        <w:wordWrap/>
        <w:topLinePunct w:val="0"/>
        <w:bidi w:val="0"/>
        <w:spacing w:before="0" w:beforeAutospacing="0" w:after="0" w:afterAutospacing="0" w:line="360" w:lineRule="auto"/>
        <w:ind w:left="0" w:leftChars="0" w:firstLine="720"/>
        <w:jc w:val="both"/>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在电子税务局增加退税减税缓税红利账单模块，6月份实现专精特新、百大项目、包联企业数据查询，其他企业暂时按空表提供。7月份实现全省企业查询。</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3.3.5预约叫号（纳税人端）</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纳税人通过电子税务局进行预约叫号排队功能。</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3.3.6纳税人智能涉税体检报告（纳税人端）</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rPr>
        <w:t>为深入贯彻落实《</w:t>
      </w:r>
      <w:r>
        <w:rPr>
          <w:rFonts w:hint="eastAsia" w:asciiTheme="minorEastAsia" w:hAnsiTheme="minorEastAsia" w:eastAsiaTheme="minorEastAsia" w:cstheme="minorEastAsia"/>
          <w:color w:val="auto"/>
          <w:sz w:val="24"/>
          <w:szCs w:val="24"/>
          <w:highlight w:val="none"/>
          <w:lang w:val="en"/>
        </w:rPr>
        <w:t>关于进一步深化税收征管改革的意见》</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eastAsia="zh-CN"/>
        </w:rPr>
        <w:t>推动税收监管智能化升级，</w:t>
      </w:r>
      <w:r>
        <w:rPr>
          <w:rFonts w:hint="eastAsia" w:asciiTheme="minorEastAsia" w:hAnsiTheme="minorEastAsia" w:eastAsiaTheme="minorEastAsia" w:cstheme="minorEastAsia"/>
          <w:color w:val="auto"/>
          <w:sz w:val="24"/>
          <w:szCs w:val="24"/>
          <w:highlight w:val="none"/>
        </w:rPr>
        <w:t>进一步减轻基层税务机关负担，</w:t>
      </w:r>
      <w:r>
        <w:rPr>
          <w:rFonts w:hint="eastAsia" w:asciiTheme="minorEastAsia" w:hAnsiTheme="minorEastAsia" w:eastAsiaTheme="minorEastAsia" w:cstheme="minorEastAsia"/>
          <w:color w:val="auto"/>
          <w:sz w:val="24"/>
          <w:szCs w:val="24"/>
          <w:highlight w:val="none"/>
          <w:lang w:eastAsia="zh-CN"/>
        </w:rPr>
        <w:t>在</w:t>
      </w:r>
      <w:r>
        <w:rPr>
          <w:rFonts w:hint="eastAsia" w:asciiTheme="minorEastAsia" w:hAnsiTheme="minorEastAsia" w:eastAsiaTheme="minorEastAsia" w:cstheme="minorEastAsia"/>
          <w:color w:val="auto"/>
          <w:sz w:val="24"/>
          <w:szCs w:val="24"/>
          <w:highlight w:val="none"/>
        </w:rPr>
        <w:t>减少对纳税人直接打扰</w:t>
      </w:r>
      <w:r>
        <w:rPr>
          <w:rFonts w:hint="eastAsia" w:asciiTheme="minorEastAsia" w:hAnsiTheme="minorEastAsia" w:eastAsiaTheme="minorEastAsia" w:cstheme="minorEastAsia"/>
          <w:color w:val="auto"/>
          <w:sz w:val="24"/>
          <w:szCs w:val="24"/>
          <w:highlight w:val="none"/>
          <w:lang w:eastAsia="zh-CN"/>
        </w:rPr>
        <w:t>的同时提前发现和化解涉税风险，创新风险任务推送和应对方式。通过在电子税务局开发“体检”功能，</w:t>
      </w:r>
      <w:r>
        <w:rPr>
          <w:rFonts w:hint="eastAsia" w:asciiTheme="minorEastAsia" w:hAnsiTheme="minorEastAsia" w:eastAsiaTheme="minorEastAsia" w:cstheme="minorEastAsia"/>
          <w:color w:val="auto"/>
          <w:sz w:val="24"/>
          <w:szCs w:val="24"/>
          <w:highlight w:val="none"/>
        </w:rPr>
        <w:t>对于</w:t>
      </w:r>
      <w:r>
        <w:rPr>
          <w:rFonts w:hint="eastAsia" w:asciiTheme="minorEastAsia" w:hAnsiTheme="minorEastAsia" w:eastAsiaTheme="minorEastAsia" w:cstheme="minorEastAsia"/>
          <w:color w:val="auto"/>
          <w:sz w:val="24"/>
          <w:szCs w:val="24"/>
          <w:highlight w:val="none"/>
          <w:lang w:eastAsia="zh-CN"/>
        </w:rPr>
        <w:t>纳税人可自主完成整改的涉税</w:t>
      </w:r>
      <w:r>
        <w:rPr>
          <w:rFonts w:hint="eastAsia" w:asciiTheme="minorEastAsia" w:hAnsiTheme="minorEastAsia" w:eastAsiaTheme="minorEastAsia" w:cstheme="minorEastAsia"/>
          <w:color w:val="auto"/>
          <w:sz w:val="24"/>
          <w:szCs w:val="24"/>
          <w:highlight w:val="none"/>
        </w:rPr>
        <w:t>风险，通过电子税务局纳税人端</w:t>
      </w:r>
      <w:r>
        <w:rPr>
          <w:rFonts w:hint="eastAsia" w:asciiTheme="minorEastAsia" w:hAnsiTheme="minorEastAsia" w:eastAsiaTheme="minorEastAsia" w:cstheme="minorEastAsia"/>
          <w:color w:val="auto"/>
          <w:sz w:val="24"/>
          <w:szCs w:val="24"/>
          <w:highlight w:val="none"/>
          <w:lang w:eastAsia="zh-CN"/>
        </w:rPr>
        <w:t>向纳税人</w:t>
      </w:r>
      <w:r>
        <w:rPr>
          <w:rFonts w:hint="eastAsia" w:asciiTheme="minorEastAsia" w:hAnsiTheme="minorEastAsia" w:eastAsiaTheme="minorEastAsia" w:cstheme="minorEastAsia"/>
          <w:color w:val="auto"/>
          <w:sz w:val="24"/>
          <w:szCs w:val="24"/>
          <w:highlight w:val="none"/>
        </w:rPr>
        <w:t>定向推送</w:t>
      </w:r>
      <w:r>
        <w:rPr>
          <w:rFonts w:hint="eastAsia" w:asciiTheme="minorEastAsia" w:hAnsiTheme="minorEastAsia" w:eastAsiaTheme="minorEastAsia" w:cstheme="minorEastAsia"/>
          <w:color w:val="auto"/>
          <w:sz w:val="24"/>
          <w:szCs w:val="24"/>
          <w:highlight w:val="none"/>
          <w:lang w:eastAsia="zh-CN"/>
        </w:rPr>
        <w:t>提示信息</w:t>
      </w:r>
      <w:r>
        <w:rPr>
          <w:rFonts w:hint="eastAsia" w:asciiTheme="minorEastAsia" w:hAnsiTheme="minorEastAsia" w:eastAsiaTheme="minorEastAsia" w:cstheme="minorEastAsia"/>
          <w:color w:val="auto"/>
          <w:sz w:val="24"/>
          <w:szCs w:val="24"/>
          <w:highlight w:val="none"/>
        </w:rPr>
        <w:t>，提醒纳税人</w:t>
      </w:r>
      <w:r>
        <w:rPr>
          <w:rFonts w:hint="eastAsia" w:asciiTheme="minorEastAsia" w:hAnsiTheme="minorEastAsia" w:eastAsiaTheme="minorEastAsia" w:cstheme="minorEastAsia"/>
          <w:color w:val="auto"/>
          <w:sz w:val="24"/>
          <w:szCs w:val="24"/>
          <w:highlight w:val="none"/>
          <w:lang w:eastAsia="zh-CN"/>
        </w:rPr>
        <w:t>定期</w:t>
      </w:r>
      <w:r>
        <w:rPr>
          <w:rFonts w:hint="eastAsia" w:asciiTheme="minorEastAsia" w:hAnsiTheme="minorEastAsia" w:eastAsiaTheme="minorEastAsia" w:cstheme="minorEastAsia"/>
          <w:color w:val="auto"/>
          <w:sz w:val="24"/>
          <w:szCs w:val="24"/>
          <w:highlight w:val="none"/>
        </w:rPr>
        <w:t>进行处理</w:t>
      </w:r>
      <w:r>
        <w:rPr>
          <w:rFonts w:hint="eastAsia" w:asciiTheme="minorEastAsia" w:hAnsiTheme="minorEastAsia" w:eastAsiaTheme="minorEastAsia" w:cstheme="minorEastAsia"/>
          <w:color w:val="auto"/>
          <w:sz w:val="24"/>
          <w:szCs w:val="24"/>
          <w:highlight w:val="none"/>
          <w:lang w:eastAsia="zh-CN"/>
        </w:rPr>
        <w:t>和反馈</w:t>
      </w:r>
      <w:r>
        <w:rPr>
          <w:rFonts w:hint="eastAsia" w:asciiTheme="minorEastAsia" w:hAnsiTheme="minorEastAsia" w:eastAsiaTheme="minorEastAsia" w:cstheme="minorEastAsia"/>
          <w:color w:val="auto"/>
          <w:sz w:val="24"/>
          <w:szCs w:val="24"/>
          <w:highlight w:val="none"/>
        </w:rPr>
        <w:t>。通过纳税人阅知</w:t>
      </w:r>
      <w:r>
        <w:rPr>
          <w:rFonts w:hint="eastAsia" w:asciiTheme="minorEastAsia" w:hAnsiTheme="minorEastAsia" w:eastAsiaTheme="minorEastAsia" w:cstheme="minorEastAsia"/>
          <w:color w:val="auto"/>
          <w:sz w:val="24"/>
          <w:szCs w:val="24"/>
          <w:highlight w:val="none"/>
          <w:lang w:eastAsia="zh-CN"/>
        </w:rPr>
        <w:t>和自行整改</w:t>
      </w:r>
      <w:r>
        <w:rPr>
          <w:rFonts w:hint="eastAsia" w:asciiTheme="minorEastAsia" w:hAnsiTheme="minorEastAsia" w:eastAsiaTheme="minorEastAsia" w:cstheme="minorEastAsia"/>
          <w:color w:val="auto"/>
          <w:sz w:val="24"/>
          <w:szCs w:val="24"/>
          <w:highlight w:val="none"/>
        </w:rPr>
        <w:t>，实现征纳</w:t>
      </w:r>
      <w:r>
        <w:rPr>
          <w:rFonts w:hint="eastAsia" w:asciiTheme="minorEastAsia" w:hAnsiTheme="minorEastAsia" w:eastAsiaTheme="minorEastAsia" w:cstheme="minorEastAsia"/>
          <w:color w:val="auto"/>
          <w:sz w:val="24"/>
          <w:szCs w:val="24"/>
          <w:highlight w:val="none"/>
          <w:lang w:eastAsia="zh-CN"/>
        </w:rPr>
        <w:t>良性</w:t>
      </w:r>
      <w:r>
        <w:rPr>
          <w:rFonts w:hint="eastAsia" w:asciiTheme="minorEastAsia" w:hAnsiTheme="minorEastAsia" w:eastAsiaTheme="minorEastAsia" w:cstheme="minorEastAsia"/>
          <w:color w:val="auto"/>
          <w:sz w:val="24"/>
          <w:szCs w:val="24"/>
          <w:highlight w:val="none"/>
        </w:rPr>
        <w:t>互动，把</w:t>
      </w:r>
      <w:r>
        <w:rPr>
          <w:rFonts w:hint="eastAsia" w:asciiTheme="minorEastAsia" w:hAnsiTheme="minorEastAsia" w:eastAsiaTheme="minorEastAsia" w:cstheme="minorEastAsia"/>
          <w:color w:val="auto"/>
          <w:sz w:val="24"/>
          <w:szCs w:val="24"/>
          <w:highlight w:val="none"/>
          <w:lang w:eastAsia="zh-CN"/>
        </w:rPr>
        <w:t>涉税风险</w:t>
      </w:r>
      <w:r>
        <w:rPr>
          <w:rFonts w:hint="eastAsia" w:asciiTheme="minorEastAsia" w:hAnsiTheme="minorEastAsia" w:eastAsiaTheme="minorEastAsia" w:cstheme="minorEastAsia"/>
          <w:color w:val="auto"/>
          <w:sz w:val="24"/>
          <w:szCs w:val="24"/>
          <w:highlight w:val="none"/>
        </w:rPr>
        <w:t>解决在纳税人自行申报环节</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主要适用</w:t>
      </w:r>
      <w:r>
        <w:rPr>
          <w:rFonts w:hint="eastAsia" w:asciiTheme="minorEastAsia" w:hAnsiTheme="minorEastAsia" w:eastAsiaTheme="minorEastAsia" w:cstheme="minorEastAsia"/>
          <w:color w:val="auto"/>
          <w:sz w:val="24"/>
          <w:szCs w:val="24"/>
          <w:highlight w:val="none"/>
          <w:lang w:eastAsia="zh-CN"/>
        </w:rPr>
        <w:t>单一税种申报异常</w:t>
      </w:r>
      <w:r>
        <w:rPr>
          <w:rFonts w:hint="eastAsia" w:asciiTheme="minorEastAsia" w:hAnsiTheme="minorEastAsia" w:eastAsiaTheme="minorEastAsia" w:cstheme="minorEastAsia"/>
          <w:color w:val="auto"/>
          <w:sz w:val="24"/>
          <w:szCs w:val="24"/>
          <w:highlight w:val="none"/>
        </w:rPr>
        <w:t>、减免</w:t>
      </w:r>
      <w:r>
        <w:rPr>
          <w:rFonts w:hint="eastAsia" w:asciiTheme="minorEastAsia" w:hAnsiTheme="minorEastAsia" w:eastAsiaTheme="minorEastAsia" w:cstheme="minorEastAsia"/>
          <w:color w:val="auto"/>
          <w:sz w:val="24"/>
          <w:szCs w:val="24"/>
          <w:highlight w:val="none"/>
          <w:lang w:eastAsia="zh-CN"/>
        </w:rPr>
        <w:t>税</w:t>
      </w:r>
      <w:r>
        <w:rPr>
          <w:rFonts w:hint="eastAsia" w:asciiTheme="minorEastAsia" w:hAnsiTheme="minorEastAsia" w:eastAsiaTheme="minorEastAsia" w:cstheme="minorEastAsia"/>
          <w:color w:val="auto"/>
          <w:sz w:val="24"/>
          <w:szCs w:val="24"/>
          <w:highlight w:val="none"/>
        </w:rPr>
        <w:t>政策享受</w:t>
      </w:r>
      <w:r>
        <w:rPr>
          <w:rFonts w:hint="eastAsia" w:asciiTheme="minorEastAsia" w:hAnsiTheme="minorEastAsia" w:eastAsiaTheme="minorEastAsia" w:cstheme="minorEastAsia"/>
          <w:color w:val="auto"/>
          <w:sz w:val="24"/>
          <w:szCs w:val="24"/>
          <w:highlight w:val="none"/>
          <w:lang w:eastAsia="zh-CN"/>
        </w:rPr>
        <w:t>（含应享未享受、违规享受）</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eastAsia="zh-CN"/>
        </w:rPr>
        <w:t>登记申报数据质量</w:t>
      </w:r>
      <w:r>
        <w:rPr>
          <w:rFonts w:hint="eastAsia" w:asciiTheme="minorEastAsia" w:hAnsiTheme="minorEastAsia" w:eastAsiaTheme="minorEastAsia" w:cstheme="minorEastAsia"/>
          <w:color w:val="auto"/>
          <w:sz w:val="24"/>
          <w:szCs w:val="24"/>
          <w:highlight w:val="none"/>
        </w:rPr>
        <w:t>等低风险事项</w:t>
      </w:r>
      <w:r>
        <w:rPr>
          <w:rFonts w:hint="eastAsia" w:asciiTheme="minorEastAsia" w:hAnsiTheme="minorEastAsia" w:eastAsiaTheme="minorEastAsia" w:cstheme="minorEastAsia"/>
          <w:color w:val="auto"/>
          <w:sz w:val="24"/>
          <w:szCs w:val="24"/>
          <w:highlight w:val="none"/>
          <w:lang w:eastAsia="zh-CN"/>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3.3.7特色涉税事项办理审核（税务人端）</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对纳税人提交的特色涉税事项进行审核审批处理功能。</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3.3.8非强制性执法（税务人端）</w:t>
      </w:r>
    </w:p>
    <w:p>
      <w:pPr>
        <w:pageBreakBefore w:val="0"/>
        <w:widowControl w:val="0"/>
        <w:suppressAutoHyphens/>
        <w:kinsoku/>
        <w:wordWrap/>
        <w:topLinePunct w:val="0"/>
        <w:bidi w:val="0"/>
        <w:spacing w:before="0" w:beforeAutospacing="0" w:after="0" w:afterAutospacing="0" w:line="360" w:lineRule="auto"/>
        <w:ind w:left="0" w:leftChars="0" w:firstLine="480" w:firstLineChars="200"/>
        <w:jc w:val="both"/>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b w:val="0"/>
          <w:color w:val="auto"/>
          <w:kern w:val="2"/>
          <w:sz w:val="24"/>
          <w:szCs w:val="24"/>
          <w:highlight w:val="none"/>
          <w:lang w:val="en-US" w:eastAsia="zh-CN" w:bidi="ar-SA"/>
        </w:rPr>
        <w:t>电子税务局税务人端，针对欠税纳税人风险，在现有税源管理岗下新增功能“非强制性执法”。</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3.3.9非税收入互联互通统计分析（税务人端）</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highlight w:val="none"/>
          <w:lang w:val="en-US" w:eastAsia="zh-CN"/>
        </w:rPr>
        <w:t>电子税务局局端提供非税收互联互通统计分析查询业务功能，本</w:t>
      </w:r>
      <w:r>
        <w:rPr>
          <w:rFonts w:hint="eastAsia" w:asciiTheme="minorEastAsia" w:hAnsiTheme="minorEastAsia" w:eastAsiaTheme="minorEastAsia" w:cstheme="minorEastAsia"/>
          <w:color w:val="auto"/>
          <w:sz w:val="24"/>
          <w:szCs w:val="24"/>
          <w:highlight w:val="none"/>
          <w:lang w:eastAsia="zh-CN"/>
        </w:rPr>
        <w:t>功能根据所属行政区划以及税务机关和业务受理时间区间进行数据检索，</w:t>
      </w:r>
      <w:r>
        <w:rPr>
          <w:rFonts w:hint="eastAsia" w:asciiTheme="minorEastAsia" w:hAnsiTheme="minorEastAsia" w:eastAsiaTheme="minorEastAsia" w:cstheme="minorEastAsia"/>
          <w:color w:val="auto"/>
          <w:sz w:val="24"/>
          <w:szCs w:val="24"/>
          <w:highlight w:val="none"/>
          <w:lang w:val="en-US" w:eastAsia="zh-CN"/>
        </w:rPr>
        <w:t>显示查询内容</w:t>
      </w:r>
      <w:r>
        <w:rPr>
          <w:rFonts w:hint="eastAsia" w:asciiTheme="minorEastAsia" w:hAnsiTheme="minorEastAsia" w:eastAsiaTheme="minorEastAsia" w:cstheme="minorEastAsia"/>
          <w:color w:val="auto"/>
          <w:sz w:val="24"/>
          <w:szCs w:val="24"/>
          <w:highlight w:val="none"/>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3.3.10 EMS管理发票邮寄管理（税务人端）</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3.3.10.1 EMS邮资维护</w:t>
      </w:r>
    </w:p>
    <w:p>
      <w:pPr>
        <w:pageBreakBefore w:val="0"/>
        <w:widowControl w:val="0"/>
        <w:suppressAutoHyphens/>
        <w:kinsoku/>
        <w:wordWrap/>
        <w:topLinePunct w:val="0"/>
        <w:bidi w:val="0"/>
        <w:spacing w:before="0" w:beforeAutospacing="0" w:after="0" w:afterAutospacing="0" w:line="360" w:lineRule="auto"/>
        <w:ind w:left="0" w:leftChars="0" w:firstLine="720"/>
        <w:jc w:val="both"/>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EMS管理发票邮寄管理功能是一套全面而精细的系统，旨在为企业提供高效、准确的发票邮寄服务。</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3.3.10.2 EMS发票领购邮寄单补打</w:t>
      </w:r>
    </w:p>
    <w:p>
      <w:pPr>
        <w:pageBreakBefore w:val="0"/>
        <w:widowControl w:val="0"/>
        <w:suppressAutoHyphens/>
        <w:kinsoku/>
        <w:wordWrap/>
        <w:topLinePunct w:val="0"/>
        <w:bidi w:val="0"/>
        <w:spacing w:before="0" w:beforeAutospacing="0" w:after="0" w:afterAutospacing="0" w:line="360" w:lineRule="auto"/>
        <w:ind w:left="0" w:leftChars="0" w:firstLine="720"/>
        <w:jc w:val="both"/>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EMS管理发票邮寄管理功能是一套全面而精细的系统，旨在为企业提供高效、准确的发票邮寄服务。</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3.3.10.3 邮件信息导出</w:t>
      </w:r>
    </w:p>
    <w:p>
      <w:pPr>
        <w:pageBreakBefore w:val="0"/>
        <w:widowControl w:val="0"/>
        <w:suppressAutoHyphens/>
        <w:kinsoku/>
        <w:wordWrap/>
        <w:topLinePunct w:val="0"/>
        <w:bidi w:val="0"/>
        <w:spacing w:before="0" w:beforeAutospacing="0" w:after="0" w:afterAutospacing="0" w:line="360" w:lineRule="auto"/>
        <w:ind w:left="0" w:leftChars="0" w:firstLine="720"/>
        <w:jc w:val="both"/>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EMS管理发票邮寄管理功能是一套全面而精细的系统，旨在为企业提供高效、准确的发票邮寄服务。</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3.3.10.4打印发票代开邮寄单</w:t>
      </w:r>
    </w:p>
    <w:p>
      <w:pPr>
        <w:pageBreakBefore w:val="0"/>
        <w:widowControl w:val="0"/>
        <w:suppressAutoHyphens/>
        <w:kinsoku/>
        <w:wordWrap/>
        <w:topLinePunct w:val="0"/>
        <w:bidi w:val="0"/>
        <w:spacing w:before="0" w:beforeAutospacing="0" w:after="0" w:afterAutospacing="0" w:line="360" w:lineRule="auto"/>
        <w:ind w:left="0" w:leftChars="0" w:firstLine="720"/>
        <w:jc w:val="both"/>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EMS管理发票邮寄管理功能是一套全面而精细的系统，旨在为企业提供高效、准确的发票邮寄服务。</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3.3.10.5打印发票领购邮寄单</w:t>
      </w:r>
    </w:p>
    <w:p>
      <w:pPr>
        <w:pageBreakBefore w:val="0"/>
        <w:widowControl w:val="0"/>
        <w:suppressAutoHyphens/>
        <w:kinsoku/>
        <w:wordWrap/>
        <w:topLinePunct w:val="0"/>
        <w:bidi w:val="0"/>
        <w:spacing w:before="0" w:beforeAutospacing="0" w:after="0" w:afterAutospacing="0" w:line="360" w:lineRule="auto"/>
        <w:ind w:left="0" w:leftChars="0" w:firstLine="720"/>
        <w:jc w:val="both"/>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EMS管理发票邮寄管理功能是一套全面而精细的系统，旨在为企业提供高效、准确的发票邮寄服务。</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3.3.10.6邮件交接清单</w:t>
      </w:r>
    </w:p>
    <w:p>
      <w:pPr>
        <w:pageBreakBefore w:val="0"/>
        <w:widowControl w:val="0"/>
        <w:suppressAutoHyphens/>
        <w:kinsoku/>
        <w:wordWrap/>
        <w:topLinePunct w:val="0"/>
        <w:bidi w:val="0"/>
        <w:spacing w:before="0" w:beforeAutospacing="0" w:after="0" w:afterAutospacing="0" w:line="360" w:lineRule="auto"/>
        <w:ind w:left="0" w:leftChars="0" w:firstLine="720"/>
        <w:jc w:val="both"/>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EMS管理发票邮寄管理功能是一套全面而精细的系统，旨在为企业提供高效、准确的发票邮寄服务。</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3.3.10.7发票领购邮寄单打印格式设置</w:t>
      </w:r>
    </w:p>
    <w:p>
      <w:pPr>
        <w:pageBreakBefore w:val="0"/>
        <w:widowControl w:val="0"/>
        <w:suppressAutoHyphens/>
        <w:kinsoku/>
        <w:wordWrap/>
        <w:topLinePunct w:val="0"/>
        <w:bidi w:val="0"/>
        <w:spacing w:before="0" w:beforeAutospacing="0" w:after="0" w:afterAutospacing="0" w:line="360" w:lineRule="auto"/>
        <w:ind w:left="0" w:leftChars="0" w:firstLine="720"/>
        <w:jc w:val="both"/>
        <w:rPr>
          <w:rFonts w:hint="eastAsia" w:asciiTheme="minorEastAsia" w:hAnsiTheme="minorEastAsia" w:eastAsiaTheme="minorEastAsia" w:cstheme="minorEastAsia"/>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SA"/>
        </w:rPr>
        <w:t>EMS管理发票邮寄管理功能是一套全面而精细的系统，旨在为企业提供高效、准确的发票邮寄服务。</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3.3.11供需链查询与反馈（税务人端）</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3.3.11.1供需链反馈</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企业可以自行填写需求信息；系统按照对企业填写的需求信息进行数据筛选；</w:t>
      </w:r>
      <w:r>
        <w:rPr>
          <w:rFonts w:hint="eastAsia" w:asciiTheme="minorEastAsia" w:hAnsiTheme="minorEastAsia" w:eastAsiaTheme="minorEastAsia" w:cstheme="minorEastAsia"/>
          <w:color w:val="auto"/>
          <w:sz w:val="24"/>
          <w:szCs w:val="24"/>
          <w:highlight w:val="none"/>
        </w:rPr>
        <w:t>允许有需求的企业自行查询，提高查询效率和用户满意度</w:t>
      </w:r>
      <w:r>
        <w:rPr>
          <w:rFonts w:hint="eastAsia" w:asciiTheme="minorEastAsia" w:hAnsiTheme="minorEastAsia" w:eastAsiaTheme="minorEastAsia" w:cstheme="minorEastAsia"/>
          <w:color w:val="auto"/>
          <w:sz w:val="24"/>
          <w:szCs w:val="24"/>
          <w:highlight w:val="none"/>
          <w:lang w:val="en-US" w:eastAsia="zh-CN"/>
        </w:rPr>
        <w:t>；</w:t>
      </w:r>
      <w:r>
        <w:rPr>
          <w:rFonts w:hint="eastAsia" w:asciiTheme="minorEastAsia" w:hAnsiTheme="minorEastAsia" w:eastAsiaTheme="minorEastAsia" w:cstheme="minorEastAsia"/>
          <w:color w:val="auto"/>
          <w:sz w:val="24"/>
          <w:szCs w:val="24"/>
          <w:highlight w:val="none"/>
        </w:rPr>
        <w:t>提供数据可视化功能，生成</w:t>
      </w:r>
      <w:r>
        <w:rPr>
          <w:rFonts w:hint="eastAsia" w:asciiTheme="minorEastAsia" w:hAnsiTheme="minorEastAsia" w:eastAsiaTheme="minorEastAsia" w:cstheme="minorEastAsia"/>
          <w:color w:val="auto"/>
          <w:sz w:val="24"/>
          <w:szCs w:val="24"/>
          <w:highlight w:val="none"/>
          <w:lang w:eastAsia="zh-CN"/>
        </w:rPr>
        <w:t>表格</w:t>
      </w:r>
      <w:r>
        <w:rPr>
          <w:rFonts w:hint="eastAsia" w:asciiTheme="minorEastAsia" w:hAnsiTheme="minorEastAsia" w:eastAsiaTheme="minorEastAsia" w:cstheme="minorEastAsia"/>
          <w:color w:val="auto"/>
          <w:sz w:val="24"/>
          <w:szCs w:val="24"/>
          <w:highlight w:val="none"/>
        </w:rPr>
        <w:t>，方便</w:t>
      </w:r>
      <w:r>
        <w:rPr>
          <w:rFonts w:hint="eastAsia" w:asciiTheme="minorEastAsia" w:hAnsiTheme="minorEastAsia" w:eastAsiaTheme="minorEastAsia" w:cstheme="minorEastAsia"/>
          <w:color w:val="auto"/>
          <w:sz w:val="24"/>
          <w:szCs w:val="24"/>
          <w:highlight w:val="none"/>
          <w:lang w:val="en-US" w:eastAsia="zh-CN"/>
        </w:rPr>
        <w:t>企业</w:t>
      </w:r>
      <w:r>
        <w:rPr>
          <w:rFonts w:hint="eastAsia" w:asciiTheme="minorEastAsia" w:hAnsiTheme="minorEastAsia" w:eastAsiaTheme="minorEastAsia" w:cstheme="minorEastAsia"/>
          <w:color w:val="auto"/>
          <w:sz w:val="24"/>
          <w:szCs w:val="24"/>
          <w:highlight w:val="none"/>
        </w:rPr>
        <w:t>进行数据分析</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对比</w:t>
      </w:r>
      <w:r>
        <w:rPr>
          <w:rFonts w:hint="eastAsia" w:asciiTheme="minorEastAsia" w:hAnsiTheme="minorEastAsia" w:eastAsiaTheme="minorEastAsia" w:cstheme="minorEastAsia"/>
          <w:color w:val="auto"/>
          <w:sz w:val="24"/>
          <w:szCs w:val="24"/>
          <w:highlight w:val="none"/>
        </w:rPr>
        <w:t>和决策。</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3.3.11.2供需链统计分析</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企业可以自行填写需求信息；系统按照对企业填写的需求信息进行数据筛选；</w:t>
      </w:r>
      <w:r>
        <w:rPr>
          <w:rFonts w:hint="eastAsia" w:asciiTheme="minorEastAsia" w:hAnsiTheme="minorEastAsia" w:eastAsiaTheme="minorEastAsia" w:cstheme="minorEastAsia"/>
          <w:color w:val="auto"/>
          <w:sz w:val="24"/>
          <w:szCs w:val="24"/>
          <w:highlight w:val="none"/>
        </w:rPr>
        <w:t>允许有需求的企业自行查询，提高查询效率和用户满意度</w:t>
      </w:r>
      <w:r>
        <w:rPr>
          <w:rFonts w:hint="eastAsia" w:asciiTheme="minorEastAsia" w:hAnsiTheme="minorEastAsia" w:eastAsiaTheme="minorEastAsia" w:cstheme="minorEastAsia"/>
          <w:color w:val="auto"/>
          <w:sz w:val="24"/>
          <w:szCs w:val="24"/>
          <w:highlight w:val="none"/>
          <w:lang w:val="en-US" w:eastAsia="zh-CN"/>
        </w:rPr>
        <w:t>；</w:t>
      </w:r>
      <w:r>
        <w:rPr>
          <w:rFonts w:hint="eastAsia" w:asciiTheme="minorEastAsia" w:hAnsiTheme="minorEastAsia" w:eastAsiaTheme="minorEastAsia" w:cstheme="minorEastAsia"/>
          <w:color w:val="auto"/>
          <w:sz w:val="24"/>
          <w:szCs w:val="24"/>
          <w:highlight w:val="none"/>
        </w:rPr>
        <w:t>提供数据可视化功能，生成</w:t>
      </w:r>
      <w:r>
        <w:rPr>
          <w:rFonts w:hint="eastAsia" w:asciiTheme="minorEastAsia" w:hAnsiTheme="minorEastAsia" w:eastAsiaTheme="minorEastAsia" w:cstheme="minorEastAsia"/>
          <w:color w:val="auto"/>
          <w:sz w:val="24"/>
          <w:szCs w:val="24"/>
          <w:highlight w:val="none"/>
          <w:lang w:eastAsia="zh-CN"/>
        </w:rPr>
        <w:t>表格</w:t>
      </w:r>
      <w:r>
        <w:rPr>
          <w:rFonts w:hint="eastAsia" w:asciiTheme="minorEastAsia" w:hAnsiTheme="minorEastAsia" w:eastAsiaTheme="minorEastAsia" w:cstheme="minorEastAsia"/>
          <w:color w:val="auto"/>
          <w:sz w:val="24"/>
          <w:szCs w:val="24"/>
          <w:highlight w:val="none"/>
        </w:rPr>
        <w:t>，方便</w:t>
      </w:r>
      <w:r>
        <w:rPr>
          <w:rFonts w:hint="eastAsia" w:asciiTheme="minorEastAsia" w:hAnsiTheme="minorEastAsia" w:eastAsiaTheme="minorEastAsia" w:cstheme="minorEastAsia"/>
          <w:color w:val="auto"/>
          <w:sz w:val="24"/>
          <w:szCs w:val="24"/>
          <w:highlight w:val="none"/>
          <w:lang w:val="en-US" w:eastAsia="zh-CN"/>
        </w:rPr>
        <w:t>企业</w:t>
      </w:r>
      <w:r>
        <w:rPr>
          <w:rFonts w:hint="eastAsia" w:asciiTheme="minorEastAsia" w:hAnsiTheme="minorEastAsia" w:eastAsiaTheme="minorEastAsia" w:cstheme="minorEastAsia"/>
          <w:color w:val="auto"/>
          <w:sz w:val="24"/>
          <w:szCs w:val="24"/>
          <w:highlight w:val="none"/>
        </w:rPr>
        <w:t>进行数据分析</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对比</w:t>
      </w:r>
      <w:r>
        <w:rPr>
          <w:rFonts w:hint="eastAsia" w:asciiTheme="minorEastAsia" w:hAnsiTheme="minorEastAsia" w:eastAsiaTheme="minorEastAsia" w:cstheme="minorEastAsia"/>
          <w:color w:val="auto"/>
          <w:sz w:val="24"/>
          <w:szCs w:val="24"/>
          <w:highlight w:val="none"/>
        </w:rPr>
        <w:t>和决策。</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3.3.12大企业个性化服务管理及消息推送</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通过</w:t>
      </w:r>
      <w:r>
        <w:rPr>
          <w:rFonts w:hint="eastAsia" w:asciiTheme="minorEastAsia" w:hAnsiTheme="minorEastAsia" w:eastAsiaTheme="minorEastAsia" w:cstheme="minorEastAsia"/>
          <w:b w:val="0"/>
          <w:bCs w:val="0"/>
          <w:color w:val="auto"/>
          <w:sz w:val="24"/>
          <w:szCs w:val="24"/>
          <w:highlight w:val="none"/>
          <w:lang w:val="en-US" w:eastAsia="zh-CN"/>
        </w:rPr>
        <w:t>大企业个性化服务管理中的</w:t>
      </w:r>
      <w:r>
        <w:rPr>
          <w:rFonts w:hint="eastAsia" w:asciiTheme="minorEastAsia" w:hAnsiTheme="minorEastAsia" w:eastAsiaTheme="minorEastAsia" w:cstheme="minorEastAsia"/>
          <w:b w:val="0"/>
          <w:color w:val="auto"/>
          <w:kern w:val="2"/>
          <w:sz w:val="24"/>
          <w:szCs w:val="24"/>
          <w:highlight w:val="none"/>
          <w:lang w:val="en-US" w:eastAsia="zh-CN" w:bidi="ar-SA"/>
        </w:rPr>
        <w:fldChar w:fldCharType="begin"/>
      </w:r>
      <w:r>
        <w:rPr>
          <w:rFonts w:hint="eastAsia" w:asciiTheme="minorEastAsia" w:hAnsiTheme="minorEastAsia" w:eastAsiaTheme="minorEastAsia" w:cstheme="minorEastAsia"/>
          <w:b w:val="0"/>
          <w:color w:val="auto"/>
          <w:kern w:val="2"/>
          <w:sz w:val="24"/>
          <w:szCs w:val="24"/>
          <w:highlight w:val="none"/>
          <w:lang w:val="en-US" w:eastAsia="zh-CN" w:bidi="ar-SA"/>
        </w:rPr>
        <w:instrText xml:space="preserve"> HYPERLINK "http://74.12.139.171:8001/dzswjgl/sys/main/main/main.jsp?qh=T" </w:instrText>
      </w:r>
      <w:r>
        <w:rPr>
          <w:rFonts w:hint="eastAsia" w:asciiTheme="minorEastAsia" w:hAnsiTheme="minorEastAsia" w:eastAsiaTheme="minorEastAsia" w:cstheme="minorEastAsia"/>
          <w:b w:val="0"/>
          <w:color w:val="auto"/>
          <w:kern w:val="2"/>
          <w:sz w:val="24"/>
          <w:szCs w:val="24"/>
          <w:highlight w:val="none"/>
          <w:lang w:val="en-US" w:eastAsia="zh-CN" w:bidi="ar-SA"/>
        </w:rPr>
        <w:fldChar w:fldCharType="separate"/>
      </w:r>
      <w:r>
        <w:rPr>
          <w:rFonts w:hint="eastAsia" w:asciiTheme="minorEastAsia" w:hAnsiTheme="minorEastAsia" w:eastAsiaTheme="minorEastAsia" w:cstheme="minorEastAsia"/>
          <w:b w:val="0"/>
          <w:color w:val="auto"/>
          <w:kern w:val="2"/>
          <w:sz w:val="24"/>
          <w:szCs w:val="24"/>
          <w:highlight w:val="none"/>
          <w:lang w:val="en-US" w:eastAsia="zh-CN" w:bidi="ar-SA"/>
        </w:rPr>
        <w:t>大企业统计分析</w:t>
      </w:r>
      <w:r>
        <w:rPr>
          <w:rFonts w:hint="eastAsia" w:asciiTheme="minorEastAsia" w:hAnsiTheme="minorEastAsia" w:eastAsiaTheme="minorEastAsia" w:cstheme="minorEastAsia"/>
          <w:b w:val="0"/>
          <w:color w:val="auto"/>
          <w:kern w:val="2"/>
          <w:sz w:val="24"/>
          <w:szCs w:val="24"/>
          <w:highlight w:val="none"/>
          <w:lang w:val="en-US" w:eastAsia="zh-CN" w:bidi="ar-SA"/>
        </w:rPr>
        <w:fldChar w:fldCharType="end"/>
      </w:r>
      <w:r>
        <w:rPr>
          <w:rFonts w:hint="eastAsia" w:asciiTheme="minorEastAsia" w:hAnsiTheme="minorEastAsia" w:eastAsiaTheme="minorEastAsia" w:cstheme="minorEastAsia"/>
          <w:b w:val="0"/>
          <w:color w:val="auto"/>
          <w:kern w:val="2"/>
          <w:sz w:val="24"/>
          <w:szCs w:val="24"/>
          <w:highlight w:val="none"/>
          <w:lang w:val="en-US" w:eastAsia="zh-CN" w:bidi="ar-SA"/>
        </w:rPr>
        <w:t>模块和</w:t>
      </w:r>
      <w:r>
        <w:rPr>
          <w:rFonts w:hint="eastAsia" w:asciiTheme="minorEastAsia" w:hAnsiTheme="minorEastAsia" w:eastAsiaTheme="minorEastAsia" w:cstheme="minorEastAsia"/>
          <w:b w:val="0"/>
          <w:color w:val="auto"/>
          <w:kern w:val="2"/>
          <w:sz w:val="24"/>
          <w:szCs w:val="24"/>
          <w:highlight w:val="none"/>
          <w:lang w:val="en-US" w:eastAsia="zh-CN" w:bidi="ar-SA"/>
        </w:rPr>
        <w:fldChar w:fldCharType="begin"/>
      </w:r>
      <w:r>
        <w:rPr>
          <w:rFonts w:hint="eastAsia" w:asciiTheme="minorEastAsia" w:hAnsiTheme="minorEastAsia" w:eastAsiaTheme="minorEastAsia" w:cstheme="minorEastAsia"/>
          <w:b w:val="0"/>
          <w:color w:val="auto"/>
          <w:kern w:val="2"/>
          <w:sz w:val="24"/>
          <w:szCs w:val="24"/>
          <w:highlight w:val="none"/>
          <w:lang w:val="en-US" w:eastAsia="zh-CN" w:bidi="ar-SA"/>
        </w:rPr>
        <w:instrText xml:space="preserve"> HYPERLINK "http://74.12.139.171:8001/dzswjgl/sys/main/main/main.jsp?qh=T" </w:instrText>
      </w:r>
      <w:r>
        <w:rPr>
          <w:rFonts w:hint="eastAsia" w:asciiTheme="minorEastAsia" w:hAnsiTheme="minorEastAsia" w:eastAsiaTheme="minorEastAsia" w:cstheme="minorEastAsia"/>
          <w:b w:val="0"/>
          <w:color w:val="auto"/>
          <w:kern w:val="2"/>
          <w:sz w:val="24"/>
          <w:szCs w:val="24"/>
          <w:highlight w:val="none"/>
          <w:lang w:val="en-US" w:eastAsia="zh-CN" w:bidi="ar-SA"/>
        </w:rPr>
        <w:fldChar w:fldCharType="separate"/>
      </w:r>
      <w:r>
        <w:rPr>
          <w:rFonts w:hint="eastAsia" w:asciiTheme="minorEastAsia" w:hAnsiTheme="minorEastAsia" w:eastAsiaTheme="minorEastAsia" w:cstheme="minorEastAsia"/>
          <w:b w:val="0"/>
          <w:color w:val="auto"/>
          <w:kern w:val="2"/>
          <w:sz w:val="24"/>
          <w:szCs w:val="24"/>
          <w:highlight w:val="none"/>
          <w:lang w:val="en-US" w:eastAsia="zh-CN" w:bidi="ar-SA"/>
        </w:rPr>
        <w:t>通知管理查询</w:t>
      </w:r>
      <w:r>
        <w:rPr>
          <w:rFonts w:hint="eastAsia" w:asciiTheme="minorEastAsia" w:hAnsiTheme="minorEastAsia" w:eastAsiaTheme="minorEastAsia" w:cstheme="minorEastAsia"/>
          <w:b w:val="0"/>
          <w:color w:val="auto"/>
          <w:kern w:val="2"/>
          <w:sz w:val="24"/>
          <w:szCs w:val="24"/>
          <w:highlight w:val="none"/>
          <w:lang w:val="en-US" w:eastAsia="zh-CN" w:bidi="ar-SA"/>
        </w:rPr>
        <w:fldChar w:fldCharType="end"/>
      </w:r>
      <w:r>
        <w:rPr>
          <w:rFonts w:hint="eastAsia" w:asciiTheme="minorEastAsia" w:hAnsiTheme="minorEastAsia" w:eastAsiaTheme="minorEastAsia" w:cstheme="minorEastAsia"/>
          <w:b w:val="0"/>
          <w:color w:val="auto"/>
          <w:kern w:val="2"/>
          <w:sz w:val="24"/>
          <w:szCs w:val="24"/>
          <w:highlight w:val="none"/>
          <w:lang w:val="en-US" w:eastAsia="zh-CN" w:bidi="ar-SA"/>
        </w:rPr>
        <w:t>模块查看大企业统计数据及向企业定制推送消息功能，通过新电局消息接收渠道推送相关消息。</w:t>
      </w:r>
    </w:p>
    <w:p>
      <w:pPr>
        <w:keepNext/>
        <w:keepLines/>
        <w:pageBreakBefore w:val="0"/>
        <w:widowControl w:val="0"/>
        <w:numPr>
          <w:ilvl w:val="0"/>
          <w:numId w:val="0"/>
        </w:numPr>
        <w:suppressAutoHyphens/>
        <w:kinsoku/>
        <w:wordWrap/>
        <w:topLinePunct w:val="0"/>
        <w:bidi w:val="0"/>
        <w:spacing w:before="0" w:beforeLines="0" w:beforeAutospacing="0" w:after="0" w:afterLines="0" w:afterAutospacing="0" w:line="360" w:lineRule="auto"/>
        <w:ind w:left="0" w:leftChars="0" w:right="0" w:rightChars="0"/>
        <w:jc w:val="both"/>
        <w:outlineLvl w:val="2"/>
        <w:rPr>
          <w:rFonts w:hint="eastAsia" w:asciiTheme="minorEastAsia" w:hAnsiTheme="minorEastAsia" w:eastAsiaTheme="minorEastAsia" w:cstheme="minorEastAsia"/>
          <w:b/>
          <w:color w:val="auto"/>
          <w:kern w:val="2"/>
          <w:sz w:val="24"/>
          <w:szCs w:val="24"/>
          <w:highlight w:val="none"/>
          <w:lang w:val="en-US" w:eastAsia="zh-CN" w:bidi="ar-SA"/>
        </w:rPr>
      </w:pPr>
      <w:r>
        <w:rPr>
          <w:rFonts w:hint="eastAsia" w:asciiTheme="minorEastAsia" w:hAnsiTheme="minorEastAsia" w:eastAsiaTheme="minorEastAsia" w:cstheme="minorEastAsia"/>
          <w:b/>
          <w:color w:val="auto"/>
          <w:kern w:val="2"/>
          <w:sz w:val="24"/>
          <w:szCs w:val="24"/>
          <w:highlight w:val="none"/>
          <w:lang w:val="en-US" w:eastAsia="zh-CN" w:bidi="ar-SA"/>
        </w:rPr>
        <w:t>3.4.政务服务对接可信的改造</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color w:val="auto"/>
          <w:sz w:val="24"/>
          <w:szCs w:val="24"/>
          <w:highlight w:val="none"/>
          <w:lang w:val="en-US" w:eastAsia="zh-CN"/>
        </w:rPr>
      </w:pP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3.4.1与统一身份认证平台完成登录认证服务集成</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3.4.1.1与统一身份认证平台服务集成</w:t>
      </w:r>
    </w:p>
    <w:p>
      <w:pPr>
        <w:pageBreakBefore w:val="0"/>
        <w:suppressAutoHyphens/>
        <w:kinsoku/>
        <w:wordWrap/>
        <w:topLinePunct w:val="0"/>
        <w:bidi w:val="0"/>
        <w:spacing w:beforeAutospacing="0" w:afterAutospacing="0" w:line="360" w:lineRule="auto"/>
        <w:ind w:left="0" w:leftChars="0"/>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eastAsia="zh-CN" w:bidi="ar"/>
        </w:rPr>
        <w:t xml:space="preserve"> </w:t>
      </w:r>
      <w:r>
        <w:rPr>
          <w:rFonts w:hint="eastAsia" w:asciiTheme="minorEastAsia" w:hAnsiTheme="minorEastAsia" w:eastAsiaTheme="minorEastAsia" w:cstheme="minorEastAsia"/>
          <w:color w:val="auto"/>
          <w:kern w:val="2"/>
          <w:sz w:val="24"/>
          <w:szCs w:val="24"/>
          <w:highlight w:val="none"/>
          <w:lang w:val="en-US" w:eastAsia="zh-CN" w:bidi="ar"/>
        </w:rPr>
        <w:t xml:space="preserve">  </w:t>
      </w:r>
      <w:r>
        <w:rPr>
          <w:rFonts w:hint="eastAsia" w:asciiTheme="minorEastAsia" w:hAnsiTheme="minorEastAsia" w:eastAsiaTheme="minorEastAsia" w:cstheme="minorEastAsia"/>
          <w:color w:val="auto"/>
          <w:kern w:val="2"/>
          <w:sz w:val="24"/>
          <w:szCs w:val="24"/>
          <w:highlight w:val="none"/>
          <w:lang w:eastAsia="zh-CN" w:bidi="ar"/>
        </w:rPr>
        <w:t>政务服务平台的功能较多，新电局提供给政务平台的链接统一扎口，即</w:t>
      </w:r>
      <w:r>
        <w:rPr>
          <w:rFonts w:hint="eastAsia" w:asciiTheme="minorEastAsia" w:hAnsiTheme="minorEastAsia" w:eastAsiaTheme="minorEastAsia" w:cstheme="minorEastAsia"/>
          <w:color w:val="auto"/>
          <w:kern w:val="2"/>
          <w:sz w:val="24"/>
          <w:szCs w:val="24"/>
          <w:highlight w:val="none"/>
          <w:lang w:val="en-US" w:eastAsia="zh-CN" w:bidi="ar"/>
        </w:rPr>
        <w:t>政务平台配置的</w:t>
      </w:r>
      <w:r>
        <w:rPr>
          <w:rFonts w:hint="eastAsia" w:asciiTheme="minorEastAsia" w:hAnsiTheme="minorEastAsia" w:eastAsiaTheme="minorEastAsia" w:cstheme="minorEastAsia"/>
          <w:color w:val="auto"/>
          <w:kern w:val="2"/>
          <w:sz w:val="24"/>
          <w:szCs w:val="24"/>
          <w:highlight w:val="none"/>
          <w:lang w:eastAsia="zh-CN" w:bidi="ar"/>
        </w:rPr>
        <w:t>功能链接地址统一设置为</w:t>
      </w:r>
      <w:r>
        <w:rPr>
          <w:rFonts w:hint="eastAsia" w:asciiTheme="minorEastAsia" w:hAnsiTheme="minorEastAsia" w:eastAsiaTheme="minorEastAsia" w:cstheme="minorEastAsia"/>
          <w:color w:val="auto"/>
          <w:kern w:val="2"/>
          <w:sz w:val="24"/>
          <w:szCs w:val="24"/>
          <w:highlight w:val="none"/>
          <w:lang w:val="en-US" w:eastAsia="zh-CN" w:bidi="ar"/>
        </w:rPr>
        <w:t>统一身份平台的</w:t>
      </w:r>
      <w:r>
        <w:rPr>
          <w:rFonts w:hint="eastAsia" w:asciiTheme="minorEastAsia" w:hAnsiTheme="minorEastAsia" w:eastAsiaTheme="minorEastAsia" w:cstheme="minorEastAsia"/>
          <w:color w:val="auto"/>
          <w:kern w:val="2"/>
          <w:sz w:val="24"/>
          <w:szCs w:val="24"/>
          <w:highlight w:val="none"/>
          <w:lang w:eastAsia="zh-CN" w:bidi="ar"/>
        </w:rPr>
        <w:t>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3.4.1.2获取token应用令牌</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政务服务平台的功能较多，新电局提供给政务平台的链接统一扎口，即政务平台配置的功能链接地址统一设置为统一身份平台的地址，并通过链接中的功能编码参数进行具体功能的跳转控制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3.4.1.3获取Access Token令牌接口</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政务服务平台的功能较多，新电局提供给政务平台的链接统一扎口，即政务平台配置的功能链接地址统一设置为统一身份平台的地址，并通过链接中的功能编码参数进行具体功能的跳转控制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3.4.1.4获取授权码接口</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政务服务平台的功能较多，新电局提供给政务平台的链接统一扎口，即政务平台配置的功能链接地址统一设置为统一身份平台的地址，并通过链接中的功能编码参数进行具体功能的跳转控制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3.4.1.5根据令牌获取登录用户信息接口</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政务服务平台的功能较多，新电局提供给政务平台的链接统一扎口，即政务平台配置的功能链接地址统一设置为统一身份平台的地址，并通过链接中的功能编码参数进行具体功能的跳转控制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3.4.1.6刷新应用令牌接口</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政务服务平台的功能较多，新电局提供给政务平台的链接统一扎口，即政务平台配置的功能链接地址统一设置为统一身份平台的地址，并通过链接中的功能编码参数进行具体功能的跳转控制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3.4.1.7注销令牌接口</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政务服务平台的功能较多，新电局提供给政务平台的链接统一扎口，即政务平台配置的功能链接地址统一设置为统一身份平台的地址，并通过链接中的功能编码参数进行具体功能的跳转控制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3.4.1.8校验令牌接口</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政务服务平台的功能较多，新电局提供给政务平台的链接统一扎口，即政务平台配置的功能链接地址统一设置为统一身份平台的地址，并通过链接中的功能编码参数进行具体功能的跳转控制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3.4.1.9延长令牌接口</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政务服务平台的功能较多，新电局提供给政务平台的链接统一扎口，即政务平台配置的功能链接地址统一设置为统一身份平台的地址，并通过链接中的功能编码参数进行具体功能的跳转控制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tabs>
          <w:tab w:val="left" w:pos="864"/>
        </w:tabs>
        <w:suppressAutoHyphens/>
        <w:kinsoku/>
        <w:wordWrap/>
        <w:topLinePunct w:val="0"/>
        <w:bidi w:val="0"/>
        <w:spacing w:before="0" w:beforeLines="0" w:beforeAutospacing="0" w:after="0" w:afterLines="0" w:afterAutospacing="0" w:line="360" w:lineRule="auto"/>
        <w:ind w:left="0" w:leftChars="0"/>
        <w:jc w:val="both"/>
        <w:outlineLvl w:val="3"/>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3.4.1.10服务登出集成</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政务服务平台的功能较多，新电局提供给政务平台的链接统一扎口，即政务平台配置的功能链接地址统一设置为统一身份平台的地址，并通过链接中的功能编码参数进行具体功能的跳转控制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numPr>
          <w:ilvl w:val="0"/>
          <w:numId w:val="0"/>
        </w:numPr>
        <w:suppressAutoHyphens/>
        <w:kinsoku/>
        <w:wordWrap/>
        <w:topLinePunct w:val="0"/>
        <w:bidi w:val="0"/>
        <w:spacing w:before="0" w:beforeLines="0" w:beforeAutospacing="0" w:after="0" w:afterLines="0" w:afterAutospacing="0" w:line="360" w:lineRule="auto"/>
        <w:ind w:left="0" w:leftChars="0" w:right="0" w:rightChars="0"/>
        <w:jc w:val="both"/>
        <w:outlineLvl w:val="2"/>
        <w:rPr>
          <w:rFonts w:hint="eastAsia" w:asciiTheme="minorEastAsia" w:hAnsiTheme="minorEastAsia" w:eastAsiaTheme="minorEastAsia" w:cstheme="minorEastAsia"/>
          <w:b/>
          <w:color w:val="auto"/>
          <w:kern w:val="2"/>
          <w:sz w:val="24"/>
          <w:szCs w:val="24"/>
          <w:highlight w:val="none"/>
          <w:lang w:val="en-US" w:eastAsia="zh-CN" w:bidi="ar-SA"/>
        </w:rPr>
      </w:pPr>
      <w:r>
        <w:rPr>
          <w:rFonts w:hint="eastAsia" w:asciiTheme="minorEastAsia" w:hAnsiTheme="minorEastAsia" w:eastAsiaTheme="minorEastAsia" w:cstheme="minorEastAsia"/>
          <w:b/>
          <w:color w:val="auto"/>
          <w:kern w:val="2"/>
          <w:sz w:val="24"/>
          <w:szCs w:val="24"/>
          <w:highlight w:val="none"/>
          <w:lang w:val="en-US" w:eastAsia="zh-CN" w:bidi="ar-SA"/>
        </w:rPr>
        <w:t>3.5.银税互动对接可信的改造</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3.5.1与统一身份认证平台页面集成</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银税互动平台的功能较多，新电局提供给银税互动平台的链接统一扎口，即银税互动平台配置的功能链接地址统一设置为统一身份平台的地址，并通过链接中的功能编码参数进行具体功能的跳转控制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3.5.2获取token应用令牌</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银税互动平台的功能较多，新电局提供给银税互动平台的链接统一扎口，即银税互动平台配置的功能链接地址统一设置为统一身份平台的地址，并通过链接中的功能编码参数进行具体功能的跳转控制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3.5.3获取Access Token令牌接口</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银税互动平台的功能较多，新电局提供给银税互动平台的链接统一扎口，即银税互动平台配置的功能链接地址统一设置为统一身份平台的地址，并通过链接中的功能编码参数进行具体功能的跳转控制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3.5.4获取授权码接口</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银税互动平台的功能较多，新电局提供给银税互动平台的链接统一扎口，即银税互动平台配置的功能链接地址统一设置为统一身份平台的地址，并通过链接中的功能编码参数进行具体功能的跳转控制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3.5.5根据令牌获取登录用户信息接口</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银税互动平台的功能较多，新电局提供给银税互动平台的链接统一扎口，即银税互动平台配置的功能链接地址统一设置为统一身份平台的地址，并通过链接中的功能编码参数进行具体功能的跳转控制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3.5.6刷新应用令牌接口</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银税互动平台的功能较多，新电局提供给银税互动平台的链接统一扎口，即银税互动平台配置的功能链接地址统一设置为统一身份平台的地址，并通过链接中的功能编码参数进行具体功能的跳转控制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3.5.7注销令牌接口</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银税互动平台的功能较多，新电局提供给银税互动平台的链接统一扎口，即银税互动平台配置的功能链接地址统一设置为统一身份平台的地址，并通过链接中的功能编码参数进行具体功能的跳转控制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3.5.8校验令牌接口</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银税互动平台的功能较多，新电局提供给银税互动平台的链接统一扎口，即银税互动平台配置的功能链接地址统一设置为统一身份平台的地址，并通过链接中的功能编码参数进行具体功能的跳转控制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3.5.9延长令牌接口</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银税互动平台的功能较多，新电局提供给银税互动平台的链接统一扎口，即银税互动平台配置的功能链接地址统一设置为统一身份平台的地址，并通过链接中的功能编码参数进行具体功能的跳转控制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3.5.10服务登出集成</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b w:val="0"/>
          <w:color w:val="auto"/>
          <w:kern w:val="2"/>
          <w:sz w:val="24"/>
          <w:szCs w:val="24"/>
          <w:highlight w:val="none"/>
          <w:lang w:val="en-US" w:eastAsia="zh-CN" w:bidi="ar-SA"/>
        </w:rPr>
      </w:pPr>
      <w:r>
        <w:rPr>
          <w:rFonts w:hint="eastAsia" w:asciiTheme="minorEastAsia" w:hAnsiTheme="minorEastAsia" w:eastAsiaTheme="minorEastAsia" w:cstheme="minorEastAsia"/>
          <w:color w:val="auto"/>
          <w:kern w:val="2"/>
          <w:sz w:val="24"/>
          <w:szCs w:val="24"/>
          <w:highlight w:val="none"/>
          <w:lang w:val="en-US" w:eastAsia="zh-CN" w:bidi="ar"/>
        </w:rPr>
        <w:t>银税互动平台的功能较多，新电局提供给银税互动平台的链接统一扎口，即银税互动平台配置的功能链接地址统一设置为统一身份平台的地址，并通过链接中的功能编码参数进行具体功能的跳转控制</w:t>
      </w:r>
      <w:r>
        <w:rPr>
          <w:rFonts w:hint="eastAsia" w:asciiTheme="minorEastAsia" w:hAnsiTheme="minorEastAsia" w:eastAsiaTheme="minorEastAsia" w:cstheme="minorEastAsia"/>
          <w:b w:val="0"/>
          <w:color w:val="auto"/>
          <w:kern w:val="2"/>
          <w:sz w:val="24"/>
          <w:szCs w:val="24"/>
          <w:highlight w:val="none"/>
          <w:lang w:val="en-US" w:eastAsia="zh-CN" w:bidi="ar-SA"/>
        </w:rPr>
        <w:t>。</w:t>
      </w:r>
    </w:p>
    <w:p>
      <w:pPr>
        <w:keepNext/>
        <w:keepLines/>
        <w:pageBreakBefore w:val="0"/>
        <w:widowControl w:val="0"/>
        <w:numPr>
          <w:ilvl w:val="0"/>
          <w:numId w:val="0"/>
        </w:numPr>
        <w:suppressAutoHyphens/>
        <w:kinsoku/>
        <w:wordWrap/>
        <w:topLinePunct w:val="0"/>
        <w:bidi w:val="0"/>
        <w:spacing w:before="0" w:beforeLines="0" w:beforeAutospacing="0" w:after="0" w:afterLines="0" w:afterAutospacing="0" w:line="360" w:lineRule="auto"/>
        <w:ind w:left="0" w:leftChars="0" w:right="0" w:rightChars="0"/>
        <w:jc w:val="both"/>
        <w:outlineLvl w:val="2"/>
        <w:rPr>
          <w:rFonts w:hint="eastAsia" w:asciiTheme="minorEastAsia" w:hAnsiTheme="minorEastAsia" w:eastAsiaTheme="minorEastAsia" w:cstheme="minorEastAsia"/>
          <w:b/>
          <w:color w:val="auto"/>
          <w:kern w:val="2"/>
          <w:sz w:val="24"/>
          <w:szCs w:val="24"/>
          <w:highlight w:val="none"/>
          <w:lang w:val="en-US" w:eastAsia="zh-CN" w:bidi="ar-SA"/>
        </w:rPr>
      </w:pPr>
      <w:r>
        <w:rPr>
          <w:rFonts w:hint="eastAsia" w:asciiTheme="minorEastAsia" w:hAnsiTheme="minorEastAsia" w:eastAsiaTheme="minorEastAsia" w:cstheme="minorEastAsia"/>
          <w:b/>
          <w:color w:val="auto"/>
          <w:kern w:val="2"/>
          <w:sz w:val="24"/>
          <w:szCs w:val="24"/>
          <w:highlight w:val="none"/>
          <w:lang w:val="en-US" w:eastAsia="zh-CN" w:bidi="ar-SA"/>
        </w:rPr>
        <w:t>3.6基于消息驱动的全国统一规范电子税务局与特色软件对接</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3.6.1 TDMQ消息消费者开发</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电子税务局</w:t>
      </w:r>
      <w:r>
        <w:rPr>
          <w:rFonts w:hint="eastAsia" w:asciiTheme="minorEastAsia" w:hAnsiTheme="minorEastAsia" w:eastAsiaTheme="minorEastAsia" w:cstheme="minorEastAsia"/>
          <w:color w:val="auto"/>
          <w:sz w:val="24"/>
          <w:szCs w:val="24"/>
          <w:lang w:val="en-US" w:eastAsia="zh-CN"/>
        </w:rPr>
        <w:t>对接新电子税务局TDMQ</w:t>
      </w:r>
      <w:r>
        <w:rPr>
          <w:rFonts w:hint="eastAsia" w:asciiTheme="minorEastAsia" w:hAnsiTheme="minorEastAsia" w:eastAsiaTheme="minorEastAsia" w:cstheme="minorEastAsia"/>
          <w:color w:val="auto"/>
          <w:sz w:val="24"/>
          <w:szCs w:val="24"/>
          <w:lang w:eastAsia="zh-CN"/>
        </w:rPr>
        <w:t>建立</w:t>
      </w:r>
      <w:r>
        <w:rPr>
          <w:rFonts w:hint="eastAsia" w:asciiTheme="minorEastAsia" w:hAnsiTheme="minorEastAsia" w:eastAsiaTheme="minorEastAsia" w:cstheme="minorEastAsia"/>
          <w:color w:val="auto"/>
          <w:sz w:val="24"/>
          <w:szCs w:val="24"/>
          <w:lang w:val="en-US" w:eastAsia="zh-CN"/>
        </w:rPr>
        <w:t>开发消息消费者端。</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3.6.2 TDMQ消费者端消息中间件配置</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电子税务局</w:t>
      </w:r>
      <w:r>
        <w:rPr>
          <w:rFonts w:hint="eastAsia" w:asciiTheme="minorEastAsia" w:hAnsiTheme="minorEastAsia" w:eastAsiaTheme="minorEastAsia" w:cstheme="minorEastAsia"/>
          <w:color w:val="auto"/>
          <w:sz w:val="24"/>
          <w:szCs w:val="24"/>
          <w:lang w:val="en-US" w:eastAsia="zh-CN"/>
        </w:rPr>
        <w:t>对接新电子税务局TDMQ消费数据，进行消息中间件配置。</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3.6.3 topic配置和管理</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新电子税务局根据业务分类多个业务topic，老电子税务局消费者端将进行业务topic配置和管理。</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3.6.4 监控与调试</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接入新电子税务局TDMQ消息队列后消费消息数据，</w:t>
      </w:r>
      <w:r>
        <w:rPr>
          <w:rFonts w:hint="eastAsia" w:asciiTheme="minorEastAsia" w:hAnsiTheme="minorEastAsia" w:eastAsiaTheme="minorEastAsia" w:cstheme="minorEastAsia"/>
          <w:color w:val="auto"/>
          <w:sz w:val="24"/>
          <w:szCs w:val="24"/>
          <w:lang w:eastAsia="zh-CN"/>
        </w:rPr>
        <w:t>进行数据监控和告警</w:t>
      </w:r>
      <w:r>
        <w:rPr>
          <w:rFonts w:hint="eastAsia" w:asciiTheme="minorEastAsia" w:hAnsiTheme="minorEastAsia" w:eastAsiaTheme="minorEastAsia" w:cstheme="minorEastAsia"/>
          <w:color w:val="auto"/>
          <w:sz w:val="24"/>
          <w:szCs w:val="24"/>
          <w:lang w:val="en-US" w:eastAsia="zh-CN"/>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3.6.5 TDMQ消费者接入</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获取接入信息</w:t>
      </w:r>
      <w:r>
        <w:rPr>
          <w:rFonts w:hint="eastAsia" w:asciiTheme="minorEastAsia" w:hAnsiTheme="minorEastAsia" w:eastAsiaTheme="minorEastAsia" w:cstheme="minorEastAsia"/>
          <w:color w:val="auto"/>
          <w:sz w:val="24"/>
          <w:szCs w:val="24"/>
          <w:lang w:eastAsia="zh-CN"/>
        </w:rPr>
        <w:t>，进行配置接入</w:t>
      </w:r>
      <w:r>
        <w:rPr>
          <w:rFonts w:hint="eastAsia" w:asciiTheme="minorEastAsia" w:hAnsiTheme="minorEastAsia" w:eastAsiaTheme="minorEastAsia" w:cstheme="minorEastAsia"/>
          <w:color w:val="auto"/>
          <w:sz w:val="24"/>
          <w:szCs w:val="24"/>
          <w:lang w:val="en-US" w:eastAsia="zh-CN"/>
        </w:rPr>
        <w:t>TDMQ</w:t>
      </w:r>
      <w:r>
        <w:rPr>
          <w:rFonts w:hint="eastAsia" w:asciiTheme="minorEastAsia" w:hAnsiTheme="minorEastAsia" w:eastAsiaTheme="minorEastAsia" w:cstheme="minorEastAsia"/>
          <w:color w:val="auto"/>
          <w:sz w:val="24"/>
          <w:szCs w:val="24"/>
          <w:lang w:eastAsia="zh-CN"/>
        </w:rPr>
        <w:t>生产者端</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3.6.6 错误处理与资源清理</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对于接收处理过程中，存在错误的情况，需要对错误进行处理</w:t>
      </w:r>
      <w:r>
        <w:rPr>
          <w:rFonts w:hint="eastAsia" w:asciiTheme="minorEastAsia" w:hAnsiTheme="minorEastAsia" w:eastAsiaTheme="minorEastAsia" w:cstheme="minorEastAsia"/>
          <w:color w:val="auto"/>
          <w:sz w:val="24"/>
          <w:szCs w:val="24"/>
          <w:lang w:val="en-US" w:eastAsia="zh-CN"/>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3.6.7 设置监听启动消费者端服务</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eastAsia="zh-CN"/>
        </w:rPr>
        <w:t>对接</w:t>
      </w:r>
      <w:r>
        <w:rPr>
          <w:rFonts w:hint="eastAsia" w:asciiTheme="minorEastAsia" w:hAnsiTheme="minorEastAsia" w:eastAsiaTheme="minorEastAsia" w:cstheme="minorEastAsia"/>
          <w:color w:val="auto"/>
          <w:sz w:val="24"/>
          <w:szCs w:val="24"/>
          <w:lang w:val="en-US" w:eastAsia="zh-CN"/>
        </w:rPr>
        <w:t>新电子税务局TDMQ消息队列消费数据，建立和设置监听启动消费者端服务。</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3.6.8 MQ消息队列搭建</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对接</w:t>
      </w:r>
      <w:r>
        <w:rPr>
          <w:rFonts w:hint="eastAsia" w:asciiTheme="minorEastAsia" w:hAnsiTheme="minorEastAsia" w:eastAsiaTheme="minorEastAsia" w:cstheme="minorEastAsia"/>
          <w:color w:val="auto"/>
          <w:sz w:val="24"/>
          <w:szCs w:val="24"/>
          <w:lang w:val="en-US" w:eastAsia="zh-CN"/>
        </w:rPr>
        <w:t>新电子税务局TDMQ消费数据，搭建消费者传输存储数据</w:t>
      </w:r>
      <w:r>
        <w:rPr>
          <w:rFonts w:hint="eastAsia" w:asciiTheme="minorEastAsia" w:hAnsiTheme="minorEastAsia" w:eastAsiaTheme="minorEastAsia" w:cstheme="minorEastAsia"/>
          <w:color w:val="auto"/>
          <w:sz w:val="24"/>
          <w:szCs w:val="24"/>
          <w:lang w:eastAsia="zh-CN"/>
        </w:rPr>
        <w:t>消息队列</w:t>
      </w:r>
      <w:r>
        <w:rPr>
          <w:rFonts w:hint="eastAsia" w:asciiTheme="minorEastAsia" w:hAnsiTheme="minorEastAsia" w:eastAsiaTheme="minorEastAsia" w:cstheme="minorEastAsia"/>
          <w:color w:val="auto"/>
          <w:sz w:val="24"/>
          <w:szCs w:val="24"/>
          <w:lang w:val="en-US" w:eastAsia="zh-CN"/>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3.6.9 数据提取</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eastAsia="zh-CN"/>
        </w:rPr>
        <w:t>对接新电子税务局TDMQ消费数据</w:t>
      </w:r>
      <w:r>
        <w:rPr>
          <w:rFonts w:hint="eastAsia" w:asciiTheme="minorEastAsia" w:hAnsiTheme="minorEastAsia" w:eastAsiaTheme="minorEastAsia" w:cstheme="minorEastAsia"/>
          <w:color w:val="auto"/>
          <w:sz w:val="24"/>
          <w:szCs w:val="24"/>
          <w:lang w:val="en-US" w:eastAsia="zh-CN"/>
        </w:rPr>
        <w:t>，开发数据提取接口程序。</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3.6.10数据预处理</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根据需要对数据进行清洗、转换或格式化，转换为业务系统中可以使用的数据。</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3.6.11消息数据持久化与容错</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TDMQ</w:t>
      </w:r>
      <w:r>
        <w:rPr>
          <w:rFonts w:hint="eastAsia" w:asciiTheme="minorEastAsia" w:hAnsiTheme="minorEastAsia" w:eastAsiaTheme="minorEastAsia" w:cstheme="minorEastAsia"/>
          <w:color w:val="auto"/>
          <w:sz w:val="24"/>
          <w:szCs w:val="24"/>
          <w:lang w:eastAsia="zh-CN"/>
        </w:rPr>
        <w:t>通过配置多个副本来保证数据的持久化和容错性。</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3.6.12 好差评业务topic数据接收和保存</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对接新电子税务局TDMQ消费数据</w:t>
      </w:r>
      <w:r>
        <w:rPr>
          <w:rFonts w:hint="eastAsia" w:asciiTheme="minorEastAsia" w:hAnsiTheme="minorEastAsia" w:eastAsiaTheme="minorEastAsia" w:cstheme="minorEastAsia"/>
          <w:color w:val="auto"/>
          <w:sz w:val="24"/>
          <w:szCs w:val="24"/>
          <w:lang w:val="en-US" w:eastAsia="zh-CN"/>
        </w:rPr>
        <w:t>，开发数据保存接口程序，判断为好差评业务数据，进行处理保存。</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3.6.13 发票邮寄业务topic数据接收和保存</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对接新电子税务局TDMQ消费数据</w:t>
      </w:r>
      <w:r>
        <w:rPr>
          <w:rFonts w:hint="eastAsia" w:asciiTheme="minorEastAsia" w:hAnsiTheme="minorEastAsia" w:eastAsiaTheme="minorEastAsia" w:cstheme="minorEastAsia"/>
          <w:color w:val="auto"/>
          <w:sz w:val="24"/>
          <w:szCs w:val="24"/>
          <w:lang w:val="en-US" w:eastAsia="zh-CN"/>
        </w:rPr>
        <w:t>，开发数据保存接口程序，判断为发票邮寄业务数据，进行处理保存。</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3.6.14 政务事项办理过程topic数据接收和保存</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对接新电子税务局TDMQ消费数据</w:t>
      </w:r>
      <w:r>
        <w:rPr>
          <w:rFonts w:hint="eastAsia" w:asciiTheme="minorEastAsia" w:hAnsiTheme="minorEastAsia" w:eastAsiaTheme="minorEastAsia" w:cstheme="minorEastAsia"/>
          <w:color w:val="auto"/>
          <w:sz w:val="24"/>
          <w:szCs w:val="24"/>
          <w:lang w:val="en-US" w:eastAsia="zh-CN"/>
        </w:rPr>
        <w:t>，开发数据保存接口程序，判断为政务事项办理过程业务数据，进行处理保存。</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3.6.15 TDMQ消费者端日志记录与分析</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对接新电子税务局TDMQ消费数据</w:t>
      </w:r>
      <w:r>
        <w:rPr>
          <w:rFonts w:hint="eastAsia" w:asciiTheme="minorEastAsia" w:hAnsiTheme="minorEastAsia" w:eastAsiaTheme="minorEastAsia" w:cstheme="minorEastAsia"/>
          <w:color w:val="auto"/>
          <w:sz w:val="24"/>
          <w:szCs w:val="24"/>
          <w:lang w:val="en-US" w:eastAsia="zh-CN"/>
        </w:rPr>
        <w:t>，对消息数据进行日志记录与分析。</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3.6.16 TDMQ消费者端日志清理与压缩</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基于日志起始偏移量的清理策略，对消费者端</w:t>
      </w:r>
      <w:r>
        <w:rPr>
          <w:rFonts w:hint="eastAsia" w:asciiTheme="minorEastAsia" w:hAnsiTheme="minorEastAsia" w:eastAsiaTheme="minorEastAsia" w:cstheme="minorEastAsia"/>
          <w:color w:val="auto"/>
          <w:sz w:val="24"/>
          <w:szCs w:val="24"/>
          <w:lang w:val="en-US" w:eastAsia="zh-CN"/>
        </w:rPr>
        <w:t>日志清理与压缩。</w:t>
      </w:r>
    </w:p>
    <w:p>
      <w:pPr>
        <w:keepNext/>
        <w:keepLines/>
        <w:pageBreakBefore w:val="0"/>
        <w:widowControl w:val="0"/>
        <w:numPr>
          <w:ilvl w:val="0"/>
          <w:numId w:val="0"/>
        </w:numPr>
        <w:suppressAutoHyphens/>
        <w:kinsoku/>
        <w:wordWrap/>
        <w:topLinePunct w:val="0"/>
        <w:bidi w:val="0"/>
        <w:spacing w:before="0" w:beforeLines="0" w:beforeAutospacing="0" w:after="0" w:afterLines="0" w:afterAutospacing="0" w:line="360" w:lineRule="auto"/>
        <w:ind w:left="0" w:leftChars="0" w:right="0" w:rightChars="0"/>
        <w:jc w:val="both"/>
        <w:outlineLvl w:val="2"/>
        <w:rPr>
          <w:rFonts w:hint="eastAsia" w:asciiTheme="minorEastAsia" w:hAnsiTheme="minorEastAsia" w:eastAsiaTheme="minorEastAsia" w:cstheme="minorEastAsia"/>
          <w:b/>
          <w:color w:val="auto"/>
          <w:kern w:val="2"/>
          <w:sz w:val="24"/>
          <w:szCs w:val="24"/>
          <w:highlight w:val="none"/>
          <w:lang w:val="en-US" w:eastAsia="zh-CN" w:bidi="ar-SA"/>
        </w:rPr>
      </w:pPr>
      <w:r>
        <w:rPr>
          <w:rFonts w:hint="eastAsia" w:asciiTheme="minorEastAsia" w:hAnsiTheme="minorEastAsia" w:eastAsiaTheme="minorEastAsia" w:cstheme="minorEastAsia"/>
          <w:b/>
          <w:color w:val="auto"/>
          <w:kern w:val="2"/>
          <w:sz w:val="24"/>
          <w:szCs w:val="24"/>
          <w:highlight w:val="none"/>
          <w:lang w:val="en-US" w:eastAsia="zh-CN" w:bidi="ar-SA"/>
        </w:rPr>
        <w:t>3.7特色软件对接纳税人端提醒与反馈中心</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3.7.1获取批次号信息</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接口概述</w:t>
      </w:r>
      <w:r>
        <w:rPr>
          <w:rFonts w:hint="eastAsia" w:asciiTheme="minorEastAsia" w:hAnsiTheme="minorEastAsia" w:eastAsiaTheme="minorEastAsia" w:cstheme="minorEastAsia"/>
          <w:color w:val="auto"/>
          <w:sz w:val="24"/>
          <w:szCs w:val="24"/>
          <w:lang w:eastAsia="zh-CN"/>
        </w:rPr>
        <w:t>】</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auto"/>
          <w:sz w:val="24"/>
          <w:szCs w:val="24"/>
          <w:lang w:eastAsia="zh-CN"/>
        </w:rPr>
        <w:t>业务系统申请保存纳税人/自然人批量消息提醒或待办提醒前，需要根据业务系统ID，消息提醒模板编码调用该接口获取批次号信息。返回的批次号与消息提醒模板绑定，不可变更。</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3.7.</w:t>
      </w:r>
      <w:r>
        <w:rPr>
          <w:rFonts w:hint="eastAsia" w:asciiTheme="minorEastAsia" w:hAnsiTheme="minorEastAsia" w:eastAsiaTheme="minorEastAsia" w:cstheme="minorEastAsia"/>
          <w:b/>
          <w:color w:val="auto"/>
          <w:kern w:val="2"/>
          <w:sz w:val="24"/>
          <w:szCs w:val="24"/>
          <w:lang w:val="en-US" w:eastAsia="zh-CN" w:bidi="ar-SA"/>
        </w:rPr>
        <w:t>2保存纳税人消息提醒</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业务系统通过模板编码保存单条消息提醒或者通过批次号批量保存纳税人消息提醒。</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3.7.</w:t>
      </w:r>
      <w:r>
        <w:rPr>
          <w:rFonts w:hint="eastAsia" w:asciiTheme="minorEastAsia" w:hAnsiTheme="minorEastAsia" w:eastAsiaTheme="minorEastAsia" w:cstheme="minorEastAsia"/>
          <w:b/>
          <w:color w:val="auto"/>
          <w:kern w:val="2"/>
          <w:sz w:val="24"/>
          <w:szCs w:val="24"/>
          <w:lang w:val="en-US" w:eastAsia="zh-CN" w:bidi="ar-SA"/>
        </w:rPr>
        <w:t>3保存自然人消息提醒</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业务系统通过模板编码保存单条消息提醒或者通过批次号批量保存自然人消息提醒。</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3.7.</w:t>
      </w:r>
      <w:r>
        <w:rPr>
          <w:rFonts w:hint="eastAsia" w:asciiTheme="minorEastAsia" w:hAnsiTheme="minorEastAsia" w:eastAsiaTheme="minorEastAsia" w:cstheme="minorEastAsia"/>
          <w:b/>
          <w:color w:val="auto"/>
          <w:kern w:val="2"/>
          <w:sz w:val="24"/>
          <w:szCs w:val="24"/>
          <w:lang w:val="en-US" w:eastAsia="zh-CN" w:bidi="ar-SA"/>
        </w:rPr>
        <w:t>4保存纳税人待办提醒</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业务系统通过批次号批量保存纳税人待办。</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待办重要信息已在模板中定义，通过批次号查询该批次号记录下的待办模板信息，校验参数后投放到TDMQ队列中。返回的调用状态为存放队列的状态，不代表最终发布的状态。</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3.7.</w:t>
      </w:r>
      <w:r>
        <w:rPr>
          <w:rFonts w:hint="eastAsia" w:asciiTheme="minorEastAsia" w:hAnsiTheme="minorEastAsia" w:eastAsiaTheme="minorEastAsia" w:cstheme="minorEastAsia"/>
          <w:b/>
          <w:color w:val="auto"/>
          <w:kern w:val="2"/>
          <w:sz w:val="24"/>
          <w:szCs w:val="24"/>
          <w:lang w:val="en-US" w:eastAsia="zh-CN" w:bidi="ar-SA"/>
        </w:rPr>
        <w:t>5保存自然人待办提醒</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业务系统通过批次号批量保存自然人待办。</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待办重要字信息已在模板中定义，通过批次号查询该批次号记录下的待办模板信息，校验参数后投放到TDMQ队列中。返回的调用状态为存放队列的状态，不代表最终发布的状态。</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3.7.</w:t>
      </w:r>
      <w:r>
        <w:rPr>
          <w:rFonts w:hint="eastAsia" w:asciiTheme="minorEastAsia" w:hAnsiTheme="minorEastAsia" w:eastAsiaTheme="minorEastAsia" w:cstheme="minorEastAsia"/>
          <w:b/>
          <w:color w:val="auto"/>
          <w:kern w:val="2"/>
          <w:sz w:val="24"/>
          <w:szCs w:val="24"/>
          <w:lang w:val="en-US" w:eastAsia="zh-CN" w:bidi="ar-SA"/>
        </w:rPr>
        <w:t>6更新待办提醒办理状态</w:t>
      </w:r>
    </w:p>
    <w:p>
      <w:pPr>
        <w:pageBreakBefore w:val="0"/>
        <w:widowControl/>
        <w:suppressAutoHyphens/>
        <w:kinsoku/>
        <w:wordWrap/>
        <w:topLinePunct w:val="0"/>
        <w:bidi w:val="0"/>
        <w:spacing w:beforeAutospacing="0" w:after="0" w:afterAutospacing="0" w:line="360" w:lineRule="auto"/>
        <w:ind w:left="0" w:leftChars="0" w:firstLine="480" w:firstLineChars="200"/>
        <w:jc w:val="left"/>
        <w:rPr>
          <w:rFonts w:hint="eastAsia" w:asciiTheme="minorEastAsia" w:hAnsiTheme="minorEastAsia" w:eastAsiaTheme="minorEastAsia" w:cstheme="minorEastAsia"/>
          <w:color w:val="auto"/>
          <w:kern w:val="2"/>
          <w:sz w:val="24"/>
          <w:szCs w:val="24"/>
          <w:highlight w:val="none"/>
          <w:lang w:val="en-US" w:eastAsia="zh-CN" w:bidi="ar"/>
        </w:rPr>
      </w:pPr>
      <w:r>
        <w:rPr>
          <w:rFonts w:hint="eastAsia" w:asciiTheme="minorEastAsia" w:hAnsiTheme="minorEastAsia" w:eastAsiaTheme="minorEastAsia" w:cstheme="minorEastAsia"/>
          <w:color w:val="auto"/>
          <w:kern w:val="2"/>
          <w:sz w:val="24"/>
          <w:szCs w:val="24"/>
          <w:highlight w:val="none"/>
          <w:lang w:val="en-US" w:eastAsia="zh-CN" w:bidi="ar"/>
        </w:rPr>
        <w:t>更新纳税人待办提醒办理状态。</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3.7.7消息提醒和反馈中心配置</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根据全国统一规范电子税务局提醒和反馈中心消息数据对接要求，老电局对接提醒和反馈消息进行配置，以满足老电局对的消息提醒可推送至新电局中，为纳税人显示消息，以实现业务功能的要求。</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3.7.8老电局消息提醒推送记录</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老电局适配新电局推送消息提醒成功后，为满足老电局消息推送业务的流程的完整性，老电局需要对进行业务的存储记录和业务逻辑判断，以达到从老电局到新电局消息提醒推送的业务办理完结。</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3.7.9老电局消息提醒反馈记录</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老电局适配新电局推送消息和办理过程和完结反馈成功后，为满足老电局消息推送业务的流程的完整性，老电局需要对进行业务的存储记录和业务逻辑判断，以达到从老电局到新电局消息反馈办理的业务完结。</w:t>
      </w:r>
    </w:p>
    <w:p>
      <w:pPr>
        <w:keepNext/>
        <w:keepLines/>
        <w:pageBreakBefore w:val="0"/>
        <w:widowControl w:val="0"/>
        <w:numPr>
          <w:ilvl w:val="0"/>
          <w:numId w:val="0"/>
        </w:numPr>
        <w:suppressAutoHyphens/>
        <w:kinsoku/>
        <w:wordWrap/>
        <w:topLinePunct w:val="0"/>
        <w:bidi w:val="0"/>
        <w:spacing w:before="0" w:beforeLines="0" w:beforeAutospacing="0" w:after="0" w:afterLines="0" w:afterAutospacing="0" w:line="360" w:lineRule="auto"/>
        <w:ind w:left="0" w:leftChars="0" w:right="0" w:rightChars="0"/>
        <w:jc w:val="both"/>
        <w:outlineLvl w:val="2"/>
        <w:rPr>
          <w:rFonts w:hint="eastAsia" w:asciiTheme="minorEastAsia" w:hAnsiTheme="minorEastAsia" w:eastAsiaTheme="minorEastAsia" w:cstheme="minorEastAsia"/>
          <w:b/>
          <w:color w:val="auto"/>
          <w:kern w:val="2"/>
          <w:sz w:val="24"/>
          <w:szCs w:val="24"/>
          <w:highlight w:val="none"/>
          <w:lang w:val="en-US" w:eastAsia="zh-CN" w:bidi="ar-SA"/>
        </w:rPr>
      </w:pPr>
      <w:r>
        <w:rPr>
          <w:rFonts w:hint="eastAsia" w:asciiTheme="minorEastAsia" w:hAnsiTheme="minorEastAsia" w:eastAsiaTheme="minorEastAsia" w:cstheme="minorEastAsia"/>
          <w:b/>
          <w:color w:val="auto"/>
          <w:kern w:val="2"/>
          <w:sz w:val="24"/>
          <w:szCs w:val="24"/>
          <w:highlight w:val="none"/>
          <w:lang w:val="en-US" w:eastAsia="zh-CN" w:bidi="ar-SA"/>
        </w:rPr>
        <w:t>3.8本省大数据平台特软与新电局数据交互</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3.8.1对接新电子税务局推送政策速递精准推送消息数据</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大数据平台接收总局的政策速递消息，将消息推送至</w:t>
      </w:r>
      <w:r>
        <w:rPr>
          <w:rFonts w:hint="eastAsia" w:asciiTheme="minorEastAsia" w:hAnsiTheme="minorEastAsia" w:eastAsiaTheme="minorEastAsia" w:cstheme="minorEastAsia"/>
          <w:color w:val="auto"/>
          <w:sz w:val="24"/>
          <w:szCs w:val="24"/>
          <w:lang w:eastAsia="zh-CN"/>
        </w:rPr>
        <w:t>新电子税务局，用以向纳税人展示。</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3.8.2对接新电子税务局接收其反馈政策速递精准推送消息数据</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纳税人查看和确认政策速递精准推送消息后，</w:t>
      </w:r>
      <w:r>
        <w:rPr>
          <w:rFonts w:hint="eastAsia" w:asciiTheme="minorEastAsia" w:hAnsiTheme="minorEastAsia" w:eastAsiaTheme="minorEastAsia" w:cstheme="minorEastAsia"/>
          <w:color w:val="auto"/>
          <w:sz w:val="24"/>
          <w:szCs w:val="24"/>
          <w:lang w:eastAsia="zh-CN"/>
        </w:rPr>
        <w:t>新电子税务局需将消息查看确认状态和查看人反馈</w:t>
      </w:r>
      <w:r>
        <w:rPr>
          <w:rFonts w:hint="eastAsia" w:asciiTheme="minorEastAsia" w:hAnsiTheme="minorEastAsia" w:eastAsiaTheme="minorEastAsia" w:cstheme="minorEastAsia"/>
          <w:color w:val="auto"/>
          <w:sz w:val="24"/>
          <w:szCs w:val="24"/>
          <w:lang w:val="en-US" w:eastAsia="zh-CN"/>
        </w:rPr>
        <w:t>大数据平台</w:t>
      </w:r>
      <w:r>
        <w:rPr>
          <w:rFonts w:hint="eastAsia" w:asciiTheme="minorEastAsia" w:hAnsiTheme="minorEastAsia" w:eastAsiaTheme="minorEastAsia" w:cstheme="minorEastAsia"/>
          <w:color w:val="auto"/>
          <w:sz w:val="24"/>
          <w:szCs w:val="24"/>
          <w:lang w:eastAsia="zh-CN"/>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3.8.3对接新电子税务局推送一体式2.0数据推送及反馈</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大数据平台接收总局的一体式2.0数据消息，将消息推送至</w:t>
      </w:r>
      <w:r>
        <w:rPr>
          <w:rFonts w:hint="eastAsia" w:asciiTheme="minorEastAsia" w:hAnsiTheme="minorEastAsia" w:eastAsiaTheme="minorEastAsia" w:cstheme="minorEastAsia"/>
          <w:color w:val="auto"/>
          <w:sz w:val="24"/>
          <w:szCs w:val="24"/>
          <w:lang w:eastAsia="zh-CN"/>
        </w:rPr>
        <w:t>新电子税务局，用以向纳税人展示。</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3.8.4对接新电子税务局接收其反馈一体式2.0消息数据</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纳税人查看和确认一体式2.0消息数据后，</w:t>
      </w:r>
      <w:r>
        <w:rPr>
          <w:rFonts w:hint="eastAsia" w:asciiTheme="minorEastAsia" w:hAnsiTheme="minorEastAsia" w:eastAsiaTheme="minorEastAsia" w:cstheme="minorEastAsia"/>
          <w:color w:val="auto"/>
          <w:sz w:val="24"/>
          <w:szCs w:val="24"/>
          <w:lang w:eastAsia="zh-CN"/>
        </w:rPr>
        <w:t>新电子税务局需将消息查看确认状态和查看人反馈</w:t>
      </w:r>
      <w:r>
        <w:rPr>
          <w:rFonts w:hint="eastAsia" w:asciiTheme="minorEastAsia" w:hAnsiTheme="minorEastAsia" w:eastAsiaTheme="minorEastAsia" w:cstheme="minorEastAsia"/>
          <w:color w:val="auto"/>
          <w:sz w:val="24"/>
          <w:szCs w:val="24"/>
          <w:lang w:val="en-US" w:eastAsia="zh-CN"/>
        </w:rPr>
        <w:t>大数据平台</w:t>
      </w:r>
      <w:r>
        <w:rPr>
          <w:rFonts w:hint="eastAsia" w:asciiTheme="minorEastAsia" w:hAnsiTheme="minorEastAsia" w:eastAsiaTheme="minorEastAsia" w:cstheme="minorEastAsia"/>
          <w:color w:val="auto"/>
          <w:sz w:val="24"/>
          <w:szCs w:val="24"/>
          <w:lang w:eastAsia="zh-CN"/>
        </w:rPr>
        <w:t>。</w:t>
      </w:r>
    </w:p>
    <w:p>
      <w:pPr>
        <w:keepNext/>
        <w:keepLines/>
        <w:pageBreakBefore w:val="0"/>
        <w:widowControl w:val="0"/>
        <w:suppressAutoHyphens/>
        <w:kinsoku/>
        <w:wordWrap/>
        <w:topLinePunct w:val="0"/>
        <w:bidi w:val="0"/>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3.8.5对接新电子税务局接收事项办理（一表考）数据</w:t>
      </w:r>
    </w:p>
    <w:p>
      <w:pPr>
        <w:pageBreakBefore w:val="0"/>
        <w:suppressAutoHyphens/>
        <w:kinsoku/>
        <w:wordWrap/>
        <w:topLinePunct w:val="0"/>
        <w:bidi w:val="0"/>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对于营商局一表考的指标，大数据平台接收</w:t>
      </w:r>
      <w:r>
        <w:rPr>
          <w:rFonts w:hint="eastAsia" w:asciiTheme="minorEastAsia" w:hAnsiTheme="minorEastAsia" w:eastAsiaTheme="minorEastAsia" w:cstheme="minorEastAsia"/>
          <w:color w:val="auto"/>
          <w:sz w:val="24"/>
          <w:szCs w:val="24"/>
          <w:lang w:eastAsia="zh-CN"/>
        </w:rPr>
        <w:t>新电子税务局事项办理过程数据</w:t>
      </w:r>
      <w:r>
        <w:rPr>
          <w:rFonts w:hint="eastAsia" w:asciiTheme="minorEastAsia" w:hAnsiTheme="minorEastAsia" w:eastAsiaTheme="minorEastAsia" w:cstheme="minorEastAsia"/>
          <w:color w:val="auto"/>
          <w:sz w:val="24"/>
          <w:szCs w:val="24"/>
          <w:lang w:val="en-US" w:eastAsia="zh-CN"/>
        </w:rPr>
        <w:t>，接收成功后将信息推送给营商局</w:t>
      </w:r>
      <w:r>
        <w:rPr>
          <w:rFonts w:hint="eastAsia" w:asciiTheme="minorEastAsia" w:hAnsiTheme="minorEastAsia" w:eastAsiaTheme="minorEastAsia" w:cstheme="minorEastAsia"/>
          <w:color w:val="auto"/>
          <w:sz w:val="24"/>
          <w:szCs w:val="24"/>
          <w:lang w:eastAsia="zh-CN"/>
        </w:rPr>
        <w:t>。</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第4章 总体技术要求</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 w:eastAsia="zh-CN" w:bidi="ar-SA"/>
        </w:rPr>
      </w:pPr>
      <w:bookmarkStart w:id="125" w:name="_Toc5193"/>
      <w:r>
        <w:rPr>
          <w:rFonts w:hint="eastAsia" w:asciiTheme="minorEastAsia" w:hAnsiTheme="minorEastAsia" w:eastAsiaTheme="minorEastAsia" w:cstheme="minorEastAsia"/>
          <w:b/>
          <w:color w:val="auto"/>
          <w:kern w:val="2"/>
          <w:sz w:val="24"/>
          <w:szCs w:val="24"/>
          <w:lang w:val="en-US" w:eastAsia="zh-CN" w:bidi="ar-SA"/>
        </w:rPr>
        <w:t>4.</w:t>
      </w:r>
      <w:r>
        <w:rPr>
          <w:rFonts w:hint="eastAsia" w:asciiTheme="minorEastAsia" w:hAnsiTheme="minorEastAsia" w:eastAsiaTheme="minorEastAsia" w:cstheme="minorEastAsia"/>
          <w:b/>
          <w:color w:val="auto"/>
          <w:kern w:val="2"/>
          <w:sz w:val="24"/>
          <w:szCs w:val="24"/>
          <w:lang w:val="en" w:eastAsia="zh-CN" w:bidi="ar-SA"/>
        </w:rPr>
        <w:t>1技术标准与规范要求</w:t>
      </w:r>
      <w:bookmarkEnd w:id="125"/>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系统在建设过程中必须参照国家电子政务标准和税务系统信息化建设标准与规范的有关要求进行实施，符合国家税务总局金税三期系统建设相关标准规范要求。</w:t>
      </w:r>
    </w:p>
    <w:p>
      <w:pPr>
        <w:pageBreakBefore w:val="0"/>
        <w:suppressAutoHyphens/>
        <w:kinsoku/>
        <w:wordWrap/>
        <w:topLinePunct w:val="0"/>
        <w:bidi w:val="0"/>
        <w:snapToGrid/>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000000"/>
          <w:sz w:val="24"/>
          <w:szCs w:val="24"/>
          <w:lang w:val="en-US" w:eastAsia="zh-CN"/>
        </w:rPr>
        <w:t>采用标准的通用协议和技术标准，</w:t>
      </w:r>
      <w:r>
        <w:rPr>
          <w:rFonts w:hint="eastAsia" w:asciiTheme="minorEastAsia" w:hAnsiTheme="minorEastAsia" w:eastAsiaTheme="minorEastAsia" w:cstheme="minorEastAsia"/>
          <w:color w:val="000000"/>
          <w:sz w:val="24"/>
          <w:szCs w:val="24"/>
        </w:rPr>
        <w:t>单点登录对接方式使用Oauth2.0 协议</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color w:val="000000"/>
          <w:sz w:val="24"/>
          <w:szCs w:val="24"/>
        </w:rPr>
        <w:t>数据传输格式使用 Json，接口输入输出数据统一使用 UFT-8 编码格式。</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bookmarkStart w:id="126" w:name="_Toc8431"/>
      <w:r>
        <w:rPr>
          <w:rFonts w:hint="eastAsia" w:asciiTheme="minorEastAsia" w:hAnsiTheme="minorEastAsia" w:eastAsiaTheme="minorEastAsia" w:cstheme="minorEastAsia"/>
          <w:b/>
          <w:color w:val="auto"/>
          <w:kern w:val="2"/>
          <w:sz w:val="24"/>
          <w:szCs w:val="24"/>
          <w:lang w:val="en-US" w:eastAsia="zh-CN" w:bidi="ar-SA"/>
        </w:rPr>
        <w:t>4.2系统安全性要求</w:t>
      </w:r>
      <w:bookmarkEnd w:id="126"/>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必须保证系统安全性，需要从系统级、应用级、管理级三个层次具有较好的安全性。需要按照国家税务总局《电子税务局规范-安全规范》、《税务系统信息安全等级保护基本要求》中等级保护三级要求、《网上办税系统技术要求》、《税务移动应用安全开发和评估规范》等规范要求，能够保证系统安全、网络安全以及数据安全。在稳定性方面，系统要求能够满足7×24小时无人值守的稳定工作，具备较强的系统安全性和灾难恢复能力，系统具备强有力的安全保障措施。</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bookmarkStart w:id="127" w:name="_Toc7681"/>
      <w:r>
        <w:rPr>
          <w:rFonts w:hint="eastAsia" w:asciiTheme="minorEastAsia" w:hAnsiTheme="minorEastAsia" w:eastAsiaTheme="minorEastAsia" w:cstheme="minorEastAsia"/>
          <w:b/>
          <w:color w:val="auto"/>
          <w:kern w:val="2"/>
          <w:sz w:val="24"/>
          <w:szCs w:val="24"/>
          <w:lang w:val="en-US" w:eastAsia="zh-CN" w:bidi="ar-SA"/>
        </w:rPr>
        <w:t>4.3可靠性要求</w:t>
      </w:r>
      <w:bookmarkEnd w:id="127"/>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系统无单点故障，系统具有动态负载均衡处理能力。保证7*24小时不间断工作。须保证即便某些节点发生了永久性的失败，系统架构也能够保证这些节点所处理和存储的数据也不会丢失。</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bookmarkStart w:id="128" w:name="_Toc15214"/>
      <w:r>
        <w:rPr>
          <w:rFonts w:hint="eastAsia" w:asciiTheme="minorEastAsia" w:hAnsiTheme="minorEastAsia" w:eastAsiaTheme="minorEastAsia" w:cstheme="minorEastAsia"/>
          <w:b/>
          <w:color w:val="auto"/>
          <w:kern w:val="2"/>
          <w:sz w:val="24"/>
          <w:szCs w:val="24"/>
          <w:lang w:val="en-US" w:eastAsia="zh-CN" w:bidi="ar-SA"/>
        </w:rPr>
        <w:t>4.4系统兼容性要求</w:t>
      </w:r>
      <w:bookmarkEnd w:id="128"/>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系统应支持多种硬件服务器，平台可兼容Linux，AIX，Windows Server等主流操作系统。</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系统应能有效支持各种主流的浏览器（IE8及以上、chrome、firefox、safari）与手机客户端操作系统（Android4.1及以上和IOS6及以上），并在不同的终端上提供一致的用户体验。</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系统应具备可伸缩性，提供横纵向扩展能力，增加硬件资源后，能有效提高系统的业务处理能力。</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4.5并发控制要求</w:t>
      </w:r>
    </w:p>
    <w:p>
      <w:pPr>
        <w:pageBreakBefore w:val="0"/>
        <w:suppressAutoHyphens/>
        <w:kinsoku/>
        <w:wordWrap/>
        <w:topLinePunct w:val="0"/>
        <w:bidi w:val="0"/>
        <w:snapToGrid/>
        <w:spacing w:beforeAutospacing="0" w:afterAutospacing="0" w:line="360" w:lineRule="auto"/>
        <w:ind w:left="0" w:leftChars="0"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应对系统的最大并发会话连接数进行限制。应对单个用户的多重并发会话进行限制。应对一个时间段内可能的并发会话连接数进行限制。当应用系统通信双方中的一方在指定时间内未作任何响应时，另一方应能够自动结束会话。</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2"/>
        <w:rPr>
          <w:rFonts w:hint="eastAsia" w:asciiTheme="minorEastAsia" w:hAnsiTheme="minorEastAsia" w:eastAsiaTheme="minorEastAsia" w:cstheme="minorEastAsia"/>
          <w:b/>
          <w:color w:val="auto"/>
          <w:kern w:val="2"/>
          <w:sz w:val="24"/>
          <w:szCs w:val="24"/>
          <w:lang w:val="en-US" w:eastAsia="zh-CN" w:bidi="ar-SA"/>
        </w:rPr>
      </w:pPr>
      <w:r>
        <w:rPr>
          <w:rFonts w:hint="eastAsia" w:asciiTheme="minorEastAsia" w:hAnsiTheme="minorEastAsia" w:eastAsiaTheme="minorEastAsia" w:cstheme="minorEastAsia"/>
          <w:b/>
          <w:color w:val="auto"/>
          <w:kern w:val="2"/>
          <w:sz w:val="24"/>
          <w:szCs w:val="24"/>
          <w:lang w:val="en-US" w:eastAsia="zh-CN" w:bidi="ar-SA"/>
        </w:rPr>
        <w:t xml:space="preserve">4.6性能要求 </w:t>
      </w:r>
    </w:p>
    <w:p>
      <w:pPr>
        <w:pageBreakBefore w:val="0"/>
        <w:suppressAutoHyphens/>
        <w:kinsoku/>
        <w:wordWrap/>
        <w:topLinePunct w:val="0"/>
        <w:bidi w:val="0"/>
        <w:snapToGrid/>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为提高用户体验、保证系统流畅性和稳定性，服务接口应满足如下的性能要求：</w:t>
      </w:r>
    </w:p>
    <w:p>
      <w:pPr>
        <w:pageBreakBefore w:val="0"/>
        <w:suppressAutoHyphens/>
        <w:kinsoku/>
        <w:wordWrap/>
        <w:topLinePunct w:val="0"/>
        <w:bidi w:val="0"/>
        <w:snapToGrid/>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1）</w:t>
      </w:r>
      <w:r>
        <w:rPr>
          <w:rFonts w:hint="eastAsia" w:asciiTheme="minorEastAsia" w:hAnsiTheme="minorEastAsia" w:eastAsiaTheme="minorEastAsia" w:cstheme="minorEastAsia"/>
          <w:color w:val="auto"/>
          <w:sz w:val="24"/>
          <w:szCs w:val="24"/>
        </w:rPr>
        <w:t>系统需满足支持7*24小时不间断运行，人为和外部的异常事件不会引起系统的崩溃。测试环境下稳定性需满足以下指标：双节点集群环境下，1000并发用户连续48小时运行情况下，平均响应时间在3s以内，WEB服务器资源稳定在50%以内，数据库资源稳定在50%以内，单节点重启不影响系统运行。</w:t>
      </w:r>
    </w:p>
    <w:p>
      <w:pPr>
        <w:pageBreakBefore w:val="0"/>
        <w:suppressAutoHyphens/>
        <w:kinsoku/>
        <w:wordWrap/>
        <w:topLinePunct w:val="0"/>
        <w:bidi w:val="0"/>
        <w:snapToGrid/>
        <w:spacing w:beforeAutospacing="0" w:afterAutospacing="0" w:line="360" w:lineRule="auto"/>
        <w:ind w:left="0" w:leftChars="0"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2）接口应设置最大超时时间，不同的接口可以设置不同的最大超时时间，单笔交易的最大超时时间不超过 60 秒，超时仍未完成的接口调用应立即终止，并即时返回调用超时的异常结果。</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第5章 服务要求</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系统上线后，中标人需要按合同约定的期限进行技术支持保障工作，保证系统平稳运行。在服务期内，中标人提供的服务和技术支持包括但不限于以下内容：</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1.</w:t>
      </w:r>
      <w:r>
        <w:rPr>
          <w:rFonts w:hint="eastAsia" w:asciiTheme="minorEastAsia" w:hAnsiTheme="minorEastAsia" w:eastAsiaTheme="minorEastAsia" w:cstheme="minorEastAsia"/>
          <w:color w:val="auto"/>
          <w:sz w:val="24"/>
          <w:szCs w:val="24"/>
        </w:rPr>
        <w:t>中标人应对软件使用过程中出现的各类问题进行解答；</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2.</w:t>
      </w:r>
      <w:r>
        <w:rPr>
          <w:rFonts w:hint="eastAsia" w:asciiTheme="minorEastAsia" w:hAnsiTheme="minorEastAsia" w:eastAsiaTheme="minorEastAsia" w:cstheme="minorEastAsia"/>
          <w:color w:val="auto"/>
          <w:sz w:val="24"/>
          <w:szCs w:val="24"/>
        </w:rPr>
        <w:t>处理建议应以前台操作为主，能够通过前台操作完成的，尽量不在后台调整；</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3.</w:t>
      </w:r>
      <w:r>
        <w:rPr>
          <w:rFonts w:hint="eastAsia" w:asciiTheme="minorEastAsia" w:hAnsiTheme="minorEastAsia" w:eastAsiaTheme="minorEastAsia" w:cstheme="minorEastAsia"/>
          <w:color w:val="auto"/>
          <w:sz w:val="24"/>
          <w:szCs w:val="24"/>
        </w:rPr>
        <w:t>操作中出现的常见问题，应及时通过技术支持渠道向用户发布；</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第6章 验收要求</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验收工作由招标人组织实施，投标人应完成项目验收的相关验收场景和资料的准备。</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1"/>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6.1验收标准</w:t>
      </w:r>
      <w:r>
        <w:rPr>
          <w:rFonts w:hint="eastAsia" w:asciiTheme="minorEastAsia" w:hAnsiTheme="minorEastAsia" w:eastAsiaTheme="minorEastAsia" w:cstheme="minorEastAsia"/>
          <w:b/>
          <w:bCs/>
          <w:color w:val="auto"/>
          <w:kern w:val="2"/>
          <w:sz w:val="24"/>
          <w:szCs w:val="24"/>
          <w:lang w:val="en-US" w:eastAsia="zh-CN" w:bidi="ar-SA"/>
        </w:rPr>
        <w:tab/>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1.验收的原则和依据</w:t>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本着保证质量、注重应用、功能适用的原则，以本项目招标文件、合同和业务需求及相关技术标准规范为验收的主要依据。</w:t>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2.验收标准</w:t>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（一）系统运行正常。</w:t>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（二）招标文件和合同要求全部完成，并满足要求。</w:t>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（三）各种技术文档和验收资料完备，符合合同的内容。</w:t>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（四）系统监控和数据处理符合信息安全的要求。</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color w:val="auto"/>
          <w:sz w:val="24"/>
          <w:szCs w:val="24"/>
        </w:rPr>
        <w:t>（五）合同或合同附件规定的其他验收条件。</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1"/>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6.2项目验收</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投标人应根据合同约定验收的要求以及验收工作的内容，协助制定验收方案；</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投标人应为验收工作准备相应的验收环境和所需资料；</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协助招标人全面、准确验证软件的各项功能模块是否达到标准；</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协助招标人全面、准确验证软件的各项性能是否能达到要求；</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投标人应对验收中发现的问题制定详细明确的处理方案并及时修改；</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投标人必须按招标人要求提交移交物清单及清单所列内容的最终版本（包括纸制和电子版），并经招标人签字确认；</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投标人协助编写并提交验收报告等文档。</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1"/>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6.3交付物要求</w:t>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1、验收方案</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内容包括但不限于：详细描述验收目的、验收内容、技术条件、验收方法、进度安排、人员组成、验收准则、验收数据准备等。</w:t>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2、验收报告</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内容包括但不仅限于：详细描述和总结验收依据、验收内容、验收过程、验收准则、验收报告结论存在问题、优化完善建议等。</w:t>
      </w:r>
    </w:p>
    <w:p>
      <w:pPr>
        <w:pageBreakBefore w:val="0"/>
        <w:widowControl/>
        <w:shd w:val="clear" w:color="auto" w:fill="FFFFFF"/>
        <w:suppressAutoHyphens/>
        <w:kinsoku/>
        <w:wordWrap/>
        <w:overflowPunct/>
        <w:topLinePunct w:val="0"/>
        <w:autoSpaceDE/>
        <w:autoSpaceDN/>
        <w:bidi w:val="0"/>
        <w:adjustRightInd/>
        <w:snapToGrid w:val="0"/>
        <w:spacing w:beforeAutospacing="0" w:afterAutospacing="0" w:line="360" w:lineRule="auto"/>
        <w:ind w:left="0" w:leftChars="0" w:firstLine="480" w:firstLineChars="200"/>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3、移交物清单及交付物</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内容包括但不局限于：管理文档、用户文档、上线相关文档等。</w:t>
      </w:r>
    </w:p>
    <w:p>
      <w:pPr>
        <w:keepNext/>
        <w:keepLines/>
        <w:pageBreakBefore w:val="0"/>
        <w:widowControl w:val="0"/>
        <w:suppressAutoHyphens/>
        <w:kinsoku/>
        <w:wordWrap/>
        <w:topLinePunct w:val="0"/>
        <w:bidi w:val="0"/>
        <w:snapToGrid/>
        <w:spacing w:before="0" w:beforeLines="0" w:beforeAutospacing="0" w:after="0" w:afterLines="0" w:afterAutospacing="0" w:line="360" w:lineRule="auto"/>
        <w:ind w:left="0" w:leftChars="0"/>
        <w:jc w:val="both"/>
        <w:outlineLvl w:val="1"/>
        <w:rPr>
          <w:rFonts w:hint="eastAsia" w:asciiTheme="minorEastAsia" w:hAnsiTheme="minorEastAsia" w:eastAsiaTheme="minorEastAsia" w:cstheme="minorEastAsia"/>
          <w:b/>
          <w:color w:val="auto"/>
          <w:kern w:val="44"/>
          <w:sz w:val="24"/>
          <w:szCs w:val="24"/>
          <w:lang w:val="en-US" w:eastAsia="zh-CN" w:bidi="ar-SA"/>
        </w:rPr>
      </w:pPr>
      <w:r>
        <w:rPr>
          <w:rFonts w:hint="eastAsia" w:asciiTheme="minorEastAsia" w:hAnsiTheme="minorEastAsia" w:eastAsiaTheme="minorEastAsia" w:cstheme="minorEastAsia"/>
          <w:b/>
          <w:color w:val="auto"/>
          <w:kern w:val="44"/>
          <w:sz w:val="24"/>
          <w:szCs w:val="24"/>
          <w:lang w:val="en-US" w:eastAsia="zh-CN" w:bidi="ar-SA"/>
        </w:rPr>
        <w:t>第7章 其他要求</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7.1保密要求</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7.2知识产权要求</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2、中标人应保证在本项目中所有预装和为本项目安装的软件为在中国境内具有合法版权或使用权的正版软件且无质量瑕疵。</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3、中标人保证所提供的产品及服务不侵犯第三方的知识产权，否则，由此给招标人造成的一切损失由中标人承担。</w:t>
      </w:r>
    </w:p>
    <w:p>
      <w:pPr>
        <w:keepNext/>
        <w:keepLines/>
        <w:pageBreakBefore w:val="0"/>
        <w:widowControl w:val="0"/>
        <w:suppressAutoHyphens/>
        <w:kinsoku/>
        <w:wordWrap/>
        <w:overflowPunct/>
        <w:topLinePunct w:val="0"/>
        <w:autoSpaceDE/>
        <w:autoSpaceDN/>
        <w:bidi w:val="0"/>
        <w:adjustRightInd/>
        <w:spacing w:before="0" w:beforeLines="0" w:beforeAutospacing="0" w:after="0" w:afterLines="0" w:afterAutospacing="0" w:line="360" w:lineRule="auto"/>
        <w:ind w:left="0" w:leftChars="0"/>
        <w:jc w:val="both"/>
        <w:textAlignment w:val="auto"/>
        <w:outlineLvl w:val="2"/>
        <w:rPr>
          <w:rFonts w:hint="eastAsia" w:asciiTheme="minorEastAsia" w:hAnsiTheme="minorEastAsia" w:eastAsiaTheme="minorEastAsia" w:cstheme="minorEastAsia"/>
          <w:b/>
          <w:bCs/>
          <w:color w:val="auto"/>
          <w:kern w:val="2"/>
          <w:sz w:val="24"/>
          <w:szCs w:val="24"/>
          <w:lang w:val="en-US" w:eastAsia="zh-CN" w:bidi="ar-SA"/>
        </w:rPr>
      </w:pPr>
      <w:r>
        <w:rPr>
          <w:rFonts w:hint="eastAsia" w:asciiTheme="minorEastAsia" w:hAnsiTheme="minorEastAsia" w:eastAsiaTheme="minorEastAsia" w:cstheme="minorEastAsia"/>
          <w:b/>
          <w:bCs/>
          <w:color w:val="auto"/>
          <w:kern w:val="2"/>
          <w:sz w:val="24"/>
          <w:szCs w:val="24"/>
          <w:lang w:val="en-US" w:eastAsia="zh-CN" w:bidi="ar-SA"/>
        </w:rPr>
        <w:t>7.3归档要求</w:t>
      </w:r>
    </w:p>
    <w:p>
      <w:pPr>
        <w:pageBreakBefore w:val="0"/>
        <w:suppressAutoHyphens/>
        <w:kinsoku/>
        <w:wordWrap/>
        <w:overflowPunct/>
        <w:topLinePunct w:val="0"/>
        <w:autoSpaceDE/>
        <w:autoSpaceDN/>
        <w:bidi w:val="0"/>
        <w:adjustRightInd/>
        <w:snapToGrid w:val="0"/>
        <w:spacing w:beforeAutospacing="0" w:afterAutospacing="0" w:line="360" w:lineRule="auto"/>
        <w:ind w:left="0" w:leftChars="0" w:firstLine="470" w:firstLineChars="196"/>
        <w:jc w:val="left"/>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中标人应对该项目所涉及的需求分析、联调测试、培训推广等各阶段工作文档，按招标人质量、数量、提供方式、提供时间等要求进行整理，并提交招标人归档。</w:t>
      </w:r>
    </w:p>
    <w:p>
      <w:pPr>
        <w:pStyle w:val="7"/>
        <w:ind w:left="0" w:leftChars="0" w:firstLine="0" w:firstLineChars="0"/>
        <w:rPr>
          <w:rFonts w:hint="eastAsia"/>
          <w:lang w:val="en-US" w:eastAsia="zh-CN"/>
        </w:rPr>
      </w:pPr>
    </w:p>
    <w:p>
      <w:pPr>
        <w:pStyle w:val="23"/>
        <w:jc w:val="left"/>
        <w:rPr>
          <w:rFonts w:hint="eastAsia" w:ascii="宋体" w:hAnsi="宋体" w:eastAsia="宋体" w:cs="宋体"/>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pPr>
        <w:spacing w:before="200" w:after="200"/>
        <w:jc w:val="center"/>
        <w:outlineLvl w:val="0"/>
        <w:rPr>
          <w:rFonts w:hint="eastAsia" w:ascii="宋体" w:hAnsi="宋体" w:eastAsia="宋体" w:cs="宋体"/>
          <w:color w:val="auto"/>
          <w:highlight w:val="none"/>
        </w:rPr>
      </w:pPr>
      <w:bookmarkStart w:id="129" w:name="_Toc17739"/>
      <w:r>
        <w:rPr>
          <w:rStyle w:val="37"/>
          <w:rFonts w:hint="eastAsia" w:ascii="宋体" w:hAnsi="宋体" w:eastAsia="宋体" w:cs="宋体"/>
          <w:color w:val="auto"/>
          <w:highlight w:val="none"/>
        </w:rPr>
        <w:t>第四章 评标方法</w:t>
      </w:r>
      <w:bookmarkEnd w:id="111"/>
      <w:bookmarkEnd w:id="112"/>
      <w:bookmarkEnd w:id="129"/>
    </w:p>
    <w:p>
      <w:pPr>
        <w:adjustRightInd w:val="0"/>
        <w:snapToGrid w:val="0"/>
        <w:ind w:firstLine="422" w:firstLineChars="200"/>
        <w:rPr>
          <w:rFonts w:hint="eastAsia" w:ascii="宋体" w:hAnsi="宋体" w:eastAsia="宋体" w:cs="宋体"/>
          <w:b/>
          <w:color w:val="auto"/>
          <w:kern w:val="0"/>
          <w:highlight w:val="none"/>
        </w:rPr>
      </w:pPr>
      <w:bookmarkStart w:id="130" w:name="_Toc22313_WPSOffice_Level2"/>
      <w:r>
        <w:rPr>
          <w:rFonts w:hint="eastAsia" w:ascii="宋体" w:hAnsi="宋体" w:eastAsia="宋体" w:cs="宋体"/>
          <w:b/>
          <w:color w:val="auto"/>
          <w:kern w:val="0"/>
          <w:highlight w:val="none"/>
        </w:rPr>
        <w:t>一、评标方法</w:t>
      </w:r>
      <w:bookmarkEnd w:id="130"/>
    </w:p>
    <w:p>
      <w:pPr>
        <w:adjustRightInd w:val="0"/>
        <w:snapToGrid w:val="0"/>
        <w:ind w:firstLine="420" w:firstLineChars="200"/>
        <w:textAlignment w:val="baseline"/>
        <w:rPr>
          <w:rFonts w:hint="eastAsia" w:ascii="宋体" w:hAnsi="宋体" w:eastAsia="宋体" w:cs="宋体"/>
          <w:color w:val="auto"/>
          <w:highlight w:val="none"/>
        </w:rPr>
      </w:pPr>
      <w:bookmarkStart w:id="131" w:name="_Toc21368_WPSOffice_Level2"/>
      <w:r>
        <w:rPr>
          <w:rFonts w:hint="eastAsia" w:ascii="宋体" w:hAnsi="宋体" w:eastAsia="宋体" w:cs="宋体"/>
          <w:color w:val="auto"/>
          <w:highlight w:val="none"/>
        </w:rPr>
        <w:t>本项目将按照招标文件第一章 供应商须知的相关要求及本章的规定评标。</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31"/>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pPr>
        <w:numPr>
          <w:ilvl w:val="0"/>
          <w:numId w:val="10"/>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pPr>
        <w:numPr>
          <w:ilvl w:val="0"/>
          <w:numId w:val="10"/>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pPr>
        <w:numPr>
          <w:ilvl w:val="0"/>
          <w:numId w:val="10"/>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pPr>
        <w:numPr>
          <w:ilvl w:val="0"/>
          <w:numId w:val="11"/>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pPr>
        <w:numPr>
          <w:ilvl w:val="0"/>
          <w:numId w:val="11"/>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pPr>
        <w:adjustRightInd w:val="0"/>
        <w:snapToGrid w:val="0"/>
        <w:ind w:firstLine="422" w:firstLineChars="200"/>
        <w:rPr>
          <w:rFonts w:hint="eastAsia" w:ascii="宋体" w:hAnsi="宋体" w:eastAsia="宋体" w:cs="宋体"/>
          <w:b/>
          <w:color w:val="auto"/>
          <w:kern w:val="0"/>
          <w:highlight w:val="none"/>
        </w:rPr>
      </w:pPr>
      <w:bookmarkStart w:id="132"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32"/>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pPr>
        <w:pStyle w:val="4"/>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33" w:name="_Toc32318_WPSOffice_Level2"/>
      <w:r>
        <w:rPr>
          <w:rStyle w:val="39"/>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pPr>
        <w:pStyle w:val="4"/>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33"/>
    </w:p>
    <w:tbl>
      <w:tblPr>
        <w:tblStyle w:val="27"/>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0"/>
        <w:gridCol w:w="3647"/>
        <w:gridCol w:w="1964"/>
        <w:gridCol w:w="695"/>
        <w:gridCol w:w="886"/>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9" w:hRule="atLeast"/>
        </w:trPr>
        <w:tc>
          <w:tcPr>
            <w:tcW w:w="500"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3647"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964"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2402" w:type="dxa"/>
            <w:gridSpan w:val="3"/>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4" w:hRule="atLeast"/>
        </w:trPr>
        <w:tc>
          <w:tcPr>
            <w:tcW w:w="500" w:type="dxa"/>
            <w:vMerge w:val="continue"/>
            <w:vAlign w:val="center"/>
          </w:tcPr>
          <w:p>
            <w:pPr>
              <w:spacing w:line="300" w:lineRule="exact"/>
              <w:rPr>
                <w:rFonts w:hint="eastAsia" w:ascii="宋体" w:hAnsi="宋体" w:eastAsia="宋体" w:cs="宋体"/>
                <w:color w:val="auto"/>
                <w:highlight w:val="none"/>
              </w:rPr>
            </w:pPr>
          </w:p>
        </w:tc>
        <w:tc>
          <w:tcPr>
            <w:tcW w:w="3647" w:type="dxa"/>
            <w:vMerge w:val="continue"/>
            <w:vAlign w:val="center"/>
          </w:tcPr>
          <w:p>
            <w:pPr>
              <w:spacing w:line="300" w:lineRule="exact"/>
              <w:rPr>
                <w:rFonts w:hint="eastAsia" w:ascii="宋体" w:hAnsi="宋体" w:eastAsia="宋体" w:cs="宋体"/>
                <w:color w:val="auto"/>
                <w:highlight w:val="none"/>
              </w:rPr>
            </w:pPr>
          </w:p>
        </w:tc>
        <w:tc>
          <w:tcPr>
            <w:tcW w:w="1964" w:type="dxa"/>
            <w:vMerge w:val="continue"/>
            <w:vAlign w:val="center"/>
          </w:tcPr>
          <w:p>
            <w:pPr>
              <w:spacing w:line="300" w:lineRule="exact"/>
              <w:rPr>
                <w:rFonts w:hint="eastAsia" w:ascii="宋体" w:hAnsi="宋体" w:eastAsia="宋体" w:cs="宋体"/>
                <w:color w:val="auto"/>
                <w:highlight w:val="none"/>
              </w:rPr>
            </w:pPr>
          </w:p>
        </w:tc>
        <w:tc>
          <w:tcPr>
            <w:tcW w:w="695" w:type="dxa"/>
            <w:vAlign w:val="center"/>
          </w:tcPr>
          <w:p>
            <w:pPr>
              <w:spacing w:line="300" w:lineRule="exact"/>
              <w:rPr>
                <w:rFonts w:hint="eastAsia" w:ascii="宋体" w:hAnsi="宋体" w:eastAsia="宋体" w:cs="宋体"/>
                <w:color w:val="auto"/>
                <w:highlight w:val="none"/>
              </w:rPr>
            </w:pPr>
          </w:p>
        </w:tc>
        <w:tc>
          <w:tcPr>
            <w:tcW w:w="886" w:type="dxa"/>
            <w:vAlign w:val="center"/>
          </w:tcPr>
          <w:p>
            <w:pPr>
              <w:spacing w:line="300" w:lineRule="exact"/>
              <w:rPr>
                <w:rFonts w:hint="eastAsia" w:ascii="宋体" w:hAnsi="宋体" w:eastAsia="宋体" w:cs="宋体"/>
                <w:color w:val="auto"/>
                <w:highlight w:val="none"/>
              </w:rPr>
            </w:pPr>
          </w:p>
        </w:tc>
        <w:tc>
          <w:tcPr>
            <w:tcW w:w="821" w:type="dxa"/>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vAlign w:val="center"/>
          </w:tcPr>
          <w:p>
            <w:pPr>
              <w:spacing w:line="300" w:lineRule="exact"/>
              <w:rPr>
                <w:rFonts w:hint="eastAsia" w:ascii="宋体" w:hAnsi="宋体" w:eastAsia="宋体" w:cs="宋体"/>
                <w:color w:val="auto"/>
                <w:highlight w:val="none"/>
              </w:rPr>
            </w:pPr>
          </w:p>
        </w:tc>
        <w:tc>
          <w:tcPr>
            <w:tcW w:w="886" w:type="dxa"/>
            <w:vAlign w:val="center"/>
          </w:tcPr>
          <w:p>
            <w:pPr>
              <w:spacing w:line="300" w:lineRule="exact"/>
              <w:rPr>
                <w:rFonts w:hint="eastAsia" w:ascii="宋体" w:hAnsi="宋体" w:eastAsia="宋体" w:cs="宋体"/>
                <w:color w:val="auto"/>
                <w:highlight w:val="none"/>
              </w:rPr>
            </w:pPr>
          </w:p>
        </w:tc>
        <w:tc>
          <w:tcPr>
            <w:tcW w:w="821" w:type="dxa"/>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6111" w:type="dxa"/>
            <w:gridSpan w:val="3"/>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keepNext/>
        <w:keepLines/>
        <w:adjustRightInd w:val="0"/>
        <w:snapToGrid w:val="0"/>
        <w:jc w:val="left"/>
        <w:rPr>
          <w:rFonts w:hint="eastAsia" w:ascii="宋体" w:hAnsi="宋体" w:eastAsia="宋体" w:cs="宋体"/>
          <w:b/>
          <w:color w:val="auto"/>
          <w:highlight w:val="none"/>
        </w:rPr>
      </w:pPr>
    </w:p>
    <w:p>
      <w:pPr>
        <w:pStyle w:val="24"/>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34" w:name="_Toc11558_WPSOffice_Level2"/>
      <w:r>
        <w:rPr>
          <w:rStyle w:val="39"/>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pPr>
        <w:pStyle w:val="24"/>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8"/>
          <w:rFonts w:hint="eastAsia" w:ascii="宋体" w:hAnsi="宋体" w:eastAsia="宋体" w:cs="宋体"/>
          <w:color w:val="auto"/>
          <w:highlight w:val="none"/>
        </w:rPr>
        <w:t xml:space="preserve"> 符合性审查表</w:t>
      </w:r>
      <w:bookmarkEnd w:id="134"/>
    </w:p>
    <w:tbl>
      <w:tblPr>
        <w:tblStyle w:val="27"/>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5"/>
        <w:gridCol w:w="2258"/>
        <w:gridCol w:w="2755"/>
        <w:gridCol w:w="995"/>
        <w:gridCol w:w="969"/>
        <w:gridCol w:w="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3" w:hRule="atLeast"/>
        </w:trPr>
        <w:tc>
          <w:tcPr>
            <w:tcW w:w="635"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58"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2755"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2865" w:type="dxa"/>
            <w:gridSpan w:val="3"/>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8" w:hRule="atLeast"/>
        </w:trPr>
        <w:tc>
          <w:tcPr>
            <w:tcW w:w="635" w:type="dxa"/>
            <w:vMerge w:val="continue"/>
            <w:vAlign w:val="center"/>
          </w:tcPr>
          <w:p>
            <w:pPr>
              <w:spacing w:line="300" w:lineRule="exact"/>
              <w:jc w:val="center"/>
              <w:rPr>
                <w:rFonts w:hint="eastAsia" w:ascii="宋体" w:hAnsi="宋体" w:eastAsia="宋体" w:cs="宋体"/>
                <w:color w:val="auto"/>
                <w:highlight w:val="none"/>
              </w:rPr>
            </w:pPr>
          </w:p>
        </w:tc>
        <w:tc>
          <w:tcPr>
            <w:tcW w:w="2258" w:type="dxa"/>
            <w:vMerge w:val="continue"/>
            <w:vAlign w:val="center"/>
          </w:tcPr>
          <w:p>
            <w:pPr>
              <w:spacing w:line="300" w:lineRule="exact"/>
              <w:rPr>
                <w:rFonts w:hint="eastAsia" w:ascii="宋体" w:hAnsi="宋体" w:eastAsia="宋体" w:cs="宋体"/>
                <w:color w:val="auto"/>
                <w:highlight w:val="none"/>
              </w:rPr>
            </w:pPr>
          </w:p>
        </w:tc>
        <w:tc>
          <w:tcPr>
            <w:tcW w:w="2755" w:type="dxa"/>
            <w:vMerge w:val="continue"/>
            <w:vAlign w:val="center"/>
          </w:tcPr>
          <w:p>
            <w:pPr>
              <w:spacing w:line="300" w:lineRule="exact"/>
              <w:rPr>
                <w:rFonts w:hint="eastAsia" w:ascii="宋体" w:hAnsi="宋体" w:eastAsia="宋体" w:cs="宋体"/>
                <w:color w:val="auto"/>
                <w:highlight w:val="none"/>
              </w:rPr>
            </w:pPr>
          </w:p>
        </w:tc>
        <w:tc>
          <w:tcPr>
            <w:tcW w:w="995"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2755" w:type="dxa"/>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1" w:hRule="atLeast"/>
        </w:trPr>
        <w:tc>
          <w:tcPr>
            <w:tcW w:w="5648" w:type="dxa"/>
            <w:gridSpan w:val="3"/>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995"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pStyle w:val="24"/>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pPr>
        <w:pStyle w:val="4"/>
        <w:adjustRightInd w:val="0"/>
        <w:snapToGrid w:val="0"/>
        <w:spacing w:before="0" w:after="0" w:line="240" w:lineRule="auto"/>
        <w:jc w:val="left"/>
        <w:rPr>
          <w:rFonts w:hint="eastAsia" w:ascii="宋体" w:hAnsi="宋体" w:eastAsia="宋体" w:cs="宋体"/>
          <w:color w:val="auto"/>
          <w:highlight w:val="none"/>
        </w:rPr>
      </w:pPr>
      <w:bookmarkStart w:id="135" w:name="_Toc17433_WPSOffice_Level2"/>
      <w:r>
        <w:rPr>
          <w:rStyle w:val="39"/>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p>
      <w:pPr>
        <w:pStyle w:val="4"/>
        <w:spacing w:before="0" w:after="0"/>
        <w:rPr>
          <w:rFonts w:hint="eastAsia" w:ascii="宋体" w:hAnsi="宋体" w:eastAsia="宋体" w:cs="宋体"/>
          <w:color w:val="auto"/>
          <w:highlight w:val="none"/>
          <w:lang w:eastAsia="zh-CN"/>
        </w:rPr>
      </w:pPr>
      <w:r>
        <w:rPr>
          <w:rFonts w:hint="eastAsia" w:ascii="宋体" w:hAnsi="宋体" w:eastAsia="宋体" w:cs="宋体"/>
          <w:color w:val="auto"/>
          <w:highlight w:val="none"/>
        </w:rPr>
        <w:t>评分细则</w:t>
      </w:r>
      <w:bookmarkEnd w:id="135"/>
    </w:p>
    <w:tbl>
      <w:tblPr>
        <w:tblStyle w:val="27"/>
        <w:tblW w:w="8816"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6"/>
        <w:gridCol w:w="1083"/>
        <w:gridCol w:w="838"/>
        <w:gridCol w:w="742"/>
        <w:gridCol w:w="54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6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序号</w:t>
            </w:r>
          </w:p>
        </w:tc>
        <w:tc>
          <w:tcPr>
            <w:tcW w:w="108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评分项目</w:t>
            </w:r>
          </w:p>
        </w:tc>
        <w:tc>
          <w:tcPr>
            <w:tcW w:w="8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项目描述</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分值</w:t>
            </w:r>
          </w:p>
        </w:tc>
        <w:tc>
          <w:tcPr>
            <w:tcW w:w="54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ind w:left="64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4" w:hRule="atLeast"/>
        </w:trPr>
        <w:tc>
          <w:tcPr>
            <w:tcW w:w="6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108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投标报价（30分）</w:t>
            </w:r>
          </w:p>
        </w:tc>
        <w:tc>
          <w:tcPr>
            <w:tcW w:w="8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报价得分</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30</w:t>
            </w:r>
          </w:p>
        </w:tc>
        <w:tc>
          <w:tcPr>
            <w:tcW w:w="5457" w:type="dxa"/>
            <w:tcBorders>
              <w:top w:val="single" w:color="auto" w:sz="4" w:space="0"/>
              <w:left w:val="single" w:color="auto" w:sz="4" w:space="0"/>
              <w:bottom w:val="single" w:color="auto" w:sz="4" w:space="0"/>
              <w:right w:val="single" w:color="auto" w:sz="4" w:space="0"/>
            </w:tcBorders>
            <w:noWrap w:val="0"/>
            <w:vAlign w:val="center"/>
          </w:tcPr>
          <w:p>
            <w:pPr>
              <w:pStyle w:val="53"/>
              <w:keepNext w:val="0"/>
              <w:keepLines w:val="0"/>
              <w:pageBreakBefore w:val="0"/>
              <w:kinsoku/>
              <w:wordWrap/>
              <w:overflowPunct/>
              <w:topLinePunct w:val="0"/>
              <w:autoSpaceDE/>
              <w:autoSpaceDN/>
              <w:bidi w:val="0"/>
              <w:adjustRightInd/>
              <w:snapToGrid/>
              <w:spacing w:line="360" w:lineRule="auto"/>
              <w:jc w:val="both"/>
              <w:textAlignment w:val="auto"/>
              <w:rPr>
                <w:rFonts w:hint="eastAsia" w:asciiTheme="minorEastAsia" w:hAnsiTheme="minorEastAsia" w:eastAsiaTheme="minorEastAsia" w:cstheme="minorEastAsia"/>
                <w:kern w:val="2"/>
                <w:sz w:val="21"/>
                <w:szCs w:val="21"/>
              </w:rPr>
            </w:pPr>
            <w:r>
              <w:rPr>
                <w:rFonts w:hint="eastAsia" w:asciiTheme="minorEastAsia" w:hAnsiTheme="minorEastAsia" w:eastAsiaTheme="minorEastAsia" w:cstheme="minorEastAsia"/>
                <w:kern w:val="2"/>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94" w:hRule="atLeast"/>
        </w:trPr>
        <w:tc>
          <w:tcPr>
            <w:tcW w:w="69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p>
        </w:tc>
        <w:tc>
          <w:tcPr>
            <w:tcW w:w="1083"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商务部分</w:t>
            </w:r>
          </w:p>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15</w:t>
            </w:r>
            <w:r>
              <w:rPr>
                <w:rFonts w:hint="eastAsia" w:asciiTheme="minorEastAsia" w:hAnsiTheme="minorEastAsia" w:eastAsiaTheme="minorEastAsia" w:cstheme="minorEastAsia"/>
                <w:sz w:val="21"/>
                <w:szCs w:val="21"/>
              </w:rPr>
              <w:t>分）</w:t>
            </w:r>
          </w:p>
        </w:tc>
        <w:tc>
          <w:tcPr>
            <w:tcW w:w="8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售后服务承诺</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w:t>
            </w:r>
          </w:p>
        </w:tc>
        <w:tc>
          <w:tcPr>
            <w:tcW w:w="54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根据供应商提供的售后服务承诺进行打分，内容包括服务大纲、故障响应、服务应答、备机备件等方面，以上内容每具备一项且与本项目相关得1分，最多得4分。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14" w:hRule="atLeast"/>
        </w:trPr>
        <w:tc>
          <w:tcPr>
            <w:tcW w:w="696"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1"/>
                <w:szCs w:val="21"/>
              </w:rPr>
            </w:pPr>
          </w:p>
        </w:tc>
        <w:tc>
          <w:tcPr>
            <w:tcW w:w="1083"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1"/>
                <w:szCs w:val="21"/>
              </w:rPr>
            </w:pPr>
          </w:p>
        </w:tc>
        <w:tc>
          <w:tcPr>
            <w:tcW w:w="8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供应商资质</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w:t>
            </w:r>
          </w:p>
        </w:tc>
        <w:tc>
          <w:tcPr>
            <w:tcW w:w="54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Theme="minorEastAsia" w:hAnsiTheme="minorEastAsia" w:eastAsiaTheme="minorEastAsia" w:cstheme="minorEastAsia"/>
                <w:sz w:val="21"/>
                <w:szCs w:val="21"/>
                <w:lang w:val="en-US" w:eastAsia="zh-CN"/>
              </w:rPr>
              <w:t>与全国认证认可信息公共服务平台http://cx.cnca.cn查询截图，原件备查</w:t>
            </w:r>
            <w:r>
              <w:rPr>
                <w:rFonts w:hint="eastAsia" w:asciiTheme="minorEastAsia" w:hAnsiTheme="minorEastAsia" w:eastAsiaTheme="minorEastAsia" w:cstheme="minorEastAsia"/>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13" w:hRule="atLeast"/>
        </w:trPr>
        <w:tc>
          <w:tcPr>
            <w:tcW w:w="696"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1"/>
                <w:szCs w:val="21"/>
              </w:rPr>
            </w:pPr>
          </w:p>
        </w:tc>
        <w:tc>
          <w:tcPr>
            <w:tcW w:w="1083"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1"/>
                <w:szCs w:val="21"/>
              </w:rPr>
            </w:pPr>
          </w:p>
        </w:tc>
        <w:tc>
          <w:tcPr>
            <w:tcW w:w="8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供应商类似项目业绩</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w:t>
            </w:r>
          </w:p>
        </w:tc>
        <w:tc>
          <w:tcPr>
            <w:tcW w:w="54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提供20</w:t>
            </w:r>
            <w:r>
              <w:rPr>
                <w:rFonts w:hint="eastAsia" w:asciiTheme="minorEastAsia" w:hAnsiTheme="minorEastAsia" w:eastAsiaTheme="minorEastAsia" w:cstheme="minorEastAsia"/>
                <w:sz w:val="21"/>
                <w:szCs w:val="21"/>
                <w:lang w:val="en-US" w:eastAsia="zh-CN"/>
              </w:rPr>
              <w:t>21</w:t>
            </w:r>
            <w:r>
              <w:rPr>
                <w:rFonts w:hint="eastAsia" w:asciiTheme="minorEastAsia" w:hAnsiTheme="minorEastAsia" w:eastAsiaTheme="minorEastAsia" w:cstheme="minorEastAsia"/>
                <w:sz w:val="21"/>
                <w:szCs w:val="21"/>
              </w:rPr>
              <w:t>年1月1日之后供应商类似项目运维合同，以合同个数为准，每提供一个合同得1分，最多得5分。时间以签订合同时间为准。</w:t>
            </w:r>
          </w:p>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69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p>
        </w:tc>
        <w:tc>
          <w:tcPr>
            <w:tcW w:w="1083"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技术部分（5</w:t>
            </w:r>
            <w:r>
              <w:rPr>
                <w:rFonts w:hint="eastAsia" w:asciiTheme="minorEastAsia" w:hAnsiTheme="minorEastAsia" w:eastAsiaTheme="minorEastAsia" w:cstheme="minorEastAsia"/>
                <w:sz w:val="21"/>
                <w:szCs w:val="21"/>
                <w:lang w:val="en-US" w:eastAsia="zh-CN"/>
              </w:rPr>
              <w:t>5</w:t>
            </w:r>
            <w:r>
              <w:rPr>
                <w:rFonts w:hint="eastAsia" w:asciiTheme="minorEastAsia" w:hAnsiTheme="minorEastAsia" w:eastAsiaTheme="minorEastAsia" w:cstheme="minorEastAsia"/>
                <w:sz w:val="21"/>
                <w:szCs w:val="21"/>
              </w:rPr>
              <w:t>分）</w:t>
            </w:r>
          </w:p>
        </w:tc>
        <w:tc>
          <w:tcPr>
            <w:tcW w:w="8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投入项目技术力量</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20</w:t>
            </w:r>
          </w:p>
        </w:tc>
        <w:tc>
          <w:tcPr>
            <w:tcW w:w="54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根据供应商为本项目投入人员资源配置情况打分：</w:t>
            </w:r>
          </w:p>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1、所配备人员具备同类运维项目实施经验的得3分（提供相关证明材料复印件加盖公章装订在投标文件中）。</w:t>
            </w:r>
          </w:p>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2、承诺人员在项目实施期间不兼任与本项目无关的其他工作的要求的得3分。</w:t>
            </w:r>
          </w:p>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3、运维人员具备相关系统的服务能力，具有专业职业技术证书（OCP、OCM、中间件</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云平台</w:t>
            </w:r>
            <w:r>
              <w:rPr>
                <w:rFonts w:hint="eastAsia" w:asciiTheme="minorEastAsia" w:hAnsiTheme="minorEastAsia" w:eastAsiaTheme="minorEastAsia" w:cstheme="minorEastAsia"/>
                <w:sz w:val="21"/>
                <w:szCs w:val="21"/>
                <w:lang w:val="en-US" w:eastAsia="zh-CN"/>
              </w:rPr>
              <w:t>等</w:t>
            </w:r>
            <w:r>
              <w:rPr>
                <w:rFonts w:hint="eastAsia" w:asciiTheme="minorEastAsia" w:hAnsiTheme="minorEastAsia" w:eastAsiaTheme="minorEastAsia" w:cstheme="minorEastAsia"/>
                <w:sz w:val="21"/>
                <w:szCs w:val="21"/>
              </w:rPr>
              <w:t>认证证书，提供证书复印件加盖公章装订在投标文件中）每具备一种得1分，最多得3分。</w:t>
            </w:r>
          </w:p>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4、供应商能提供完善的7*24的故障处理或热线服务方案的得</w:t>
            </w:r>
            <w:r>
              <w:rPr>
                <w:rFonts w:hint="eastAsia" w:asciiTheme="minorEastAsia" w:hAnsiTheme="minorEastAsia" w:eastAsiaTheme="minorEastAsia" w:cstheme="minorEastAsia"/>
                <w:sz w:val="21"/>
                <w:szCs w:val="21"/>
                <w:lang w:val="en-US" w:eastAsia="zh-CN"/>
              </w:rPr>
              <w:t>4</w:t>
            </w:r>
            <w:r>
              <w:rPr>
                <w:rFonts w:hint="eastAsia" w:asciiTheme="minorEastAsia" w:hAnsiTheme="minorEastAsia" w:eastAsiaTheme="minorEastAsia" w:cstheme="minorEastAsia"/>
                <w:sz w:val="21"/>
                <w:szCs w:val="21"/>
              </w:rPr>
              <w:t>分。</w:t>
            </w:r>
          </w:p>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5、承诺专职服务人员为用户提供服务进行故障处理、问题解答或进行技术指导的，得</w:t>
            </w:r>
            <w:r>
              <w:rPr>
                <w:rFonts w:hint="eastAsia" w:asciiTheme="minorEastAsia" w:hAnsiTheme="minorEastAsia" w:eastAsiaTheme="minorEastAsia" w:cstheme="minorEastAsia"/>
                <w:sz w:val="21"/>
                <w:szCs w:val="21"/>
                <w:lang w:val="en-US" w:eastAsia="zh-CN"/>
              </w:rPr>
              <w:t>4</w:t>
            </w:r>
            <w:r>
              <w:rPr>
                <w:rFonts w:hint="eastAsia" w:asciiTheme="minorEastAsia" w:hAnsiTheme="minorEastAsia" w:eastAsiaTheme="minorEastAsia" w:cstheme="minorEastAsia"/>
                <w:sz w:val="21"/>
                <w:szCs w:val="21"/>
              </w:rPr>
              <w:t>分。（须同时提供承诺书</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人员名单</w:t>
            </w:r>
            <w:r>
              <w:rPr>
                <w:rFonts w:hint="eastAsia" w:asciiTheme="minorEastAsia" w:hAnsiTheme="minorEastAsia" w:eastAsiaTheme="minorEastAsia" w:cstheme="minorEastAsia"/>
                <w:sz w:val="21"/>
                <w:szCs w:val="21"/>
                <w:lang w:eastAsia="zh-CN"/>
              </w:rPr>
              <w:t>及</w:t>
            </w:r>
            <w:r>
              <w:rPr>
                <w:rFonts w:hint="eastAsia" w:asciiTheme="minorEastAsia" w:hAnsiTheme="minorEastAsia" w:eastAsiaTheme="minorEastAsia" w:cstheme="minorEastAsia"/>
                <w:sz w:val="21"/>
                <w:szCs w:val="21"/>
              </w:rPr>
              <w:t>以上人员的社保缴纳证明加盖公章装订在投标文件中，否则不得分）</w:t>
            </w:r>
          </w:p>
          <w:p>
            <w:pPr>
              <w:pStyle w:val="2"/>
              <w:keepNext w:val="0"/>
              <w:keepLines w:val="0"/>
              <w:pageBreakBefore w:val="0"/>
              <w:kinsoku/>
              <w:wordWrap/>
              <w:overflowPunct/>
              <w:topLinePunct w:val="0"/>
              <w:autoSpaceDE/>
              <w:autoSpaceDN/>
              <w:bidi w:val="0"/>
              <w:adjustRightInd/>
              <w:snapToGrid/>
              <w:spacing w:line="360" w:lineRule="auto"/>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6、承诺在重大节日、特殊时期，成立专门的应急保障团队开展专项应急保障工作的，得</w:t>
            </w:r>
            <w:r>
              <w:rPr>
                <w:rFonts w:hint="eastAsia" w:asciiTheme="minorEastAsia" w:hAnsiTheme="minorEastAsia" w:eastAsiaTheme="minorEastAsia" w:cstheme="minorEastAsia"/>
                <w:sz w:val="21"/>
                <w:szCs w:val="21"/>
                <w:lang w:val="en-US" w:eastAsia="zh-CN"/>
              </w:rPr>
              <w:t>3</w:t>
            </w:r>
            <w:r>
              <w:rPr>
                <w:rFonts w:hint="eastAsia" w:asciiTheme="minorEastAsia" w:hAnsiTheme="minorEastAsia" w:eastAsiaTheme="minorEastAsia" w:cstheme="minorEastAsia"/>
                <w:sz w:val="21"/>
                <w:szCs w:val="21"/>
              </w:rPr>
              <w:t>分。（须同时提供承诺书</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人员名单</w:t>
            </w:r>
            <w:r>
              <w:rPr>
                <w:rFonts w:hint="eastAsia" w:asciiTheme="minorEastAsia" w:hAnsiTheme="minorEastAsia" w:eastAsiaTheme="minorEastAsia" w:cstheme="minorEastAsia"/>
                <w:sz w:val="21"/>
                <w:szCs w:val="21"/>
                <w:lang w:eastAsia="zh-CN"/>
              </w:rPr>
              <w:t>及</w:t>
            </w:r>
            <w:r>
              <w:rPr>
                <w:rFonts w:hint="eastAsia" w:asciiTheme="minorEastAsia" w:hAnsiTheme="minorEastAsia" w:eastAsiaTheme="minorEastAsia" w:cstheme="minorEastAsia"/>
                <w:sz w:val="21"/>
                <w:szCs w:val="21"/>
              </w:rPr>
              <w:t>以上人员的社保缴纳证明加盖公章装订在投标文件中，否则不得分）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36" w:hRule="atLeast"/>
        </w:trPr>
        <w:tc>
          <w:tcPr>
            <w:tcW w:w="696"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1"/>
                <w:szCs w:val="21"/>
              </w:rPr>
            </w:pPr>
          </w:p>
        </w:tc>
        <w:tc>
          <w:tcPr>
            <w:tcW w:w="1083"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1"/>
                <w:szCs w:val="21"/>
              </w:rPr>
            </w:pPr>
          </w:p>
        </w:tc>
        <w:tc>
          <w:tcPr>
            <w:tcW w:w="8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采购需求理解程度</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w:t>
            </w:r>
          </w:p>
        </w:tc>
        <w:tc>
          <w:tcPr>
            <w:tcW w:w="54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供应商对本项目需求理解以及本项目建设难点、要点的理解程度进行打分，内容包括对本项目硬（软）件系统的业务知识和运行掌握情况、各项功能流程、数据来源和口径描述、工作现状、政策理解、法规库知识储备的掌握。以上内容每具备一项且与本项目相关得1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696"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1"/>
                <w:szCs w:val="21"/>
              </w:rPr>
            </w:pPr>
          </w:p>
        </w:tc>
        <w:tc>
          <w:tcPr>
            <w:tcW w:w="1083"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1"/>
                <w:szCs w:val="21"/>
              </w:rPr>
            </w:pPr>
          </w:p>
        </w:tc>
        <w:tc>
          <w:tcPr>
            <w:tcW w:w="8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安全运营服务能力</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9</w:t>
            </w:r>
          </w:p>
        </w:tc>
        <w:tc>
          <w:tcPr>
            <w:tcW w:w="54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供应商安全运营服务能力进行打分。内容包括项目中云数据库、微服务平台、应用系统运维；与项目相关外围系统的接口服务；项目中涉及的数据运维和数据安全保障；日常系统巡检及服务管理；应急响应预案及演练服务；故障处理能力；系统和数据安全；保密运维能力；服务保障体系。以上内容每具备一项且与本项目相关得1分，最多得9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696"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1"/>
                <w:szCs w:val="21"/>
              </w:rPr>
            </w:pPr>
          </w:p>
        </w:tc>
        <w:tc>
          <w:tcPr>
            <w:tcW w:w="1083"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1"/>
                <w:szCs w:val="21"/>
              </w:rPr>
            </w:pPr>
          </w:p>
        </w:tc>
        <w:tc>
          <w:tcPr>
            <w:tcW w:w="8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突发紧急事件处理能力</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w:t>
            </w:r>
          </w:p>
        </w:tc>
        <w:tc>
          <w:tcPr>
            <w:tcW w:w="54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供应商突发紧急事件处理方案进行打分，以网络及电话远程处理为例，依照处理预案、处理时限、处理满意度调查、处理方式、服务回访、出现有效投诉的解决方法。以上内容每具备一项且与本项目相关得1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7" w:hRule="atLeast"/>
        </w:trPr>
        <w:tc>
          <w:tcPr>
            <w:tcW w:w="696"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1"/>
                <w:szCs w:val="21"/>
              </w:rPr>
            </w:pPr>
          </w:p>
        </w:tc>
        <w:tc>
          <w:tcPr>
            <w:tcW w:w="1083"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1"/>
                <w:szCs w:val="21"/>
              </w:rPr>
            </w:pPr>
          </w:p>
        </w:tc>
        <w:tc>
          <w:tcPr>
            <w:tcW w:w="8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履约考核和档案管理</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w:t>
            </w:r>
          </w:p>
        </w:tc>
        <w:tc>
          <w:tcPr>
            <w:tcW w:w="54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根据供应商为本项目提供的证明履约能力、管理措施、产权移交、日常考核、最终交付物等相关档案进行打分，每具备一项以上各项档案的建立、分类，归档、移交等程序且合理的得1分，最多得5分。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88" w:hRule="atLeast"/>
        </w:trPr>
        <w:tc>
          <w:tcPr>
            <w:tcW w:w="696"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1"/>
                <w:szCs w:val="21"/>
              </w:rPr>
            </w:pPr>
          </w:p>
        </w:tc>
        <w:tc>
          <w:tcPr>
            <w:tcW w:w="1083"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1"/>
                <w:szCs w:val="21"/>
              </w:rPr>
            </w:pPr>
          </w:p>
        </w:tc>
        <w:tc>
          <w:tcPr>
            <w:tcW w:w="8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项目质量控制方案</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w:t>
            </w:r>
          </w:p>
        </w:tc>
        <w:tc>
          <w:tcPr>
            <w:tcW w:w="54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供应商为本项目制定的关于现场职守服务、网络及电话远程服务、监控服务、上门服务的质量控制方案，内容包括各项服务的技术服务水平、服务方式、响应时间、解决时限、有效保证运行安全措施。以上内容每具备一项且与本项目相关得1分，最多得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34" w:hRule="atLeast"/>
        </w:trPr>
        <w:tc>
          <w:tcPr>
            <w:tcW w:w="696"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1"/>
                <w:szCs w:val="21"/>
              </w:rPr>
            </w:pPr>
          </w:p>
        </w:tc>
        <w:tc>
          <w:tcPr>
            <w:tcW w:w="1083"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Theme="minorEastAsia" w:hAnsiTheme="minorEastAsia" w:eastAsiaTheme="minorEastAsia" w:cstheme="minorEastAsia"/>
                <w:sz w:val="21"/>
                <w:szCs w:val="21"/>
              </w:rPr>
            </w:pPr>
          </w:p>
        </w:tc>
        <w:tc>
          <w:tcPr>
            <w:tcW w:w="83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技术培训</w:t>
            </w:r>
          </w:p>
        </w:tc>
        <w:tc>
          <w:tcPr>
            <w:tcW w:w="74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w:t>
            </w:r>
          </w:p>
        </w:tc>
        <w:tc>
          <w:tcPr>
            <w:tcW w:w="545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根据供应商提供的培训服务方案进行打分，内容包括培训方案的针对性和时效性，培训师资水平、培训课程设置及培训讲义内容、本地化培训设施。以上内容每具备一项且与本项目相关得1分，最多得4分。</w:t>
            </w:r>
          </w:p>
        </w:tc>
      </w:tr>
    </w:tbl>
    <w:p>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pPr>
        <w:rPr>
          <w:rFonts w:hint="eastAsia" w:ascii="宋体" w:hAnsi="宋体" w:eastAsia="宋体" w:cs="宋体"/>
          <w:color w:val="auto"/>
          <w:highlight w:val="none"/>
        </w:rPr>
      </w:pPr>
      <w:bookmarkStart w:id="136" w:name="_Toc25922_WPSOffice_Level1"/>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
        <w:rPr>
          <w:rFonts w:hint="eastAsia" w:ascii="宋体" w:hAnsi="宋体" w:eastAsia="宋体" w:cs="宋体"/>
          <w:color w:val="auto"/>
          <w:highlight w:val="none"/>
        </w:rPr>
      </w:pPr>
      <w:bookmarkStart w:id="137" w:name="_Toc78902195"/>
      <w:bookmarkStart w:id="138" w:name="_Toc25807"/>
      <w:r>
        <w:rPr>
          <w:rFonts w:hint="eastAsia" w:ascii="宋体" w:hAnsi="宋体" w:eastAsia="宋体" w:cs="宋体"/>
          <w:color w:val="auto"/>
          <w:highlight w:val="none"/>
        </w:rPr>
        <w:t>第五章 政府采购合同条款</w:t>
      </w:r>
      <w:bookmarkEnd w:id="136"/>
      <w:r>
        <w:rPr>
          <w:rFonts w:hint="eastAsia" w:ascii="宋体" w:hAnsi="宋体" w:eastAsia="宋体" w:cs="宋体"/>
          <w:color w:val="auto"/>
          <w:highlight w:val="none"/>
        </w:rPr>
        <w:t>及格式</w:t>
      </w:r>
      <w:bookmarkEnd w:id="137"/>
      <w:bookmarkEnd w:id="138"/>
    </w:p>
    <w:p>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pPr>
        <w:rPr>
          <w:rFonts w:hint="eastAsia"/>
          <w:b/>
          <w:sz w:val="52"/>
        </w:rPr>
      </w:pPr>
    </w:p>
    <w:p>
      <w:pPr>
        <w:rPr>
          <w:rFonts w:hint="eastAsia"/>
          <w:b/>
          <w:sz w:val="52"/>
        </w:rPr>
      </w:pPr>
    </w:p>
    <w:p>
      <w:pPr>
        <w:spacing w:line="600" w:lineRule="auto"/>
        <w:jc w:val="center"/>
        <w:rPr>
          <w:rFonts w:hint="eastAsia"/>
          <w:b/>
          <w:sz w:val="48"/>
        </w:rPr>
      </w:pPr>
      <w:r>
        <w:rPr>
          <w:rFonts w:hint="eastAsia"/>
          <w:b/>
          <w:sz w:val="48"/>
        </w:rPr>
        <w:t>国家税务总局黑龙江省税务局</w:t>
      </w:r>
    </w:p>
    <w:p>
      <w:pPr>
        <w:spacing w:line="600" w:lineRule="auto"/>
        <w:jc w:val="center"/>
        <w:rPr>
          <w:rFonts w:hint="eastAsia"/>
          <w:b/>
          <w:sz w:val="48"/>
        </w:rPr>
      </w:pPr>
      <w:r>
        <w:rPr>
          <w:rFonts w:hint="eastAsia"/>
          <w:b/>
          <w:sz w:val="48"/>
        </w:rPr>
        <w:t>新电子税务局上线部署和差异化分析</w:t>
      </w:r>
    </w:p>
    <w:p>
      <w:pPr>
        <w:spacing w:line="600" w:lineRule="auto"/>
        <w:jc w:val="center"/>
        <w:rPr>
          <w:rFonts w:hint="eastAsia"/>
          <w:b/>
          <w:sz w:val="48"/>
        </w:rPr>
      </w:pPr>
      <w:r>
        <w:rPr>
          <w:rFonts w:hint="eastAsia"/>
          <w:b/>
          <w:sz w:val="48"/>
        </w:rPr>
        <w:t>改造项目政府采购合同</w:t>
      </w:r>
    </w:p>
    <w:p>
      <w:pPr>
        <w:jc w:val="center"/>
        <w:rPr>
          <w:rFonts w:hint="eastAsia"/>
          <w:b/>
          <w:sz w:val="48"/>
        </w:rPr>
      </w:pPr>
    </w:p>
    <w:p>
      <w:pPr>
        <w:jc w:val="center"/>
        <w:rPr>
          <w:rFonts w:hint="eastAsia"/>
          <w:b/>
          <w:sz w:val="48"/>
        </w:rPr>
      </w:pPr>
    </w:p>
    <w:p>
      <w:pPr>
        <w:jc w:val="center"/>
        <w:rPr>
          <w:rFonts w:hint="eastAsia"/>
          <w:b/>
          <w:sz w:val="48"/>
        </w:rPr>
      </w:pPr>
    </w:p>
    <w:p>
      <w:pPr>
        <w:jc w:val="center"/>
        <w:rPr>
          <w:rFonts w:hint="eastAsia"/>
          <w:b/>
          <w:sz w:val="48"/>
        </w:rPr>
      </w:pPr>
    </w:p>
    <w:p>
      <w:pPr>
        <w:jc w:val="center"/>
        <w:rPr>
          <w:b/>
          <w:sz w:val="48"/>
        </w:rPr>
      </w:pPr>
    </w:p>
    <w:p>
      <w:pPr>
        <w:spacing w:line="360" w:lineRule="auto"/>
        <w:ind w:firstLine="1405" w:firstLineChars="500"/>
        <w:rPr>
          <w:rFonts w:hint="eastAsia" w:ascii="宋体" w:hAnsi="宋体"/>
          <w:b/>
          <w:bCs/>
          <w:sz w:val="28"/>
          <w:szCs w:val="28"/>
          <w:u w:val="single"/>
        </w:rPr>
      </w:pPr>
      <w:r>
        <w:rPr>
          <w:rFonts w:hint="eastAsia" w:ascii="宋体" w:hAnsi="宋体"/>
          <w:b/>
          <w:bCs/>
          <w:sz w:val="28"/>
          <w:szCs w:val="28"/>
        </w:rPr>
        <w:t>合同编号：</w:t>
      </w:r>
      <w:r>
        <w:rPr>
          <w:rFonts w:hint="eastAsia" w:ascii="宋体" w:hAnsi="宋体"/>
          <w:b/>
          <w:bCs/>
          <w:sz w:val="28"/>
          <w:szCs w:val="28"/>
          <w:u w:val="single"/>
        </w:rPr>
        <w:t>（招标编号）</w:t>
      </w:r>
    </w:p>
    <w:p>
      <w:pPr>
        <w:spacing w:line="360" w:lineRule="auto"/>
        <w:ind w:firstLine="1405" w:firstLineChars="500"/>
        <w:rPr>
          <w:rFonts w:hint="eastAsia" w:ascii="宋体" w:hAnsi="宋体"/>
          <w:b/>
          <w:bCs/>
          <w:sz w:val="28"/>
          <w:szCs w:val="28"/>
        </w:rPr>
      </w:pPr>
      <w:r>
        <w:rPr>
          <w:rFonts w:hint="eastAsia" w:ascii="宋体" w:hAnsi="宋体"/>
          <w:b/>
          <w:bCs/>
          <w:sz w:val="28"/>
          <w:szCs w:val="28"/>
        </w:rPr>
        <w:t>甲</w:t>
      </w:r>
      <w:r>
        <w:rPr>
          <w:rFonts w:ascii="宋体" w:hAnsi="宋体"/>
          <w:b/>
          <w:bCs/>
          <w:sz w:val="28"/>
          <w:szCs w:val="28"/>
        </w:rPr>
        <w:t xml:space="preserve">    </w:t>
      </w:r>
      <w:r>
        <w:rPr>
          <w:rFonts w:hint="eastAsia" w:ascii="宋体" w:hAnsi="宋体"/>
          <w:b/>
          <w:bCs/>
          <w:sz w:val="28"/>
          <w:szCs w:val="28"/>
        </w:rPr>
        <w:t>方：</w:t>
      </w:r>
      <w:r>
        <w:rPr>
          <w:rFonts w:hint="eastAsia"/>
          <w:b/>
          <w:sz w:val="28"/>
        </w:rPr>
        <w:t>【</w:t>
      </w:r>
      <w:r>
        <w:rPr>
          <w:rFonts w:hint="eastAsia" w:ascii="宋体" w:hAnsi="宋体"/>
          <w:b/>
          <w:bCs/>
          <w:sz w:val="28"/>
          <w:szCs w:val="28"/>
        </w:rPr>
        <w:t>国家税务总局黑龙江省税务局</w:t>
      </w:r>
      <w:r>
        <w:rPr>
          <w:rFonts w:hint="eastAsia"/>
          <w:b/>
          <w:sz w:val="28"/>
        </w:rPr>
        <w:t>】</w:t>
      </w:r>
      <w:r>
        <w:rPr>
          <w:rFonts w:hint="eastAsia" w:ascii="宋体" w:hAnsi="宋体"/>
          <w:b/>
          <w:bCs/>
          <w:sz w:val="28"/>
          <w:szCs w:val="28"/>
        </w:rPr>
        <w:t xml:space="preserve">                        </w:t>
      </w:r>
    </w:p>
    <w:p>
      <w:pPr>
        <w:spacing w:line="360" w:lineRule="auto"/>
        <w:ind w:firstLine="1405" w:firstLineChars="500"/>
        <w:rPr>
          <w:rFonts w:hint="eastAsia"/>
          <w:b/>
          <w:sz w:val="28"/>
        </w:rPr>
      </w:pPr>
      <w:r>
        <w:rPr>
          <w:rFonts w:hint="eastAsia" w:ascii="宋体" w:hAnsi="宋体"/>
          <w:b/>
          <w:bCs/>
          <w:sz w:val="28"/>
          <w:szCs w:val="28"/>
        </w:rPr>
        <w:t>乙</w:t>
      </w:r>
      <w:r>
        <w:rPr>
          <w:rFonts w:ascii="宋体" w:hAnsi="宋体"/>
          <w:b/>
          <w:bCs/>
          <w:sz w:val="28"/>
          <w:szCs w:val="28"/>
        </w:rPr>
        <w:t xml:space="preserve">    </w:t>
      </w:r>
      <w:r>
        <w:rPr>
          <w:rFonts w:hint="eastAsia" w:ascii="宋体" w:hAnsi="宋体"/>
          <w:b/>
          <w:bCs/>
          <w:sz w:val="28"/>
          <w:szCs w:val="28"/>
        </w:rPr>
        <w:t>方：</w:t>
      </w:r>
      <w:r>
        <w:rPr>
          <w:rFonts w:hint="eastAsia"/>
          <w:b/>
          <w:sz w:val="28"/>
        </w:rPr>
        <w:t>【                    】</w:t>
      </w:r>
    </w:p>
    <w:p>
      <w:pPr>
        <w:spacing w:line="360" w:lineRule="auto"/>
        <w:ind w:firstLine="1405" w:firstLineChars="500"/>
        <w:rPr>
          <w:rFonts w:hint="eastAsia" w:ascii="宋体" w:hAnsi="宋体"/>
          <w:b/>
          <w:bCs/>
          <w:sz w:val="28"/>
          <w:szCs w:val="28"/>
        </w:rPr>
      </w:pPr>
      <w:r>
        <w:rPr>
          <w:rFonts w:hint="eastAsia" w:ascii="宋体" w:hAnsi="宋体"/>
          <w:b/>
          <w:bCs/>
          <w:sz w:val="28"/>
          <w:szCs w:val="28"/>
        </w:rPr>
        <w:t>签订日期：20  年   月   日</w:t>
      </w:r>
    </w:p>
    <w:p>
      <w:pPr>
        <w:rPr>
          <w:rFonts w:hint="eastAsia" w:ascii="宋体" w:hAnsi="宋体"/>
          <w:sz w:val="24"/>
        </w:rPr>
      </w:pPr>
      <w:r>
        <w:rPr>
          <w:rFonts w:hint="eastAsia" w:ascii="宋体" w:hAnsi="宋体"/>
          <w:sz w:val="24"/>
        </w:rPr>
        <w:br w:type="page"/>
      </w:r>
    </w:p>
    <w:p>
      <w:pPr>
        <w:rPr>
          <w:rFonts w:ascii="宋体" w:hAnsi="宋体"/>
          <w:i/>
          <w:sz w:val="24"/>
        </w:rPr>
      </w:pPr>
      <w:r>
        <w:rPr>
          <w:rFonts w:hint="eastAsia" w:ascii="宋体" w:hAnsi="宋体"/>
          <w:sz w:val="24"/>
        </w:rPr>
        <w:t>甲方：【国家税务总局黑龙江省税务局】</w:t>
      </w:r>
    </w:p>
    <w:p>
      <w:pPr>
        <w:rPr>
          <w:rFonts w:ascii="宋体" w:hAnsi="宋体"/>
          <w:sz w:val="24"/>
        </w:rPr>
      </w:pPr>
    </w:p>
    <w:p>
      <w:pPr>
        <w:rPr>
          <w:rFonts w:ascii="宋体" w:hAnsi="宋体"/>
          <w:sz w:val="24"/>
        </w:rPr>
      </w:pPr>
      <w:r>
        <w:rPr>
          <w:rFonts w:hint="eastAsia" w:ascii="宋体" w:hAnsi="宋体"/>
          <w:sz w:val="24"/>
        </w:rPr>
        <w:t>乙方：【                】</w:t>
      </w:r>
    </w:p>
    <w:p>
      <w:pPr>
        <w:rPr>
          <w:rFonts w:ascii="宋体" w:hAnsi="宋体"/>
          <w:sz w:val="24"/>
        </w:rPr>
      </w:pPr>
    </w:p>
    <w:p>
      <w:pPr>
        <w:spacing w:line="432" w:lineRule="auto"/>
        <w:ind w:firstLine="480" w:firstLineChars="200"/>
        <w:rPr>
          <w:rFonts w:ascii="宋体" w:hAnsi="宋体"/>
          <w:sz w:val="24"/>
        </w:rPr>
      </w:pPr>
      <w:r>
        <w:rPr>
          <w:rFonts w:hint="eastAsia" w:ascii="宋体" w:hAnsi="宋体"/>
          <w:sz w:val="24"/>
        </w:rPr>
        <w:t>国家税务总局黑龙江省税务局组织的</w:t>
      </w:r>
      <w:r>
        <w:rPr>
          <w:rFonts w:ascii="宋体" w:hAnsi="宋体"/>
          <w:sz w:val="24"/>
        </w:rPr>
        <w:t>(</w:t>
      </w:r>
      <w:r>
        <w:rPr>
          <w:rFonts w:hint="eastAsia" w:ascii="宋体" w:hAnsi="宋体"/>
          <w:sz w:val="24"/>
          <w:u w:val="single"/>
        </w:rPr>
        <w:t>国家税务总局黑龙江省税务局新电子税务局上线部署和差异化</w:t>
      </w:r>
      <w:r>
        <w:rPr>
          <w:rFonts w:hint="eastAsia" w:ascii="宋体" w:hAnsi="宋体"/>
          <w:sz w:val="24"/>
          <w:u w:val="single"/>
          <w:lang w:eastAsia="zh-CN"/>
        </w:rPr>
        <w:t>分析</w:t>
      </w:r>
      <w:r>
        <w:rPr>
          <w:rFonts w:hint="eastAsia" w:ascii="宋体" w:hAnsi="宋体"/>
          <w:sz w:val="24"/>
          <w:u w:val="single"/>
        </w:rPr>
        <w:t>改造项目</w:t>
      </w:r>
      <w:r>
        <w:rPr>
          <w:rFonts w:ascii="宋体" w:hAnsi="宋体"/>
          <w:sz w:val="24"/>
        </w:rPr>
        <w:t>)</w:t>
      </w:r>
      <w:r>
        <w:rPr>
          <w:rFonts w:hint="eastAsia" w:ascii="宋体" w:hAnsi="宋体"/>
          <w:sz w:val="24"/>
        </w:rPr>
        <w:t>（招标编号：</w:t>
      </w:r>
      <w:r>
        <w:rPr>
          <w:rFonts w:ascii="宋体" w:hAnsi="宋体"/>
          <w:sz w:val="24"/>
        </w:rPr>
        <w:t xml:space="preserve">        </w:t>
      </w:r>
      <w:r>
        <w:rPr>
          <w:rFonts w:hint="eastAsia" w:ascii="宋体" w:hAnsi="宋体"/>
          <w:sz w:val="24"/>
        </w:rPr>
        <w:t>）</w:t>
      </w:r>
      <w:r>
        <w:rPr>
          <w:rFonts w:ascii="宋体" w:hAnsi="宋体"/>
          <w:sz w:val="24"/>
        </w:rPr>
        <w:t xml:space="preserve"> </w:t>
      </w:r>
      <w:r>
        <w:rPr>
          <w:rFonts w:hint="eastAsia" w:ascii="宋体" w:hAnsi="宋体"/>
          <w:sz w:val="24"/>
        </w:rPr>
        <w:t>经黑龙江省招标公司国内公开招标，(</w:t>
      </w:r>
      <w:r>
        <w:rPr>
          <w:rFonts w:hint="eastAsia" w:ascii="宋体" w:hAnsi="宋体"/>
          <w:sz w:val="24"/>
          <w:u w:val="single"/>
        </w:rPr>
        <w:t>*乙方名称</w:t>
      </w:r>
      <w:r>
        <w:rPr>
          <w:rFonts w:hint="eastAsia" w:ascii="宋体" w:hAnsi="宋体"/>
          <w:sz w:val="24"/>
        </w:rPr>
        <w:t>)为中标单位。根据《中华人民共和国政府采购法》、《中华人民共和国民法典》等法律、法规规定，按照招投标文件规定条款和中标供应商承诺，经平等自愿协商达成一致，甲乙双方签订本合同。</w:t>
      </w:r>
    </w:p>
    <w:p>
      <w:pPr>
        <w:ind w:firstLine="420"/>
        <w:rPr>
          <w:rFonts w:hint="eastAsia" w:ascii="宋体" w:hAnsi="宋体"/>
          <w:sz w:val="24"/>
        </w:rPr>
      </w:pPr>
      <w:r>
        <w:rPr>
          <w:rFonts w:hint="eastAsia" w:ascii="宋体" w:hAnsi="宋体"/>
          <w:sz w:val="24"/>
        </w:rPr>
        <w:t>甲乙双方本着相互信任、真诚合作、共同发展的原则，在友好协商的基础上共同制定如下合同内容。</w:t>
      </w:r>
    </w:p>
    <w:p>
      <w:pPr>
        <w:pStyle w:val="2"/>
        <w:rPr>
          <w:rFonts w:hint="eastAsia" w:ascii="宋体" w:hAnsi="宋体"/>
          <w:sz w:val="24"/>
        </w:rPr>
      </w:pPr>
    </w:p>
    <w:p>
      <w:pPr>
        <w:pStyle w:val="4"/>
        <w:rPr>
          <w:rFonts w:hint="eastAsia" w:ascii="宋体" w:hAnsi="宋体"/>
          <w:sz w:val="24"/>
          <w:szCs w:val="24"/>
        </w:rPr>
      </w:pPr>
      <w:r>
        <w:rPr>
          <w:rFonts w:hint="eastAsia" w:ascii="宋体" w:hAnsi="宋体"/>
          <w:sz w:val="24"/>
          <w:szCs w:val="24"/>
        </w:rPr>
        <w:t>第一条  总则</w:t>
      </w:r>
    </w:p>
    <w:p>
      <w:pPr>
        <w:rPr>
          <w:rFonts w:hint="eastAsia" w:ascii="宋体" w:hAnsi="宋体"/>
          <w:sz w:val="24"/>
        </w:rPr>
      </w:pPr>
      <w:r>
        <w:rPr>
          <w:rFonts w:hint="eastAsia" w:ascii="宋体" w:hAnsi="宋体"/>
          <w:sz w:val="24"/>
        </w:rPr>
        <w:t>1．定义</w:t>
      </w:r>
    </w:p>
    <w:p>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合同：除非特别说明，“合同”一词均指本合同。</w:t>
      </w:r>
    </w:p>
    <w:p>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项目：本合同是乙方对甲方信息系统技术服务的维护，对系统运行中发生的故障进行软件升级、系统巡检等服务。</w:t>
      </w:r>
    </w:p>
    <w:p>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不可抗力：是指不能预见、不能避免并不能克服的客观情况。不可抗力不包括由于一方的疏忽或故意不遵守良好的项目惯例所发生的事故。</w:t>
      </w:r>
    </w:p>
    <w:p>
      <w:pPr>
        <w:rPr>
          <w:rFonts w:hint="eastAsia" w:ascii="宋体" w:hAnsi="宋体"/>
          <w:sz w:val="24"/>
        </w:rPr>
      </w:pPr>
      <w:r>
        <w:rPr>
          <w:rFonts w:hint="eastAsia" w:ascii="宋体" w:hAnsi="宋体"/>
          <w:sz w:val="24"/>
        </w:rPr>
        <w:t>2．合同生效</w:t>
      </w:r>
    </w:p>
    <w:p>
      <w:pPr>
        <w:rPr>
          <w:rFonts w:hint="eastAsia" w:ascii="宋体" w:hAnsi="宋体"/>
          <w:sz w:val="24"/>
        </w:rPr>
      </w:pPr>
      <w:r>
        <w:rPr>
          <w:rFonts w:hint="eastAsia" w:ascii="宋体" w:hAnsi="宋体"/>
          <w:sz w:val="24"/>
        </w:rPr>
        <w:t>本合同经甲、乙双方签字盖章后生效。本合同壹式肆份，甲、乙双方各持贰份，具有同等法律效力。</w:t>
      </w:r>
    </w:p>
    <w:p>
      <w:pPr>
        <w:rPr>
          <w:rFonts w:hint="eastAsia" w:ascii="宋体" w:hAnsi="宋体"/>
          <w:sz w:val="24"/>
        </w:rPr>
      </w:pPr>
      <w:r>
        <w:rPr>
          <w:rFonts w:hint="eastAsia" w:ascii="宋体" w:hAnsi="宋体"/>
          <w:sz w:val="24"/>
        </w:rPr>
        <w:t>3．合同修改</w:t>
      </w:r>
    </w:p>
    <w:p>
      <w:pPr>
        <w:rPr>
          <w:rFonts w:hint="eastAsia" w:ascii="宋体" w:hAnsi="宋体"/>
          <w:sz w:val="24"/>
        </w:rPr>
      </w:pPr>
      <w:r>
        <w:rPr>
          <w:rFonts w:hint="eastAsia" w:ascii="宋体" w:hAnsi="宋体"/>
          <w:sz w:val="24"/>
        </w:rPr>
        <w:t>除非由双方签订书面修改文件，否则合同不得修改。符合这一程序的修改将构成合同的一部分，并将与合同具有同等的法律效力。</w:t>
      </w:r>
    </w:p>
    <w:p>
      <w:pPr>
        <w:rPr>
          <w:rFonts w:hint="eastAsia" w:ascii="宋体" w:hAnsi="宋体"/>
          <w:sz w:val="24"/>
        </w:rPr>
      </w:pPr>
      <w:r>
        <w:rPr>
          <w:rFonts w:hint="eastAsia" w:ascii="宋体" w:hAnsi="宋体"/>
          <w:sz w:val="24"/>
        </w:rPr>
        <w:t>4．补充条款</w:t>
      </w:r>
    </w:p>
    <w:p>
      <w:pPr>
        <w:rPr>
          <w:rFonts w:hint="eastAsia" w:ascii="宋体" w:hAnsi="宋体"/>
          <w:sz w:val="24"/>
        </w:rPr>
      </w:pPr>
      <w:r>
        <w:rPr>
          <w:rFonts w:hint="eastAsia" w:ascii="宋体" w:hAnsi="宋体"/>
          <w:sz w:val="24"/>
        </w:rPr>
        <w:t>本合同生效后，经双方共同协商，可以达成书面补充协议，补充协议与本合同具有同等效力。</w:t>
      </w:r>
    </w:p>
    <w:p>
      <w:pPr>
        <w:rPr>
          <w:rFonts w:hint="eastAsia" w:ascii="宋体" w:hAnsi="宋体"/>
          <w:sz w:val="24"/>
        </w:rPr>
      </w:pPr>
      <w:r>
        <w:rPr>
          <w:rFonts w:hint="eastAsia" w:ascii="宋体" w:hAnsi="宋体"/>
          <w:sz w:val="24"/>
        </w:rPr>
        <w:t>5．告知</w:t>
      </w:r>
    </w:p>
    <w:p>
      <w:pPr>
        <w:rPr>
          <w:rFonts w:hint="eastAsia" w:ascii="宋体" w:hAnsi="宋体"/>
          <w:sz w:val="24"/>
        </w:rPr>
      </w:pPr>
      <w:r>
        <w:rPr>
          <w:rFonts w:hint="eastAsia" w:ascii="宋体" w:hAnsi="宋体"/>
          <w:sz w:val="24"/>
        </w:rPr>
        <w:t xml:space="preserve">涉及本合同的一切事宜均以书面形式提交，对方应及时响应。 </w:t>
      </w:r>
    </w:p>
    <w:p>
      <w:pPr>
        <w:rPr>
          <w:rFonts w:hint="eastAsia" w:ascii="宋体" w:hAnsi="宋体"/>
          <w:sz w:val="24"/>
        </w:rPr>
      </w:pPr>
      <w:r>
        <w:rPr>
          <w:rFonts w:hint="eastAsia" w:ascii="宋体" w:hAnsi="宋体"/>
          <w:sz w:val="24"/>
        </w:rPr>
        <w:t>6．保密责任</w:t>
      </w:r>
    </w:p>
    <w:p>
      <w:pPr>
        <w:rPr>
          <w:rFonts w:hint="eastAsia" w:ascii="宋体" w:hAnsi="宋体"/>
          <w:sz w:val="24"/>
        </w:rPr>
      </w:pPr>
      <w:r>
        <w:rPr>
          <w:rFonts w:hint="eastAsia" w:ascii="宋体" w:hAnsi="宋体"/>
          <w:sz w:val="24"/>
        </w:rPr>
        <w:t>双方共同恪守对技术及对项目的保密责任。</w:t>
      </w:r>
    </w:p>
    <w:p>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所有项目相关人员不得以任何形式向第三方泄露项目合作计划和内容。</w:t>
      </w:r>
    </w:p>
    <w:p>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所有项目相关人员，不得以任何方式向第三方泄露有关项目的技术资料。</w:t>
      </w:r>
    </w:p>
    <w:p>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乙方对甲方提供给乙方的注明保密的信息系统数据、信息系统实务及相关信息，不得外泄。</w:t>
      </w:r>
    </w:p>
    <w:p>
      <w:pPr>
        <w:rPr>
          <w:rFonts w:hint="eastAsia" w:ascii="宋体" w:hAnsi="宋体"/>
          <w:sz w:val="24"/>
        </w:rPr>
      </w:pPr>
    </w:p>
    <w:p>
      <w:pPr>
        <w:pStyle w:val="4"/>
        <w:rPr>
          <w:rFonts w:hint="eastAsia" w:ascii="宋体" w:hAnsi="宋体"/>
          <w:sz w:val="24"/>
          <w:szCs w:val="24"/>
        </w:rPr>
      </w:pPr>
      <w:r>
        <w:rPr>
          <w:rFonts w:hint="eastAsia" w:ascii="宋体" w:hAnsi="宋体"/>
          <w:sz w:val="24"/>
          <w:szCs w:val="24"/>
        </w:rPr>
        <w:t>第二条服务内容及相关事项</w:t>
      </w:r>
    </w:p>
    <w:tbl>
      <w:tblPr>
        <w:tblStyle w:val="27"/>
        <w:tblW w:w="849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9" w:type="dxa"/>
            <w:noWrap w:val="0"/>
            <w:vAlign w:val="center"/>
          </w:tcPr>
          <w:p>
            <w:pPr>
              <w:jc w:val="center"/>
              <w:rPr>
                <w:rFonts w:ascii="宋体" w:hAnsi="宋体"/>
                <w:b/>
                <w:sz w:val="24"/>
              </w:rPr>
            </w:pPr>
            <w:r>
              <w:rPr>
                <w:rFonts w:ascii="宋体" w:hAnsi="宋体"/>
                <w:b/>
                <w:sz w:val="24"/>
              </w:rPr>
              <w:t>项目</w:t>
            </w:r>
            <w:r>
              <w:rPr>
                <w:rFonts w:hint="eastAsia" w:ascii="宋体" w:hAnsi="宋体"/>
                <w:b/>
                <w:sz w:val="24"/>
              </w:rPr>
              <w:t>名称</w:t>
            </w:r>
          </w:p>
        </w:tc>
        <w:tc>
          <w:tcPr>
            <w:tcW w:w="2131" w:type="dxa"/>
            <w:noWrap w:val="0"/>
            <w:vAlign w:val="center"/>
          </w:tcPr>
          <w:p>
            <w:pPr>
              <w:jc w:val="center"/>
              <w:rPr>
                <w:rFonts w:ascii="宋体" w:hAnsi="宋体"/>
                <w:b/>
                <w:sz w:val="24"/>
              </w:rPr>
            </w:pPr>
            <w:r>
              <w:rPr>
                <w:rFonts w:hint="eastAsia" w:ascii="宋体" w:hAnsi="宋体"/>
                <w:b/>
                <w:sz w:val="24"/>
              </w:rPr>
              <w:t>服务</w:t>
            </w:r>
            <w:r>
              <w:rPr>
                <w:rFonts w:ascii="宋体" w:hAnsi="宋体"/>
                <w:b/>
                <w:sz w:val="24"/>
              </w:rPr>
              <w:t>内容</w:t>
            </w:r>
          </w:p>
        </w:tc>
        <w:tc>
          <w:tcPr>
            <w:tcW w:w="4818" w:type="dxa"/>
            <w:noWrap w:val="0"/>
            <w:vAlign w:val="center"/>
          </w:tcPr>
          <w:p>
            <w:pPr>
              <w:jc w:val="center"/>
              <w:rPr>
                <w:rFonts w:ascii="宋体" w:hAnsi="宋体"/>
                <w:b/>
                <w:sz w:val="24"/>
              </w:rPr>
            </w:pPr>
            <w:r>
              <w:rPr>
                <w:rFonts w:hint="eastAsia" w:ascii="宋体" w:hAnsi="宋体"/>
                <w:b/>
                <w:sz w:val="24"/>
              </w:rPr>
              <w:t>服务条款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restart"/>
            <w:noWrap w:val="0"/>
            <w:vAlign w:val="center"/>
          </w:tcPr>
          <w:p>
            <w:pPr>
              <w:rPr>
                <w:rFonts w:ascii="宋体" w:hAnsi="宋体"/>
                <w:sz w:val="24"/>
              </w:rPr>
            </w:pPr>
            <w:r>
              <w:rPr>
                <w:rFonts w:hint="eastAsia" w:ascii="宋体" w:hAnsi="宋体"/>
                <w:sz w:val="24"/>
              </w:rPr>
              <w:t>国家税务总局黑龙江省税务局新电子税务局上线部署和差异化</w:t>
            </w:r>
            <w:r>
              <w:rPr>
                <w:rFonts w:hint="eastAsia" w:ascii="宋体" w:hAnsi="宋体"/>
                <w:sz w:val="24"/>
                <w:lang w:eastAsia="zh-CN"/>
              </w:rPr>
              <w:t>分析</w:t>
            </w:r>
            <w:r>
              <w:rPr>
                <w:rFonts w:hint="eastAsia" w:ascii="宋体" w:hAnsi="宋体"/>
                <w:sz w:val="24"/>
              </w:rPr>
              <w:t>改造项目</w:t>
            </w: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left"/>
              <w:rPr>
                <w:rFonts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center"/>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sz w:val="24"/>
              </w:rPr>
            </w:pPr>
          </w:p>
        </w:tc>
        <w:tc>
          <w:tcPr>
            <w:tcW w:w="2131" w:type="dxa"/>
            <w:tcBorders>
              <w:top w:val="single" w:color="auto" w:sz="4" w:space="0"/>
              <w:left w:val="single" w:color="auto" w:sz="4" w:space="0"/>
              <w:right w:val="single" w:color="auto" w:sz="4" w:space="0"/>
            </w:tcBorders>
            <w:noWrap w:val="0"/>
            <w:vAlign w:val="top"/>
          </w:tcPr>
          <w:p>
            <w:pPr>
              <w:ind w:firstLine="482" w:firstLineChars="200"/>
              <w:jc w:val="left"/>
              <w:rPr>
                <w:rFonts w:hint="eastAsia" w:ascii="宋体" w:hAnsi="宋体"/>
                <w:b/>
                <w:sz w:val="24"/>
              </w:rPr>
            </w:pPr>
          </w:p>
        </w:tc>
        <w:tc>
          <w:tcPr>
            <w:tcW w:w="4818" w:type="dxa"/>
            <w:tcBorders>
              <w:top w:val="single" w:color="auto" w:sz="4" w:space="0"/>
              <w:left w:val="single" w:color="auto" w:sz="4" w:space="0"/>
              <w:right w:val="single" w:color="auto" w:sz="4" w:space="0"/>
            </w:tcBorders>
            <w:noWrap w:val="0"/>
            <w:vAlign w:val="center"/>
          </w:tcPr>
          <w:p>
            <w:pPr>
              <w:rPr>
                <w:rFonts w:ascii="宋体" w:hAnsi="宋体"/>
                <w:sz w:val="24"/>
              </w:rPr>
            </w:pPr>
          </w:p>
        </w:tc>
      </w:tr>
    </w:tbl>
    <w:p>
      <w:pPr>
        <w:rPr>
          <w:rFonts w:hint="eastAsia" w:ascii="宋体" w:hAnsi="宋体"/>
          <w:sz w:val="24"/>
        </w:rPr>
      </w:pPr>
    </w:p>
    <w:p>
      <w:pPr>
        <w:pStyle w:val="3"/>
        <w:spacing w:before="200" w:after="200" w:line="240" w:lineRule="auto"/>
        <w:rPr>
          <w:rFonts w:hint="eastAsia" w:ascii="宋体" w:hAnsi="宋体"/>
          <w:kern w:val="2"/>
          <w:sz w:val="24"/>
          <w:szCs w:val="24"/>
        </w:rPr>
      </w:pPr>
      <w:r>
        <w:rPr>
          <w:rFonts w:hint="eastAsia" w:ascii="宋体" w:hAnsi="宋体"/>
          <w:kern w:val="2"/>
          <w:sz w:val="24"/>
          <w:szCs w:val="24"/>
        </w:rPr>
        <w:t xml:space="preserve">第三条  </w:t>
      </w:r>
      <w:r>
        <w:rPr>
          <w:rFonts w:hint="eastAsia" w:ascii="宋体" w:hAnsi="宋体"/>
          <w:kern w:val="2"/>
          <w:sz w:val="24"/>
          <w:szCs w:val="24"/>
          <w:lang w:eastAsia="zh-CN"/>
        </w:rPr>
        <w:t>服务</w:t>
      </w:r>
      <w:r>
        <w:rPr>
          <w:rFonts w:hint="eastAsia" w:ascii="宋体" w:hAnsi="宋体"/>
          <w:kern w:val="2"/>
          <w:sz w:val="24"/>
          <w:szCs w:val="24"/>
        </w:rPr>
        <w:t>内容</w:t>
      </w:r>
    </w:p>
    <w:p>
      <w:pPr>
        <w:numPr>
          <w:ilvl w:val="0"/>
          <w:numId w:val="12"/>
        </w:numPr>
        <w:rPr>
          <w:rFonts w:hint="eastAsia" w:ascii="宋体" w:hAnsi="宋体"/>
          <w:sz w:val="24"/>
        </w:rPr>
      </w:pPr>
      <w:r>
        <w:rPr>
          <w:rFonts w:hint="eastAsia" w:ascii="宋体" w:hAnsi="宋体"/>
          <w:sz w:val="24"/>
        </w:rPr>
        <w:t>在一年服务期内，乙方为完成“</w:t>
      </w:r>
      <w:r>
        <w:rPr>
          <w:rFonts w:hint="eastAsia" w:ascii="宋体" w:hAnsi="宋体"/>
          <w:sz w:val="24"/>
          <w:u w:val="single"/>
        </w:rPr>
        <w:t>国家税务总局黑龙江省税务局新电子税务局上线部署和差异化</w:t>
      </w:r>
      <w:r>
        <w:rPr>
          <w:rFonts w:hint="eastAsia" w:ascii="宋体" w:hAnsi="宋体"/>
          <w:sz w:val="24"/>
          <w:u w:val="single"/>
          <w:lang w:eastAsia="zh-CN"/>
        </w:rPr>
        <w:t>分析</w:t>
      </w:r>
      <w:r>
        <w:rPr>
          <w:rFonts w:hint="eastAsia" w:ascii="宋体" w:hAnsi="宋体"/>
          <w:sz w:val="24"/>
          <w:u w:val="single"/>
        </w:rPr>
        <w:t>改造项目</w:t>
      </w:r>
      <w:r>
        <w:rPr>
          <w:rFonts w:hint="eastAsia" w:ascii="宋体" w:hAnsi="宋体"/>
          <w:sz w:val="24"/>
        </w:rPr>
        <w:t>”招标文件所列全部服务内容,</w:t>
      </w:r>
      <w:r>
        <w:rPr>
          <w:rFonts w:ascii="宋体" w:hAnsi="宋体"/>
          <w:sz w:val="24"/>
        </w:rPr>
        <w:t>范围内的</w:t>
      </w:r>
      <w:r>
        <w:rPr>
          <w:rFonts w:hint="eastAsia" w:ascii="宋体" w:hAnsi="宋体"/>
          <w:sz w:val="24"/>
        </w:rPr>
        <w:t>乙方自行使用的</w:t>
      </w:r>
      <w:r>
        <w:rPr>
          <w:rFonts w:ascii="宋体" w:hAnsi="宋体"/>
          <w:sz w:val="24"/>
        </w:rPr>
        <w:t>所有设备、耗材</w:t>
      </w:r>
      <w:r>
        <w:rPr>
          <w:rFonts w:hint="eastAsia" w:ascii="宋体" w:hAnsi="宋体"/>
          <w:sz w:val="24"/>
        </w:rPr>
        <w:t>等</w:t>
      </w:r>
      <w:r>
        <w:rPr>
          <w:rFonts w:ascii="宋体" w:hAnsi="宋体"/>
          <w:sz w:val="24"/>
        </w:rPr>
        <w:t>由乙方</w:t>
      </w:r>
      <w:r>
        <w:rPr>
          <w:rFonts w:hint="eastAsia" w:ascii="宋体" w:hAnsi="宋体"/>
          <w:sz w:val="24"/>
        </w:rPr>
        <w:t>自行</w:t>
      </w:r>
      <w:r>
        <w:rPr>
          <w:rFonts w:ascii="宋体" w:hAnsi="宋体"/>
          <w:sz w:val="24"/>
        </w:rPr>
        <w:t>承担</w:t>
      </w:r>
      <w:r>
        <w:rPr>
          <w:rFonts w:hint="eastAsia" w:ascii="宋体" w:hAnsi="宋体"/>
          <w:sz w:val="24"/>
        </w:rPr>
        <w:t>。</w:t>
      </w:r>
    </w:p>
    <w:p>
      <w:pPr>
        <w:numPr>
          <w:ilvl w:val="0"/>
          <w:numId w:val="12"/>
        </w:numPr>
        <w:rPr>
          <w:rFonts w:hint="eastAsia" w:ascii="宋体" w:hAnsi="宋体"/>
          <w:sz w:val="24"/>
        </w:rPr>
      </w:pPr>
      <w:r>
        <w:rPr>
          <w:rFonts w:hint="eastAsia" w:ascii="宋体" w:hAnsi="宋体"/>
          <w:sz w:val="24"/>
        </w:rPr>
        <w:t>乙方委派。</w:t>
      </w:r>
    </w:p>
    <w:p>
      <w:pPr>
        <w:pStyle w:val="2"/>
        <w:ind w:firstLine="420"/>
        <w:rPr>
          <w:rFonts w:hint="eastAsia"/>
        </w:rPr>
      </w:pPr>
      <w:r>
        <w:rPr>
          <w:rFonts w:hint="eastAsia"/>
        </w:rPr>
        <w:t>（同“附件2”人员）</w:t>
      </w:r>
    </w:p>
    <w:p>
      <w:pPr>
        <w:numPr>
          <w:ilvl w:val="0"/>
          <w:numId w:val="12"/>
        </w:numPr>
        <w:rPr>
          <w:rFonts w:hint="eastAsia" w:ascii="宋体" w:hAnsi="宋体"/>
          <w:sz w:val="24"/>
        </w:rPr>
      </w:pPr>
      <w:r>
        <w:rPr>
          <w:rFonts w:hint="eastAsia" w:ascii="宋体" w:hAnsi="宋体"/>
          <w:sz w:val="24"/>
        </w:rPr>
        <w:t>服务电话。</w:t>
      </w:r>
    </w:p>
    <w:p>
      <w:pPr>
        <w:pStyle w:val="2"/>
        <w:rPr>
          <w:rFonts w:hint="eastAsia" w:ascii="宋体" w:hAnsi="宋体"/>
          <w:sz w:val="24"/>
        </w:rPr>
      </w:pPr>
      <w:r>
        <w:rPr>
          <w:rFonts w:hint="eastAsia" w:ascii="宋体" w:hAnsi="宋体"/>
          <w:sz w:val="24"/>
        </w:rPr>
        <w:t>（售后电话，必填项）</w:t>
      </w:r>
    </w:p>
    <w:p>
      <w:pPr>
        <w:pStyle w:val="3"/>
        <w:spacing w:before="200" w:after="200" w:line="240" w:lineRule="auto"/>
        <w:rPr>
          <w:rFonts w:ascii="宋体" w:hAnsi="宋体"/>
          <w:kern w:val="2"/>
          <w:sz w:val="24"/>
          <w:szCs w:val="24"/>
        </w:rPr>
      </w:pPr>
      <w:r>
        <w:rPr>
          <w:rFonts w:hint="eastAsia" w:ascii="宋体" w:hAnsi="宋体"/>
          <w:kern w:val="2"/>
          <w:sz w:val="24"/>
          <w:szCs w:val="24"/>
        </w:rPr>
        <w:t>第四条  服务期限及服务生效时间</w:t>
      </w:r>
    </w:p>
    <w:p>
      <w:pPr>
        <w:ind w:firstLine="240" w:firstLineChars="100"/>
        <w:rPr>
          <w:rFonts w:hint="eastAsia" w:ascii="宋体" w:hAnsi="宋体"/>
          <w:color w:val="000000"/>
          <w:sz w:val="24"/>
        </w:rPr>
      </w:pPr>
      <w:r>
        <w:rPr>
          <w:rFonts w:hint="eastAsia" w:ascii="宋体" w:hAnsi="宋体"/>
          <w:color w:val="000000"/>
          <w:sz w:val="24"/>
        </w:rPr>
        <w:t>本合同有效期一年，自＿年  ＿月＿日起至＿年＿月＿日止。</w:t>
      </w:r>
    </w:p>
    <w:p>
      <w:pPr>
        <w:pStyle w:val="3"/>
        <w:spacing w:before="200" w:after="200" w:line="240" w:lineRule="auto"/>
        <w:rPr>
          <w:rFonts w:hint="eastAsia" w:ascii="宋体" w:hAnsi="宋体"/>
          <w:kern w:val="2"/>
          <w:sz w:val="24"/>
          <w:szCs w:val="24"/>
        </w:rPr>
      </w:pPr>
      <w:r>
        <w:rPr>
          <w:rFonts w:hint="eastAsia" w:ascii="宋体" w:hAnsi="宋体"/>
          <w:kern w:val="2"/>
          <w:sz w:val="24"/>
          <w:szCs w:val="24"/>
        </w:rPr>
        <w:t>第五条 具体服务项目计费标准</w:t>
      </w:r>
    </w:p>
    <w:tbl>
      <w:tblPr>
        <w:tblStyle w:val="27"/>
        <w:tblpPr w:leftFromText="180" w:rightFromText="180" w:vertAnchor="text" w:horzAnchor="page" w:tblpX="1402" w:tblpY="505"/>
        <w:tblOverlap w:val="never"/>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序号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服务名称</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left="250" w:right="71" w:hanging="250" w:hangingChars="101"/>
              <w:jc w:val="center"/>
              <w:rPr>
                <w:rFonts w:ascii="宋体" w:hAnsi="宋体"/>
                <w:spacing w:val="4"/>
                <w:sz w:val="24"/>
              </w:rPr>
            </w:pPr>
            <w:r>
              <w:rPr>
                <w:rFonts w:hint="eastAsia" w:ascii="宋体" w:hAnsi="宋体"/>
                <w:spacing w:val="4"/>
                <w:sz w:val="24"/>
              </w:rPr>
              <w:t>服务主要内容</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服务周期</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单价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r>
              <w:rPr>
                <w:rFonts w:hint="eastAsia" w:ascii="宋体" w:hAnsi="宋体"/>
                <w:spacing w:val="4"/>
                <w:sz w:val="24"/>
              </w:rPr>
              <w:t>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spacing w:val="4"/>
                <w:sz w:val="24"/>
              </w:rPr>
            </w:pPr>
            <w:r>
              <w:rPr>
                <w:rFonts w:hint="eastAsia" w:ascii="宋体" w:hAnsi="宋体"/>
                <w:spacing w:val="4"/>
                <w:sz w:val="24"/>
              </w:rPr>
              <w:t>1</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left"/>
              <w:rPr>
                <w:rFonts w:ascii="宋体" w:hAnsi="宋体"/>
                <w:spacing w:val="4"/>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spacing w:val="4"/>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noWrap w:val="0"/>
            <w:vAlign w:val="top"/>
          </w:tcPr>
          <w:p>
            <w:pPr>
              <w:spacing w:line="440" w:lineRule="exact"/>
              <w:ind w:right="71"/>
              <w:rPr>
                <w:rFonts w:ascii="宋体" w:hAnsi="宋体"/>
                <w:spacing w:val="4"/>
                <w:sz w:val="24"/>
              </w:rPr>
            </w:pPr>
            <w:r>
              <w:rPr>
                <w:rFonts w:hint="eastAsia" w:ascii="宋体" w:hAnsi="宋体"/>
                <w:spacing w:val="4"/>
                <w:sz w:val="24"/>
              </w:rPr>
              <w:t>金额合计：人民币</w:t>
            </w:r>
            <w:r>
              <w:rPr>
                <w:rFonts w:hint="eastAsia" w:ascii="宋体" w:hAnsi="宋体"/>
                <w:spacing w:val="4"/>
                <w:sz w:val="24"/>
                <w:u w:val="single"/>
              </w:rPr>
              <w:t>￥</w:t>
            </w:r>
            <w:r>
              <w:rPr>
                <w:rFonts w:ascii="宋体" w:hAnsi="宋体"/>
                <w:spacing w:val="4"/>
                <w:sz w:val="24"/>
                <w:u w:val="single"/>
              </w:rPr>
              <w:t xml:space="preserve"> </w:t>
            </w:r>
            <w:r>
              <w:rPr>
                <w:rFonts w:hint="eastAsia" w:ascii="宋体" w:hAnsi="宋体"/>
                <w:spacing w:val="4"/>
                <w:sz w:val="24"/>
                <w:u w:val="single"/>
              </w:rPr>
              <w:t xml:space="preserve">           ，（大写） </w:t>
            </w:r>
            <w:r>
              <w:rPr>
                <w:rFonts w:ascii="宋体" w:hAnsi="宋体"/>
                <w:spacing w:val="4"/>
                <w:sz w:val="24"/>
                <w:u w:val="single"/>
              </w:rPr>
              <w:t xml:space="preserve"> </w:t>
            </w:r>
          </w:p>
        </w:tc>
      </w:tr>
    </w:tbl>
    <w:p>
      <w:pPr>
        <w:pStyle w:val="3"/>
        <w:spacing w:before="200" w:after="200" w:line="240" w:lineRule="auto"/>
        <w:rPr>
          <w:rFonts w:hint="eastAsia" w:ascii="宋体" w:hAnsi="宋体"/>
          <w:kern w:val="2"/>
          <w:sz w:val="24"/>
          <w:szCs w:val="24"/>
        </w:rPr>
      </w:pPr>
      <w:r>
        <w:rPr>
          <w:rFonts w:hint="eastAsia" w:ascii="宋体" w:hAnsi="宋体"/>
          <w:kern w:val="2"/>
          <w:sz w:val="24"/>
          <w:szCs w:val="24"/>
        </w:rPr>
        <w:t>第六条 费用支付方式</w:t>
      </w:r>
    </w:p>
    <w:p>
      <w:pPr>
        <w:rPr>
          <w:rFonts w:hint="eastAsia" w:ascii="宋体" w:hAnsi="宋体"/>
          <w:sz w:val="24"/>
        </w:rPr>
      </w:pPr>
      <w:r>
        <w:rPr>
          <w:rFonts w:hint="eastAsia" w:ascii="宋体" w:hAnsi="宋体"/>
          <w:sz w:val="24"/>
        </w:rPr>
        <w:t>合同标的服务费金额为人民币     万元（大写：整）。合同签订后，收到乙方发票后30个工作日内，甲方支付给乙方合同价款的50%，人民币     万元（大写：      元整）；项目中期验收合格后，收到乙方发票后30个工作日内，甲方支付给乙方人民币合同价款的40%，人民币   万元（大写：      元整）；服务期满后，收到乙方发票后30个工作日内，甲方支付合同价款的10%，人民币   万元（大写：      元整）。乙方应在每次付款前向甲方提供等额发票等凭据。</w:t>
      </w:r>
    </w:p>
    <w:p>
      <w:pPr>
        <w:rPr>
          <w:rFonts w:ascii="宋体" w:hAnsi="宋体"/>
          <w:sz w:val="24"/>
        </w:rPr>
      </w:pPr>
      <w:r>
        <w:rPr>
          <w:rFonts w:hint="eastAsia" w:ascii="宋体" w:hAnsi="宋体"/>
          <w:sz w:val="24"/>
        </w:rPr>
        <w:t>乙方指定收款账户如下：</w:t>
      </w:r>
    </w:p>
    <w:p>
      <w:pPr>
        <w:rPr>
          <w:rFonts w:hint="eastAsia" w:ascii="宋体" w:hAnsi="宋体"/>
          <w:sz w:val="24"/>
        </w:rPr>
      </w:pPr>
      <w:r>
        <w:rPr>
          <w:rFonts w:hint="eastAsia" w:ascii="宋体" w:hAnsi="宋体"/>
          <w:sz w:val="24"/>
        </w:rPr>
        <w:t xml:space="preserve">单位全称： </w:t>
      </w:r>
    </w:p>
    <w:p>
      <w:pPr>
        <w:rPr>
          <w:rFonts w:hint="eastAsia" w:ascii="宋体" w:hAnsi="宋体"/>
          <w:sz w:val="24"/>
        </w:rPr>
      </w:pPr>
      <w:r>
        <w:rPr>
          <w:rFonts w:hint="eastAsia" w:ascii="宋体" w:hAnsi="宋体"/>
          <w:sz w:val="24"/>
        </w:rPr>
        <w:t xml:space="preserve">开 户 行： </w:t>
      </w:r>
    </w:p>
    <w:p>
      <w:pPr>
        <w:rPr>
          <w:rFonts w:hint="eastAsia" w:ascii="宋体" w:hAnsi="宋体"/>
          <w:sz w:val="24"/>
        </w:rPr>
      </w:pPr>
      <w:r>
        <w:rPr>
          <w:rFonts w:hint="eastAsia" w:ascii="宋体" w:hAnsi="宋体"/>
          <w:sz w:val="24"/>
        </w:rPr>
        <w:t xml:space="preserve">帐    号： </w:t>
      </w:r>
    </w:p>
    <w:p>
      <w:pPr>
        <w:pStyle w:val="3"/>
        <w:spacing w:before="200" w:after="200" w:line="240" w:lineRule="auto"/>
        <w:rPr>
          <w:rFonts w:ascii="宋体" w:hAnsi="宋体"/>
          <w:kern w:val="2"/>
          <w:sz w:val="24"/>
          <w:szCs w:val="24"/>
        </w:rPr>
      </w:pPr>
      <w:r>
        <w:rPr>
          <w:rFonts w:hint="eastAsia" w:ascii="宋体" w:hAnsi="宋体"/>
          <w:kern w:val="2"/>
          <w:sz w:val="24"/>
          <w:szCs w:val="24"/>
        </w:rPr>
        <w:t>第七条 甲乙双方责任与义务</w:t>
      </w:r>
    </w:p>
    <w:p>
      <w:pPr>
        <w:rPr>
          <w:rFonts w:hint="eastAsia" w:ascii="宋体" w:hAnsi="宋体"/>
          <w:color w:val="000000"/>
          <w:sz w:val="24"/>
        </w:rPr>
      </w:pPr>
      <w:r>
        <w:rPr>
          <w:rFonts w:hint="eastAsia" w:ascii="宋体" w:hAnsi="宋体"/>
          <w:color w:val="000000"/>
          <w:sz w:val="24"/>
        </w:rPr>
        <w:t>甲方责任：</w:t>
      </w:r>
    </w:p>
    <w:p>
      <w:pPr>
        <w:rPr>
          <w:rFonts w:ascii="宋体" w:hAnsi="宋体"/>
          <w:color w:val="000000"/>
          <w:sz w:val="24"/>
        </w:rPr>
      </w:pPr>
      <w:r>
        <w:rPr>
          <w:rFonts w:hint="eastAsia" w:ascii="宋体" w:hAnsi="宋体"/>
          <w:color w:val="000000"/>
          <w:sz w:val="24"/>
        </w:rPr>
        <w:t>1、在乙方进行支持服务时，根据乙方要求，指定配合工作的人员，提供必要的设备。</w:t>
      </w:r>
    </w:p>
    <w:p>
      <w:pPr>
        <w:rPr>
          <w:rFonts w:hint="eastAsia" w:ascii="宋体" w:hAnsi="宋体"/>
          <w:color w:val="000000"/>
          <w:sz w:val="24"/>
        </w:rPr>
      </w:pPr>
      <w:r>
        <w:rPr>
          <w:rFonts w:hint="eastAsia" w:ascii="宋体" w:hAnsi="宋体"/>
          <w:color w:val="000000"/>
          <w:sz w:val="24"/>
        </w:rPr>
        <w:t>2、在乙方服务人员支持服务完成时，配合检查设备、系统运行是否正常。</w:t>
      </w:r>
    </w:p>
    <w:p>
      <w:pPr>
        <w:rPr>
          <w:rFonts w:ascii="宋体" w:hAnsi="宋体"/>
          <w:color w:val="000000"/>
          <w:sz w:val="24"/>
        </w:rPr>
      </w:pPr>
      <w:r>
        <w:rPr>
          <w:rFonts w:hint="eastAsia" w:ascii="宋体" w:hAnsi="宋体"/>
          <w:color w:val="000000"/>
          <w:sz w:val="24"/>
        </w:rPr>
        <w:t>3、甲方如果要求乙方超出本合同及其附件约定的范围提供支持服务，甲方应与乙方另行协商签署相关合同，并向乙方支付相应的服务费用。</w:t>
      </w:r>
    </w:p>
    <w:p>
      <w:pPr>
        <w:rPr>
          <w:rFonts w:hint="eastAsia" w:ascii="宋体" w:hAnsi="宋体"/>
          <w:color w:val="000000"/>
          <w:sz w:val="24"/>
        </w:rPr>
      </w:pPr>
    </w:p>
    <w:p>
      <w:pPr>
        <w:rPr>
          <w:rFonts w:hint="eastAsia" w:ascii="宋体" w:hAnsi="宋体"/>
          <w:color w:val="000000"/>
          <w:sz w:val="24"/>
        </w:rPr>
      </w:pPr>
      <w:r>
        <w:rPr>
          <w:rFonts w:hint="eastAsia" w:ascii="宋体" w:hAnsi="宋体"/>
          <w:color w:val="000000"/>
          <w:sz w:val="24"/>
        </w:rPr>
        <w:t>乙方责任：</w:t>
      </w:r>
    </w:p>
    <w:p>
      <w:pPr>
        <w:rPr>
          <w:rFonts w:hint="eastAsia" w:ascii="宋体" w:hAnsi="宋体"/>
          <w:color w:val="000000"/>
          <w:sz w:val="24"/>
        </w:rPr>
      </w:pPr>
      <w:r>
        <w:rPr>
          <w:rFonts w:hint="eastAsia" w:ascii="宋体" w:hAnsi="宋体"/>
          <w:color w:val="000000"/>
          <w:sz w:val="24"/>
        </w:rPr>
        <w:t>1. 严格执行作息制度，按规定时间上下班并根据工作需要按甲方要求进行加班。当产生加班时由甲方为加班人员开具加班证明，乙方必须按照有关规定给予加班人员加班补助。</w:t>
      </w:r>
    </w:p>
    <w:p>
      <w:pPr>
        <w:rPr>
          <w:rFonts w:hint="eastAsia" w:ascii="宋体" w:hAnsi="宋体"/>
          <w:color w:val="000000"/>
          <w:sz w:val="24"/>
        </w:rPr>
      </w:pPr>
      <w:r>
        <w:rPr>
          <w:rFonts w:hint="eastAsia" w:ascii="宋体" w:hAnsi="宋体"/>
          <w:color w:val="000000"/>
          <w:sz w:val="24"/>
        </w:rPr>
        <w:t>2. 严格遵守甲方安全保密制度和规定，签署保密协议。</w:t>
      </w:r>
    </w:p>
    <w:p>
      <w:pPr>
        <w:rPr>
          <w:rFonts w:hint="eastAsia" w:ascii="宋体" w:hAnsi="宋体"/>
          <w:color w:val="000000"/>
          <w:sz w:val="24"/>
        </w:rPr>
      </w:pPr>
      <w:r>
        <w:rPr>
          <w:rFonts w:hint="eastAsia" w:ascii="宋体" w:hAnsi="宋体"/>
          <w:color w:val="000000"/>
          <w:sz w:val="24"/>
        </w:rPr>
        <w:t>3. 严格按照甲方的管理维护制度要求进行相关工作。</w:t>
      </w:r>
    </w:p>
    <w:p>
      <w:pPr>
        <w:rPr>
          <w:rFonts w:hint="eastAsia" w:ascii="宋体" w:hAnsi="宋体"/>
          <w:color w:val="000000"/>
          <w:sz w:val="24"/>
        </w:rPr>
      </w:pPr>
      <w:r>
        <w:rPr>
          <w:rFonts w:hint="eastAsia" w:ascii="宋体" w:hAnsi="宋体"/>
          <w:color w:val="000000"/>
          <w:sz w:val="24"/>
        </w:rPr>
        <w:t>4.发生重大故障立即报告并进行故障排查，故障解决后立即形成书面材料进行上报，说明故障原因、排查过程 、解决方法及预防故障发生的措施或建议等。</w:t>
      </w:r>
    </w:p>
    <w:p>
      <w:pPr>
        <w:rPr>
          <w:rFonts w:hint="eastAsia" w:ascii="宋体" w:hAnsi="宋体"/>
          <w:color w:val="000000"/>
          <w:sz w:val="24"/>
        </w:rPr>
      </w:pPr>
      <w:r>
        <w:rPr>
          <w:rFonts w:hint="eastAsia" w:ascii="宋体" w:hAnsi="宋体"/>
          <w:color w:val="000000"/>
          <w:sz w:val="24"/>
        </w:rPr>
        <w:t>5. 及时填写各类维护记录，保证每次维护工作可进行有效追踪和核查。</w:t>
      </w:r>
    </w:p>
    <w:p>
      <w:pPr>
        <w:rPr>
          <w:rFonts w:hint="eastAsia" w:ascii="宋体" w:hAnsi="宋体"/>
          <w:color w:val="000000"/>
          <w:sz w:val="24"/>
        </w:rPr>
      </w:pPr>
      <w:r>
        <w:rPr>
          <w:rFonts w:hint="eastAsia" w:ascii="宋体" w:hAnsi="宋体"/>
          <w:color w:val="000000"/>
          <w:sz w:val="24"/>
        </w:rPr>
        <w:t>6. 甲方对聘用人员进行工作考核，对不符合要求的人员随时进行撤换。</w:t>
      </w:r>
    </w:p>
    <w:p>
      <w:pPr>
        <w:rPr>
          <w:rFonts w:hint="eastAsia" w:ascii="宋体" w:hAnsi="宋体"/>
          <w:color w:val="000000"/>
          <w:sz w:val="24"/>
        </w:rPr>
      </w:pPr>
      <w:r>
        <w:rPr>
          <w:rFonts w:hint="eastAsia" w:ascii="宋体" w:hAnsi="宋体"/>
          <w:color w:val="000000"/>
          <w:sz w:val="24"/>
        </w:rPr>
        <w:t>7. 甲方只负责按照合同约定的金额向乙方支付人员聘用费用，维护人员的工资、社会保险及其它待遇或相关费用等均由乙方负责。</w:t>
      </w:r>
    </w:p>
    <w:p>
      <w:pPr>
        <w:rPr>
          <w:rFonts w:hint="eastAsia" w:ascii="宋体" w:hAnsi="宋体"/>
          <w:color w:val="000000"/>
          <w:sz w:val="24"/>
        </w:rPr>
      </w:pPr>
      <w:r>
        <w:rPr>
          <w:rFonts w:hint="eastAsia" w:ascii="宋体" w:hAnsi="宋体"/>
          <w:color w:val="000000"/>
          <w:sz w:val="24"/>
        </w:rPr>
        <w:t>8. 未经甲方批准，获聘单位不准随意更换聘用人员。</w:t>
      </w:r>
    </w:p>
    <w:p>
      <w:pPr>
        <w:rPr>
          <w:rFonts w:hint="eastAsia" w:ascii="宋体" w:hAnsi="宋体"/>
          <w:color w:val="000000"/>
          <w:sz w:val="24"/>
        </w:rPr>
      </w:pPr>
      <w:r>
        <w:rPr>
          <w:rFonts w:hint="eastAsia" w:ascii="宋体" w:hAnsi="宋体"/>
          <w:color w:val="000000"/>
          <w:sz w:val="24"/>
        </w:rPr>
        <w:t>9. 聘用人员在聘用期间必须完全遵守甲方的有关规定和服从管理。</w:t>
      </w:r>
    </w:p>
    <w:p>
      <w:pPr>
        <w:rPr>
          <w:rFonts w:hint="eastAsia" w:ascii="宋体" w:hAnsi="宋体"/>
          <w:color w:val="000000"/>
          <w:sz w:val="24"/>
        </w:rPr>
      </w:pPr>
      <w:r>
        <w:rPr>
          <w:rFonts w:hint="eastAsia" w:ascii="宋体" w:hAnsi="宋体"/>
          <w:color w:val="000000"/>
          <w:sz w:val="24"/>
        </w:rPr>
        <w:t>10. 所有获聘人员均有三个月试用期，期间不满足甲方要求，需无条件更换获聘人员，若整个试用期间一直无法满足甲方的要求，甲方有权解除聘用合同，不承担任何违约责任。</w:t>
      </w:r>
    </w:p>
    <w:p>
      <w:pPr>
        <w:rPr>
          <w:rFonts w:ascii="宋体" w:hAnsi="宋体"/>
          <w:color w:val="000000"/>
          <w:sz w:val="24"/>
        </w:rPr>
      </w:pPr>
    </w:p>
    <w:p>
      <w:pPr>
        <w:pStyle w:val="4"/>
        <w:rPr>
          <w:rFonts w:hint="eastAsia" w:ascii="宋体" w:hAnsi="宋体"/>
          <w:sz w:val="24"/>
          <w:szCs w:val="24"/>
        </w:rPr>
      </w:pPr>
      <w:r>
        <w:rPr>
          <w:rFonts w:hint="eastAsia" w:ascii="宋体" w:hAnsi="宋体"/>
          <w:sz w:val="24"/>
          <w:szCs w:val="24"/>
        </w:rPr>
        <w:t>第八条 违约责任</w:t>
      </w:r>
    </w:p>
    <w:p>
      <w:pPr>
        <w:rPr>
          <w:rFonts w:hint="eastAsia" w:ascii="宋体" w:hAnsi="宋体"/>
          <w:sz w:val="24"/>
        </w:rPr>
      </w:pPr>
      <w:r>
        <w:rPr>
          <w:rFonts w:hint="eastAsia" w:ascii="宋体" w:hAnsi="宋体"/>
          <w:sz w:val="24"/>
        </w:rPr>
        <w:t>1、由于一方违约，造成本合同及其附件不能履行或不能完全履行时，由违约方承担违约责任；如属双方违约，根据实际情况，由双方分别承担各自应负的违约责任。</w:t>
      </w:r>
    </w:p>
    <w:p>
      <w:pPr>
        <w:rPr>
          <w:rFonts w:hint="eastAsia" w:ascii="宋体" w:hAnsi="宋体"/>
          <w:sz w:val="24"/>
        </w:rPr>
      </w:pPr>
      <w:r>
        <w:rPr>
          <w:rFonts w:hint="eastAsia" w:ascii="宋体" w:hAnsi="宋体"/>
          <w:sz w:val="24"/>
        </w:rPr>
        <w:t>2、如甲方未按合同约定的时间和金额向乙方支付应付款项，则自本合同约定的付款之日起，每延迟一天，甲方应向乙方支付本合同应付而未付金额的万分之一的违约金。</w:t>
      </w:r>
    </w:p>
    <w:p>
      <w:pPr>
        <w:rPr>
          <w:rFonts w:hint="eastAsia" w:ascii="宋体" w:hAnsi="宋体"/>
          <w:sz w:val="24"/>
        </w:rPr>
      </w:pPr>
      <w:r>
        <w:rPr>
          <w:rFonts w:hint="eastAsia" w:ascii="宋体" w:hAnsi="宋体"/>
          <w:sz w:val="24"/>
        </w:rPr>
        <w:t>3、如因乙方责任造成项目延期，则自项目应完成之日起，每延迟一天，乙方应向甲方支付未完成部分的合同金额，违约金最高限额为本合同标的总金额的百分之五。</w:t>
      </w:r>
    </w:p>
    <w:p>
      <w:pPr>
        <w:rPr>
          <w:rFonts w:hint="eastAsia" w:ascii="宋体" w:hAnsi="宋体"/>
          <w:sz w:val="24"/>
        </w:rPr>
      </w:pPr>
      <w:r>
        <w:rPr>
          <w:rFonts w:hint="eastAsia" w:ascii="宋体" w:hAnsi="宋体"/>
          <w:sz w:val="24"/>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pPr>
        <w:rPr>
          <w:rFonts w:hint="eastAsia" w:ascii="宋体" w:hAnsi="宋体"/>
          <w:sz w:val="24"/>
        </w:rPr>
      </w:pPr>
      <w:r>
        <w:rPr>
          <w:rFonts w:hint="eastAsia" w:ascii="宋体" w:hAnsi="宋体"/>
          <w:sz w:val="24"/>
        </w:rPr>
        <w:t>5、对本合同项下某一条款的争议，不应影响合同双方对其他条款的履行。</w:t>
      </w:r>
    </w:p>
    <w:p>
      <w:pPr>
        <w:rPr>
          <w:rFonts w:hint="eastAsia" w:ascii="宋体" w:hAnsi="宋体"/>
          <w:color w:val="FF0000"/>
          <w:sz w:val="30"/>
          <w:szCs w:val="30"/>
        </w:rPr>
      </w:pPr>
      <w:r>
        <w:rPr>
          <w:rFonts w:hint="eastAsia" w:ascii="宋体" w:hAnsi="宋体"/>
          <w:sz w:val="24"/>
        </w:rPr>
        <w:t>6、乙方的服务人员不履行或不按本合同约定履行服务，并给甲方造成了实际损失，乙方应该对甲方实际损失给予赔偿。</w:t>
      </w:r>
      <w:r>
        <w:rPr>
          <w:rFonts w:hint="eastAsia" w:ascii="宋体" w:hAnsi="宋体"/>
          <w:color w:val="FF0000"/>
          <w:sz w:val="30"/>
          <w:szCs w:val="30"/>
        </w:rPr>
        <w:t xml:space="preserve">   </w:t>
      </w:r>
    </w:p>
    <w:p>
      <w:pPr>
        <w:rPr>
          <w:rFonts w:hint="eastAsia" w:ascii="宋体" w:hAnsi="宋体"/>
          <w:sz w:val="24"/>
        </w:rPr>
      </w:pPr>
      <w:r>
        <w:rPr>
          <w:rFonts w:hint="eastAsia" w:ascii="宋体" w:hAnsi="宋体"/>
          <w:sz w:val="24"/>
        </w:rPr>
        <w:t>7、对于因乙方运维人员责任造成业务系统中断业务达半小时以上、或造成系统数据错误的，发生一次即扣除乙方年服务费用的1%；对于因乙方运维人员责任造成业务系统中断业务二小时以上，发生一次即扣除乙方年服务费用的3%；对于因乙方运维人员责任造成业务系统中断业务四小时以上,发生一次即扣除乙方年服务费用的5%。</w:t>
      </w:r>
    </w:p>
    <w:p>
      <w:pPr>
        <w:rPr>
          <w:rFonts w:hint="eastAsia" w:ascii="宋体" w:hAnsi="宋体"/>
          <w:sz w:val="24"/>
        </w:rPr>
      </w:pPr>
      <w:r>
        <w:rPr>
          <w:rFonts w:hint="eastAsia" w:ascii="宋体" w:hAnsi="宋体"/>
          <w:sz w:val="24"/>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pPr>
        <w:rPr>
          <w:rFonts w:hint="eastAsia" w:ascii="宋体" w:hAnsi="宋体"/>
          <w:sz w:val="24"/>
        </w:rPr>
      </w:pPr>
      <w:r>
        <w:rPr>
          <w:rFonts w:hint="eastAsia" w:ascii="宋体" w:hAnsi="宋体"/>
          <w:sz w:val="24"/>
        </w:rPr>
        <w:t>9、乙方运维人员工作时间，严格遵守局方工作制度和工作纪律要求，包括节假日在内的各类加班和值班。否则，按照每天5%人月费用从运维费用中扣除。</w:t>
      </w:r>
    </w:p>
    <w:p>
      <w:pPr>
        <w:rPr>
          <w:rFonts w:hint="eastAsia" w:ascii="宋体" w:hAnsi="宋体"/>
          <w:sz w:val="24"/>
        </w:rPr>
      </w:pPr>
      <w:r>
        <w:rPr>
          <w:rFonts w:hint="eastAsia" w:ascii="宋体" w:hAnsi="宋体"/>
          <w:sz w:val="24"/>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pPr>
        <w:rPr>
          <w:rFonts w:hint="eastAsia" w:ascii="宋体" w:hAnsi="宋体"/>
          <w:sz w:val="24"/>
        </w:rPr>
      </w:pPr>
      <w:r>
        <w:rPr>
          <w:rFonts w:hint="eastAsia" w:ascii="宋体" w:hAnsi="宋体"/>
          <w:sz w:val="24"/>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pPr>
        <w:rPr>
          <w:rFonts w:ascii="宋体" w:hAnsi="宋体"/>
          <w:sz w:val="24"/>
        </w:rPr>
      </w:pPr>
      <w:r>
        <w:rPr>
          <w:rFonts w:hint="eastAsia" w:ascii="宋体" w:hAnsi="宋体"/>
          <w:sz w:val="24"/>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pPr>
        <w:pStyle w:val="2"/>
        <w:ind w:firstLine="0" w:firstLineChars="0"/>
        <w:rPr>
          <w:rFonts w:hint="eastAsia"/>
        </w:rPr>
      </w:pPr>
    </w:p>
    <w:p>
      <w:pPr>
        <w:pStyle w:val="4"/>
        <w:rPr>
          <w:rFonts w:ascii="宋体" w:hAnsi="宋体"/>
          <w:sz w:val="24"/>
          <w:szCs w:val="24"/>
        </w:rPr>
      </w:pPr>
      <w:r>
        <w:rPr>
          <w:rFonts w:hint="eastAsia" w:ascii="宋体" w:hAnsi="宋体"/>
          <w:sz w:val="24"/>
          <w:szCs w:val="24"/>
        </w:rPr>
        <w:t>第九条 合同终止</w:t>
      </w:r>
    </w:p>
    <w:p>
      <w:pPr>
        <w:rPr>
          <w:rFonts w:ascii="宋体" w:hAnsi="宋体"/>
          <w:color w:val="000000"/>
          <w:sz w:val="24"/>
        </w:rPr>
      </w:pPr>
      <w:r>
        <w:rPr>
          <w:rFonts w:hint="eastAsia" w:ascii="宋体" w:hAnsi="宋体"/>
          <w:color w:val="000000"/>
          <w:sz w:val="24"/>
        </w:rPr>
        <w:t>1、甲方逾期付款超过90日，乙方将有权利单方终止本合同。</w:t>
      </w:r>
    </w:p>
    <w:p>
      <w:pPr>
        <w:rPr>
          <w:rFonts w:hint="eastAsia" w:ascii="宋体" w:hAnsi="宋体"/>
          <w:sz w:val="24"/>
        </w:rPr>
      </w:pPr>
      <w:r>
        <w:rPr>
          <w:rFonts w:hint="eastAsia" w:ascii="宋体" w:hAnsi="宋体"/>
          <w:sz w:val="24"/>
        </w:rPr>
        <w:t>2、甲方在当年计费周期届满前30日内向乙方提出是否续签合同的书面通知，如未书面通知的合同期满后自然终止。</w:t>
      </w:r>
    </w:p>
    <w:p>
      <w:pPr>
        <w:pStyle w:val="2"/>
        <w:rPr>
          <w:rFonts w:hint="eastAsia" w:ascii="宋体" w:hAnsi="宋体"/>
          <w:sz w:val="24"/>
        </w:rPr>
      </w:pPr>
    </w:p>
    <w:p>
      <w:pPr>
        <w:pStyle w:val="4"/>
        <w:rPr>
          <w:rFonts w:hint="eastAsia" w:ascii="宋体" w:hAnsi="宋体"/>
          <w:sz w:val="24"/>
          <w:szCs w:val="24"/>
        </w:rPr>
      </w:pPr>
      <w:r>
        <w:rPr>
          <w:rFonts w:hint="eastAsia" w:ascii="宋体" w:hAnsi="宋体"/>
          <w:sz w:val="24"/>
          <w:szCs w:val="24"/>
        </w:rPr>
        <w:t>第十条 免责条款</w:t>
      </w:r>
    </w:p>
    <w:p>
      <w:pPr>
        <w:rPr>
          <w:rFonts w:hint="eastAsia" w:ascii="宋体" w:hAnsi="宋体"/>
          <w:color w:val="000000"/>
          <w:sz w:val="24"/>
        </w:rPr>
      </w:pPr>
      <w:r>
        <w:rPr>
          <w:rFonts w:hint="eastAsia" w:ascii="宋体" w:hAnsi="宋体"/>
          <w:color w:val="000000"/>
          <w:sz w:val="24"/>
        </w:rPr>
        <w:t>1、因自然灾害、战争、特别恶劣天气等原因造成乙方维修人员不能按承诺时限到达现场，甲方对乙方不予处罚。</w:t>
      </w:r>
    </w:p>
    <w:p>
      <w:pPr>
        <w:rPr>
          <w:rFonts w:hint="eastAsia" w:ascii="宋体" w:hAnsi="宋体"/>
          <w:color w:val="000000"/>
          <w:sz w:val="24"/>
        </w:rPr>
      </w:pPr>
      <w:r>
        <w:rPr>
          <w:rFonts w:hint="eastAsia" w:ascii="宋体" w:hAnsi="宋体"/>
          <w:color w:val="000000"/>
          <w:sz w:val="24"/>
        </w:rPr>
        <w:t>2、因雷击、火灾、供电事故、人为因素造成设备损坏，甲方另行按实支付维修费。</w:t>
      </w:r>
    </w:p>
    <w:p>
      <w:pPr>
        <w:pStyle w:val="4"/>
        <w:rPr>
          <w:rFonts w:ascii="宋体" w:hAnsi="宋体"/>
          <w:sz w:val="24"/>
          <w:szCs w:val="24"/>
        </w:rPr>
      </w:pPr>
      <w:r>
        <w:rPr>
          <w:rFonts w:hint="eastAsia" w:ascii="宋体" w:hAnsi="宋体"/>
          <w:sz w:val="24"/>
          <w:szCs w:val="24"/>
        </w:rPr>
        <w:t>第十一条 其他</w:t>
      </w:r>
    </w:p>
    <w:p>
      <w:pPr>
        <w:rPr>
          <w:rFonts w:hint="eastAsia" w:ascii="宋体" w:hAnsi="宋体"/>
          <w:color w:val="000000"/>
          <w:sz w:val="24"/>
        </w:rPr>
      </w:pPr>
      <w:r>
        <w:rPr>
          <w:rFonts w:hint="eastAsia" w:ascii="宋体" w:hAnsi="宋体"/>
          <w:color w:val="000000"/>
          <w:sz w:val="24"/>
        </w:rPr>
        <w:t>1、争议解决。甲方的招标文件及乙方的投标文件作为合同的要件，与本合同具有同等法律效力，与本合同不符的以本合同为准。凡由本合同引起的或与解释或执行本合同有关的任何争议，解决途径为甲乙双方可以向本合同的履行地法院提起诉讼。</w:t>
      </w:r>
      <w:r>
        <w:rPr>
          <w:rFonts w:hint="eastAsia" w:ascii="宋体" w:hAnsi="宋体"/>
          <w:sz w:val="24"/>
        </w:rPr>
        <w:t>本合同的履行地为甲方所在地。</w:t>
      </w:r>
    </w:p>
    <w:p>
      <w:pPr>
        <w:rPr>
          <w:rFonts w:hint="eastAsia" w:ascii="宋体" w:hAnsi="宋体"/>
          <w:color w:val="000000"/>
          <w:sz w:val="24"/>
        </w:rPr>
      </w:pPr>
      <w:r>
        <w:rPr>
          <w:rFonts w:hint="eastAsia" w:ascii="宋体" w:hAnsi="宋体"/>
          <w:color w:val="000000"/>
          <w:sz w:val="24"/>
        </w:rPr>
        <w:t>2、适用法律。本合同的成立、有效性、解释、履行及由此产生的争议的解决，均应适用中华人民共和国法律。</w:t>
      </w:r>
    </w:p>
    <w:p>
      <w:pPr>
        <w:rPr>
          <w:rFonts w:hint="eastAsia" w:ascii="宋体" w:hAnsi="宋体"/>
          <w:color w:val="000000"/>
          <w:sz w:val="24"/>
        </w:rPr>
      </w:pPr>
      <w:r>
        <w:rPr>
          <w:rFonts w:hint="eastAsia" w:ascii="宋体" w:hAnsi="宋体"/>
          <w:color w:val="000000"/>
          <w:sz w:val="24"/>
        </w:rPr>
        <w:t>3、文本。本合同自双方授权代表签字并加盖公章之日起生效。本合同一式肆份，甲方贰份，乙方贰份，具有同等法律效力，本合同附件为本合同不可分割的部分，与本合同具有同等法律效力。</w:t>
      </w:r>
    </w:p>
    <w:tbl>
      <w:tblPr>
        <w:tblStyle w:val="27"/>
        <w:tblW w:w="8752" w:type="dxa"/>
        <w:jc w:val="center"/>
        <w:tblInd w:w="0" w:type="dxa"/>
        <w:tblLayout w:type="fixed"/>
        <w:tblCellMar>
          <w:top w:w="567" w:type="dxa"/>
          <w:left w:w="105" w:type="dxa"/>
          <w:bottom w:w="567" w:type="dxa"/>
          <w:right w:w="105" w:type="dxa"/>
        </w:tblCellMar>
      </w:tblPr>
      <w:tblGrid>
        <w:gridCol w:w="4074"/>
        <w:gridCol w:w="4678"/>
      </w:tblGrid>
      <w:tr>
        <w:tblPrEx>
          <w:tblLayout w:type="fixed"/>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甲方（章）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ind w:firstLine="1080"/>
              <w:jc w:val="righ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年</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月</w:t>
            </w:r>
            <w:r>
              <w:rPr>
                <w:rFonts w:eastAsia="方正宋黑简体"/>
                <w:color w:val="000000"/>
                <w:kern w:val="0"/>
                <w:sz w:val="24"/>
              </w:rPr>
              <w:t> </w:t>
            </w:r>
            <w:r>
              <w:rPr>
                <w:rFonts w:ascii="方正宋黑简体" w:eastAsia="方正宋黑简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乙方（章）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jc w:val="right"/>
              <w:rPr>
                <w:rFonts w:ascii="方正宋黑简体" w:hAnsi="微软雅黑" w:eastAsia="方正宋黑简体" w:cs="宋体"/>
                <w:color w:val="000000"/>
                <w:kern w:val="0"/>
                <w:sz w:val="18"/>
                <w:szCs w:val="18"/>
              </w:rPr>
            </w:pP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年</w:t>
            </w: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月</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单位地址：哈尔滨市东大直街</w:t>
            </w:r>
            <w:r>
              <w:rPr>
                <w:rFonts w:ascii="方正宋黑简体" w:hAnsi="微软雅黑" w:eastAsia="方正宋黑简体" w:cs="宋体"/>
                <w:color w:val="000000"/>
                <w:kern w:val="0"/>
                <w:sz w:val="24"/>
              </w:rPr>
              <w:t>190</w:t>
            </w:r>
            <w:r>
              <w:rPr>
                <w:rFonts w:hint="eastAsia" w:ascii="方正宋黑简体" w:hAnsi="微软雅黑" w:eastAsia="方正宋黑简体" w:cs="宋体"/>
                <w:color w:val="000000"/>
                <w:kern w:val="0"/>
                <w:sz w:val="24"/>
              </w:rPr>
              <w:t>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r>
      <w:tr>
        <w:tblPrEx>
          <w:tblLayout w:type="fixed"/>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账号：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账号：</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r>
              <w:rPr>
                <w:rFonts w:ascii="方正宋黑简体" w:hAnsi="微软雅黑" w:eastAsia="方正宋黑简体" w:cs="宋体"/>
                <w:color w:val="000000"/>
                <w:kern w:val="0"/>
                <w:sz w:val="24"/>
              </w:rPr>
              <w:t>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p>
        </w:tc>
      </w:tr>
    </w:tbl>
    <w:p>
      <w:pPr>
        <w:rPr>
          <w:rFonts w:hint="eastAsia" w:ascii="宋体" w:hAnsi="宋体"/>
          <w:color w:val="000000"/>
          <w:sz w:val="24"/>
        </w:rPr>
      </w:pPr>
    </w:p>
    <w:p>
      <w:pPr>
        <w:rPr>
          <w:rFonts w:hint="eastAsia" w:ascii="宋体" w:hAnsi="宋体"/>
          <w:color w:val="000000"/>
          <w:sz w:val="24"/>
        </w:rPr>
      </w:pPr>
    </w:p>
    <w:p>
      <w:pPr>
        <w:rPr>
          <w:rFonts w:hint="eastAsia" w:ascii="宋体" w:hAnsi="宋体"/>
          <w:color w:val="000000"/>
          <w:sz w:val="24"/>
        </w:rPr>
      </w:pPr>
      <w:r>
        <w:rPr>
          <w:rFonts w:hint="eastAsia" w:ascii="宋体" w:hAnsi="宋体"/>
          <w:color w:val="000000"/>
          <w:sz w:val="24"/>
        </w:rPr>
        <w:t>附件:</w:t>
      </w:r>
    </w:p>
    <w:p>
      <w:pPr>
        <w:rPr>
          <w:rFonts w:hint="eastAsia" w:ascii="宋体" w:hAnsi="宋体"/>
          <w:color w:val="000000"/>
          <w:sz w:val="24"/>
        </w:rPr>
      </w:pPr>
      <w:r>
        <w:rPr>
          <w:rFonts w:hint="eastAsia" w:ascii="宋体" w:hAnsi="宋体"/>
          <w:color w:val="000000"/>
          <w:sz w:val="24"/>
        </w:rPr>
        <w:t>1、售后服务承诺</w:t>
      </w:r>
    </w:p>
    <w:p>
      <w:pPr>
        <w:rPr>
          <w:rFonts w:hint="eastAsia" w:ascii="宋体" w:hAnsi="宋体"/>
          <w:color w:val="000000"/>
          <w:sz w:val="24"/>
        </w:rPr>
      </w:pPr>
      <w:r>
        <w:rPr>
          <w:rFonts w:hint="eastAsia" w:ascii="宋体" w:hAnsi="宋体"/>
          <w:color w:val="000000"/>
          <w:sz w:val="24"/>
        </w:rPr>
        <w:t>2、服务队伍</w:t>
      </w:r>
    </w:p>
    <w:p>
      <w:pPr>
        <w:rPr>
          <w:rFonts w:hint="eastAsia" w:ascii="宋体" w:hAnsi="宋体"/>
          <w:color w:val="000000"/>
          <w:sz w:val="24"/>
        </w:rPr>
      </w:pPr>
      <w:r>
        <w:rPr>
          <w:rFonts w:hint="eastAsia" w:ascii="宋体" w:hAnsi="宋体"/>
          <w:color w:val="000000"/>
          <w:sz w:val="24"/>
        </w:rPr>
        <w:t>3、中标通知书</w:t>
      </w:r>
    </w:p>
    <w:p>
      <w:pPr>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大标宋简体">
    <w:panose1 w:val="02010601030101010101"/>
    <w:charset w:val="86"/>
    <w:family w:val="script"/>
    <w:pitch w:val="default"/>
    <w:sig w:usb0="00000001" w:usb1="080E0000" w:usb2="00000000" w:usb3="00000000" w:csb0="00040000" w:csb1="00000000"/>
  </w:font>
  <w:font w:name="Cambria Math">
    <w:panose1 w:val="02040503050406030204"/>
    <w:charset w:val="00"/>
    <w:family w:val="roman"/>
    <w:pitch w:val="default"/>
    <w:sig w:usb0="E00002FF" w:usb1="420024FF" w:usb2="00000000" w:usb3="00000000" w:csb0="2000019F" w:csb1="00000000"/>
  </w:font>
  <w:font w:name="Wingdings 2">
    <w:panose1 w:val="05020102010507070707"/>
    <w:charset w:val="02"/>
    <w:family w:val="roman"/>
    <w:pitch w:val="default"/>
    <w:sig w:usb0="00000000" w:usb1="00000000" w:usb2="00000000" w:usb3="00000000" w:csb0="80000000" w:csb1="00000000"/>
  </w:font>
  <w:font w:name="方正宋黑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8"/>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OqXm5zwAAAAUB&#10;AAAPAAAAAAAAAAEAIAAAACIAAABkcnMvZG93bnJldi54bWxQSwECFAAUAAAACACHTuJAZaoo7bIB&#10;AABZAwAADgAAAAAAAAABACAAAAAeAQAAZHJzL2Uyb0RvYy54bWxQSwUGAAAAAAYABgBZAQAAQgUA&#10;AAAA&#10;">
              <v:fill on="f" focussize="0,0"/>
              <v:stroke on="f"/>
              <v:imagedata o:title=""/>
              <o:lock v:ext="edit" aspectratio="f"/>
              <v:textbox inset="0mm,0mm,0mm,0mm" style="mso-fit-shape-to-text:t;">
                <w:txbxContent>
                  <w:p>
                    <w:pPr>
                      <w:pStyle w:val="18"/>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8"/>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EYQVhSwAQAA&#10;WQMAAA4AAAAAAAAAAQAgAAAAHgEAAGRycy9lMm9Eb2MueG1sUEsFBgAAAAAGAAYAWQEAAEAFAAAA&#10;AA==&#10;">
              <v:fill on="f" focussize="0,0"/>
              <v:stroke on="f"/>
              <v:imagedata o:title=""/>
              <o:lock v:ext="edit" aspectratio="f"/>
              <v:textbox inset="0mm,0mm,0mm,0mm" style="mso-fit-shape-to-text:t;">
                <w:txbxContent>
                  <w:p>
                    <w:pPr>
                      <w:pStyle w:val="18"/>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pPr>
                            <w:pStyle w:val="18"/>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cXQ6n9EAAAADAQAA&#10;DwAAAAAAAAABACAAAAAiAAAAZHJzL2Rvd25yZXYueG1sUEsBAhQAFAAAAAgAh07iQK00V/muAQAA&#10;SgMAAA4AAAAAAAAAAQAgAAAAIAEAAGRycy9lMm9Eb2MueG1sUEsFBgAAAAAGAAYAWQEAAEAFAAAA&#10;AA==&#10;">
              <v:fill on="f" focussize="0,0"/>
              <v:stroke on="f"/>
              <v:imagedata o:title=""/>
              <o:lock v:ext="edit" aspectratio="f"/>
              <v:textbox inset="0mm,0mm,0mm,0mm" style="mso-fit-shape-to-text:t;">
                <w:txbxContent>
                  <w:p>
                    <w:pPr>
                      <w:pStyle w:val="18"/>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AE787529"/>
    <w:multiLevelType w:val="singleLevel"/>
    <w:tmpl w:val="AE787529"/>
    <w:lvl w:ilvl="0" w:tentative="0">
      <w:start w:val="3"/>
      <w:numFmt w:val="decimal"/>
      <w:suff w:val="space"/>
      <w:lvlText w:val="第%1章"/>
      <w:lvlJc w:val="left"/>
    </w:lvl>
  </w:abstractNum>
  <w:abstractNum w:abstractNumId="2">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3">
    <w:nsid w:val="F359933B"/>
    <w:multiLevelType w:val="multilevel"/>
    <w:tmpl w:val="F359933B"/>
    <w:lvl w:ilvl="0" w:tentative="0">
      <w:start w:val="1"/>
      <w:numFmt w:val="decimal"/>
      <w:lvlText w:val="%1."/>
      <w:lvlJc w:val="left"/>
      <w:pPr>
        <w:ind w:left="425" w:hanging="425"/>
      </w:pPr>
      <w:rPr>
        <w:rFonts w:hint="eastAsia"/>
      </w:rPr>
    </w:lvl>
    <w:lvl w:ilvl="1" w:tentative="0">
      <w:start w:val="1"/>
      <w:numFmt w:val="decimal"/>
      <w:lvlText w:val="%1.%2."/>
      <w:lvlJc w:val="left"/>
      <w:pPr>
        <w:ind w:left="567" w:hanging="567"/>
      </w:pPr>
      <w:rPr>
        <w:rFonts w:hint="eastAsia"/>
      </w:rPr>
    </w:lvl>
    <w:lvl w:ilvl="2" w:tentative="0">
      <w:start w:val="1"/>
      <w:numFmt w:val="decimal"/>
      <w:lvlText w:val="%1.%2.%3."/>
      <w:lvlJc w:val="left"/>
      <w:pPr>
        <w:ind w:left="709" w:hanging="709"/>
      </w:pPr>
      <w:rPr>
        <w:rFonts w:hint="eastAsia"/>
      </w:rPr>
    </w:lvl>
    <w:lvl w:ilvl="3" w:tentative="0">
      <w:start w:val="1"/>
      <w:numFmt w:val="decimal"/>
      <w:lvlText w:val="%1.%2.%3.%4."/>
      <w:lvlJc w:val="left"/>
      <w:pPr>
        <w:ind w:left="851" w:hanging="851"/>
      </w:pPr>
      <w:rPr>
        <w:rFonts w:hint="eastAsia"/>
      </w:rPr>
    </w:lvl>
    <w:lvl w:ilvl="4" w:tentative="0">
      <w:start w:val="1"/>
      <w:numFmt w:val="decimal"/>
      <w:lvlText w:val="%1.%2.%3.%4.%5."/>
      <w:lvlJc w:val="left"/>
      <w:pPr>
        <w:ind w:left="992" w:hanging="992"/>
      </w:pPr>
      <w:rPr>
        <w:rFonts w:hint="eastAsia"/>
      </w:rPr>
    </w:lvl>
    <w:lvl w:ilvl="5" w:tentative="0">
      <w:start w:val="1"/>
      <w:numFmt w:val="decimal"/>
      <w:lvlText w:val="%1.%2.%3.%4.%5.%6."/>
      <w:lvlJc w:val="left"/>
      <w:pPr>
        <w:ind w:left="1134" w:hanging="1134"/>
      </w:pPr>
      <w:rPr>
        <w:rFonts w:hint="eastAsia"/>
      </w:rPr>
    </w:lvl>
    <w:lvl w:ilvl="6" w:tentative="0">
      <w:start w:val="1"/>
      <w:numFmt w:val="decimal"/>
      <w:lvlText w:val="%1.%2.%3.%4.%5.%6.%7."/>
      <w:lvlJc w:val="left"/>
      <w:pPr>
        <w:ind w:left="1276" w:hanging="1276"/>
      </w:pPr>
      <w:rPr>
        <w:rFonts w:hint="eastAsia"/>
      </w:rPr>
    </w:lvl>
    <w:lvl w:ilvl="7" w:tentative="0">
      <w:start w:val="1"/>
      <w:numFmt w:val="decimal"/>
      <w:lvlText w:val="%1.%2.%3.%4.%5.%6.%7.%8."/>
      <w:lvlJc w:val="left"/>
      <w:pPr>
        <w:ind w:left="1418" w:hanging="1418"/>
      </w:pPr>
      <w:rPr>
        <w:rFonts w:hint="eastAsia"/>
      </w:rPr>
    </w:lvl>
    <w:lvl w:ilvl="8" w:tentative="0">
      <w:start w:val="1"/>
      <w:numFmt w:val="decimal"/>
      <w:lvlText w:val="%1.%2.%3.%4.%5.%6.%7.%8.%9."/>
      <w:lvlJc w:val="left"/>
      <w:pPr>
        <w:ind w:left="1559" w:hanging="1559"/>
      </w:pPr>
      <w:rPr>
        <w:rFonts w:hint="eastAsia"/>
      </w:rPr>
    </w:lvl>
  </w:abstractNum>
  <w:abstractNum w:abstractNumId="4">
    <w:nsid w:val="F466A374"/>
    <w:multiLevelType w:val="singleLevel"/>
    <w:tmpl w:val="F466A374"/>
    <w:lvl w:ilvl="0" w:tentative="0">
      <w:start w:val="1"/>
      <w:numFmt w:val="decimal"/>
      <w:pStyle w:val="9"/>
      <w:lvlText w:val="%1."/>
      <w:lvlJc w:val="left"/>
      <w:pPr>
        <w:tabs>
          <w:tab w:val="left" w:pos="780"/>
        </w:tabs>
        <w:ind w:left="780" w:hanging="360"/>
      </w:pPr>
    </w:lvl>
  </w:abstractNum>
  <w:abstractNum w:abstractNumId="5">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50"/>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6">
    <w:nsid w:val="21B37B9A"/>
    <w:multiLevelType w:val="multilevel"/>
    <w:tmpl w:val="21B37B9A"/>
    <w:lvl w:ilvl="0" w:tentative="0">
      <w:start w:val="1"/>
      <w:numFmt w:val="decimal"/>
      <w:lvlText w:val="%1、"/>
      <w:lvlJc w:val="left"/>
      <w:pPr>
        <w:ind w:left="360" w:hanging="360"/>
      </w:pPr>
      <w:rPr>
        <w:rFonts w:hint="default" w:hAnsi="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8">
    <w:nsid w:val="6736556C"/>
    <w:multiLevelType w:val="multilevel"/>
    <w:tmpl w:val="6736556C"/>
    <w:lvl w:ilvl="0" w:tentative="0">
      <w:start w:val="1"/>
      <w:numFmt w:val="decimal"/>
      <w:lvlText w:val="%1、"/>
      <w:lvlJc w:val="left"/>
      <w:pPr>
        <w:ind w:left="1427" w:hanging="720"/>
      </w:pPr>
      <w:rPr>
        <w:rFonts w:hint="default"/>
      </w:rPr>
    </w:lvl>
    <w:lvl w:ilvl="1" w:tentative="0">
      <w:start w:val="1"/>
      <w:numFmt w:val="lowerLetter"/>
      <w:lvlText w:val="%2)"/>
      <w:lvlJc w:val="left"/>
      <w:pPr>
        <w:ind w:left="1547" w:hanging="420"/>
      </w:pPr>
    </w:lvl>
    <w:lvl w:ilvl="2" w:tentative="0">
      <w:start w:val="1"/>
      <w:numFmt w:val="lowerRoman"/>
      <w:lvlText w:val="%3."/>
      <w:lvlJc w:val="right"/>
      <w:pPr>
        <w:ind w:left="1967" w:hanging="420"/>
      </w:pPr>
    </w:lvl>
    <w:lvl w:ilvl="3" w:tentative="0">
      <w:start w:val="1"/>
      <w:numFmt w:val="decimal"/>
      <w:lvlText w:val="%4."/>
      <w:lvlJc w:val="left"/>
      <w:pPr>
        <w:ind w:left="2387" w:hanging="420"/>
      </w:pPr>
    </w:lvl>
    <w:lvl w:ilvl="4" w:tentative="0">
      <w:start w:val="1"/>
      <w:numFmt w:val="lowerLetter"/>
      <w:lvlText w:val="%5)"/>
      <w:lvlJc w:val="left"/>
      <w:pPr>
        <w:ind w:left="2807" w:hanging="420"/>
      </w:pPr>
    </w:lvl>
    <w:lvl w:ilvl="5" w:tentative="0">
      <w:start w:val="1"/>
      <w:numFmt w:val="lowerRoman"/>
      <w:lvlText w:val="%6."/>
      <w:lvlJc w:val="right"/>
      <w:pPr>
        <w:ind w:left="3227" w:hanging="420"/>
      </w:pPr>
    </w:lvl>
    <w:lvl w:ilvl="6" w:tentative="0">
      <w:start w:val="1"/>
      <w:numFmt w:val="decimal"/>
      <w:lvlText w:val="%7."/>
      <w:lvlJc w:val="left"/>
      <w:pPr>
        <w:ind w:left="3647" w:hanging="420"/>
      </w:pPr>
    </w:lvl>
    <w:lvl w:ilvl="7" w:tentative="0">
      <w:start w:val="1"/>
      <w:numFmt w:val="lowerLetter"/>
      <w:lvlText w:val="%8)"/>
      <w:lvlJc w:val="left"/>
      <w:pPr>
        <w:ind w:left="4067" w:hanging="420"/>
      </w:pPr>
    </w:lvl>
    <w:lvl w:ilvl="8" w:tentative="0">
      <w:start w:val="1"/>
      <w:numFmt w:val="lowerRoman"/>
      <w:lvlText w:val="%9."/>
      <w:lvlJc w:val="right"/>
      <w:pPr>
        <w:ind w:left="4487" w:hanging="420"/>
      </w:pPr>
    </w:lvl>
  </w:abstractNum>
  <w:abstractNum w:abstractNumId="9">
    <w:nsid w:val="733B7577"/>
    <w:multiLevelType w:val="multilevel"/>
    <w:tmpl w:val="733B7577"/>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10">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11">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4"/>
  </w:num>
  <w:num w:numId="2">
    <w:abstractNumId w:val="5"/>
  </w:num>
  <w:num w:numId="3">
    <w:abstractNumId w:val="10"/>
  </w:num>
  <w:num w:numId="4">
    <w:abstractNumId w:val="0"/>
  </w:num>
  <w:num w:numId="5">
    <w:abstractNumId w:val="2"/>
  </w:num>
  <w:num w:numId="6">
    <w:abstractNumId w:val="1"/>
  </w:num>
  <w:num w:numId="7">
    <w:abstractNumId w:val="3"/>
  </w:num>
  <w:num w:numId="8">
    <w:abstractNumId w:val="8"/>
  </w:num>
  <w:num w:numId="9">
    <w:abstractNumId w:val="9"/>
  </w:num>
  <w:num w:numId="10">
    <w:abstractNumId w:val="7"/>
  </w:num>
  <w:num w:numId="11">
    <w:abstractNumId w:val="11"/>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OGRjYzA3MzQ3ZTRjZmU3YTkyNGZmMGQ2YjFhYjgifQ=="/>
  </w:docVars>
  <w:rsids>
    <w:rsidRoot w:val="4B262FC3"/>
    <w:rsid w:val="00062A80"/>
    <w:rsid w:val="003867C7"/>
    <w:rsid w:val="00912B81"/>
    <w:rsid w:val="00B601DD"/>
    <w:rsid w:val="00BE6023"/>
    <w:rsid w:val="00CA098B"/>
    <w:rsid w:val="00D356EE"/>
    <w:rsid w:val="01D51EF1"/>
    <w:rsid w:val="02307CBD"/>
    <w:rsid w:val="02994E80"/>
    <w:rsid w:val="038C7237"/>
    <w:rsid w:val="03B24C65"/>
    <w:rsid w:val="055174C8"/>
    <w:rsid w:val="05594FD2"/>
    <w:rsid w:val="07861826"/>
    <w:rsid w:val="082C0673"/>
    <w:rsid w:val="088562C4"/>
    <w:rsid w:val="08B573AC"/>
    <w:rsid w:val="0C6B37C3"/>
    <w:rsid w:val="0D1A4228"/>
    <w:rsid w:val="0E575CBB"/>
    <w:rsid w:val="0E7D42BB"/>
    <w:rsid w:val="0EE71081"/>
    <w:rsid w:val="0F5616D8"/>
    <w:rsid w:val="10145935"/>
    <w:rsid w:val="103F356B"/>
    <w:rsid w:val="115F1A85"/>
    <w:rsid w:val="13533D6F"/>
    <w:rsid w:val="13593647"/>
    <w:rsid w:val="14FE49FC"/>
    <w:rsid w:val="15132098"/>
    <w:rsid w:val="18807C4B"/>
    <w:rsid w:val="18BC6A4A"/>
    <w:rsid w:val="19D626B5"/>
    <w:rsid w:val="1BE64FC7"/>
    <w:rsid w:val="1FBC673A"/>
    <w:rsid w:val="22E55F0B"/>
    <w:rsid w:val="23F07DC3"/>
    <w:rsid w:val="26170342"/>
    <w:rsid w:val="27C13B82"/>
    <w:rsid w:val="28DA283E"/>
    <w:rsid w:val="294A2E01"/>
    <w:rsid w:val="2A664865"/>
    <w:rsid w:val="2AEB3A8A"/>
    <w:rsid w:val="2B821B32"/>
    <w:rsid w:val="2F611A30"/>
    <w:rsid w:val="30BD213F"/>
    <w:rsid w:val="33F60296"/>
    <w:rsid w:val="3533276E"/>
    <w:rsid w:val="35980CA9"/>
    <w:rsid w:val="36B31F5F"/>
    <w:rsid w:val="37DA4CA6"/>
    <w:rsid w:val="38B16276"/>
    <w:rsid w:val="38D26F3A"/>
    <w:rsid w:val="38E427EC"/>
    <w:rsid w:val="391847E0"/>
    <w:rsid w:val="392F341B"/>
    <w:rsid w:val="398D59F8"/>
    <w:rsid w:val="3A197CA5"/>
    <w:rsid w:val="3A573E56"/>
    <w:rsid w:val="3B4E36E4"/>
    <w:rsid w:val="40137CA8"/>
    <w:rsid w:val="40A73D35"/>
    <w:rsid w:val="423A6C9B"/>
    <w:rsid w:val="42A62ACD"/>
    <w:rsid w:val="430B37FF"/>
    <w:rsid w:val="446723D4"/>
    <w:rsid w:val="448F691B"/>
    <w:rsid w:val="459314F7"/>
    <w:rsid w:val="49425DFB"/>
    <w:rsid w:val="4B262FC3"/>
    <w:rsid w:val="4B6F4E42"/>
    <w:rsid w:val="4C242C23"/>
    <w:rsid w:val="4CBE335D"/>
    <w:rsid w:val="4DC27B03"/>
    <w:rsid w:val="4EFF6BD2"/>
    <w:rsid w:val="4FCE8257"/>
    <w:rsid w:val="50B415EA"/>
    <w:rsid w:val="53C92CD5"/>
    <w:rsid w:val="54AF23FC"/>
    <w:rsid w:val="57182A2A"/>
    <w:rsid w:val="581A4428"/>
    <w:rsid w:val="59DF6221"/>
    <w:rsid w:val="5A6E105D"/>
    <w:rsid w:val="5DA7155A"/>
    <w:rsid w:val="5DC53457"/>
    <w:rsid w:val="5E79306A"/>
    <w:rsid w:val="5F4468FD"/>
    <w:rsid w:val="610B60EE"/>
    <w:rsid w:val="61CD6F76"/>
    <w:rsid w:val="627333FC"/>
    <w:rsid w:val="62985ABA"/>
    <w:rsid w:val="64BB348A"/>
    <w:rsid w:val="696D37AB"/>
    <w:rsid w:val="6A144077"/>
    <w:rsid w:val="6BBDEA0E"/>
    <w:rsid w:val="6EF9071C"/>
    <w:rsid w:val="6FF006A6"/>
    <w:rsid w:val="7052058D"/>
    <w:rsid w:val="70B1597A"/>
    <w:rsid w:val="71815530"/>
    <w:rsid w:val="72BD75D3"/>
    <w:rsid w:val="74FD35B0"/>
    <w:rsid w:val="77E73431"/>
    <w:rsid w:val="78916B04"/>
    <w:rsid w:val="7AA83FCF"/>
    <w:rsid w:val="7AAF66A3"/>
    <w:rsid w:val="7CD63399"/>
    <w:rsid w:val="7D974A70"/>
    <w:rsid w:val="7E8E48BA"/>
    <w:rsid w:val="7FFF2236"/>
    <w:rsid w:val="C6FE52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nhideWhenUsed="0" w:uiPriority="9"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iPriority="99"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37"/>
    <w:qFormat/>
    <w:uiPriority w:val="0"/>
    <w:pPr>
      <w:keepNext/>
      <w:keepLines/>
      <w:spacing w:before="200" w:after="200"/>
      <w:jc w:val="center"/>
      <w:outlineLvl w:val="0"/>
    </w:pPr>
    <w:rPr>
      <w:rFonts w:eastAsia="黑体"/>
      <w:kern w:val="44"/>
      <w:sz w:val="44"/>
      <w:szCs w:val="44"/>
    </w:rPr>
  </w:style>
  <w:style w:type="paragraph" w:styleId="4">
    <w:name w:val="heading 2"/>
    <w:basedOn w:val="1"/>
    <w:next w:val="1"/>
    <w:link w:val="38"/>
    <w:qFormat/>
    <w:uiPriority w:val="0"/>
    <w:pPr>
      <w:keepNext/>
      <w:keepLines/>
      <w:spacing w:before="200" w:after="200"/>
      <w:jc w:val="center"/>
      <w:outlineLvl w:val="1"/>
    </w:pPr>
    <w:rPr>
      <w:rFonts w:eastAsia="黑体"/>
      <w:sz w:val="32"/>
      <w:szCs w:val="32"/>
    </w:rPr>
  </w:style>
  <w:style w:type="paragraph" w:styleId="5">
    <w:name w:val="heading 3"/>
    <w:basedOn w:val="1"/>
    <w:next w:val="1"/>
    <w:link w:val="39"/>
    <w:qFormat/>
    <w:uiPriority w:val="0"/>
    <w:pPr>
      <w:keepNext/>
      <w:keepLines/>
      <w:spacing w:before="200" w:after="200"/>
      <w:outlineLvl w:val="2"/>
    </w:pPr>
    <w:rPr>
      <w:rFonts w:eastAsia="黑体"/>
      <w:sz w:val="28"/>
      <w:szCs w:val="28"/>
    </w:rPr>
  </w:style>
  <w:style w:type="paragraph" w:styleId="6">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7">
    <w:name w:val="heading 5"/>
    <w:basedOn w:val="1"/>
    <w:next w:val="1"/>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paragraph" w:styleId="8">
    <w:name w:val="heading 6"/>
    <w:basedOn w:val="1"/>
    <w:next w:val="1"/>
    <w:unhideWhenUsed/>
    <w:qFormat/>
    <w:uiPriority w:val="0"/>
    <w:pPr>
      <w:keepNext/>
      <w:keepLines/>
      <w:spacing w:before="240" w:after="64" w:line="320" w:lineRule="auto"/>
      <w:outlineLvl w:val="5"/>
    </w:pPr>
    <w:rPr>
      <w:rFonts w:ascii="Cambria" w:hAnsi="Cambria" w:eastAsia="宋体" w:cs="Times New Roman"/>
      <w:b/>
      <w:bCs/>
      <w:sz w:val="24"/>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Layout w:type="fixed"/>
      <w:tblCellMar>
        <w:top w:w="0" w:type="dxa"/>
        <w:left w:w="108" w:type="dxa"/>
        <w:bottom w:w="0" w:type="dxa"/>
        <w:right w:w="108" w:type="dxa"/>
      </w:tblCellMar>
    </w:tblPr>
  </w:style>
  <w:style w:type="paragraph" w:customStyle="1" w:styleId="2">
    <w:name w:val="正文（缩进）"/>
    <w:basedOn w:val="1"/>
    <w:qFormat/>
    <w:uiPriority w:val="0"/>
    <w:pPr>
      <w:spacing w:before="156" w:after="156"/>
      <w:ind w:firstLine="480" w:firstLineChars="200"/>
    </w:pPr>
  </w:style>
  <w:style w:type="paragraph" w:styleId="9">
    <w:name w:val="List Number 2"/>
    <w:basedOn w:val="1"/>
    <w:qFormat/>
    <w:uiPriority w:val="0"/>
    <w:pPr>
      <w:numPr>
        <w:ilvl w:val="0"/>
        <w:numId w:val="1"/>
      </w:numPr>
    </w:pPr>
  </w:style>
  <w:style w:type="paragraph" w:styleId="10">
    <w:name w:val="Normal Indent"/>
    <w:basedOn w:val="1"/>
    <w:qFormat/>
    <w:uiPriority w:val="0"/>
    <w:pPr>
      <w:ind w:firstLine="420" w:firstLineChars="200"/>
    </w:pPr>
  </w:style>
  <w:style w:type="paragraph" w:styleId="11">
    <w:name w:val="annotation text"/>
    <w:basedOn w:val="1"/>
    <w:qFormat/>
    <w:uiPriority w:val="0"/>
    <w:pPr>
      <w:jc w:val="left"/>
    </w:pPr>
  </w:style>
  <w:style w:type="paragraph" w:styleId="12">
    <w:name w:val="Body Text"/>
    <w:basedOn w:val="1"/>
    <w:next w:val="13"/>
    <w:qFormat/>
    <w:uiPriority w:val="0"/>
    <w:pPr>
      <w:adjustRightInd w:val="0"/>
      <w:spacing w:line="360" w:lineRule="atLeast"/>
      <w:jc w:val="center"/>
      <w:textAlignment w:val="baseline"/>
    </w:pPr>
    <w:rPr>
      <w:kern w:val="0"/>
      <w:sz w:val="24"/>
      <w:szCs w:val="20"/>
    </w:rPr>
  </w:style>
  <w:style w:type="paragraph" w:styleId="13">
    <w:name w:val="Body Text Indent"/>
    <w:basedOn w:val="1"/>
    <w:qFormat/>
    <w:uiPriority w:val="0"/>
    <w:pPr>
      <w:spacing w:after="120"/>
      <w:ind w:left="420" w:leftChars="200"/>
    </w:pPr>
  </w:style>
  <w:style w:type="paragraph" w:styleId="14">
    <w:name w:val="index 4"/>
    <w:basedOn w:val="1"/>
    <w:next w:val="1"/>
    <w:unhideWhenUsed/>
    <w:qFormat/>
    <w:uiPriority w:val="99"/>
    <w:pPr>
      <w:ind w:left="600" w:leftChars="600"/>
    </w:pPr>
  </w:style>
  <w:style w:type="paragraph" w:styleId="15">
    <w:name w:val="Plain Text"/>
    <w:basedOn w:val="1"/>
    <w:qFormat/>
    <w:uiPriority w:val="0"/>
    <w:rPr>
      <w:rFonts w:ascii="宋体" w:hAnsi="宋体" w:cs="Courier New"/>
    </w:rPr>
  </w:style>
  <w:style w:type="paragraph" w:styleId="16">
    <w:name w:val="Date"/>
    <w:basedOn w:val="1"/>
    <w:next w:val="1"/>
    <w:unhideWhenUsed/>
    <w:qFormat/>
    <w:uiPriority w:val="99"/>
    <w:pPr>
      <w:ind w:left="100" w:leftChars="2500"/>
    </w:pPr>
  </w:style>
  <w:style w:type="paragraph" w:styleId="17">
    <w:name w:val="Balloon Text"/>
    <w:basedOn w:val="1"/>
    <w:link w:val="48"/>
    <w:qFormat/>
    <w:uiPriority w:val="0"/>
    <w:pPr>
      <w:spacing w:line="240" w:lineRule="auto"/>
    </w:pPr>
    <w:rPr>
      <w:sz w:val="18"/>
      <w:szCs w:val="18"/>
    </w:rPr>
  </w:style>
  <w:style w:type="paragraph" w:styleId="18">
    <w:name w:val="footer"/>
    <w:basedOn w:val="1"/>
    <w:qFormat/>
    <w:uiPriority w:val="0"/>
    <w:pPr>
      <w:tabs>
        <w:tab w:val="center" w:pos="4153"/>
        <w:tab w:val="right" w:pos="8306"/>
      </w:tabs>
      <w:snapToGrid w:val="0"/>
      <w:jc w:val="left"/>
    </w:pPr>
    <w:rPr>
      <w:sz w:val="18"/>
    </w:rPr>
  </w:style>
  <w:style w:type="paragraph" w:styleId="19">
    <w:name w:val="header"/>
    <w:basedOn w:val="1"/>
    <w:qFormat/>
    <w:uiPriority w:val="0"/>
    <w:pPr>
      <w:pBdr>
        <w:bottom w:val="single" w:color="auto" w:sz="4" w:space="1"/>
      </w:pBdr>
      <w:tabs>
        <w:tab w:val="center" w:pos="4153"/>
        <w:tab w:val="right" w:pos="8306"/>
      </w:tabs>
      <w:snapToGrid w:val="0"/>
    </w:pPr>
    <w:rPr>
      <w:sz w:val="18"/>
    </w:rPr>
  </w:style>
  <w:style w:type="paragraph" w:styleId="20">
    <w:name w:val="toc 1"/>
    <w:basedOn w:val="1"/>
    <w:next w:val="1"/>
    <w:qFormat/>
    <w:uiPriority w:val="0"/>
    <w:pPr>
      <w:spacing w:before="120" w:after="120"/>
      <w:jc w:val="left"/>
    </w:pPr>
    <w:rPr>
      <w:rFonts w:ascii="等线" w:eastAsia="等线"/>
      <w:b/>
      <w:bCs/>
      <w:caps/>
      <w:sz w:val="20"/>
      <w:szCs w:val="20"/>
    </w:rPr>
  </w:style>
  <w:style w:type="paragraph" w:styleId="21">
    <w:name w:val="footnote text"/>
    <w:basedOn w:val="1"/>
    <w:qFormat/>
    <w:uiPriority w:val="0"/>
    <w:pPr>
      <w:snapToGrid w:val="0"/>
      <w:jc w:val="left"/>
    </w:pPr>
    <w:rPr>
      <w:sz w:val="18"/>
    </w:rPr>
  </w:style>
  <w:style w:type="paragraph" w:styleId="22">
    <w:name w:val="index 9"/>
    <w:basedOn w:val="1"/>
    <w:next w:val="1"/>
    <w:qFormat/>
    <w:uiPriority w:val="0"/>
    <w:pPr>
      <w:ind w:left="3360"/>
    </w:pPr>
  </w:style>
  <w:style w:type="paragraph" w:styleId="23">
    <w:name w:val="Body Text 2"/>
    <w:basedOn w:val="1"/>
    <w:qFormat/>
    <w:uiPriority w:val="0"/>
    <w:pPr>
      <w:spacing w:after="120" w:line="480" w:lineRule="auto"/>
    </w:pPr>
  </w:style>
  <w:style w:type="paragraph" w:styleId="24">
    <w:name w:val="Normal (Web)"/>
    <w:basedOn w:val="1"/>
    <w:qFormat/>
    <w:uiPriority w:val="0"/>
    <w:pPr>
      <w:widowControl/>
      <w:spacing w:before="100" w:beforeAutospacing="1" w:after="100" w:afterAutospacing="1"/>
      <w:jc w:val="left"/>
    </w:pPr>
    <w:rPr>
      <w:rFonts w:ascii="宋体" w:cs="宋体"/>
      <w:kern w:val="0"/>
      <w:sz w:val="24"/>
    </w:rPr>
  </w:style>
  <w:style w:type="paragraph" w:styleId="25">
    <w:name w:val="Body Text First Indent"/>
    <w:basedOn w:val="12"/>
    <w:unhideWhenUsed/>
    <w:qFormat/>
    <w:uiPriority w:val="99"/>
    <w:pPr>
      <w:adjustRightInd/>
      <w:spacing w:after="120" w:line="240" w:lineRule="auto"/>
      <w:ind w:firstLine="420" w:firstLineChars="100"/>
      <w:jc w:val="both"/>
      <w:textAlignment w:val="auto"/>
    </w:pPr>
    <w:rPr>
      <w:kern w:val="2"/>
      <w:sz w:val="21"/>
      <w:szCs w:val="24"/>
    </w:rPr>
  </w:style>
  <w:style w:type="paragraph" w:styleId="26">
    <w:name w:val="Body Text First Indent 2"/>
    <w:basedOn w:val="13"/>
    <w:qFormat/>
    <w:uiPriority w:val="0"/>
    <w:pPr>
      <w:ind w:firstLine="420" w:firstLineChars="200"/>
    </w:p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30">
    <w:name w:val="page number"/>
    <w:basedOn w:val="29"/>
    <w:qFormat/>
    <w:uiPriority w:val="0"/>
  </w:style>
  <w:style w:type="character" w:styleId="31">
    <w:name w:val="Hyperlink"/>
    <w:qFormat/>
    <w:uiPriority w:val="0"/>
    <w:rPr>
      <w:color w:val="0000FF"/>
      <w:u w:val="single"/>
    </w:rPr>
  </w:style>
  <w:style w:type="character" w:styleId="32">
    <w:name w:val="annotation reference"/>
    <w:basedOn w:val="29"/>
    <w:qFormat/>
    <w:uiPriority w:val="0"/>
    <w:rPr>
      <w:sz w:val="21"/>
      <w:szCs w:val="21"/>
    </w:rPr>
  </w:style>
  <w:style w:type="paragraph" w:customStyle="1" w:styleId="33">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4">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5">
    <w:name w:val="列出段落1"/>
    <w:basedOn w:val="1"/>
    <w:qFormat/>
    <w:uiPriority w:val="0"/>
    <w:pPr>
      <w:ind w:firstLine="200" w:firstLineChars="200"/>
    </w:pPr>
    <w:rPr>
      <w:rFonts w:cs="Calibri"/>
    </w:rPr>
  </w:style>
  <w:style w:type="paragraph" w:customStyle="1" w:styleId="36">
    <w:name w:val="WPSOffice手动目录 1"/>
    <w:qFormat/>
    <w:uiPriority w:val="0"/>
    <w:rPr>
      <w:rFonts w:ascii="Times New Roman" w:hAnsi="Times New Roman" w:eastAsia="宋体" w:cs="Times New Roman"/>
      <w:lang w:val="en-US" w:eastAsia="zh-CN" w:bidi="ar-SA"/>
    </w:rPr>
  </w:style>
  <w:style w:type="character" w:customStyle="1" w:styleId="37">
    <w:name w:val="标题 1 Char"/>
    <w:link w:val="3"/>
    <w:qFormat/>
    <w:uiPriority w:val="0"/>
    <w:rPr>
      <w:rFonts w:ascii="Times New Roman" w:hAnsi="Times New Roman" w:eastAsia="黑体" w:cs="Times New Roman"/>
      <w:kern w:val="44"/>
      <w:sz w:val="44"/>
      <w:szCs w:val="44"/>
    </w:rPr>
  </w:style>
  <w:style w:type="character" w:customStyle="1" w:styleId="38">
    <w:name w:val="标题 2 Char"/>
    <w:link w:val="4"/>
    <w:qFormat/>
    <w:uiPriority w:val="0"/>
    <w:rPr>
      <w:rFonts w:eastAsia="黑体"/>
      <w:sz w:val="32"/>
      <w:szCs w:val="32"/>
    </w:rPr>
  </w:style>
  <w:style w:type="character" w:customStyle="1" w:styleId="39">
    <w:name w:val="标题 3 Char"/>
    <w:link w:val="5"/>
    <w:qFormat/>
    <w:uiPriority w:val="0"/>
    <w:rPr>
      <w:rFonts w:eastAsia="黑体"/>
      <w:sz w:val="28"/>
      <w:szCs w:val="28"/>
    </w:rPr>
  </w:style>
  <w:style w:type="paragraph" w:customStyle="1" w:styleId="40">
    <w:name w:val="_Style 1"/>
    <w:basedOn w:val="1"/>
    <w:qFormat/>
    <w:uiPriority w:val="0"/>
    <w:pPr>
      <w:ind w:firstLine="200" w:firstLineChars="200"/>
    </w:pPr>
    <w:rPr>
      <w:sz w:val="32"/>
    </w:rPr>
  </w:style>
  <w:style w:type="paragraph" w:customStyle="1" w:styleId="41">
    <w:name w:val="无间隔1"/>
    <w:basedOn w:val="1"/>
    <w:qFormat/>
    <w:uiPriority w:val="0"/>
    <w:pPr>
      <w:widowControl/>
      <w:spacing w:line="240" w:lineRule="auto"/>
      <w:jc w:val="left"/>
    </w:pPr>
    <w:rPr>
      <w:rFonts w:ascii="Calibri" w:hAnsi="Calibri"/>
      <w:kern w:val="0"/>
      <w:sz w:val="22"/>
      <w:szCs w:val="20"/>
    </w:rPr>
  </w:style>
  <w:style w:type="paragraph" w:styleId="42">
    <w:name w:val="List Paragraph"/>
    <w:basedOn w:val="1"/>
    <w:qFormat/>
    <w:uiPriority w:val="34"/>
    <w:pPr>
      <w:ind w:firstLine="420"/>
    </w:pPr>
  </w:style>
  <w:style w:type="paragraph" w:customStyle="1" w:styleId="43">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4">
    <w:name w:val="无间隔2"/>
    <w:qFormat/>
    <w:uiPriority w:val="0"/>
    <w:rPr>
      <w:rFonts w:ascii="Calibri" w:hAnsi="Calibri" w:eastAsia="宋体" w:cs="Times New Roman"/>
      <w:sz w:val="22"/>
      <w:lang w:val="en-US" w:eastAsia="zh-CN" w:bidi="ar-SA"/>
    </w:rPr>
  </w:style>
  <w:style w:type="paragraph" w:customStyle="1" w:styleId="45">
    <w:name w:val="表"/>
    <w:next w:val="10"/>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6">
    <w:name w:val="评分"/>
    <w:qFormat/>
    <w:uiPriority w:val="0"/>
    <w:rPr>
      <w:rFonts w:ascii="宋体" w:hAnsi="宋体" w:eastAsia="宋体" w:cs="Times New Roman"/>
      <w:snapToGrid w:val="0"/>
      <w:sz w:val="21"/>
      <w:szCs w:val="22"/>
      <w:lang w:val="en-US" w:eastAsia="zh-CN" w:bidi="ar-SA"/>
    </w:rPr>
  </w:style>
  <w:style w:type="paragraph" w:customStyle="1" w:styleId="47">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8">
    <w:name w:val="批注框文本 Char"/>
    <w:basedOn w:val="29"/>
    <w:link w:val="17"/>
    <w:qFormat/>
    <w:uiPriority w:val="0"/>
    <w:rPr>
      <w:rFonts w:ascii="Times New Roman" w:hAnsi="Times New Roman" w:eastAsia="宋体" w:cs="Times New Roman"/>
      <w:kern w:val="2"/>
      <w:sz w:val="18"/>
      <w:szCs w:val="18"/>
    </w:rPr>
  </w:style>
  <w:style w:type="paragraph" w:customStyle="1" w:styleId="49">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0">
    <w:name w:val="缺省文本"/>
    <w:basedOn w:val="1"/>
    <w:qFormat/>
    <w:uiPriority w:val="0"/>
    <w:pPr>
      <w:numPr>
        <w:ilvl w:val="3"/>
        <w:numId w:val="2"/>
      </w:numPr>
      <w:suppressAutoHyphens/>
      <w:autoSpaceDE w:val="0"/>
      <w:spacing w:line="360" w:lineRule="auto"/>
      <w:jc w:val="left"/>
    </w:pPr>
    <w:rPr>
      <w:rFonts w:ascii="Times New Roman" w:hAnsi="Times New Roman"/>
      <w:kern w:val="1"/>
      <w:sz w:val="24"/>
      <w:szCs w:val="24"/>
      <w:lang w:eastAsia="ar-SA"/>
    </w:rPr>
  </w:style>
  <w:style w:type="paragraph" w:customStyle="1" w:styleId="51">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2">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3">
    <w:name w:val="No Spacing"/>
    <w:qFormat/>
    <w:uiPriority w:val="0"/>
    <w:rPr>
      <w:rFonts w:ascii="Calibri" w:hAnsi="Calibri" w:eastAsia="宋体" w:cs="Times New Roman"/>
      <w:sz w:val="22"/>
      <w:lang w:val="en-US" w:eastAsia="zh-CN" w:bidi="ar-SA"/>
    </w:rPr>
  </w:style>
  <w:style w:type="paragraph" w:customStyle="1" w:styleId="54">
    <w:name w:val="我的正文"/>
    <w:basedOn w:val="1"/>
    <w:qFormat/>
    <w:uiPriority w:val="0"/>
    <w:pPr>
      <w:ind w:firstLine="528"/>
    </w:pPr>
  </w:style>
  <w:style w:type="paragraph" w:customStyle="1" w:styleId="55">
    <w:name w:val="章标题"/>
    <w:next w:val="56"/>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6">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样式1"/>
    <w:basedOn w:val="1"/>
    <w:qFormat/>
    <w:uiPriority w:val="0"/>
    <w:pPr>
      <w:jc w:val="center"/>
    </w:pPr>
    <w:rPr>
      <w:rFonts w:eastAsia="方正大标宋简体"/>
      <w:sz w:val="52"/>
    </w:rPr>
  </w:style>
  <w:style w:type="paragraph" w:customStyle="1" w:styleId="58">
    <w:name w:val="正常"/>
    <w:basedOn w:val="59"/>
    <w:qFormat/>
    <w:uiPriority w:val="0"/>
    <w:rPr>
      <w:sz w:val="24"/>
    </w:rPr>
  </w:style>
  <w:style w:type="paragraph" w:customStyle="1" w:styleId="59">
    <w:name w:val="小正常"/>
    <w:basedOn w:val="1"/>
    <w:qFormat/>
    <w:uiPriority w:val="0"/>
    <w:rPr>
      <w:rFonts w:cs="Times New Roman"/>
      <w:sz w:val="20"/>
      <w:szCs w:val="20"/>
    </w:rPr>
  </w:style>
  <w:style w:type="paragraph" w:customStyle="1" w:styleId="60">
    <w:name w:val="Table Text"/>
    <w:basedOn w:val="1"/>
    <w:semiHidden/>
    <w:qFormat/>
    <w:uiPriority w:val="0"/>
    <w:rPr>
      <w:rFonts w:ascii="宋体" w:hAnsi="宋体" w:eastAsia="宋体" w:cs="宋体"/>
      <w:sz w:val="21"/>
      <w:szCs w:val="21"/>
      <w:lang w:val="en-US" w:eastAsia="en-US" w:bidi="ar-SA"/>
    </w:rPr>
  </w:style>
  <w:style w:type="table" w:customStyle="1" w:styleId="61">
    <w:name w:val="Table Normal"/>
    <w:unhideWhenUsed/>
    <w:qFormat/>
    <w:uiPriority w:val="0"/>
    <w:tblPr>
      <w:tblLayout w:type="fixed"/>
      <w:tblCellMar>
        <w:top w:w="0" w:type="dxa"/>
        <w:left w:w="0" w:type="dxa"/>
        <w:bottom w:w="0" w:type="dxa"/>
        <w:right w:w="0" w:type="dxa"/>
      </w:tblCellMar>
    </w:tblPr>
  </w:style>
  <w:style w:type="paragraph" w:customStyle="1" w:styleId="62">
    <w:name w:val="8正文"/>
    <w:qFormat/>
    <w:uiPriority w:val="99"/>
    <w:pPr>
      <w:topLinePunct/>
      <w:ind w:firstLine="200" w:firstLineChars="200"/>
    </w:pPr>
    <w:rPr>
      <w:rFonts w:ascii="宋体" w:hAnsi="宋体" w:eastAsia="宋体" w:cs="Times New Roman"/>
      <w:kern w:val="2"/>
      <w:sz w:val="24"/>
      <w:szCs w:val="21"/>
      <w:lang w:val="en-US" w:eastAsia="zh-CN" w:bidi="ar-SA"/>
    </w:rPr>
  </w:style>
  <w:style w:type="paragraph" w:customStyle="1" w:styleId="63">
    <w:name w:val="业务规范正文"/>
    <w:basedOn w:val="1"/>
    <w:qFormat/>
    <w:uiPriority w:val="0"/>
    <w:pPr>
      <w:topLinePunct/>
      <w:ind w:firstLine="420" w:firstLineChars="200"/>
    </w:pPr>
    <w:rPr>
      <w:rFonts w:ascii="宋体" w:hAnsi="宋体" w:eastAsia="仿宋_GB2312" w:cs="Times New Roman"/>
      <w:bCs/>
      <w:sz w:val="24"/>
      <w:szCs w:val="21"/>
    </w:rPr>
  </w:style>
  <w:style w:type="paragraph" w:customStyle="1" w:styleId="64">
    <w:name w:val="正文 首行缩进"/>
    <w:basedOn w:val="1"/>
    <w:qFormat/>
    <w:uiPriority w:val="0"/>
    <w:pPr>
      <w:widowControl/>
      <w:spacing w:line="360" w:lineRule="auto"/>
      <w:ind w:firstLine="420" w:firstLineChars="200"/>
      <w:jc w:val="left"/>
    </w:pPr>
    <w:rPr>
      <w:rFonts w:ascii="Arial" w:hAnsi="Arial" w:cs="Arial"/>
    </w:rPr>
  </w:style>
  <w:style w:type="paragraph" w:customStyle="1" w:styleId="65">
    <w:name w:val="建设5级"/>
    <w:basedOn w:val="66"/>
    <w:qFormat/>
    <w:uiPriority w:val="0"/>
    <w:pPr>
      <w:ind w:firstLine="643"/>
      <w:outlineLvl w:val="5"/>
    </w:pPr>
    <w:rPr>
      <w:lang w:val="zh-CN"/>
    </w:rPr>
  </w:style>
  <w:style w:type="paragraph" w:customStyle="1" w:styleId="66">
    <w:name w:val="建设4级"/>
    <w:basedOn w:val="67"/>
    <w:qFormat/>
    <w:uiPriority w:val="0"/>
    <w:pPr>
      <w:outlineLvl w:val="4"/>
    </w:pPr>
  </w:style>
  <w:style w:type="paragraph" w:customStyle="1" w:styleId="67">
    <w:name w:val="建设3级"/>
    <w:basedOn w:val="1"/>
    <w:qFormat/>
    <w:uiPriority w:val="0"/>
    <w:pPr>
      <w:ind w:firstLine="200" w:firstLineChars="200"/>
      <w:outlineLvl w:val="3"/>
    </w:pPr>
    <w:rPr>
      <w:rFonts w:ascii="仿宋_GB2312" w:eastAsia="仿宋_GB2312"/>
      <w:b/>
      <w:kern w:val="0"/>
      <w:sz w:val="32"/>
      <w:szCs w:val="32"/>
    </w:rPr>
  </w:style>
  <w:style w:type="paragraph" w:customStyle="1" w:styleId="68">
    <w:name w:val="Normal Indent1"/>
    <w:basedOn w:val="12"/>
    <w:qFormat/>
    <w:uiPriority w:val="0"/>
    <w:pPr>
      <w:suppressAutoHyphens/>
      <w:spacing w:line="660" w:lineRule="exact"/>
      <w:ind w:firstLine="720"/>
    </w:pPr>
    <w:rPr>
      <w:rFonts w:ascii="Calibri" w:hAnsi="Calibri" w:eastAsia="Cambria Math"/>
      <w:sz w:val="36"/>
      <w:szCs w:val="36"/>
    </w:rPr>
  </w:style>
  <w:style w:type="character" w:customStyle="1" w:styleId="69">
    <w:name w:val="标题 3 Char1"/>
    <w:qFormat/>
    <w:uiPriority w:val="9"/>
    <w:rPr>
      <w:rFonts w:ascii="Times New Roman" w:hAnsi="Times New Roman" w:eastAsia="仿宋_GB2312"/>
      <w:b/>
      <w:bCs/>
      <w:sz w:val="32"/>
      <w:szCs w:val="32"/>
    </w:rPr>
  </w:style>
  <w:style w:type="paragraph" w:customStyle="1" w:styleId="70">
    <w:name w:val="表格文字 左对齐"/>
    <w:qFormat/>
    <w:uiPriority w:val="0"/>
    <w:pPr>
      <w:overflowPunct w:val="0"/>
      <w:autoSpaceDE w:val="0"/>
      <w:autoSpaceDN w:val="0"/>
      <w:adjustRightInd w:val="0"/>
      <w:jc w:val="both"/>
      <w:textAlignment w:val="baseline"/>
    </w:pPr>
    <w:rPr>
      <w:rFonts w:ascii="Times New Roman" w:hAnsi="Times New Roman" w:eastAsia="宋体" w:cs="Times New Roman"/>
      <w:sz w:val="21"/>
      <w:lang w:val="en-US" w:eastAsia="zh-CN" w:bidi="ar-SA"/>
    </w:rPr>
  </w:style>
  <w:style w:type="character" w:customStyle="1" w:styleId="71">
    <w:name w:val="15"/>
    <w:qFormat/>
    <w:uiPriority w:val="0"/>
    <w:rPr>
      <w:rFonts w:hint="default" w:ascii="Times New Roman" w:hAnsi="Times New Roman" w:eastAsia="宋体" w:cs="Times New Roman"/>
    </w:rPr>
  </w:style>
  <w:style w:type="paragraph" w:customStyle="1" w:styleId="72">
    <w:name w:val="列表段落"/>
    <w:basedOn w:val="1"/>
    <w:qFormat/>
    <w:uiPriority w:val="0"/>
    <w:pPr>
      <w:ind w:firstLine="200" w:firstLineChars="200"/>
    </w:pPr>
  </w:style>
  <w:style w:type="paragraph" w:customStyle="1" w:styleId="73">
    <w:name w:val="表格正文"/>
    <w:basedOn w:val="1"/>
    <w:qFormat/>
    <w:uiPriority w:val="0"/>
    <w:pPr>
      <w:spacing w:line="312" w:lineRule="auto"/>
    </w:pPr>
    <w:rPr>
      <w:rFonts w:ascii="宋体" w:hAnsi="宋体" w:eastAsia="宋体" w:cs="Times New Roman"/>
      <w:szCs w:val="21"/>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118</Pages>
  <Words>59973</Words>
  <Characters>64216</Characters>
  <Lines>302</Lines>
  <Paragraphs>85</Paragraphs>
  <TotalTime>21</TotalTime>
  <ScaleCrop>false</ScaleCrop>
  <LinksUpToDate>false</LinksUpToDate>
  <CharactersWithSpaces>66454</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2022-07-13T12:44:00Z</dcterms:created>
  <dc:creator>QIQI</dc:creator>
  <cp:lastModifiedBy>haochunyang</cp:lastModifiedBy>
  <dcterms:modified xsi:type="dcterms:W3CDTF">2024-11-29T01:56:47Z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C251EBDE8CAE449FA99D3D77AE3CC162_13</vt:lpwstr>
  </property>
</Properties>
</file>