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bookmarkStart w:id="123" w:name="_GoBack"/>
      <w:bookmarkEnd w:id="123"/>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0"/>
        <w:spacing w:line="360" w:lineRule="auto"/>
        <w:rPr>
          <w:rFonts w:hint="eastAsia" w:ascii="宋体" w:hAnsi="宋体" w:eastAsia="宋体" w:cs="宋体"/>
          <w:color w:val="auto"/>
          <w:sz w:val="28"/>
          <w:szCs w:val="28"/>
          <w:highlight w:val="none"/>
        </w:rPr>
      </w:pPr>
    </w:p>
    <w:p>
      <w:pPr>
        <w:pStyle w:val="10"/>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国家税务总局黑龙江省税务局电子税务局咨询热线服务项目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HTCL-ZB-243062</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6</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8"/>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3"/>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5"/>
        <w:rPr>
          <w:rFonts w:hint="eastAsia" w:ascii="宋体" w:hAnsi="宋体" w:eastAsia="宋体" w:cs="宋体"/>
          <w:color w:val="auto"/>
          <w:highlight w:val="none"/>
        </w:rPr>
      </w:pPr>
      <w:bookmarkStart w:id="0" w:name="_Toc1124_WPSOffice_Level1"/>
      <w:bookmarkStart w:id="1" w:name="_Toc78902190"/>
      <w:bookmarkStart w:id="2" w:name="_Toc15817"/>
      <w:r>
        <w:rPr>
          <w:rFonts w:hint="eastAsia" w:ascii="宋体" w:hAnsi="宋体" w:eastAsia="宋体" w:cs="宋体"/>
          <w:color w:val="auto"/>
          <w:highlight w:val="none"/>
        </w:rPr>
        <w:t>招标公告</w:t>
      </w:r>
      <w:bookmarkEnd w:id="0"/>
      <w:bookmarkEnd w:id="1"/>
      <w:bookmarkEnd w:id="2"/>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国家税务总局黑龙江省税务局电子税务局咨询热线服务项目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日9点00分（北京时间）前递交投标文件。</w:t>
            </w:r>
          </w:p>
        </w:tc>
      </w:tr>
    </w:tbl>
    <w:p>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HTCL-ZB-243062</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国家税务总局黑龙江省税务局电子税务局咨询热线服务项目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1937500</w:t>
      </w:r>
      <w:r>
        <w:rPr>
          <w:rFonts w:hint="eastAsia" w:ascii="宋体" w:hAnsi="宋体" w:eastAsia="宋体" w:cs="宋体"/>
          <w:color w:val="auto"/>
          <w:highlight w:val="none"/>
        </w:rPr>
        <w:t>元</w:t>
      </w:r>
      <w:r>
        <w:rPr>
          <w:rFonts w:hint="eastAsia" w:ascii="宋体" w:hAnsi="宋体" w:cs="宋体"/>
          <w:color w:val="auto"/>
          <w:highlight w:val="none"/>
          <w:lang w:val="en-US" w:eastAsia="zh-CN"/>
        </w:rPr>
        <w:t>/年</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1937500</w:t>
      </w:r>
      <w:r>
        <w:rPr>
          <w:rFonts w:hint="eastAsia" w:ascii="宋体" w:hAnsi="宋体" w:eastAsia="宋体" w:cs="宋体"/>
          <w:color w:val="auto"/>
          <w:highlight w:val="none"/>
        </w:rPr>
        <w:t>元</w:t>
      </w:r>
      <w:r>
        <w:rPr>
          <w:rFonts w:hint="eastAsia" w:ascii="宋体" w:hAnsi="宋体" w:cs="宋体"/>
          <w:color w:val="auto"/>
          <w:highlight w:val="none"/>
          <w:lang w:val="en-US" w:eastAsia="zh-CN"/>
        </w:rPr>
        <w:t>/年</w:t>
      </w:r>
    </w:p>
    <w:p>
      <w:pPr>
        <w:pStyle w:val="32"/>
        <w:ind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采购需求：</w:t>
      </w:r>
    </w:p>
    <w:p>
      <w:pPr>
        <w:pStyle w:val="32"/>
        <w:ind w:left="0" w:leftChars="0"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为了确保全省纳税人缴费人顺利使用电子税务局网页版、客户端版、移动版办理各类税费业务，为纳税人缴费人提供专业快捷的“7×24”小时热线咨询服务，有效解答和解决纳税人缴费人电子税务局系统使用中的问题，通过购买电子税务局咨询热线服务的方式，为纳税人提供问题解答、远程指导、问题定位与解决、知识总结与更新等服务，提升咨询服务能力，保障全省纳税人通过电子税务局顺利完成“非接触式”办税，提升纳税人满意度。</w:t>
      </w:r>
    </w:p>
    <w:p>
      <w:pPr>
        <w:pStyle w:val="32"/>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w:t>
      </w:r>
      <w:r>
        <w:rPr>
          <w:rFonts w:hint="eastAsia" w:ascii="宋体" w:hAnsi="宋体" w:eastAsia="宋体" w:cs="宋体"/>
          <w:color w:val="auto"/>
          <w:highlight w:val="none"/>
          <w:lang w:eastAsia="zh-CN"/>
        </w:rPr>
        <w:t>自合同签字起生效，服务期限为一年。一年服务期满，根据《财政部关于推</w:t>
      </w:r>
      <w:r>
        <w:rPr>
          <w:rFonts w:hint="eastAsia" w:ascii="宋体" w:hAnsi="宋体" w:cs="宋体"/>
          <w:color w:val="auto"/>
          <w:highlight w:val="none"/>
          <w:lang w:val="en-US" w:eastAsia="zh-CN"/>
        </w:rPr>
        <w:t>进</w:t>
      </w:r>
      <w:r>
        <w:rPr>
          <w:rFonts w:hint="eastAsia" w:ascii="宋体" w:hAnsi="宋体" w:eastAsia="宋体" w:cs="宋体"/>
          <w:color w:val="auto"/>
          <w:highlight w:val="none"/>
          <w:lang w:eastAsia="zh-CN"/>
        </w:rPr>
        <w:t>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lang w:val="en" w:eastAsia="zh-CN"/>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bookmarkStart w:id="8" w:name="_Toc28359004"/>
      <w:bookmarkStart w:id="9" w:name="_Toc28359081"/>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6</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14</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27</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highlight w:val="none"/>
          <w:lang w:eastAsia="zh-CN"/>
        </w:rPr>
        <w:t>高女士</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联系方式：0451-53611195 </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6518_WPSOffice_Level1"/>
      <w:bookmarkStart w:id="20" w:name="_Toc27915"/>
      <w:r>
        <w:rPr>
          <w:rStyle w:val="34"/>
          <w:rFonts w:hint="eastAsia" w:ascii="宋体" w:hAnsi="宋体" w:eastAsia="宋体" w:cs="宋体"/>
          <w:color w:val="auto"/>
          <w:highlight w:val="none"/>
        </w:rPr>
        <w:t>第一章 供应商须知</w:t>
      </w:r>
      <w:bookmarkEnd w:id="18"/>
      <w:bookmarkEnd w:id="19"/>
      <w:bookmarkEnd w:id="20"/>
    </w:p>
    <w:p>
      <w:pPr>
        <w:pStyle w:val="6"/>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3"/>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sys_招标项目基本内容及要求：Block"/>
            <w:bookmarkEnd w:id="23"/>
            <w:bookmarkStart w:id="24" w:name="招标项目基本内容及要求其他：Block"/>
            <w:bookmarkEnd w:id="24"/>
            <w:bookmarkStart w:id="25" w:name="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w:t>
            </w:r>
            <w:r>
              <w:rPr>
                <w:rFonts w:hint="eastAsia" w:ascii="宋体" w:hAnsi="宋体" w:cs="宋体"/>
                <w:highlight w:val="none"/>
                <w:lang w:eastAsia="zh-CN"/>
              </w:rPr>
              <w:t>高女士</w:t>
            </w:r>
          </w:p>
          <w:p>
            <w:pPr>
              <w:spacing w:line="300" w:lineRule="exact"/>
              <w:rPr>
                <w:rFonts w:hint="eastAsia" w:ascii="宋体" w:hAnsi="宋体" w:eastAsia="宋体" w:cs="宋体"/>
                <w:color w:val="auto"/>
                <w:kern w:val="0"/>
                <w:highlight w:val="none"/>
              </w:rPr>
            </w:pPr>
            <w:r>
              <w:rPr>
                <w:rFonts w:hint="eastAsia" w:ascii="宋体" w:hAnsi="宋体" w:eastAsia="宋体" w:cs="宋体"/>
                <w:highlight w:val="none"/>
              </w:rPr>
              <w:t>电话：0451-53611195</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1937500元</w:t>
            </w:r>
            <w:r>
              <w:rPr>
                <w:rFonts w:hint="eastAsia" w:ascii="宋体" w:hAnsi="宋体" w:cs="宋体"/>
                <w:color w:val="auto"/>
                <w:highlight w:val="none"/>
                <w:lang w:val="en-US" w:eastAsia="zh-CN"/>
              </w:rPr>
              <w:t>/年</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其他未列明行业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60000元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eastAsia="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FF0000"/>
                <w:highlight w:val="none"/>
                <w:lang w:eastAsia="zh-CN"/>
              </w:rPr>
            </w:pPr>
            <w:r>
              <w:rPr>
                <w:rFonts w:hint="eastAsia" w:ascii="宋体" w:hAnsi="宋体" w:eastAsia="宋体" w:cs="宋体"/>
                <w:color w:val="auto"/>
                <w:highlight w:val="none"/>
              </w:rPr>
              <w:t>1.接收质疑函的方式：接收加盖单位公章的书面纸质疑函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6"/>
        <w:adjustRightInd w:val="0"/>
        <w:snapToGrid w:val="0"/>
        <w:rPr>
          <w:rStyle w:val="35"/>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5"/>
          <w:rFonts w:hint="eastAsia" w:ascii="宋体" w:hAnsi="宋体" w:eastAsia="宋体" w:cs="宋体"/>
          <w:color w:val="auto"/>
          <w:highlight w:val="none"/>
        </w:rPr>
        <w:t>二 总则</w:t>
      </w:r>
      <w:bookmarkEnd w:id="26"/>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6"/>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6"/>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6"/>
        <w:rPr>
          <w:rFonts w:hint="eastAsia" w:ascii="宋体" w:hAnsi="宋体" w:eastAsia="宋体" w:cs="宋体"/>
          <w:color w:val="auto"/>
          <w:highlight w:val="none"/>
        </w:rPr>
      </w:pPr>
      <w:bookmarkStart w:id="32" w:name="_Toc10106_WPSOffice_Level2"/>
    </w:p>
    <w:p>
      <w:pPr>
        <w:pStyle w:val="6"/>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6"/>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5935_WPSOffice_Level2"/>
      <w:bookmarkStart w:id="35" w:name="_Toc188_WPSOffice_Level2"/>
      <w:bookmarkStart w:id="36" w:name="_Toc24604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2235_WPSOffice_Level2"/>
      <w:bookmarkStart w:id="39" w:name="_Toc2443_WPSOffice_Level2"/>
      <w:bookmarkStart w:id="40" w:name="_Toc31424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24836_WPSOffice_Level2"/>
      <w:bookmarkStart w:id="42" w:name="_Toc7005_WPSOffice_Level2"/>
      <w:bookmarkStart w:id="43" w:name="_Toc16269_WPSOffice_Level2"/>
      <w:bookmarkStart w:id="44" w:name="_Toc441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16294_WPSOffice_Level2"/>
      <w:bookmarkStart w:id="46" w:name="_Toc23459_WPSOffice_Level2"/>
      <w:bookmarkStart w:id="47" w:name="_Toc16119_WPSOffice_Level2"/>
      <w:bookmarkStart w:id="48" w:name="_Toc25382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16368_WPSOffice_Level2"/>
      <w:bookmarkStart w:id="51" w:name="_Toc28106_WPSOffice_Level2"/>
      <w:bookmarkStart w:id="52" w:name="_Toc9629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6"/>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6"/>
        <w:rPr>
          <w:rFonts w:hint="eastAsia" w:ascii="宋体" w:hAnsi="宋体" w:eastAsia="宋体" w:cs="宋体"/>
          <w:color w:val="auto"/>
          <w:highlight w:val="none"/>
          <w:lang w:eastAsia="zh-CN"/>
        </w:rPr>
      </w:pPr>
      <w:bookmarkStart w:id="53" w:name="_Toc7415_WPSOffice_Level2"/>
      <w:r>
        <w:rPr>
          <w:rFonts w:hint="eastAsia" w:ascii="宋体" w:hAnsi="宋体" w:eastAsia="宋体" w:cs="宋体"/>
          <w:color w:val="auto"/>
          <w:highlight w:val="none"/>
        </w:rPr>
        <w:t>四  投标文件的编制</w:t>
      </w:r>
      <w:bookmarkEnd w:id="53"/>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6"/>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6"/>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6"/>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6"/>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5"/>
        <w:rPr>
          <w:rFonts w:hint="eastAsia" w:ascii="宋体" w:hAnsi="宋体" w:eastAsia="宋体" w:cs="宋体"/>
          <w:color w:val="auto"/>
          <w:highlight w:val="none"/>
        </w:rPr>
      </w:pPr>
      <w:bookmarkStart w:id="61" w:name="_Toc17725_WPSOffice_Level1"/>
      <w:bookmarkStart w:id="62" w:name="_Toc78902192"/>
      <w:bookmarkStart w:id="63" w:name="_Toc29813"/>
      <w:r>
        <w:rPr>
          <w:rFonts w:hint="eastAsia" w:ascii="宋体" w:hAnsi="宋体" w:eastAsia="宋体" w:cs="宋体"/>
          <w:color w:val="auto"/>
          <w:highlight w:val="none"/>
        </w:rPr>
        <w:t>第二章 投标文件内容及格式</w:t>
      </w:r>
      <w:bookmarkEnd w:id="61"/>
      <w:bookmarkEnd w:id="62"/>
      <w:bookmarkEnd w:id="63"/>
    </w:p>
    <w:p>
      <w:pPr>
        <w:pStyle w:val="7"/>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3"/>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7"/>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3"/>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default" w:ascii="宋体" w:hAnsi="宋体" w:eastAsia="宋体" w:cs="宋体"/>
                <w:color w:val="auto"/>
                <w:highlight w:val="none"/>
                <w:lang w:val="en-US" w:eastAsia="zh-CN"/>
              </w:rPr>
            </w:pPr>
            <w:ins w:id="0" w:author="user" w:date="2024-06-05T21:23:04Z">
              <w:r>
                <w:rPr>
                  <w:rFonts w:hint="eastAsia" w:ascii="宋体" w:hAnsi="宋体" w:cs="宋体"/>
                  <w:color w:val="FF0000"/>
                  <w:highlight w:val="none"/>
                  <w:lang w:val="en-US" w:eastAsia="zh-CN"/>
                </w:rPr>
                <w:t>11</w:t>
              </w:r>
            </w:ins>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7"/>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3"/>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7"/>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3"/>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6"/>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6"/>
          <w:rFonts w:hint="eastAsia" w:ascii="宋体" w:hAnsi="宋体" w:eastAsia="宋体" w:cs="宋体"/>
          <w:bCs/>
          <w:color w:val="auto"/>
          <w:highlight w:val="none"/>
        </w:rPr>
        <w:t>格式1</w:t>
      </w:r>
    </w:p>
    <w:p>
      <w:pPr>
        <w:pStyle w:val="6"/>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3"/>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3"/>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6"/>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6"/>
          <w:rFonts w:hint="eastAsia" w:ascii="宋体" w:hAnsi="宋体" w:eastAsia="宋体" w:cs="宋体"/>
          <w:color w:val="auto"/>
          <w:highlight w:val="none"/>
        </w:rPr>
        <w:t>格式2</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6"/>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6"/>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6"/>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格式4</w:t>
      </w:r>
      <w:bookmarkStart w:id="82" w:name="_Toc16924_WPSOffice_Level2"/>
      <w:bookmarkStart w:id="83" w:name="_Toc3401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格式5</w:t>
      </w:r>
      <w:bookmarkStart w:id="84" w:name="_Toc21833_WPSOffice_Level2"/>
      <w:bookmarkStart w:id="85" w:name="_Toc122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6"/>
          <w:rFonts w:hint="eastAsia" w:ascii="宋体" w:hAnsi="宋体" w:eastAsia="宋体" w:cs="宋体"/>
          <w:color w:val="auto"/>
          <w:highlight w:val="none"/>
        </w:rPr>
        <w:t>格式6</w:t>
      </w:r>
    </w:p>
    <w:p>
      <w:pPr>
        <w:pStyle w:val="7"/>
        <w:jc w:val="center"/>
        <w:rPr>
          <w:rFonts w:hint="eastAsia" w:ascii="宋体" w:hAnsi="宋体" w:eastAsia="宋体" w:cs="宋体"/>
          <w:color w:val="auto"/>
          <w:highlight w:val="none"/>
        </w:rPr>
      </w:pPr>
      <w:bookmarkStart w:id="86" w:name="_Toc12037_WPSOffice_Level2"/>
      <w:bookmarkStart w:id="87" w:name="_Toc23728_WPSOffice_Level2"/>
      <w:r>
        <w:rPr>
          <w:rFonts w:hint="eastAsia" w:ascii="宋体" w:hAnsi="宋体" w:eastAsia="宋体" w:cs="宋体"/>
          <w:color w:val="auto"/>
          <w:highlight w:val="none"/>
        </w:rPr>
        <w:t>具备履行合同所必需的设备和专业技术能力声明函</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6"/>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6"/>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4"/>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4"/>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6" w:name="_Toc23482_WPSOffice_Level2"/>
      <w:bookmarkStart w:id="97" w:name="_Toc7084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4"/>
        <w:ind w:firstLine="420" w:firstLineChars="200"/>
        <w:rPr>
          <w:rFonts w:hint="eastAsia" w:ascii="宋体" w:hAnsi="宋体" w:eastAsia="宋体" w:cs="宋体"/>
          <w:color w:val="auto"/>
          <w:highlight w:val="none"/>
        </w:rPr>
      </w:pP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2"/>
        <w:ind w:firstLine="560"/>
        <w:rPr>
          <w:rFonts w:hint="eastAsia" w:ascii="宋体" w:hAnsi="宋体" w:eastAsia="宋体" w:cs="宋体"/>
          <w:color w:val="auto"/>
          <w:sz w:val="28"/>
          <w:szCs w:val="28"/>
          <w:highlight w:val="none"/>
        </w:rPr>
      </w:pP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4"/>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6"/>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eastAsia="宋体" w:cs="宋体"/>
          <w:color w:val="auto"/>
          <w:highlight w:val="none"/>
          <w:u w:val="single"/>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2"/>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6"/>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格式10</w:t>
      </w:r>
    </w:p>
    <w:p>
      <w:pPr>
        <w:pStyle w:val="6"/>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格式11</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3"/>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6"/>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6"/>
          <w:rFonts w:hint="eastAsia" w:ascii="宋体" w:hAnsi="宋体" w:eastAsia="宋体" w:cs="宋体"/>
          <w:color w:val="auto"/>
          <w:highlight w:val="none"/>
        </w:rPr>
        <w:t>格式13</w:t>
      </w:r>
    </w:p>
    <w:p>
      <w:pPr>
        <w:pStyle w:val="6"/>
        <w:rPr>
          <w:rFonts w:hint="eastAsia" w:ascii="宋体" w:hAnsi="宋体" w:eastAsia="宋体" w:cs="宋体"/>
          <w:color w:val="auto"/>
          <w:highlight w:val="none"/>
        </w:rPr>
      </w:pPr>
      <w:bookmarkStart w:id="104" w:name="_Toc8488_WPSOffice_Level2"/>
      <w:bookmarkStart w:id="105" w:name="_Toc4431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highlight w:val="none"/>
                <w:lang w:eastAsia="zh-CN"/>
              </w:rPr>
              <w:t>自合同签字起生效，服务期限为一年。一年服务期满，根据《财政部关于推</w:t>
            </w:r>
            <w:r>
              <w:rPr>
                <w:rFonts w:hint="eastAsia" w:ascii="宋体" w:hAnsi="宋体" w:cs="宋体"/>
                <w:color w:val="auto"/>
                <w:highlight w:val="none"/>
                <w:lang w:val="en-US" w:eastAsia="zh-CN"/>
              </w:rPr>
              <w:t>进</w:t>
            </w:r>
            <w:r>
              <w:rPr>
                <w:rFonts w:hint="eastAsia" w:ascii="宋体" w:hAnsi="宋体" w:eastAsia="宋体" w:cs="宋体"/>
                <w:color w:val="auto"/>
                <w:highlight w:val="none"/>
                <w:lang w:eastAsia="zh-CN"/>
              </w:rPr>
              <w:t>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2"/>
        <w:ind w:firstLine="420"/>
        <w:rPr>
          <w:rFonts w:hint="eastAsia" w:ascii="宋体" w:hAnsi="宋体" w:eastAsia="宋体" w:cs="宋体"/>
          <w:color w:val="auto"/>
          <w:highlight w:val="none"/>
        </w:rPr>
      </w:pPr>
    </w:p>
    <w:p>
      <w:pPr>
        <w:ind w:firstLine="420" w:firstLineChars="200"/>
        <w:rPr>
          <w:rStyle w:val="36"/>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6"/>
          <w:rFonts w:hint="eastAsia" w:ascii="宋体" w:hAnsi="宋体" w:eastAsia="宋体" w:cs="宋体"/>
          <w:color w:val="auto"/>
          <w:highlight w:val="none"/>
        </w:rPr>
        <w:t>格式14</w:t>
      </w:r>
    </w:p>
    <w:p>
      <w:pPr>
        <w:pStyle w:val="7"/>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2"/>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6"/>
          <w:rFonts w:hint="eastAsia" w:ascii="宋体" w:hAnsi="宋体" w:eastAsia="宋体" w:cs="宋体"/>
          <w:color w:val="auto"/>
          <w:highlight w:val="none"/>
        </w:rPr>
      </w:pPr>
      <w:r>
        <w:rPr>
          <w:rStyle w:val="36"/>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6"/>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19"/>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6"/>
        <w:rPr>
          <w:rFonts w:hint="eastAsia" w:ascii="宋体" w:hAnsi="宋体" w:eastAsia="宋体" w:cs="宋体"/>
          <w:color w:val="auto"/>
          <w:szCs w:val="21"/>
          <w:highlight w:val="none"/>
        </w:rPr>
      </w:pPr>
      <w:bookmarkStart w:id="106" w:name="_Toc13566_WPSOffice_Level2"/>
      <w:bookmarkStart w:id="107" w:name="_Toc29880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3"/>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7"/>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6"/>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2"/>
        <w:ind w:firstLine="480"/>
        <w:rPr>
          <w:rFonts w:hint="eastAsia" w:ascii="宋体" w:hAnsi="宋体" w:eastAsia="宋体" w:cs="宋体"/>
          <w:color w:val="auto"/>
          <w:sz w:val="24"/>
          <w:szCs w:val="24"/>
          <w:highlight w:val="none"/>
        </w:rPr>
      </w:pPr>
    </w:p>
    <w:p>
      <w:pPr>
        <w:pStyle w:val="32"/>
        <w:ind w:firstLine="480"/>
        <w:rPr>
          <w:rFonts w:hint="eastAsia" w:ascii="宋体" w:hAnsi="宋体" w:eastAsia="宋体" w:cs="宋体"/>
          <w:color w:val="auto"/>
          <w:sz w:val="24"/>
          <w:szCs w:val="24"/>
          <w:highlight w:val="none"/>
        </w:rPr>
      </w:pPr>
    </w:p>
    <w:p>
      <w:pPr>
        <w:pStyle w:val="32"/>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4"/>
          <w:rFonts w:hint="eastAsia" w:ascii="宋体" w:hAnsi="宋体" w:eastAsia="宋体" w:cs="宋体"/>
          <w:color w:val="auto"/>
          <w:highlight w:val="none"/>
        </w:rPr>
        <w:t>第三章 服务需求</w:t>
      </w:r>
      <w:bookmarkEnd w:id="108"/>
      <w:bookmarkEnd w:id="109"/>
      <w:bookmarkEnd w:id="110"/>
    </w:p>
    <w:p>
      <w:pPr>
        <w:keepNext/>
        <w:keepLines/>
        <w:pageBreakBefore w:val="0"/>
        <w:wordWrap/>
        <w:overflowPunct/>
        <w:topLinePunct w:val="0"/>
        <w:bidi w:val="0"/>
        <w:ind w:firstLine="482" w:firstLineChars="200"/>
        <w:outlineLvl w:val="0"/>
        <w:rPr>
          <w:rFonts w:hint="eastAsia" w:ascii="宋体" w:hAnsi="宋体" w:eastAsia="宋体" w:cs="宋体"/>
          <w:b/>
          <w:bCs/>
          <w:kern w:val="0"/>
          <w:sz w:val="24"/>
          <w:szCs w:val="24"/>
        </w:rPr>
      </w:pPr>
      <w:bookmarkStart w:id="111" w:name="_Toc78902194"/>
      <w:bookmarkStart w:id="112" w:name="_Toc2821_WPSOffice_Level1"/>
    </w:p>
    <w:p>
      <w:pPr>
        <w:keepNext/>
        <w:keepLines/>
        <w:pageBreakBefore w:val="0"/>
        <w:wordWrap/>
        <w:overflowPunct/>
        <w:topLinePunct w:val="0"/>
        <w:bidi w:val="0"/>
        <w:adjustRightInd w:val="0"/>
        <w:snapToGrid w:val="0"/>
        <w:ind w:firstLine="482" w:firstLineChars="200"/>
        <w:outlineLvl w:val="0"/>
        <w:rPr>
          <w:rFonts w:hint="eastAsia" w:ascii="宋体" w:hAnsi="宋体" w:eastAsia="宋体" w:cs="宋体"/>
          <w:b/>
          <w:bCs/>
          <w:kern w:val="0"/>
          <w:sz w:val="24"/>
          <w:szCs w:val="24"/>
        </w:rPr>
      </w:pPr>
      <w:r>
        <w:rPr>
          <w:rFonts w:hint="eastAsia" w:ascii="宋体" w:hAnsi="宋体" w:eastAsia="宋体" w:cs="宋体"/>
          <w:b/>
          <w:bCs/>
          <w:kern w:val="0"/>
          <w:sz w:val="24"/>
          <w:szCs w:val="24"/>
        </w:rPr>
        <w:t>一、项目概述</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为落实国家税务总局“互联网+税务”行动计划，进一步优化税收营商环境，满足“非接触式”办税服务需要，黑龙江省税务局按照税务总局相关建设标准和规范，开发了黑龙江省电子税务局，为纳税人提供方便快捷安全且功能丰富的网上办税平台，有效提高了税收征管效率，降低了税收征纳成本。</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z w:val="24"/>
          <w:szCs w:val="24"/>
        </w:rPr>
      </w:pPr>
      <w:r>
        <w:rPr>
          <w:rFonts w:hint="eastAsia" w:ascii="宋体" w:hAnsi="宋体" w:eastAsia="宋体" w:cs="宋体"/>
          <w:spacing w:val="-4"/>
          <w:sz w:val="24"/>
          <w:szCs w:val="24"/>
          <w:lang w:val="en-US" w:eastAsia="zh-CN"/>
        </w:rPr>
        <w:t>为了确保全省纳税人、自然人使用电子税务局网页版、客户端版、移动版、社保费“网上办”“掌上办”办理涉税业务和优化调整社会保险费申报缴纳流程后的业务办理，适应即将推出的税务总局新版电子税务局的操作变化，有效解答和解决纳税人在电子税务局使用中的问题，通过购买电子税务局咨询热线服务，提高为纳税人提供咨询服务的能力，</w:t>
      </w:r>
      <w:r>
        <w:rPr>
          <w:rFonts w:hint="eastAsia" w:ascii="宋体" w:hAnsi="宋体" w:eastAsia="宋体" w:cs="宋体"/>
          <w:spacing w:val="-4"/>
          <w:sz w:val="24"/>
          <w:szCs w:val="24"/>
          <w:lang w:eastAsia="zh-CN"/>
        </w:rPr>
        <w:t>提升纳税人满意度。</w:t>
      </w:r>
    </w:p>
    <w:p>
      <w:pPr>
        <w:keepNext/>
        <w:keepLines/>
        <w:pageBreakBefore w:val="0"/>
        <w:wordWrap/>
        <w:overflowPunct/>
        <w:topLinePunct w:val="0"/>
        <w:bidi w:val="0"/>
        <w:adjustRightInd w:val="0"/>
        <w:snapToGrid w:val="0"/>
        <w:ind w:firstLine="482" w:firstLineChars="200"/>
        <w:outlineLvl w:val="0"/>
        <w:rPr>
          <w:rFonts w:hint="eastAsia" w:ascii="宋体" w:hAnsi="宋体" w:eastAsia="宋体" w:cs="宋体"/>
          <w:b/>
          <w:bCs/>
          <w:kern w:val="0"/>
          <w:sz w:val="24"/>
          <w:szCs w:val="24"/>
        </w:rPr>
      </w:pPr>
      <w:r>
        <w:rPr>
          <w:rFonts w:hint="eastAsia" w:ascii="宋体" w:hAnsi="宋体" w:eastAsia="宋体" w:cs="宋体"/>
          <w:b/>
          <w:bCs/>
          <w:kern w:val="0"/>
          <w:sz w:val="24"/>
          <w:szCs w:val="24"/>
        </w:rPr>
        <w:t>二、项目要求</w:t>
      </w:r>
    </w:p>
    <w:p>
      <w:pPr>
        <w:pageBreakBefore w:val="0"/>
        <w:wordWrap/>
        <w:overflowPunct/>
        <w:topLinePunct w:val="0"/>
        <w:bidi w:val="0"/>
        <w:adjustRightInd w:val="0"/>
        <w:snapToGrid w:val="0"/>
        <w:ind w:firstLine="482" w:firstLineChars="200"/>
        <w:outlineLvl w:val="1"/>
        <w:rPr>
          <w:rFonts w:hint="eastAsia" w:ascii="宋体" w:hAnsi="宋体" w:eastAsia="宋体" w:cs="宋体"/>
          <w:b/>
          <w:bCs/>
          <w:sz w:val="24"/>
          <w:szCs w:val="24"/>
        </w:rPr>
      </w:pPr>
      <w:r>
        <w:rPr>
          <w:rFonts w:hint="eastAsia" w:ascii="宋体" w:hAnsi="宋体" w:eastAsia="宋体" w:cs="宋体"/>
          <w:b/>
          <w:bCs/>
          <w:sz w:val="24"/>
          <w:szCs w:val="24"/>
        </w:rPr>
        <w:t>（一）服务内容</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1</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通过电子税务局咨询热线，为纳税人提供人工坐席咨询服务、在线咨询技术服务，解决纳税人端软件故障和操作使用问题，确保纳税人顺利使用电子税务局办理涉税业务。</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zh-CN" w:eastAsia="zh-CN"/>
        </w:rPr>
      </w:pPr>
      <w:r>
        <w:rPr>
          <w:rFonts w:hint="eastAsia" w:ascii="宋体" w:hAnsi="宋体" w:eastAsia="宋体" w:cs="宋体"/>
          <w:spacing w:val="-4"/>
          <w:sz w:val="24"/>
          <w:szCs w:val="24"/>
          <w:lang w:val="en-US" w:eastAsia="zh-CN"/>
        </w:rPr>
        <w:t>2</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zh-CN" w:eastAsia="zh-CN"/>
        </w:rPr>
        <w:t>为全省纳税人</w:t>
      </w:r>
      <w:r>
        <w:rPr>
          <w:rFonts w:hint="eastAsia" w:ascii="宋体" w:hAnsi="宋体" w:eastAsia="宋体" w:cs="宋体"/>
          <w:spacing w:val="-4"/>
          <w:sz w:val="24"/>
          <w:szCs w:val="24"/>
          <w:lang w:val="en-US" w:eastAsia="zh-CN"/>
        </w:rPr>
        <w:t>提供远程指导服务，对于通过电子税务局咨询热线无法清晰指导纳税人操作的问题，</w:t>
      </w:r>
      <w:r>
        <w:rPr>
          <w:rFonts w:hint="eastAsia" w:ascii="宋体" w:hAnsi="宋体" w:eastAsia="宋体" w:cs="宋体"/>
          <w:spacing w:val="-4"/>
          <w:sz w:val="24"/>
          <w:szCs w:val="24"/>
          <w:lang w:val="zh-CN" w:eastAsia="zh-CN"/>
        </w:rPr>
        <w:t>提供远程操作支持，直接指导用户进行操作。</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3</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zh-CN" w:eastAsia="zh-CN"/>
        </w:rPr>
        <w:t>为全省纳税人</w:t>
      </w:r>
      <w:r>
        <w:rPr>
          <w:rFonts w:hint="eastAsia" w:ascii="宋体" w:hAnsi="宋体" w:eastAsia="宋体" w:cs="宋体"/>
          <w:spacing w:val="-4"/>
          <w:sz w:val="24"/>
          <w:szCs w:val="24"/>
          <w:lang w:val="en-US" w:eastAsia="zh-CN"/>
        </w:rPr>
        <w:t>提供问题定位与解决服务，模拟复现纳税人使用场景，与金税三期、金税四期等关联系统技术支持沟通，定位并解决纳税人的使用问题</w:t>
      </w:r>
      <w:r>
        <w:rPr>
          <w:rFonts w:hint="eastAsia" w:ascii="宋体" w:hAnsi="宋体" w:eastAsia="宋体" w:cs="宋体"/>
          <w:spacing w:val="-4"/>
          <w:sz w:val="24"/>
          <w:szCs w:val="24"/>
          <w:lang w:val="zh-CN" w:eastAsia="zh-CN"/>
        </w:rPr>
        <w:t>。</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4</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随着金税四期、社保费“网上办”“掌上办”、新版电子税务局等系统的更新，及时组织学习</w:t>
      </w:r>
      <w:r>
        <w:rPr>
          <w:rFonts w:hint="eastAsia" w:ascii="宋体" w:hAnsi="宋体" w:eastAsia="宋体" w:cs="宋体"/>
          <w:spacing w:val="-4"/>
          <w:sz w:val="24"/>
          <w:szCs w:val="24"/>
          <w:lang w:val="zh-CN" w:eastAsia="zh-CN"/>
        </w:rPr>
        <w:t>相关</w:t>
      </w:r>
      <w:r>
        <w:rPr>
          <w:rFonts w:hint="eastAsia" w:ascii="宋体" w:hAnsi="宋体" w:eastAsia="宋体" w:cs="宋体"/>
          <w:spacing w:val="-4"/>
          <w:sz w:val="24"/>
          <w:szCs w:val="24"/>
          <w:lang w:val="en-US" w:eastAsia="zh-CN"/>
        </w:rPr>
        <w:t>知识和掌握系统操作使用，解答纳税人的问题咨询</w:t>
      </w:r>
      <w:r>
        <w:rPr>
          <w:rFonts w:hint="eastAsia" w:ascii="宋体" w:hAnsi="宋体" w:eastAsia="宋体" w:cs="宋体"/>
          <w:spacing w:val="-4"/>
          <w:sz w:val="24"/>
          <w:szCs w:val="24"/>
          <w:lang w:val="zh-CN" w:eastAsia="zh-CN"/>
        </w:rPr>
        <w:t>。</w:t>
      </w:r>
    </w:p>
    <w:p>
      <w:pPr>
        <w:pageBreakBefore w:val="0"/>
        <w:wordWrap/>
        <w:overflowPunct/>
        <w:topLinePunct w:val="0"/>
        <w:bidi w:val="0"/>
        <w:adjustRightInd w:val="0"/>
        <w:snapToGrid w:val="0"/>
        <w:ind w:firstLine="482" w:firstLineChars="200"/>
        <w:outlineLvl w:val="1"/>
        <w:rPr>
          <w:rFonts w:hint="eastAsia" w:ascii="宋体" w:hAnsi="宋体" w:eastAsia="宋体" w:cs="宋体"/>
          <w:b/>
          <w:bCs/>
          <w:sz w:val="24"/>
          <w:szCs w:val="24"/>
        </w:rPr>
      </w:pPr>
      <w:r>
        <w:rPr>
          <w:rFonts w:hint="eastAsia" w:ascii="宋体" w:hAnsi="宋体" w:eastAsia="宋体" w:cs="宋体"/>
          <w:b/>
          <w:bCs/>
          <w:sz w:val="24"/>
          <w:szCs w:val="24"/>
        </w:rPr>
        <w:t>（二）服务要求</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1</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电子税务局咨询热线服务期为12个月，提供服务人员16人,为全省纳税人提供电子税务局系统操作使用的技术服务。</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2</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面向全省电子税务局用户提供“7×24小时”热线电话支持服务，服务范围包括本项目的所有应用软件，并实行“一站式”服务，即一点受理后全程跟踪服务。</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3</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具备长期的税务系统技术服务经验，参与过税务系统软件开发项目、系统运维服务。具备进行申报缴税、发票业务、涉税事项、社保费等服务能力，对上述业务具有较好的理解。</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4</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具备完善的技术支持体系，及时收集、整理和解决纳税人反馈的问题。</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color w:val="FF0000"/>
          <w:spacing w:val="-4"/>
          <w:sz w:val="24"/>
          <w:szCs w:val="24"/>
          <w:lang w:val="en-US" w:eastAsia="zh-CN"/>
        </w:rPr>
      </w:pPr>
      <w:r>
        <w:rPr>
          <w:rFonts w:hint="eastAsia" w:ascii="宋体" w:hAnsi="宋体" w:eastAsia="宋体" w:cs="宋体"/>
          <w:color w:val="auto"/>
          <w:spacing w:val="-4"/>
          <w:sz w:val="24"/>
          <w:szCs w:val="24"/>
          <w:lang w:val="en-US" w:eastAsia="zh-CN"/>
        </w:rPr>
        <w:t>5</w:t>
      </w:r>
      <w:r>
        <w:rPr>
          <w:rFonts w:hint="eastAsia" w:ascii="宋体" w:hAnsi="宋体" w:cs="宋体"/>
          <w:spacing w:val="-4"/>
          <w:sz w:val="24"/>
          <w:szCs w:val="24"/>
          <w:lang w:val="en-US" w:eastAsia="zh-CN"/>
        </w:rPr>
        <w:t>.</w:t>
      </w:r>
      <w:r>
        <w:rPr>
          <w:rFonts w:hint="eastAsia" w:ascii="宋体" w:hAnsi="宋体" w:eastAsia="宋体" w:cs="宋体"/>
          <w:color w:val="auto"/>
          <w:spacing w:val="-4"/>
          <w:sz w:val="24"/>
          <w:szCs w:val="24"/>
          <w:lang w:val="en-US" w:eastAsia="zh-CN"/>
        </w:rPr>
        <w:t>为了保质保量的做好服务，要求中标人的售后技术支持队伍必须人员齐备，自身技术过硬，要有类似此项规模工程的经历和必要的经验及服务意识。中标人详细列出公司总部和分支机构的技术人员数量及联系方式。各项目组的技术支持队伍在售前和售后要固定，不能临时替补或经常更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6</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建立重大事件应急处理流程和响应机制。</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7</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具有专业的师资培训队伍和完善的培训方案，具有完备的培训规划，可随时根据系统或政策变化情况更新培训计划和培训资料。</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default" w:ascii="宋体" w:hAnsi="宋体" w:eastAsia="宋体" w:cs="宋体"/>
          <w:color w:val="FF0000"/>
          <w:spacing w:val="-4"/>
          <w:sz w:val="24"/>
          <w:szCs w:val="24"/>
          <w:lang w:val="en-US" w:eastAsia="zh-CN"/>
        </w:rPr>
      </w:pPr>
      <w:r>
        <w:rPr>
          <w:rFonts w:hint="default" w:ascii="宋体" w:hAnsi="宋体" w:cs="宋体"/>
          <w:spacing w:val="-4"/>
          <w:sz w:val="24"/>
          <w:szCs w:val="24"/>
          <w:lang w:val="en" w:eastAsia="zh-CN"/>
        </w:rPr>
        <w:t>8</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本项目的服务办公场所为黑龙江省哈尔滨市道里区友谊路282号，采购人提供服务所在场所及基础附属设施、网络设备，坐席工位、物业服务、食堂设施等基础设施，</w:t>
      </w:r>
      <w:r>
        <w:rPr>
          <w:rFonts w:hint="eastAsia" w:ascii="宋体" w:hAnsi="宋体" w:eastAsia="宋体" w:cs="宋体"/>
          <w:color w:val="auto"/>
          <w:spacing w:val="-4"/>
          <w:sz w:val="24"/>
          <w:szCs w:val="24"/>
          <w:lang w:val="en-US" w:eastAsia="zh-CN"/>
        </w:rPr>
        <w:t>中标人负责承担服务人员和工作所需计算机</w:t>
      </w:r>
      <w:r>
        <w:rPr>
          <w:rFonts w:hint="eastAsia" w:ascii="宋体" w:hAnsi="宋体" w:cs="宋体"/>
          <w:color w:val="auto"/>
          <w:spacing w:val="-4"/>
          <w:sz w:val="24"/>
          <w:szCs w:val="24"/>
          <w:lang w:val="en-US" w:eastAsia="zh-CN"/>
        </w:rPr>
        <w:t>、</w:t>
      </w:r>
      <w:r>
        <w:rPr>
          <w:rFonts w:hint="eastAsia" w:ascii="宋体" w:hAnsi="宋体" w:eastAsia="宋体" w:cs="宋体"/>
          <w:color w:val="auto"/>
          <w:spacing w:val="-4"/>
          <w:sz w:val="24"/>
          <w:szCs w:val="24"/>
          <w:lang w:val="en-US" w:eastAsia="zh-CN"/>
        </w:rPr>
        <w:t>话机、耳麦、办公耗材、培训、师资、员工用餐及其他相关费用等。</w:t>
      </w:r>
    </w:p>
    <w:p>
      <w:pPr>
        <w:keepNext/>
        <w:keepLines/>
        <w:pageBreakBefore w:val="0"/>
        <w:wordWrap/>
        <w:overflowPunct/>
        <w:topLinePunct w:val="0"/>
        <w:bidi w:val="0"/>
        <w:adjustRightInd w:val="0"/>
        <w:snapToGrid w:val="0"/>
        <w:ind w:firstLine="482" w:firstLineChars="200"/>
        <w:outlineLvl w:val="0"/>
        <w:rPr>
          <w:rFonts w:hint="eastAsia" w:ascii="宋体" w:hAnsi="宋体" w:eastAsia="宋体" w:cs="宋体"/>
          <w:b/>
          <w:bCs/>
          <w:kern w:val="0"/>
          <w:sz w:val="24"/>
          <w:szCs w:val="24"/>
        </w:rPr>
      </w:pPr>
      <w:r>
        <w:rPr>
          <w:rFonts w:hint="eastAsia" w:ascii="宋体" w:hAnsi="宋体" w:eastAsia="宋体" w:cs="宋体"/>
          <w:b/>
          <w:bCs/>
          <w:kern w:val="0"/>
          <w:sz w:val="24"/>
          <w:szCs w:val="24"/>
          <w:lang w:val="en-US" w:eastAsia="zh-CN"/>
        </w:rPr>
        <w:t>三</w:t>
      </w:r>
      <w:r>
        <w:rPr>
          <w:rFonts w:hint="eastAsia" w:ascii="宋体" w:hAnsi="宋体" w:eastAsia="宋体" w:cs="宋体"/>
          <w:b/>
          <w:bCs/>
          <w:kern w:val="0"/>
          <w:sz w:val="24"/>
          <w:szCs w:val="24"/>
          <w:lang w:eastAsia="zh-CN"/>
        </w:rPr>
        <w:t>、管理要求</w:t>
      </w:r>
    </w:p>
    <w:p>
      <w:pPr>
        <w:pageBreakBefore w:val="0"/>
        <w:wordWrap/>
        <w:overflowPunct/>
        <w:topLinePunct w:val="0"/>
        <w:bidi w:val="0"/>
        <w:adjustRightInd w:val="0"/>
        <w:snapToGrid w:val="0"/>
        <w:ind w:firstLine="482" w:firstLineChars="200"/>
        <w:outlineLvl w:val="1"/>
        <w:rPr>
          <w:rFonts w:hint="eastAsia" w:ascii="宋体" w:hAnsi="宋体" w:eastAsia="宋体" w:cs="宋体"/>
          <w:b/>
          <w:bCs/>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eastAsia="zh-CN"/>
        </w:rPr>
        <w:t>一</w:t>
      </w:r>
      <w:r>
        <w:rPr>
          <w:rFonts w:hint="eastAsia" w:ascii="宋体" w:hAnsi="宋体" w:eastAsia="宋体" w:cs="宋体"/>
          <w:b/>
          <w:bCs/>
          <w:sz w:val="24"/>
          <w:szCs w:val="24"/>
        </w:rPr>
        <w:t>）内部管理要求</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中标人应贯彻落实国家税务总局和黑龙江省税务局出台的行政办公、热线管理、安全保密及其他有关管理规定和工作规范，并做好以下工作：</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1</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建立完善的岗责体系，明确服务人员各岗位工作职责，制定岗位工作说明书。</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2</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制定各类管理制度，包括现场管理制度、现场环境规范、网络信息安全制度、网络系统运维管理制度、信息保密制度、应急管理制度、办公设备及附属设施管理制度、防火防盗等安全措施。</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3</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制定各类内部工作规范，包括用语规范、应答流程规范、工单流转规范、质检规范、现场应急规范等。</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4</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制定人员管理制度，包括人员招聘制度、请休假制度、排班制度、奖惩管理办法、待岗辞退管理办法等。</w:t>
      </w:r>
    </w:p>
    <w:p>
      <w:pPr>
        <w:pageBreakBefore w:val="0"/>
        <w:wordWrap/>
        <w:overflowPunct/>
        <w:topLinePunct w:val="0"/>
        <w:bidi w:val="0"/>
        <w:adjustRightInd w:val="0"/>
        <w:snapToGrid w:val="0"/>
        <w:ind w:firstLine="482" w:firstLineChars="200"/>
        <w:outlineLvl w:val="1"/>
        <w:rPr>
          <w:rFonts w:hint="eastAsia" w:ascii="宋体" w:hAnsi="宋体" w:eastAsia="宋体" w:cs="宋体"/>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eastAsia="zh-CN"/>
        </w:rPr>
        <w:t>二</w:t>
      </w:r>
      <w:r>
        <w:rPr>
          <w:rFonts w:hint="eastAsia" w:ascii="宋体" w:hAnsi="宋体" w:eastAsia="宋体" w:cs="宋体"/>
          <w:b/>
          <w:bCs/>
          <w:sz w:val="24"/>
          <w:szCs w:val="24"/>
        </w:rPr>
        <w:t>）保密工作要求</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1</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中标人应遵守黑龙江省税务局相关安全保密制度，并签订保密协议。若服务人员违反信息安全保密制度相关规定，对税务机关及纳税人缴费人造成利益损害的，中标人应承担相关法律责任。</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2</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黑龙江省税务局的国家秘密、商业秘密、纳税人缴费人信息资料及有关文件信息，均不得泄露或不正当地使用，黑龙江省税务局已公开的除外。</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3</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未经过黑龙江省税务局相关人员认可的情况下，不得将任何黑龙江省税务局认为涉及数据安全的文档、观点、数据、系统结构信息传出或者披露和使用。</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4</w:t>
      </w:r>
      <w:r>
        <w:rPr>
          <w:rFonts w:hint="eastAsia" w:ascii="宋体" w:hAnsi="宋体" w:cs="宋体"/>
          <w:spacing w:val="-4"/>
          <w:sz w:val="24"/>
          <w:szCs w:val="24"/>
          <w:lang w:val="en-US" w:eastAsia="zh-CN"/>
        </w:rPr>
        <w:t>.</w:t>
      </w:r>
      <w:r>
        <w:rPr>
          <w:rFonts w:hint="eastAsia" w:ascii="宋体" w:hAnsi="宋体" w:eastAsia="宋体" w:cs="宋体"/>
          <w:spacing w:val="-4"/>
          <w:sz w:val="24"/>
          <w:szCs w:val="24"/>
          <w:lang w:val="en-US" w:eastAsia="zh-CN"/>
        </w:rPr>
        <w:t>服务期结束或合同终止后，中标人所掌握的信息数据（电子、纸质等资料）应交由采购人审核确认后按规定程序处理。</w:t>
      </w:r>
    </w:p>
    <w:p>
      <w:pPr>
        <w:pageBreakBefore w:val="0"/>
        <w:wordWrap/>
        <w:overflowPunct/>
        <w:topLinePunct w:val="0"/>
        <w:bidi w:val="0"/>
        <w:adjustRightInd w:val="0"/>
        <w:snapToGrid w:val="0"/>
        <w:ind w:firstLine="482" w:firstLineChars="200"/>
        <w:outlineLvl w:val="1"/>
        <w:rPr>
          <w:rFonts w:hint="eastAsia" w:ascii="宋体" w:hAnsi="宋体" w:eastAsia="宋体" w:cs="宋体"/>
          <w:b/>
          <w:bCs/>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eastAsia="zh-CN"/>
        </w:rPr>
        <w:t>三</w:t>
      </w:r>
      <w:r>
        <w:rPr>
          <w:rFonts w:hint="eastAsia" w:ascii="宋体" w:hAnsi="宋体" w:eastAsia="宋体" w:cs="宋体"/>
          <w:b/>
          <w:bCs/>
          <w:sz w:val="24"/>
          <w:szCs w:val="24"/>
        </w:rPr>
        <w:t>）投诉处理需求</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中标人须配合采购人妥善处理相关投诉,因中标人政策解答错误且不予以更正、投诉处理不当</w:t>
      </w:r>
      <w:r>
        <w:rPr>
          <w:rFonts w:hint="eastAsia" w:ascii="宋体" w:hAnsi="宋体" w:cs="宋体"/>
          <w:spacing w:val="-4"/>
          <w:sz w:val="24"/>
          <w:szCs w:val="24"/>
          <w:lang w:val="en-US" w:eastAsia="zh-CN"/>
        </w:rPr>
        <w:t>导致</w:t>
      </w:r>
      <w:r>
        <w:rPr>
          <w:rFonts w:hint="eastAsia" w:ascii="宋体" w:hAnsi="宋体" w:eastAsia="宋体" w:cs="宋体"/>
          <w:spacing w:val="-4"/>
          <w:sz w:val="24"/>
          <w:szCs w:val="24"/>
          <w:lang w:val="en-US" w:eastAsia="zh-CN"/>
        </w:rPr>
        <w:t>舆情等情况造成的投诉赔偿由中标人负责。因中标人服务不到位引发的声誉损失等不良影响，以及由此造成对采购人及相关第三方形成的损失，中标人承担全部责任。</w:t>
      </w:r>
    </w:p>
    <w:p>
      <w:pPr>
        <w:keepNext/>
        <w:keepLines/>
        <w:pageBreakBefore w:val="0"/>
        <w:wordWrap/>
        <w:overflowPunct/>
        <w:topLinePunct w:val="0"/>
        <w:bidi w:val="0"/>
        <w:adjustRightInd w:val="0"/>
        <w:snapToGrid w:val="0"/>
        <w:ind w:firstLine="482" w:firstLineChars="200"/>
        <w:outlineLvl w:val="0"/>
        <w:rPr>
          <w:rFonts w:hint="eastAsia" w:ascii="宋体" w:hAnsi="宋体" w:eastAsia="宋体" w:cs="宋体"/>
          <w:b/>
          <w:bCs/>
          <w:kern w:val="0"/>
          <w:sz w:val="24"/>
          <w:szCs w:val="24"/>
        </w:rPr>
      </w:pPr>
      <w:r>
        <w:rPr>
          <w:rFonts w:hint="eastAsia" w:ascii="宋体" w:hAnsi="宋体" w:eastAsia="宋体" w:cs="宋体"/>
          <w:b/>
          <w:bCs/>
          <w:kern w:val="0"/>
          <w:sz w:val="24"/>
          <w:szCs w:val="24"/>
        </w:rPr>
        <w:t>四、考核要求</w:t>
      </w:r>
    </w:p>
    <w:p>
      <w:pPr>
        <w:pageBreakBefore w:val="0"/>
        <w:wordWrap/>
        <w:overflowPunct/>
        <w:topLinePunct w:val="0"/>
        <w:bidi w:val="0"/>
        <w:ind w:firstLine="482" w:firstLineChars="200"/>
        <w:outlineLvl w:val="1"/>
        <w:rPr>
          <w:rFonts w:hint="eastAsia" w:ascii="宋体" w:hAnsi="宋体"/>
          <w:b/>
          <w:bCs/>
          <w:color w:val="auto"/>
          <w:sz w:val="24"/>
          <w:szCs w:val="24"/>
        </w:rPr>
      </w:pPr>
      <w:r>
        <w:rPr>
          <w:rFonts w:hint="eastAsia" w:ascii="宋体" w:hAnsi="宋体"/>
          <w:b/>
          <w:bCs/>
          <w:color w:val="auto"/>
          <w:sz w:val="24"/>
          <w:szCs w:val="24"/>
          <w:lang w:eastAsia="zh-CN"/>
        </w:rPr>
        <w:t>（</w:t>
      </w:r>
      <w:r>
        <w:rPr>
          <w:rFonts w:hint="eastAsia" w:ascii="宋体" w:hAnsi="宋体"/>
          <w:b/>
          <w:bCs/>
          <w:color w:val="auto"/>
          <w:sz w:val="24"/>
          <w:szCs w:val="24"/>
          <w:lang w:val="en-US" w:eastAsia="zh-CN"/>
        </w:rPr>
        <w:t>一</w:t>
      </w:r>
      <w:r>
        <w:rPr>
          <w:rFonts w:hint="eastAsia" w:ascii="宋体" w:hAnsi="宋体"/>
          <w:b/>
          <w:bCs/>
          <w:color w:val="auto"/>
          <w:sz w:val="24"/>
          <w:szCs w:val="24"/>
          <w:lang w:eastAsia="zh-CN"/>
        </w:rPr>
        <w:t>）</w:t>
      </w:r>
      <w:r>
        <w:rPr>
          <w:rFonts w:hint="eastAsia" w:ascii="宋体" w:hAnsi="宋体"/>
          <w:b/>
          <w:bCs/>
          <w:color w:val="auto"/>
          <w:sz w:val="24"/>
          <w:szCs w:val="24"/>
        </w:rPr>
        <w:t>考核指标</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1</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出勤率：≥ 90%；</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指标说明：分数10分。按照事先确定的排班计划，结合系统每日登录情况计算，出勤率较目标值每下降1%扣1分，此项分数扣完为止。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2</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热线接通率：≥90%；</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指标说明：分数10分。接通率=拨测接通的数量÷拨测总量，接通率较目标值每下降1%扣1分，此项分数扣完为止。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3</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电话平均等待时长≤60 秒；</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指标说明：分数10分。平均等待时长=拨测接听的总等待时长÷拨测人工接听量，电话平均等待时长较目标值每增加5秒扣1分，此项分数扣完为止。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4</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答复准确率平均得分≥85分；</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指标说明：分数15分。答复准确率平均得分=质量监控时样本答复准确率总得分÷质量监控样本数，以12366热线现行的考评方法为准，答复准确率平均得分每低于目标值5分扣1分，此项分数扣完为止。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5</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按期回复率：≥90%；</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指标说明：分数10分。按期回复率=按期回复的疑难问题÷全部疑难问题，疑难问题在两个工作日内回复，按期回复率每低于目标值1%扣1分，此项分数扣完为止。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6</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服务规范性平均得分≥90分；</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指标说明：分数10分。服务规范性平均得分=质量监控时样本服务规范性总得分÷质量监控样本数，以12366热线现行的考评方法为准，服务规范性平均得分每低于目标值5分扣1分，此项分数扣完为止。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7</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小结规范性平均得分≥90分；</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指标说明：分数10分。小结规范性平均得分=质量监控时样本小结规范性总得分÷质量监控样本数，以12366热线现行的考评方法为准，小结规范性平均得分每低于目标值5分扣1分，此项分数扣完为止。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8</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采购人评价：据实，按次计算；</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指标说明：分数10分。中标人不服从采购人工作范围内的工作安排，每发现1次扣2分。</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9</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投诉率：≤0.03%；</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指标说明：分数10分。投诉率=（经核实属实的服务态度及服务质效投诉÷接通话务总数）×100%，据实计算，投诉率较目标值每上升0.01%扣1分，上升幅度采用进一法，千分号前保留一位小数，此项分数扣完为止。</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default"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10</w:t>
      </w:r>
      <w:r>
        <w:rPr>
          <w:rFonts w:hint="eastAsia" w:ascii="宋体" w:hAnsi="宋体" w:cs="宋体"/>
          <w:spacing w:val="-4"/>
          <w:sz w:val="24"/>
          <w:szCs w:val="24"/>
          <w:lang w:val="en-US" w:eastAsia="zh-CN"/>
        </w:rPr>
        <w:t>.</w:t>
      </w:r>
      <w:r>
        <w:rPr>
          <w:rFonts w:hint="eastAsia" w:ascii="宋体" w:hAnsi="宋体" w:cs="宋体"/>
          <w:color w:val="auto"/>
          <w:spacing w:val="-4"/>
          <w:sz w:val="24"/>
          <w:szCs w:val="24"/>
          <w:lang w:val="en-US" w:eastAsia="zh-CN"/>
        </w:rPr>
        <w:t>人员流失数量≤1人。</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cs="宋体"/>
          <w:color w:val="auto"/>
          <w:spacing w:val="-4"/>
          <w:sz w:val="24"/>
          <w:szCs w:val="24"/>
          <w:lang w:val="en-US" w:eastAsia="zh-CN"/>
        </w:rPr>
      </w:pPr>
      <w:r>
        <w:rPr>
          <w:rFonts w:hint="eastAsia" w:ascii="宋体" w:hAnsi="宋体" w:cs="宋体"/>
          <w:color w:val="auto"/>
          <w:spacing w:val="-4"/>
          <w:sz w:val="24"/>
          <w:szCs w:val="24"/>
          <w:lang w:val="en-US" w:eastAsia="zh-CN"/>
        </w:rPr>
        <w:t>指标说明：分数5分。签约满半年的员工流失数量（不包含已待岗或主动辞退、开除的员工）不多于1人，每多于1人扣1分，此项分数扣完为止。</w:t>
      </w:r>
    </w:p>
    <w:p>
      <w:pPr>
        <w:pageBreakBefore w:val="0"/>
        <w:wordWrap/>
        <w:overflowPunct/>
        <w:topLinePunct w:val="0"/>
        <w:bidi w:val="0"/>
        <w:ind w:firstLine="482" w:firstLineChars="200"/>
        <w:outlineLvl w:val="1"/>
        <w:rPr>
          <w:rFonts w:hint="eastAsia" w:ascii="宋体" w:hAnsi="宋体"/>
          <w:b/>
          <w:bCs/>
          <w:color w:val="auto"/>
          <w:sz w:val="24"/>
          <w:szCs w:val="24"/>
          <w:lang w:val="en-US" w:eastAsia="zh-CN"/>
        </w:rPr>
      </w:pPr>
      <w:r>
        <w:rPr>
          <w:rFonts w:hint="eastAsia" w:ascii="宋体" w:hAnsi="宋体"/>
          <w:b/>
          <w:bCs/>
          <w:color w:val="auto"/>
          <w:sz w:val="24"/>
          <w:szCs w:val="24"/>
          <w:lang w:val="en-US" w:eastAsia="zh-CN"/>
        </w:rPr>
        <w:t>（二）验收标准</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color w:val="auto"/>
          <w:spacing w:val="-4"/>
          <w:sz w:val="24"/>
          <w:szCs w:val="24"/>
          <w:lang w:eastAsia="zh-CN"/>
        </w:rPr>
      </w:pPr>
      <w:r>
        <w:rPr>
          <w:rFonts w:hint="eastAsia" w:ascii="宋体" w:hAnsi="宋体" w:eastAsia="宋体" w:cs="宋体"/>
          <w:color w:val="auto"/>
          <w:spacing w:val="-3"/>
          <w:sz w:val="24"/>
          <w:szCs w:val="24"/>
          <w:lang w:eastAsia="zh-CN"/>
        </w:rPr>
        <w:t>采</w:t>
      </w:r>
      <w:r>
        <w:rPr>
          <w:rFonts w:hint="eastAsia" w:ascii="宋体" w:hAnsi="宋体" w:eastAsia="宋体" w:cs="宋体"/>
          <w:color w:val="auto"/>
          <w:spacing w:val="-4"/>
          <w:sz w:val="24"/>
          <w:szCs w:val="24"/>
          <w:lang w:eastAsia="zh-CN"/>
        </w:rPr>
        <w:t>购</w:t>
      </w:r>
      <w:r>
        <w:rPr>
          <w:rFonts w:hint="eastAsia" w:ascii="宋体" w:hAnsi="宋体" w:cs="宋体"/>
          <w:color w:val="auto"/>
          <w:spacing w:val="-4"/>
          <w:sz w:val="24"/>
          <w:szCs w:val="24"/>
          <w:lang w:eastAsia="zh-CN"/>
        </w:rPr>
        <w:t>人</w:t>
      </w:r>
      <w:r>
        <w:rPr>
          <w:rFonts w:hint="eastAsia" w:ascii="宋体" w:hAnsi="宋体" w:eastAsia="宋体" w:cs="宋体"/>
          <w:color w:val="auto"/>
          <w:spacing w:val="-4"/>
          <w:sz w:val="24"/>
          <w:szCs w:val="24"/>
          <w:lang w:eastAsia="zh-CN"/>
        </w:rPr>
        <w:t>按照上述</w:t>
      </w:r>
      <w:r>
        <w:rPr>
          <w:rFonts w:hint="eastAsia" w:ascii="宋体" w:hAnsi="宋体" w:cs="宋体"/>
          <w:color w:val="auto"/>
          <w:spacing w:val="-4"/>
          <w:sz w:val="24"/>
          <w:szCs w:val="24"/>
          <w:lang w:eastAsia="zh-CN"/>
        </w:rPr>
        <w:t>考核指标，</w:t>
      </w:r>
      <w:r>
        <w:rPr>
          <w:rFonts w:hint="eastAsia" w:ascii="宋体" w:hAnsi="宋体" w:eastAsia="宋体" w:cs="宋体"/>
          <w:color w:val="auto"/>
          <w:spacing w:val="-4"/>
          <w:sz w:val="24"/>
          <w:szCs w:val="24"/>
          <w:lang w:eastAsia="zh-CN"/>
        </w:rPr>
        <w:t>采用日常监测和现场验收相结合的方式，对</w:t>
      </w:r>
      <w:r>
        <w:rPr>
          <w:rFonts w:hint="eastAsia" w:ascii="宋体" w:hAnsi="宋体" w:cs="宋体"/>
          <w:color w:val="auto"/>
          <w:spacing w:val="-4"/>
          <w:sz w:val="24"/>
          <w:szCs w:val="24"/>
          <w:lang w:eastAsia="zh-CN"/>
        </w:rPr>
        <w:t>中标人</w:t>
      </w:r>
      <w:r>
        <w:rPr>
          <w:rFonts w:hint="eastAsia" w:ascii="宋体" w:hAnsi="宋体" w:eastAsia="宋体" w:cs="宋体"/>
          <w:color w:val="auto"/>
          <w:spacing w:val="-4"/>
          <w:sz w:val="24"/>
          <w:szCs w:val="24"/>
          <w:lang w:eastAsia="zh-CN"/>
        </w:rPr>
        <w:t>按月进行考核，</w:t>
      </w:r>
      <w:r>
        <w:rPr>
          <w:rFonts w:hint="eastAsia" w:ascii="宋体" w:hAnsi="宋体" w:cs="宋体"/>
          <w:color w:val="auto"/>
          <w:spacing w:val="-4"/>
          <w:sz w:val="24"/>
          <w:szCs w:val="24"/>
          <w:lang w:eastAsia="zh-CN"/>
        </w:rPr>
        <w:t>年度</w:t>
      </w:r>
      <w:r>
        <w:rPr>
          <w:rFonts w:hint="eastAsia" w:ascii="宋体" w:hAnsi="宋体" w:eastAsia="宋体" w:cs="宋体"/>
          <w:color w:val="auto"/>
          <w:spacing w:val="-4"/>
          <w:sz w:val="24"/>
          <w:szCs w:val="24"/>
          <w:lang w:eastAsia="zh-CN"/>
        </w:rPr>
        <w:t>末进行考核汇总</w:t>
      </w:r>
      <w:r>
        <w:rPr>
          <w:rFonts w:hint="eastAsia" w:ascii="宋体" w:hAnsi="宋体" w:cs="宋体"/>
          <w:color w:val="auto"/>
          <w:spacing w:val="-4"/>
          <w:sz w:val="24"/>
          <w:szCs w:val="24"/>
          <w:lang w:eastAsia="zh-CN"/>
        </w:rPr>
        <w:t>取按月考核结果平均分</w:t>
      </w:r>
      <w:r>
        <w:rPr>
          <w:rFonts w:hint="eastAsia" w:ascii="宋体" w:hAnsi="宋体" w:eastAsia="宋体" w:cs="宋体"/>
          <w:color w:val="auto"/>
          <w:spacing w:val="-4"/>
          <w:sz w:val="24"/>
          <w:szCs w:val="24"/>
          <w:lang w:eastAsia="zh-CN"/>
        </w:rPr>
        <w:t>，90分为合格分数线，每低1分扣减</w:t>
      </w:r>
      <w:r>
        <w:rPr>
          <w:rFonts w:hint="eastAsia" w:ascii="宋体" w:hAnsi="宋体" w:cs="宋体"/>
          <w:color w:val="auto"/>
          <w:spacing w:val="-4"/>
          <w:sz w:val="24"/>
          <w:szCs w:val="24"/>
          <w:lang w:eastAsia="zh-CN"/>
        </w:rPr>
        <w:t>年度</w:t>
      </w:r>
      <w:r>
        <w:rPr>
          <w:rFonts w:hint="eastAsia" w:ascii="宋体" w:hAnsi="宋体" w:eastAsia="宋体" w:cs="宋体"/>
          <w:color w:val="auto"/>
          <w:spacing w:val="-4"/>
          <w:sz w:val="24"/>
          <w:szCs w:val="24"/>
          <w:lang w:eastAsia="zh-CN"/>
        </w:rPr>
        <w:t>服务</w:t>
      </w:r>
      <w:r>
        <w:rPr>
          <w:rFonts w:hint="eastAsia" w:ascii="宋体" w:hAnsi="宋体" w:cs="宋体"/>
          <w:color w:val="auto"/>
          <w:spacing w:val="-4"/>
          <w:sz w:val="24"/>
          <w:szCs w:val="24"/>
          <w:lang w:eastAsia="zh-CN"/>
        </w:rPr>
        <w:t>费的</w:t>
      </w:r>
      <w:r>
        <w:rPr>
          <w:rFonts w:hint="eastAsia" w:ascii="宋体" w:hAnsi="宋体" w:eastAsia="宋体" w:cs="宋体"/>
          <w:color w:val="auto"/>
          <w:spacing w:val="-4"/>
          <w:sz w:val="24"/>
          <w:szCs w:val="24"/>
          <w:lang w:eastAsia="zh-CN"/>
        </w:rPr>
        <w:t>1‰。本合同服务内容完成，验收合格且双方签署最终验收合格报告后</w:t>
      </w:r>
      <w:r>
        <w:rPr>
          <w:rFonts w:hint="eastAsia" w:ascii="宋体" w:hAnsi="宋体" w:eastAsia="宋体" w:cs="宋体"/>
          <w:color w:val="auto"/>
          <w:spacing w:val="-4"/>
          <w:sz w:val="24"/>
          <w:szCs w:val="24"/>
          <w:lang w:val="en-US" w:eastAsia="zh-CN"/>
        </w:rPr>
        <w:t>5</w:t>
      </w:r>
      <w:r>
        <w:rPr>
          <w:rFonts w:hint="eastAsia" w:ascii="宋体" w:hAnsi="宋体" w:eastAsia="宋体" w:cs="宋体"/>
          <w:color w:val="auto"/>
          <w:spacing w:val="-4"/>
          <w:sz w:val="24"/>
          <w:szCs w:val="24"/>
          <w:lang w:eastAsia="zh-CN"/>
        </w:rPr>
        <w:t>个工作日内，</w:t>
      </w:r>
      <w:r>
        <w:rPr>
          <w:rFonts w:hint="eastAsia" w:ascii="宋体" w:hAnsi="宋体" w:cs="宋体"/>
          <w:color w:val="auto"/>
          <w:spacing w:val="-4"/>
          <w:sz w:val="24"/>
          <w:szCs w:val="24"/>
          <w:lang w:eastAsia="zh-CN"/>
        </w:rPr>
        <w:t>采购人</w:t>
      </w:r>
      <w:r>
        <w:rPr>
          <w:rFonts w:hint="eastAsia" w:ascii="宋体" w:hAnsi="宋体" w:eastAsia="宋体" w:cs="宋体"/>
          <w:color w:val="auto"/>
          <w:spacing w:val="-4"/>
          <w:sz w:val="24"/>
          <w:szCs w:val="24"/>
          <w:lang w:eastAsia="zh-CN"/>
        </w:rPr>
        <w:t>向</w:t>
      </w:r>
      <w:r>
        <w:rPr>
          <w:rFonts w:hint="eastAsia" w:ascii="宋体" w:hAnsi="宋体" w:cs="宋体"/>
          <w:color w:val="auto"/>
          <w:spacing w:val="-4"/>
          <w:sz w:val="24"/>
          <w:szCs w:val="24"/>
          <w:lang w:eastAsia="zh-CN"/>
        </w:rPr>
        <w:t>中标人</w:t>
      </w:r>
      <w:r>
        <w:rPr>
          <w:rFonts w:hint="eastAsia" w:ascii="宋体" w:hAnsi="宋体" w:eastAsia="宋体" w:cs="宋体"/>
          <w:color w:val="auto"/>
          <w:spacing w:val="-4"/>
          <w:sz w:val="24"/>
          <w:szCs w:val="24"/>
          <w:lang w:eastAsia="zh-CN"/>
        </w:rPr>
        <w:t>支付经考核计算后的实际服务费。</w:t>
      </w:r>
    </w:p>
    <w:p>
      <w:pPr>
        <w:keepNext/>
        <w:keepLines/>
        <w:pageBreakBefore w:val="0"/>
        <w:wordWrap/>
        <w:overflowPunct/>
        <w:topLinePunct w:val="0"/>
        <w:bidi w:val="0"/>
        <w:adjustRightInd w:val="0"/>
        <w:snapToGrid w:val="0"/>
        <w:ind w:firstLine="482" w:firstLineChars="200"/>
        <w:outlineLvl w:val="0"/>
        <w:rPr>
          <w:rFonts w:hint="eastAsia" w:ascii="宋体" w:hAnsi="宋体" w:eastAsia="宋体" w:cs="宋体"/>
          <w:b/>
          <w:bCs/>
          <w:kern w:val="0"/>
          <w:sz w:val="24"/>
          <w:szCs w:val="24"/>
        </w:rPr>
      </w:pPr>
      <w:r>
        <w:rPr>
          <w:rFonts w:hint="eastAsia" w:ascii="宋体" w:hAnsi="宋体" w:eastAsia="宋体" w:cs="宋体"/>
          <w:b/>
          <w:bCs/>
          <w:kern w:val="0"/>
          <w:sz w:val="24"/>
          <w:szCs w:val="24"/>
        </w:rPr>
        <w:t>五、服务响应要求</w:t>
      </w:r>
    </w:p>
    <w:p>
      <w:pPr>
        <w:keepNext w:val="0"/>
        <w:keepLines w:val="0"/>
        <w:pageBreakBefore w:val="0"/>
        <w:widowControl/>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spacing w:val="-4"/>
          <w:sz w:val="24"/>
          <w:szCs w:val="24"/>
          <w:lang w:eastAsia="zh-CN"/>
        </w:rPr>
      </w:pPr>
      <w:r>
        <w:rPr>
          <w:rFonts w:hint="eastAsia" w:ascii="宋体" w:hAnsi="宋体" w:eastAsia="宋体" w:cs="宋体"/>
          <w:spacing w:val="-4"/>
          <w:sz w:val="24"/>
          <w:szCs w:val="24"/>
          <w:lang w:val="en-US" w:eastAsia="zh-CN"/>
        </w:rPr>
        <w:t>中标人须提供“7×24小时”热线技术支持响应，对纳税人电话咨询问题需及时答复。</w:t>
      </w:r>
      <w:r>
        <w:rPr>
          <w:rFonts w:hint="eastAsia" w:ascii="宋体" w:hAnsi="宋体" w:eastAsia="宋体" w:cs="宋体"/>
          <w:spacing w:val="-4"/>
          <w:sz w:val="24"/>
          <w:szCs w:val="24"/>
          <w:lang w:eastAsia="zh-CN"/>
        </w:rPr>
        <w:t>服务期自</w:t>
      </w:r>
      <w:r>
        <w:rPr>
          <w:rFonts w:hint="eastAsia" w:ascii="宋体" w:hAnsi="宋体" w:eastAsia="宋体" w:cs="宋体"/>
          <w:spacing w:val="-4"/>
          <w:sz w:val="24"/>
          <w:szCs w:val="24"/>
          <w:lang w:val="en-US" w:eastAsia="zh-CN"/>
        </w:rPr>
        <w:t>合同签订之日起</w:t>
      </w:r>
      <w:r>
        <w:rPr>
          <w:rFonts w:hint="eastAsia" w:ascii="宋体" w:hAnsi="宋体" w:eastAsia="宋体" w:cs="宋体"/>
          <w:spacing w:val="-4"/>
          <w:sz w:val="24"/>
          <w:szCs w:val="24"/>
          <w:lang w:eastAsia="zh-CN"/>
        </w:rPr>
        <w:t>，期限为一年。</w:t>
      </w:r>
    </w:p>
    <w:p>
      <w:pPr>
        <w:keepNext w:val="0"/>
        <w:keepLines w:val="0"/>
        <w:pageBreakBefore w:val="0"/>
        <w:widowControl/>
        <w:numPr>
          <w:ilvl w:val="0"/>
          <w:numId w:val="6"/>
        </w:numPr>
        <w:kinsoku w:val="0"/>
        <w:wordWrap/>
        <w:overflowPunct/>
        <w:topLinePunct w:val="0"/>
        <w:autoSpaceDE w:val="0"/>
        <w:autoSpaceDN w:val="0"/>
        <w:bidi w:val="0"/>
        <w:adjustRightInd w:val="0"/>
        <w:snapToGrid w:val="0"/>
        <w:spacing w:line="360" w:lineRule="auto"/>
        <w:ind w:left="4" w:firstLine="480"/>
        <w:jc w:val="both"/>
        <w:textAlignment w:val="baseline"/>
        <w:rPr>
          <w:rFonts w:hint="eastAsia" w:ascii="宋体" w:hAnsi="宋体" w:eastAsia="宋体" w:cs="宋体"/>
          <w:b/>
          <w:bCs/>
          <w:kern w:val="0"/>
          <w:sz w:val="24"/>
          <w:szCs w:val="24"/>
        </w:rPr>
      </w:pPr>
      <w:r>
        <w:rPr>
          <w:rFonts w:hint="eastAsia" w:ascii="宋体" w:hAnsi="宋体" w:eastAsia="宋体" w:cs="宋体"/>
          <w:b/>
          <w:bCs/>
          <w:kern w:val="0"/>
          <w:sz w:val="24"/>
          <w:szCs w:val="24"/>
          <w:lang w:val="en-US" w:eastAsia="zh-CN"/>
        </w:rPr>
        <w:t>数据</w:t>
      </w:r>
      <w:r>
        <w:rPr>
          <w:rFonts w:hint="eastAsia" w:ascii="宋体" w:hAnsi="宋体" w:cs="宋体"/>
          <w:b/>
          <w:bCs/>
          <w:kern w:val="0"/>
          <w:sz w:val="24"/>
          <w:szCs w:val="24"/>
          <w:lang w:val="en-US" w:eastAsia="zh-CN"/>
        </w:rPr>
        <w:t>统计</w:t>
      </w:r>
      <w:r>
        <w:rPr>
          <w:rFonts w:hint="eastAsia" w:ascii="宋体" w:hAnsi="宋体" w:eastAsia="宋体" w:cs="宋体"/>
          <w:b/>
          <w:bCs/>
          <w:kern w:val="0"/>
          <w:sz w:val="24"/>
          <w:szCs w:val="24"/>
          <w:lang w:val="en-US" w:eastAsia="zh-CN"/>
        </w:rPr>
        <w:t>分析</w:t>
      </w:r>
      <w:r>
        <w:rPr>
          <w:rFonts w:hint="eastAsia" w:ascii="宋体" w:hAnsi="宋体" w:eastAsia="宋体" w:cs="宋体"/>
          <w:b/>
          <w:bCs/>
          <w:kern w:val="0"/>
          <w:sz w:val="24"/>
          <w:szCs w:val="24"/>
        </w:rPr>
        <w:t>要求</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64" w:firstLineChars="200"/>
        <w:jc w:val="both"/>
        <w:textAlignment w:val="baseline"/>
        <w:rPr>
          <w:rFonts w:hint="eastAsia" w:ascii="宋体" w:hAnsi="宋体" w:eastAsia="宋体" w:cs="宋体"/>
          <w:spacing w:val="-4"/>
          <w:sz w:val="24"/>
          <w:szCs w:val="24"/>
          <w:lang w:val="en-US" w:eastAsia="zh-CN"/>
        </w:rPr>
      </w:pPr>
      <w:r>
        <w:rPr>
          <w:rFonts w:hint="eastAsia" w:ascii="宋体" w:hAnsi="宋体" w:eastAsia="宋体" w:cs="宋体"/>
          <w:spacing w:val="-4"/>
          <w:sz w:val="24"/>
          <w:szCs w:val="24"/>
          <w:lang w:val="en-US" w:eastAsia="zh-CN"/>
        </w:rPr>
        <w:t>中标人按月对热线接听情况进行分析，编制热线服务及数据分析报告，热线服务及数据分析报告包含但不限于话务接听情况、咨询的热点问题及解答口径、工作意见建议等，并可随时根据采购人要求对热线话务数据进行统计和上报。</w:t>
      </w:r>
    </w:p>
    <w:p>
      <w:pPr>
        <w:pStyle w:val="1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宋体" w:hAnsi="宋体" w:eastAsia="宋体" w:cs="宋体"/>
          <w:color w:val="auto"/>
          <w:kern w:val="2"/>
          <w:sz w:val="21"/>
          <w:szCs w:val="21"/>
          <w:highlight w:val="none"/>
          <w:lang w:val="en-US" w:eastAsia="zh-CN" w:bidi="ar-SA"/>
        </w:rPr>
      </w:pPr>
    </w:p>
    <w:p>
      <w:pPr>
        <w:pStyle w:val="1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宋体" w:hAnsi="宋体" w:eastAsia="宋体" w:cs="宋体"/>
          <w:color w:val="auto"/>
          <w:kern w:val="2"/>
          <w:sz w:val="21"/>
          <w:szCs w:val="21"/>
          <w:highlight w:val="none"/>
          <w:lang w:val="en-US" w:eastAsia="zh-CN" w:bidi="ar-SA"/>
        </w:rPr>
      </w:pPr>
    </w:p>
    <w:p>
      <w:pPr>
        <w:pStyle w:val="11"/>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13" w:name="_Toc17739"/>
      <w:r>
        <w:rPr>
          <w:rStyle w:val="34"/>
          <w:rFonts w:hint="eastAsia" w:ascii="宋体" w:hAnsi="宋体" w:eastAsia="宋体" w:cs="宋体"/>
          <w:color w:val="auto"/>
          <w:highlight w:val="none"/>
        </w:rPr>
        <w:t>第四章 评标方法</w:t>
      </w:r>
      <w:bookmarkEnd w:id="111"/>
      <w:bookmarkEnd w:id="112"/>
      <w:bookmarkEnd w:id="113"/>
    </w:p>
    <w:p>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6"/>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6"/>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6"/>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6"/>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5"/>
          <w:rFonts w:hint="eastAsia" w:ascii="宋体" w:hAnsi="宋体" w:eastAsia="宋体" w:cs="宋体"/>
          <w:color w:val="auto"/>
          <w:highlight w:val="none"/>
        </w:rPr>
        <w:t xml:space="preserve"> 符合性审查表</w:t>
      </w:r>
      <w:bookmarkEnd w:id="118"/>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6"/>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6"/>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6"/>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3"/>
        <w:tblW w:w="10051" w:type="dxa"/>
        <w:tblInd w:w="-7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116"/>
        <w:gridCol w:w="1259"/>
        <w:gridCol w:w="871"/>
        <w:gridCol w:w="6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73"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序号</w:t>
            </w:r>
          </w:p>
        </w:tc>
        <w:tc>
          <w:tcPr>
            <w:tcW w:w="1116"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评分项目</w:t>
            </w: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项目描述</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分值</w:t>
            </w:r>
          </w:p>
        </w:tc>
        <w:tc>
          <w:tcPr>
            <w:tcW w:w="6132"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73" w:hRule="atLeast"/>
        </w:trPr>
        <w:tc>
          <w:tcPr>
            <w:tcW w:w="673"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1</w:t>
            </w:r>
          </w:p>
        </w:tc>
        <w:tc>
          <w:tcPr>
            <w:tcW w:w="1116"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报价（30分）</w:t>
            </w: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报价得分</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30</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采用低价优先法计算，即满足</w:t>
            </w:r>
            <w:r>
              <w:rPr>
                <w:rFonts w:hint="eastAsia" w:ascii="宋体" w:hAnsi="宋体" w:eastAsia="宋体" w:cs="宋体"/>
                <w:snapToGrid/>
                <w:kern w:val="2"/>
                <w:sz w:val="21"/>
                <w:szCs w:val="24"/>
                <w:lang w:eastAsia="zh-CN"/>
              </w:rPr>
              <w:t>招标</w:t>
            </w:r>
            <w:r>
              <w:rPr>
                <w:rFonts w:hint="eastAsia" w:ascii="宋体" w:hAnsi="宋体" w:eastAsia="宋体" w:cs="宋体"/>
                <w:snapToGrid/>
                <w:kern w:val="2"/>
                <w:sz w:val="21"/>
                <w:szCs w:val="24"/>
              </w:rPr>
              <w:t>文件要求且</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报价最低的报价为评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基准价，其价格分为满分，其他供应商的价格分统一按照下列公式计算：</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报价得分=（评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价）×价格权值×100</w:t>
            </w:r>
          </w:p>
          <w:p>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4" w:hRule="atLeast"/>
        </w:trPr>
        <w:tc>
          <w:tcPr>
            <w:tcW w:w="673" w:type="dxa"/>
            <w:vMerge w:val="restart"/>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2</w:t>
            </w:r>
          </w:p>
        </w:tc>
        <w:tc>
          <w:tcPr>
            <w:tcW w:w="1116" w:type="dxa"/>
            <w:vMerge w:val="restart"/>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商务部分</w:t>
            </w:r>
          </w:p>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w:t>
            </w:r>
            <w:r>
              <w:rPr>
                <w:rFonts w:hint="eastAsia" w:ascii="宋体" w:hAnsi="宋体" w:cs="宋体"/>
                <w:snapToGrid/>
                <w:kern w:val="2"/>
                <w:sz w:val="21"/>
                <w:szCs w:val="24"/>
                <w:lang w:val="en-US" w:eastAsia="zh-CN"/>
              </w:rPr>
              <w:t>14</w:t>
            </w:r>
            <w:r>
              <w:rPr>
                <w:rFonts w:hint="eastAsia" w:ascii="宋体" w:hAnsi="宋体" w:eastAsia="宋体" w:cs="宋体"/>
                <w:snapToGrid/>
                <w:kern w:val="2"/>
                <w:sz w:val="21"/>
                <w:szCs w:val="24"/>
              </w:rPr>
              <w:t>分）</w:t>
            </w:r>
          </w:p>
        </w:tc>
        <w:tc>
          <w:tcPr>
            <w:tcW w:w="1259" w:type="dxa"/>
            <w:vAlign w:val="center"/>
          </w:tcPr>
          <w:p>
            <w:pPr>
              <w:keepNext w:val="0"/>
              <w:keepLines w:val="0"/>
              <w:pageBreakBefore w:val="0"/>
              <w:kinsoku/>
              <w:wordWrap/>
              <w:overflowPunct/>
              <w:topLinePunct w:val="0"/>
              <w:autoSpaceDE w:val="0"/>
              <w:autoSpaceDN w:val="0"/>
              <w:bidi w:val="0"/>
              <w:adjustRightInd w:val="0"/>
              <w:snapToGrid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售后服务承诺</w:t>
            </w:r>
          </w:p>
        </w:tc>
        <w:tc>
          <w:tcPr>
            <w:tcW w:w="871" w:type="dxa"/>
            <w:vAlign w:val="center"/>
          </w:tcPr>
          <w:p>
            <w:pPr>
              <w:keepNext w:val="0"/>
              <w:keepLines w:val="0"/>
              <w:pageBreakBefore w:val="0"/>
              <w:widowControl/>
              <w:kinsoku/>
              <w:wordWrap/>
              <w:overflowPunct/>
              <w:topLinePunct w:val="0"/>
              <w:bidi w:val="0"/>
              <w:spacing w:line="360" w:lineRule="auto"/>
              <w:jc w:val="center"/>
              <w:textAlignment w:val="auto"/>
              <w:rPr>
                <w:rFonts w:hint="eastAsia" w:ascii="宋体" w:hAnsi="宋体" w:eastAsia="宋体" w:cs="宋体"/>
                <w:snapToGrid/>
                <w:kern w:val="2"/>
                <w:sz w:val="21"/>
                <w:szCs w:val="24"/>
                <w:lang w:eastAsia="zh-CN"/>
              </w:rPr>
            </w:pPr>
            <w:r>
              <w:rPr>
                <w:rFonts w:hint="eastAsia" w:ascii="宋体" w:hAnsi="宋体" w:cs="宋体"/>
                <w:snapToGrid/>
                <w:kern w:val="2"/>
                <w:sz w:val="21"/>
                <w:szCs w:val="24"/>
                <w:lang w:val="en-US" w:eastAsia="zh-CN"/>
              </w:rPr>
              <w:t>3</w:t>
            </w:r>
          </w:p>
        </w:tc>
        <w:tc>
          <w:tcPr>
            <w:tcW w:w="6132" w:type="dxa"/>
            <w:vAlign w:val="center"/>
          </w:tcPr>
          <w:p>
            <w:pPr>
              <w:pStyle w:val="4"/>
              <w:keepNext w:val="0"/>
              <w:keepLines w:val="0"/>
              <w:pageBreakBefore w:val="0"/>
              <w:kinsoku/>
              <w:wordWrap/>
              <w:overflowPunct/>
              <w:topLinePunct w:val="0"/>
              <w:bidi w:val="0"/>
              <w:spacing w:before="0" w:beforeAutospacing="0" w:after="0" w:afterAutospacing="0" w:line="360" w:lineRule="auto"/>
              <w:jc w:val="both"/>
              <w:textAlignment w:val="auto"/>
              <w:rPr>
                <w:rFonts w:ascii="宋体" w:hAnsi="宋体" w:cs="宋体"/>
                <w:kern w:val="2"/>
                <w:sz w:val="21"/>
              </w:rPr>
            </w:pPr>
            <w:r>
              <w:rPr>
                <w:rFonts w:hint="eastAsia" w:ascii="宋体" w:hAnsi="宋体" w:cs="宋体"/>
                <w:kern w:val="2"/>
                <w:sz w:val="21"/>
              </w:rPr>
              <w:t>根据供应商提供的售后服务承诺进行打分，内容包括原厂商服务、故障响应、服务应答。</w:t>
            </w:r>
            <w:r>
              <w:rPr>
                <w:rFonts w:hint="eastAsia" w:ascii="宋体" w:hAnsi="宋体" w:cs="宋体"/>
                <w:kern w:val="2"/>
                <w:sz w:val="21"/>
                <w:lang w:eastAsia="zh-CN"/>
              </w:rPr>
              <w:t>以上内容每具备一项且无缺陷</w:t>
            </w:r>
            <w:r>
              <w:rPr>
                <w:rFonts w:hint="eastAsia" w:ascii="宋体" w:hAnsi="宋体" w:cs="宋体"/>
                <w:kern w:val="2"/>
                <w:sz w:val="21"/>
              </w:rPr>
              <w:t>得1分，最多得</w:t>
            </w:r>
            <w:r>
              <w:rPr>
                <w:rFonts w:hint="eastAsia" w:hAnsi="宋体" w:cs="宋体"/>
                <w:kern w:val="2"/>
                <w:sz w:val="21"/>
                <w:lang w:val="en-US" w:eastAsia="zh-CN"/>
              </w:rPr>
              <w:t>3</w:t>
            </w:r>
            <w:r>
              <w:rPr>
                <w:rFonts w:hint="eastAsia" w:ascii="宋体" w:hAnsi="宋体" w:cs="宋体"/>
                <w:kern w:val="2"/>
                <w:sz w:val="21"/>
              </w:rPr>
              <w:t>分。</w:t>
            </w:r>
            <w:r>
              <w:rPr>
                <w:rFonts w:hint="eastAsia" w:ascii="宋体" w:hAnsi="宋体" w:eastAsia="宋体" w:cs="宋体"/>
                <w:kern w:val="2"/>
                <w:sz w:val="21"/>
                <w:szCs w:val="21"/>
                <w:lang w:val="en-US" w:eastAsia="zh-CN" w:bidi="ar-SA"/>
              </w:rPr>
              <w:t>（以上缺陷是指：与本项目无关、不满足项目需求、内容前后不一致、前后逻辑错误、涉及的规范及标准错误、地点区域错误、内容缺失）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2" w:hRule="atLeast"/>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供应商类似项目业绩</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hint="eastAsia" w:ascii="宋体" w:hAnsi="宋体" w:eastAsia="宋体" w:cs="宋体"/>
                <w:snapToGrid/>
                <w:kern w:val="2"/>
                <w:sz w:val="21"/>
                <w:szCs w:val="24"/>
                <w:highlight w:val="none"/>
                <w:lang w:eastAsia="zh-CN"/>
              </w:rPr>
            </w:pPr>
            <w:r>
              <w:rPr>
                <w:rFonts w:hint="eastAsia" w:ascii="宋体" w:hAnsi="宋体" w:cs="宋体"/>
                <w:snapToGrid/>
                <w:kern w:val="2"/>
                <w:sz w:val="21"/>
                <w:szCs w:val="24"/>
                <w:highlight w:val="none"/>
                <w:lang w:val="en-US" w:eastAsia="zh-CN"/>
              </w:rPr>
              <w:t>5</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highlight w:val="none"/>
              </w:rPr>
            </w:pPr>
            <w:r>
              <w:rPr>
                <w:rFonts w:hint="eastAsia" w:ascii="宋体" w:hAnsi="宋体" w:eastAsia="宋体" w:cs="宋体"/>
                <w:snapToGrid/>
                <w:kern w:val="2"/>
                <w:sz w:val="21"/>
                <w:szCs w:val="24"/>
                <w:highlight w:val="none"/>
              </w:rPr>
              <w:t>提供2021年1月1日之后供应商与本项目类似的热线服务项目合同，以合同个数为准，每提供一个合同得</w:t>
            </w:r>
            <w:r>
              <w:rPr>
                <w:rFonts w:hint="eastAsia" w:ascii="宋体" w:hAnsi="宋体" w:cs="宋体"/>
                <w:snapToGrid/>
                <w:kern w:val="2"/>
                <w:sz w:val="21"/>
                <w:szCs w:val="24"/>
                <w:highlight w:val="none"/>
                <w:lang w:val="en-US" w:eastAsia="zh-CN"/>
              </w:rPr>
              <w:t>1</w:t>
            </w:r>
            <w:r>
              <w:rPr>
                <w:rFonts w:hint="eastAsia" w:ascii="宋体" w:hAnsi="宋体" w:eastAsia="宋体" w:cs="宋体"/>
                <w:snapToGrid/>
                <w:kern w:val="2"/>
                <w:sz w:val="21"/>
                <w:szCs w:val="24"/>
                <w:highlight w:val="none"/>
              </w:rPr>
              <w:t>分，最多得</w:t>
            </w:r>
            <w:r>
              <w:rPr>
                <w:rFonts w:hint="eastAsia" w:ascii="宋体" w:hAnsi="宋体" w:cs="宋体"/>
                <w:snapToGrid/>
                <w:kern w:val="2"/>
                <w:sz w:val="21"/>
                <w:szCs w:val="24"/>
                <w:highlight w:val="none"/>
                <w:lang w:val="en-US" w:eastAsia="zh-CN"/>
              </w:rPr>
              <w:t>5</w:t>
            </w:r>
            <w:r>
              <w:rPr>
                <w:rFonts w:hint="eastAsia" w:ascii="宋体" w:hAnsi="宋体" w:eastAsia="宋体" w:cs="宋体"/>
                <w:snapToGrid/>
                <w:kern w:val="2"/>
                <w:sz w:val="21"/>
                <w:szCs w:val="24"/>
                <w:highlight w:val="none"/>
              </w:rPr>
              <w:t>分。时间以签订合同时间为准。提供清晰的合同扫描件装订到投标文件中，否则不予计算。（提供合同复印件，原件备查）。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8" w:hRule="atLeast"/>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供应商实力</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eastAsia="宋体" w:cs="宋体"/>
                <w:snapToGrid/>
                <w:kern w:val="2"/>
                <w:sz w:val="21"/>
                <w:szCs w:val="24"/>
                <w:highlight w:val="none"/>
              </w:rPr>
            </w:pPr>
            <w:r>
              <w:rPr>
                <w:rFonts w:hint="eastAsia" w:ascii="宋体" w:hAnsi="宋体" w:eastAsia="宋体" w:cs="宋体"/>
                <w:snapToGrid/>
                <w:kern w:val="2"/>
                <w:sz w:val="21"/>
                <w:szCs w:val="24"/>
                <w:highlight w:val="none"/>
              </w:rPr>
              <w:t>6</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eastAsia="宋体" w:cs="宋体"/>
                <w:snapToGrid/>
                <w:kern w:val="2"/>
                <w:sz w:val="21"/>
                <w:szCs w:val="24"/>
                <w:highlight w:val="none"/>
              </w:rPr>
            </w:pPr>
            <w:r>
              <w:rPr>
                <w:rFonts w:hint="eastAsia" w:ascii="宋体" w:hAnsi="宋体" w:eastAsia="宋体" w:cs="宋体"/>
                <w:snapToGrid/>
                <w:kern w:val="2"/>
                <w:sz w:val="21"/>
                <w:szCs w:val="24"/>
                <w:highlight w:val="none"/>
              </w:rPr>
              <w:t>重点考核供应商保证本项目履约能力的相关企业认证证书。根据供应商提供的认证证书，质量管理体系认证（ISO9001）、信息安全管理体系认证（ISO27001）、信息技术服务管理体系认证（ISO20000），每提供一个得2分；满分6分。（提供证书复印件</w:t>
            </w:r>
            <w:r>
              <w:rPr>
                <w:rFonts w:hint="eastAsia" w:ascii="宋体" w:hAnsi="宋体" w:cs="宋体"/>
                <w:snapToGrid/>
                <w:kern w:val="2"/>
                <w:sz w:val="21"/>
                <w:szCs w:val="24"/>
                <w:highlight w:val="none"/>
                <w:lang w:val="en-US" w:eastAsia="zh-CN"/>
              </w:rPr>
              <w:t>与全国认证认可信息公共服务平台http://cx.cnca.cn查询截图</w:t>
            </w:r>
            <w:r>
              <w:rPr>
                <w:rFonts w:hint="eastAsia" w:ascii="宋体" w:hAnsi="宋体" w:eastAsia="宋体" w:cs="宋体"/>
                <w:snapToGrid/>
                <w:kern w:val="2"/>
                <w:sz w:val="21"/>
                <w:szCs w:val="24"/>
                <w:highlight w:val="none"/>
              </w:rPr>
              <w:t>，原件备查）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restart"/>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3</w:t>
            </w:r>
          </w:p>
        </w:tc>
        <w:tc>
          <w:tcPr>
            <w:tcW w:w="1116" w:type="dxa"/>
            <w:vMerge w:val="restart"/>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技术部分（</w:t>
            </w:r>
            <w:r>
              <w:rPr>
                <w:rFonts w:ascii="宋体" w:hAnsi="宋体"/>
              </w:rPr>
              <w:t>5</w:t>
            </w:r>
            <w:r>
              <w:rPr>
                <w:rFonts w:hint="eastAsia" w:ascii="宋体" w:hAnsi="宋体"/>
                <w:lang w:val="en-US" w:eastAsia="zh-CN"/>
              </w:rPr>
              <w:t>6</w:t>
            </w:r>
            <w:r>
              <w:rPr>
                <w:rFonts w:hint="eastAsia" w:ascii="宋体" w:hAnsi="宋体"/>
              </w:rPr>
              <w:t>分）</w:t>
            </w: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投入项目技术力量</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9</w:t>
            </w:r>
          </w:p>
        </w:tc>
        <w:tc>
          <w:tcPr>
            <w:tcW w:w="6132" w:type="dxa"/>
            <w:vAlign w:val="center"/>
          </w:tcPr>
          <w:p>
            <w:pPr>
              <w:keepNext w:val="0"/>
              <w:keepLines w:val="0"/>
              <w:pageBreakBefore w:val="0"/>
              <w:kinsoku/>
              <w:wordWrap/>
              <w:overflowPunct/>
              <w:topLinePunct w:val="0"/>
              <w:bidi w:val="0"/>
              <w:spacing w:line="360" w:lineRule="auto"/>
              <w:textAlignment w:val="auto"/>
              <w:rPr>
                <w:rFonts w:hint="eastAsia" w:ascii="宋体" w:hAnsi="宋体" w:eastAsia="宋体"/>
                <w:lang w:eastAsia="zh-CN"/>
              </w:rPr>
            </w:pPr>
            <w:r>
              <w:rPr>
                <w:rFonts w:hint="eastAsia" w:ascii="宋体" w:hAnsi="宋体"/>
              </w:rPr>
              <w:t>根据</w:t>
            </w:r>
            <w:r>
              <w:rPr>
                <w:rFonts w:hint="eastAsia" w:ascii="宋体" w:hAnsi="宋体"/>
                <w:lang w:val="en-US" w:eastAsia="zh-CN"/>
              </w:rPr>
              <w:t>投标人</w:t>
            </w:r>
            <w:r>
              <w:rPr>
                <w:rFonts w:hint="eastAsia" w:ascii="宋体" w:hAnsi="宋体"/>
              </w:rPr>
              <w:t>为本项目投入人员资源配置情况</w:t>
            </w:r>
            <w:r>
              <w:rPr>
                <w:rFonts w:hint="eastAsia" w:ascii="宋体" w:hAnsi="宋体"/>
                <w:lang w:eastAsia="zh-CN"/>
              </w:rPr>
              <w:t>进行</w:t>
            </w:r>
            <w:r>
              <w:rPr>
                <w:rFonts w:hint="eastAsia" w:ascii="宋体" w:hAnsi="宋体"/>
              </w:rPr>
              <w:t>打分</w:t>
            </w:r>
            <w:r>
              <w:rPr>
                <w:rFonts w:hint="eastAsia" w:ascii="宋体" w:hAnsi="宋体"/>
                <w:lang w:eastAsia="zh-CN"/>
              </w:rPr>
              <w:t>。</w:t>
            </w:r>
          </w:p>
          <w:p>
            <w:pPr>
              <w:rPr>
                <w:sz w:val="24"/>
                <w:szCs w:val="24"/>
              </w:rPr>
            </w:pPr>
            <w:r>
              <w:rPr>
                <w:rFonts w:hint="eastAsia" w:ascii="宋体" w:hAnsi="宋体"/>
              </w:rPr>
              <w:t>1、投标人为本项目分派专职的项目团队，项目团队具有同类项目实施经验且熟悉现有应用系统现状</w:t>
            </w:r>
            <w:r>
              <w:rPr>
                <w:rFonts w:hint="eastAsia" w:ascii="宋体" w:hAnsi="宋体"/>
                <w:lang w:val="en-US" w:eastAsia="zh-CN"/>
              </w:rPr>
              <w:t>的</w:t>
            </w:r>
            <w:r>
              <w:rPr>
                <w:rFonts w:hint="eastAsia" w:ascii="宋体" w:hAnsi="宋体"/>
              </w:rPr>
              <w:t>得</w:t>
            </w:r>
            <w:r>
              <w:rPr>
                <w:rFonts w:hint="eastAsia" w:ascii="宋体" w:hAnsi="宋体"/>
                <w:lang w:val="en-US" w:eastAsia="zh-CN"/>
              </w:rPr>
              <w:t>4</w:t>
            </w:r>
            <w:r>
              <w:rPr>
                <w:rFonts w:hint="eastAsia" w:ascii="宋体" w:hAnsi="宋体"/>
              </w:rPr>
              <w:t>分，且提供同类项目合同</w:t>
            </w:r>
            <w:r>
              <w:rPr>
                <w:rFonts w:hint="eastAsia" w:ascii="宋体" w:hAnsi="宋体"/>
                <w:lang w:eastAsia="zh-CN"/>
              </w:rPr>
              <w:t>，</w:t>
            </w:r>
            <w:r>
              <w:rPr>
                <w:rFonts w:hint="eastAsia" w:ascii="宋体" w:hAnsi="宋体"/>
              </w:rPr>
              <w:t>不能提供</w:t>
            </w:r>
            <w:r>
              <w:rPr>
                <w:rFonts w:hint="eastAsia" w:ascii="宋体" w:hAnsi="宋体"/>
                <w:lang w:val="en-US" w:eastAsia="zh-CN"/>
              </w:rPr>
              <w:t>的</w:t>
            </w:r>
            <w:r>
              <w:rPr>
                <w:rFonts w:hint="eastAsia" w:ascii="宋体" w:hAnsi="宋体"/>
              </w:rPr>
              <w:t>不得分。</w:t>
            </w:r>
          </w:p>
          <w:p>
            <w:pPr>
              <w:keepNext w:val="0"/>
              <w:keepLines w:val="0"/>
              <w:pageBreakBefore w:val="0"/>
              <w:kinsoku/>
              <w:wordWrap/>
              <w:overflowPunct/>
              <w:topLinePunct w:val="0"/>
              <w:bidi w:val="0"/>
              <w:spacing w:line="360" w:lineRule="auto"/>
              <w:textAlignment w:val="auto"/>
              <w:rPr>
                <w:rFonts w:hint="eastAsia" w:ascii="宋体" w:hAnsi="宋体" w:eastAsia="宋体"/>
                <w:lang w:eastAsia="zh-CN"/>
              </w:rPr>
            </w:pPr>
            <w:r>
              <w:rPr>
                <w:rFonts w:hint="eastAsia" w:ascii="宋体" w:hAnsi="宋体"/>
              </w:rPr>
              <w:t>2、</w:t>
            </w:r>
            <w:r>
              <w:rPr>
                <w:rFonts w:hint="eastAsia" w:ascii="宋体" w:hAnsi="宋体"/>
                <w:lang w:val="en-US" w:eastAsia="zh-CN"/>
              </w:rPr>
              <w:t>根据</w:t>
            </w:r>
            <w:r>
              <w:rPr>
                <w:rFonts w:hint="eastAsia" w:ascii="宋体" w:hAnsi="宋体"/>
              </w:rPr>
              <w:t>投标人人员保障措施</w:t>
            </w:r>
            <w:r>
              <w:rPr>
                <w:rFonts w:hint="eastAsia" w:ascii="宋体" w:hAnsi="宋体"/>
                <w:lang w:val="en-US" w:eastAsia="zh-CN"/>
              </w:rPr>
              <w:t>进行打分</w:t>
            </w:r>
            <w:r>
              <w:rPr>
                <w:rFonts w:hint="eastAsia" w:ascii="宋体" w:hAnsi="宋体"/>
              </w:rPr>
              <w:t>，</w:t>
            </w:r>
            <w:r>
              <w:rPr>
                <w:rFonts w:hint="eastAsia" w:ascii="宋体" w:hAnsi="宋体"/>
                <w:lang w:eastAsia="zh-CN"/>
              </w:rPr>
              <w:t>内容</w:t>
            </w:r>
            <w:r>
              <w:rPr>
                <w:rFonts w:hint="eastAsia" w:ascii="宋体" w:hAnsi="宋体"/>
              </w:rPr>
              <w:t>包括电子税务局热线咨询服务人员分工、团队素质经验、人员管理、考核机制</w:t>
            </w:r>
            <w:r>
              <w:rPr>
                <w:rFonts w:hint="eastAsia" w:ascii="宋体" w:hAnsi="宋体"/>
                <w:lang w:eastAsia="zh-CN"/>
              </w:rPr>
              <w:t>、</w:t>
            </w:r>
            <w:r>
              <w:rPr>
                <w:rFonts w:hint="eastAsia" w:ascii="宋体" w:hAnsi="宋体"/>
              </w:rPr>
              <w:t>对本团队的技术支持措施</w:t>
            </w:r>
            <w:r>
              <w:rPr>
                <w:rFonts w:hint="eastAsia" w:ascii="宋体" w:hAnsi="宋体"/>
                <w:lang w:eastAsia="zh-CN"/>
              </w:rPr>
              <w:t>。以上内容每具备一项且无缺陷</w:t>
            </w:r>
            <w:r>
              <w:rPr>
                <w:rFonts w:hint="eastAsia" w:ascii="宋体" w:hAnsi="宋体"/>
                <w:lang w:val="en-US" w:eastAsia="zh-CN"/>
              </w:rPr>
              <w:t>的</w:t>
            </w:r>
            <w:r>
              <w:rPr>
                <w:rFonts w:hint="eastAsia" w:ascii="宋体" w:hAnsi="宋体"/>
              </w:rPr>
              <w:t>得1分，最多得</w:t>
            </w:r>
            <w:r>
              <w:rPr>
                <w:rFonts w:hint="eastAsia" w:ascii="宋体" w:hAnsi="宋体"/>
                <w:lang w:val="en-US" w:eastAsia="zh-CN"/>
              </w:rPr>
              <w:t>5</w:t>
            </w:r>
            <w:r>
              <w:rPr>
                <w:rFonts w:hint="eastAsia" w:ascii="宋体" w:hAnsi="宋体"/>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采购需求理解程度</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hint="default" w:ascii="宋体" w:hAnsi="宋体" w:eastAsia="宋体"/>
                <w:lang w:val="en-US" w:eastAsia="zh-CN"/>
              </w:rPr>
            </w:pPr>
            <w:r>
              <w:rPr>
                <w:rFonts w:hint="eastAsia" w:ascii="宋体" w:hAnsi="宋体"/>
                <w:sz w:val="18"/>
                <w:szCs w:val="18"/>
                <w:lang w:val="en-US" w:eastAsia="zh-CN"/>
              </w:rPr>
              <w:t>12</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ascii="宋体" w:hAnsi="宋体"/>
              </w:rPr>
              <w:t>对本省电子税务局咨询热线服务需求理解以及本项目建设</w:t>
            </w:r>
            <w:r>
              <w:rPr>
                <w:rFonts w:hint="eastAsia" w:ascii="宋体" w:hAnsi="宋体"/>
                <w:lang w:eastAsia="zh-CN"/>
              </w:rPr>
              <w:t>重点、</w:t>
            </w:r>
            <w:r>
              <w:rPr>
                <w:rFonts w:hint="eastAsia" w:ascii="宋体" w:hAnsi="宋体"/>
              </w:rPr>
              <w:t>难点的理解程度进行打分，内容包括对本项目硬（软）件系统的业务知识和运行掌握情况、各项功能流程、数据来源和口径描述、工作现状、政策理解、法规库知识储备的掌握</w:t>
            </w:r>
            <w:r>
              <w:rPr>
                <w:rFonts w:hint="default" w:ascii="宋体" w:hAnsi="宋体"/>
                <w:lang w:val="en"/>
              </w:rPr>
              <w:t>,</w:t>
            </w:r>
            <w:r>
              <w:rPr>
                <w:rFonts w:hint="eastAsia" w:ascii="宋体" w:hAnsi="宋体"/>
                <w:lang w:eastAsia="zh-CN"/>
              </w:rPr>
              <w:t>以上内容每具备一项且无缺陷</w:t>
            </w:r>
            <w:r>
              <w:rPr>
                <w:rFonts w:hint="eastAsia" w:ascii="宋体" w:hAnsi="宋体"/>
                <w:lang w:val="en-US" w:eastAsia="zh-CN"/>
              </w:rPr>
              <w:t>的</w:t>
            </w:r>
            <w:r>
              <w:rPr>
                <w:rFonts w:hint="eastAsia" w:ascii="宋体" w:hAnsi="宋体"/>
              </w:rPr>
              <w:t>得</w:t>
            </w:r>
            <w:r>
              <w:rPr>
                <w:rFonts w:hint="eastAsia" w:ascii="宋体" w:hAnsi="宋体"/>
                <w:lang w:val="en-US" w:eastAsia="zh-CN"/>
              </w:rPr>
              <w:t>2</w:t>
            </w:r>
            <w:r>
              <w:rPr>
                <w:rFonts w:hint="eastAsia" w:ascii="宋体" w:hAnsi="宋体"/>
              </w:rPr>
              <w:t>分，最多得</w:t>
            </w:r>
            <w:r>
              <w:rPr>
                <w:rFonts w:hint="eastAsia" w:ascii="宋体" w:hAnsi="宋体"/>
                <w:lang w:val="en-US" w:eastAsia="zh-CN"/>
              </w:rPr>
              <w:t>12</w:t>
            </w:r>
            <w:r>
              <w:rPr>
                <w:rFonts w:hint="eastAsia" w:ascii="宋体" w:hAnsi="宋体"/>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服务实施方案</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6</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lang w:val="en-US" w:eastAsia="zh-CN"/>
              </w:rPr>
              <w:t>根据</w:t>
            </w:r>
            <w:r>
              <w:rPr>
                <w:rFonts w:hint="eastAsia" w:ascii="宋体" w:hAnsi="宋体"/>
              </w:rPr>
              <w:t>投标人服务实施方案的完整性和详细性</w:t>
            </w:r>
            <w:r>
              <w:rPr>
                <w:rFonts w:hint="eastAsia" w:ascii="宋体" w:hAnsi="宋体"/>
                <w:lang w:val="en-US" w:eastAsia="zh-CN"/>
              </w:rPr>
              <w:t>进行打分</w:t>
            </w:r>
            <w:r>
              <w:rPr>
                <w:rFonts w:hint="eastAsia" w:ascii="宋体" w:hAnsi="宋体"/>
              </w:rPr>
              <w:t>，包括项目组织、人员安排、服务保障体系、重大时间节点和节日开展专项应急保障工作方案（需提供承诺书，格式自拟）、承诺人员在项目实施期间不兼任与本项目无关的其他工作（需提供承诺书，格式自拟）、完善的</w:t>
            </w:r>
            <w:r>
              <w:rPr>
                <w:rFonts w:hint="eastAsia" w:ascii="宋体" w:hAnsi="宋体"/>
                <w:lang w:eastAsia="zh-CN"/>
              </w:rPr>
              <w:t>“</w:t>
            </w:r>
            <w:r>
              <w:rPr>
                <w:rFonts w:hint="eastAsia" w:ascii="宋体" w:hAnsi="宋体"/>
              </w:rPr>
              <w:t>7</w:t>
            </w:r>
            <w:r>
              <w:rPr>
                <w:rFonts w:hint="default" w:ascii="Arial" w:hAnsi="Arial" w:cs="Arial"/>
              </w:rPr>
              <w:t>×</w:t>
            </w:r>
            <w:r>
              <w:rPr>
                <w:rFonts w:hint="eastAsia" w:ascii="宋体" w:hAnsi="宋体"/>
              </w:rPr>
              <w:t>24</w:t>
            </w:r>
            <w:r>
              <w:rPr>
                <w:rFonts w:hint="eastAsia" w:ascii="宋体" w:hAnsi="宋体"/>
                <w:lang w:val="en-US" w:eastAsia="zh-CN"/>
              </w:rPr>
              <w:t>小时”</w:t>
            </w:r>
            <w:r>
              <w:rPr>
                <w:rFonts w:hint="eastAsia" w:ascii="宋体" w:hAnsi="宋体"/>
              </w:rPr>
              <w:t>故障处理或热线服务方案，</w:t>
            </w:r>
            <w:r>
              <w:rPr>
                <w:rFonts w:hint="eastAsia" w:ascii="宋体" w:hAnsi="宋体"/>
                <w:lang w:eastAsia="zh-CN"/>
              </w:rPr>
              <w:t>以上内容每具备一项且无缺陷的</w:t>
            </w:r>
            <w:r>
              <w:rPr>
                <w:rFonts w:hint="eastAsia" w:ascii="宋体" w:hAnsi="宋体"/>
              </w:rPr>
              <w:t>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color w:val="000000"/>
              </w:rPr>
              <w:t>服务保障方案</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9</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color w:val="000000"/>
              </w:rPr>
              <w:t>服务保障方案</w:t>
            </w:r>
            <w:r>
              <w:rPr>
                <w:rFonts w:hint="eastAsia" w:ascii="宋体" w:hAnsi="宋体"/>
              </w:rPr>
              <w:t>进行打分</w:t>
            </w:r>
            <w:r>
              <w:rPr>
                <w:rFonts w:hint="eastAsia" w:ascii="宋体" w:hAnsi="宋体"/>
                <w:lang w:eastAsia="zh-CN"/>
              </w:rPr>
              <w:t>，内容</w:t>
            </w:r>
            <w:r>
              <w:rPr>
                <w:rFonts w:hint="eastAsia" w:ascii="宋体" w:hAnsi="宋体"/>
              </w:rPr>
              <w:t>包括服务方案的针对性和专业性、服务总体要求、保密工作要求、投诉处理流程、考核要求、培训要求、服务响应时间、服务内容、服务流程</w:t>
            </w:r>
            <w:r>
              <w:rPr>
                <w:rFonts w:hint="eastAsia" w:ascii="宋体" w:hAnsi="宋体"/>
                <w:lang w:val="en-US" w:eastAsia="zh-CN"/>
              </w:rPr>
              <w:t>。</w:t>
            </w:r>
            <w:r>
              <w:rPr>
                <w:rFonts w:hint="eastAsia" w:ascii="宋体" w:hAnsi="宋体"/>
                <w:lang w:eastAsia="zh-CN"/>
              </w:rPr>
              <w:t>以上内容每具备一项且无缺陷的</w:t>
            </w:r>
            <w:r>
              <w:rPr>
                <w:rFonts w:hint="eastAsia" w:ascii="宋体" w:hAnsi="宋体"/>
              </w:rPr>
              <w:t>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突发紧急事件处理能力</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6</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ascii="宋体" w:hAnsi="宋体"/>
              </w:rPr>
              <w:t>突发紧急事件处理方案进行打分，以网络及电话远程处理为例，</w:t>
            </w:r>
            <w:r>
              <w:rPr>
                <w:rFonts w:hint="eastAsia" w:ascii="宋体" w:hAnsi="宋体"/>
                <w:lang w:eastAsia="zh-CN"/>
              </w:rPr>
              <w:t>内容包括</w:t>
            </w:r>
            <w:r>
              <w:rPr>
                <w:rFonts w:hint="eastAsia" w:ascii="宋体" w:hAnsi="宋体"/>
              </w:rPr>
              <w:t>处理预案、处理时限、处理满意度调查、处理方式、服务回访、出现有效投诉的解决方法</w:t>
            </w:r>
            <w:r>
              <w:rPr>
                <w:rFonts w:hint="eastAsia" w:ascii="宋体" w:hAnsi="宋体"/>
                <w:lang w:eastAsia="zh-CN"/>
              </w:rPr>
              <w:t>。以上内容每具备一项且无缺陷</w:t>
            </w:r>
            <w:r>
              <w:rPr>
                <w:rFonts w:hint="eastAsia" w:ascii="宋体" w:hAnsi="宋体"/>
                <w:lang w:val="en-US" w:eastAsia="zh-CN"/>
              </w:rPr>
              <w:t>的</w:t>
            </w:r>
            <w:r>
              <w:rPr>
                <w:rFonts w:hint="eastAsia" w:ascii="宋体" w:hAnsi="宋体"/>
              </w:rPr>
              <w:t>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履约考核和档案管理</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5</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ascii="宋体" w:hAnsi="宋体"/>
              </w:rPr>
              <w:t>履约考核和档案管理</w:t>
            </w:r>
            <w:r>
              <w:rPr>
                <w:rFonts w:hint="eastAsia" w:ascii="宋体" w:hAnsi="宋体"/>
                <w:lang w:eastAsia="zh-CN"/>
              </w:rPr>
              <w:t>进行打分，内容包括</w:t>
            </w:r>
            <w:r>
              <w:rPr>
                <w:rFonts w:hint="eastAsia" w:ascii="宋体" w:hAnsi="宋体"/>
              </w:rPr>
              <w:t>履约能力、管理措施、产权移交、日常考核、最终交付物等相关档案进行打分，每具备一项</w:t>
            </w:r>
            <w:r>
              <w:rPr>
                <w:rFonts w:hint="eastAsia" w:ascii="宋体" w:hAnsi="宋体"/>
                <w:lang w:eastAsia="zh-CN"/>
              </w:rPr>
              <w:t>且</w:t>
            </w:r>
            <w:r>
              <w:rPr>
                <w:rFonts w:hint="eastAsia" w:ascii="宋体" w:hAnsi="宋体"/>
              </w:rPr>
              <w:t>以上各项档案的建立、分类，归档、移交等程序</w:t>
            </w:r>
            <w:r>
              <w:rPr>
                <w:rFonts w:hint="eastAsia" w:ascii="宋体" w:hAnsi="宋体"/>
                <w:lang w:eastAsia="zh-CN"/>
              </w:rPr>
              <w:t>且无缺陷</w:t>
            </w:r>
            <w:r>
              <w:rPr>
                <w:rFonts w:hint="eastAsia" w:ascii="宋体" w:hAnsi="宋体"/>
              </w:rPr>
              <w:t>的得1分，最多得5分。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项目质量控制方案</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5</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ascii="宋体" w:hAnsi="宋体"/>
              </w:rPr>
              <w:t>项目质量控制方案</w:t>
            </w:r>
            <w:r>
              <w:rPr>
                <w:rFonts w:hint="eastAsia" w:ascii="宋体" w:hAnsi="宋体"/>
                <w:lang w:eastAsia="zh-CN"/>
              </w:rPr>
              <w:t>进行打分，</w:t>
            </w:r>
            <w:r>
              <w:rPr>
                <w:rFonts w:hint="eastAsia" w:ascii="宋体" w:hAnsi="宋体"/>
              </w:rPr>
              <w:t>关于现场职守服务、网络及电话远程服务、监控服务</w:t>
            </w:r>
            <w:r>
              <w:rPr>
                <w:rFonts w:hint="eastAsia" w:ascii="宋体" w:hAnsi="宋体"/>
                <w:lang w:eastAsia="zh-CN"/>
              </w:rPr>
              <w:t>，</w:t>
            </w:r>
            <w:r>
              <w:rPr>
                <w:rFonts w:hint="eastAsia" w:ascii="宋体" w:hAnsi="宋体"/>
              </w:rPr>
              <w:t>内容包括各项服务的技术服务水平、服务方式、响应时间、解决时限、有效保证运行安全措施</w:t>
            </w:r>
            <w:r>
              <w:rPr>
                <w:rFonts w:hint="eastAsia" w:ascii="宋体" w:hAnsi="宋体"/>
                <w:lang w:val="en-US" w:eastAsia="zh-CN"/>
              </w:rPr>
              <w:t>。</w:t>
            </w:r>
            <w:r>
              <w:rPr>
                <w:rFonts w:hint="eastAsia" w:ascii="宋体" w:hAnsi="宋体"/>
                <w:lang w:eastAsia="zh-CN"/>
              </w:rPr>
              <w:t>以上内容每具备一项且无缺陷</w:t>
            </w:r>
            <w:r>
              <w:rPr>
                <w:rFonts w:hint="eastAsia" w:ascii="宋体" w:hAnsi="宋体"/>
                <w:lang w:val="en-US" w:eastAsia="zh-CN"/>
              </w:rPr>
              <w:t>的</w:t>
            </w:r>
            <w:r>
              <w:rPr>
                <w:rFonts w:hint="eastAsia" w:ascii="宋体" w:hAnsi="宋体"/>
              </w:rPr>
              <w:t>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3"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116" w:type="dxa"/>
            <w:vMerge w:val="continue"/>
            <w:vAlign w:val="center"/>
          </w:tcPr>
          <w:p>
            <w:pPr>
              <w:keepNext w:val="0"/>
              <w:keepLines w:val="0"/>
              <w:pageBreakBefore w:val="0"/>
              <w:kinsoku/>
              <w:wordWrap/>
              <w:overflowPunct/>
              <w:topLinePunct w:val="0"/>
              <w:bidi w:val="0"/>
              <w:spacing w:line="360" w:lineRule="auto"/>
              <w:jc w:val="center"/>
              <w:textAlignment w:val="auto"/>
              <w:rPr>
                <w:rFonts w:ascii="宋体" w:hAnsi="宋体"/>
              </w:rPr>
            </w:pPr>
          </w:p>
        </w:tc>
        <w:tc>
          <w:tcPr>
            <w:tcW w:w="1259"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hint="eastAsia" w:ascii="宋体" w:hAnsi="宋体"/>
              </w:rPr>
              <w:t>技术培训</w:t>
            </w:r>
          </w:p>
        </w:tc>
        <w:tc>
          <w:tcPr>
            <w:tcW w:w="871" w:type="dxa"/>
            <w:vAlign w:val="center"/>
          </w:tcPr>
          <w:p>
            <w:pPr>
              <w:keepNext w:val="0"/>
              <w:keepLines w:val="0"/>
              <w:pageBreakBefore w:val="0"/>
              <w:kinsoku/>
              <w:wordWrap/>
              <w:overflowPunct/>
              <w:topLinePunct w:val="0"/>
              <w:bidi w:val="0"/>
              <w:spacing w:line="360" w:lineRule="auto"/>
              <w:jc w:val="center"/>
              <w:textAlignment w:val="auto"/>
              <w:rPr>
                <w:rFonts w:ascii="宋体" w:hAnsi="宋体"/>
              </w:rPr>
            </w:pPr>
            <w:r>
              <w:rPr>
                <w:rFonts w:ascii="宋体" w:hAnsi="宋体"/>
              </w:rPr>
              <w:t>4</w:t>
            </w:r>
          </w:p>
        </w:tc>
        <w:tc>
          <w:tcPr>
            <w:tcW w:w="6132" w:type="dxa"/>
            <w:vAlign w:val="center"/>
          </w:tcPr>
          <w:p>
            <w:pPr>
              <w:keepNext w:val="0"/>
              <w:keepLines w:val="0"/>
              <w:pageBreakBefore w:val="0"/>
              <w:kinsoku/>
              <w:wordWrap/>
              <w:overflowPunct/>
              <w:topLinePunct w:val="0"/>
              <w:bidi w:val="0"/>
              <w:spacing w:line="360" w:lineRule="auto"/>
              <w:textAlignment w:val="auto"/>
              <w:rPr>
                <w:rFonts w:ascii="宋体" w:hAnsi="宋体"/>
              </w:rPr>
            </w:pPr>
            <w:r>
              <w:rPr>
                <w:rFonts w:hint="eastAsia" w:ascii="宋体" w:hAnsi="宋体"/>
              </w:rPr>
              <w:t>根据</w:t>
            </w:r>
            <w:r>
              <w:rPr>
                <w:rFonts w:hint="eastAsia" w:ascii="宋体" w:hAnsi="宋体"/>
                <w:lang w:val="en-US" w:eastAsia="zh-CN"/>
              </w:rPr>
              <w:t>投标人</w:t>
            </w:r>
            <w:r>
              <w:rPr>
                <w:rFonts w:hint="eastAsia" w:ascii="宋体" w:hAnsi="宋体"/>
              </w:rPr>
              <w:t>的培训方案进行打分，内容包括培训方案的针对性和时效性，培训师资水平、培训课程设置及培训讲义内容、本地化培训设施</w:t>
            </w:r>
            <w:r>
              <w:rPr>
                <w:rFonts w:hint="eastAsia" w:ascii="宋体" w:hAnsi="宋体"/>
                <w:lang w:val="en-US" w:eastAsia="zh-CN"/>
              </w:rPr>
              <w:t>。</w:t>
            </w:r>
            <w:r>
              <w:rPr>
                <w:rFonts w:hint="eastAsia" w:ascii="宋体" w:hAnsi="宋体"/>
                <w:lang w:eastAsia="zh-CN"/>
              </w:rPr>
              <w:t>以上内容每具备一项且无缺陷</w:t>
            </w:r>
            <w:r>
              <w:rPr>
                <w:rFonts w:hint="eastAsia" w:ascii="宋体" w:hAnsi="宋体"/>
              </w:rPr>
              <w:t>得1分，最多得4分。</w:t>
            </w:r>
          </w:p>
        </w:tc>
      </w:tr>
    </w:tbl>
    <w:p>
      <w:pPr>
        <w:rPr>
          <w:rFonts w:hint="eastAsia" w:ascii="宋体" w:hAnsi="宋体" w:eastAsia="宋体" w:cs="宋体"/>
          <w:color w:val="auto"/>
          <w:highlight w:val="none"/>
          <w:lang w:eastAsia="zh-CN"/>
        </w:rPr>
      </w:pPr>
    </w:p>
    <w:p>
      <w:pPr>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注</w:t>
      </w:r>
      <w:r>
        <w:rPr>
          <w:rFonts w:hint="eastAsia" w:ascii="宋体" w:hAnsi="宋体" w:cs="宋体"/>
          <w:color w:val="auto"/>
          <w:highlight w:val="none"/>
          <w:lang w:eastAsia="zh-CN"/>
        </w:rPr>
        <w:t>：评分细则中所说</w:t>
      </w:r>
      <w:r>
        <w:rPr>
          <w:rFonts w:hint="eastAsia" w:ascii="宋体" w:hAnsi="宋体" w:eastAsia="宋体" w:cs="宋体"/>
          <w:kern w:val="2"/>
          <w:sz w:val="21"/>
          <w:szCs w:val="21"/>
          <w:lang w:val="en-US" w:eastAsia="zh-CN" w:bidi="ar-SA"/>
        </w:rPr>
        <w:t>缺陷是指：与本项目无关、不满足项目需求、内容前后不一致、前后逻辑错误、涉及的规范及标准错误、地点区域错误、内容缺失</w:t>
      </w:r>
      <w:r>
        <w:rPr>
          <w:rFonts w:hint="eastAsia" w:ascii="宋体" w:hAnsi="宋体" w:cs="宋体"/>
          <w:kern w:val="2"/>
          <w:sz w:val="21"/>
          <w:szCs w:val="21"/>
          <w:lang w:val="en-US" w:eastAsia="zh-CN" w:bidi="ar-SA"/>
        </w:rPr>
        <w:t>。</w:t>
      </w:r>
    </w:p>
    <w:p>
      <w:pPr>
        <w:pStyle w:val="31"/>
        <w:rPr>
          <w:rFonts w:hint="eastAsia" w:ascii="宋体" w:hAnsi="宋体" w:eastAsia="宋体" w:cs="宋体"/>
          <w:color w:val="auto"/>
          <w:highlight w:val="none"/>
          <w:lang w:eastAsia="zh-CN"/>
        </w:rPr>
      </w:pPr>
    </w:p>
    <w:p>
      <w:pPr>
        <w:pStyle w:val="31"/>
        <w:rPr>
          <w:rFonts w:hint="eastAsia" w:ascii="宋体" w:hAnsi="宋体" w:eastAsia="宋体" w:cs="宋体"/>
          <w:color w:val="auto"/>
          <w:highlight w:val="none"/>
          <w:lang w:eastAsia="zh-CN"/>
        </w:rPr>
      </w:pPr>
    </w:p>
    <w:p>
      <w:pPr>
        <w:pStyle w:val="31"/>
        <w:rPr>
          <w:rFonts w:hint="eastAsia" w:ascii="宋体" w:hAnsi="宋体" w:eastAsia="宋体" w:cs="宋体"/>
          <w:color w:val="auto"/>
          <w:highlight w:val="none"/>
          <w:lang w:eastAsia="zh-CN"/>
        </w:rPr>
      </w:pPr>
    </w:p>
    <w:p>
      <w:pPr>
        <w:pStyle w:val="29"/>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0"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5"/>
        <w:rPr>
          <w:rFonts w:hint="eastAsia" w:ascii="宋体" w:hAnsi="宋体" w:eastAsia="宋体" w:cs="宋体"/>
          <w:color w:val="auto"/>
          <w:highlight w:val="none"/>
        </w:rPr>
      </w:pPr>
      <w:bookmarkStart w:id="121" w:name="_Toc25807"/>
      <w:bookmarkStart w:id="122" w:name="_Toc78902195"/>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pStyle w:val="14"/>
        <w:jc w:val="center"/>
        <w:rPr>
          <w:rFonts w:hint="eastAsia" w:hAnsi="宋体" w:cs="宋体"/>
          <w:b/>
          <w:color w:val="auto"/>
          <w:sz w:val="96"/>
          <w:szCs w:val="96"/>
          <w:highlight w:val="none"/>
        </w:rPr>
      </w:pPr>
    </w:p>
    <w:p>
      <w:pPr>
        <w:pStyle w:val="14"/>
        <w:jc w:val="center"/>
        <w:rPr>
          <w:rFonts w:hint="eastAsia" w:hAnsi="宋体" w:cs="宋体"/>
          <w:b/>
          <w:color w:val="auto"/>
          <w:sz w:val="96"/>
          <w:szCs w:val="96"/>
          <w:highlight w:val="none"/>
        </w:rPr>
      </w:pPr>
    </w:p>
    <w:p>
      <w:pPr>
        <w:pStyle w:val="14"/>
        <w:keepNext w:val="0"/>
        <w:keepLines w:val="0"/>
        <w:pageBreakBefore w:val="0"/>
        <w:widowControl w:val="0"/>
        <w:kinsoku/>
        <w:wordWrap/>
        <w:overflowPunct/>
        <w:topLinePunct w:val="0"/>
        <w:autoSpaceDE/>
        <w:autoSpaceDN/>
        <w:bidi w:val="0"/>
        <w:adjustRightInd/>
        <w:snapToGrid/>
        <w:jc w:val="center"/>
        <w:textAlignment w:val="auto"/>
        <w:outlineLvl w:val="9"/>
        <w:rPr>
          <w:rFonts w:hint="eastAsia" w:ascii="华文中宋" w:hAnsi="华文中宋" w:eastAsia="华文中宋" w:cs="华文中宋"/>
          <w:b w:val="0"/>
          <w:bCs/>
          <w:color w:val="auto"/>
          <w:sz w:val="32"/>
          <w:szCs w:val="32"/>
          <w:highlight w:val="none"/>
        </w:rPr>
      </w:pPr>
      <w:r>
        <w:rPr>
          <w:rFonts w:hint="eastAsia" w:ascii="华文中宋" w:hAnsi="华文中宋" w:eastAsia="华文中宋" w:cs="华文中宋"/>
          <w:b w:val="0"/>
          <w:bCs/>
          <w:color w:val="auto"/>
          <w:sz w:val="32"/>
          <w:szCs w:val="32"/>
          <w:highlight w:val="none"/>
        </w:rPr>
        <w:t>合 同 书</w:t>
      </w:r>
    </w:p>
    <w:p>
      <w:pPr>
        <w:pStyle w:val="14"/>
        <w:jc w:val="center"/>
        <w:rPr>
          <w:rFonts w:hint="eastAsia" w:ascii="华文中宋" w:hAnsi="华文中宋" w:eastAsia="华文中宋" w:cs="华文中宋"/>
          <w:b w:val="0"/>
          <w:bCs/>
          <w:color w:val="auto"/>
          <w:sz w:val="32"/>
          <w:szCs w:val="32"/>
          <w:highlight w:val="none"/>
        </w:rPr>
      </w:pPr>
    </w:p>
    <w:p>
      <w:pPr>
        <w:tabs>
          <w:tab w:val="left" w:pos="540"/>
          <w:tab w:val="left" w:pos="1080"/>
          <w:tab w:val="left" w:pos="1440"/>
        </w:tabs>
        <w:snapToGrid w:val="0"/>
        <w:jc w:val="center"/>
        <w:rPr>
          <w:rFonts w:hint="eastAsia" w:ascii="宋体" w:hAnsi="宋体" w:cs="宋体"/>
          <w:color w:val="auto"/>
          <w:sz w:val="32"/>
          <w:szCs w:val="32"/>
          <w:highlight w:val="none"/>
        </w:rPr>
      </w:pPr>
    </w:p>
    <w:p>
      <w:pPr>
        <w:tabs>
          <w:tab w:val="left" w:pos="540"/>
          <w:tab w:val="left" w:pos="1080"/>
          <w:tab w:val="left" w:pos="1440"/>
        </w:tabs>
        <w:snapToGrid w:val="0"/>
        <w:jc w:val="center"/>
        <w:rPr>
          <w:rFonts w:hint="eastAsia" w:ascii="宋体" w:hAnsi="宋体" w:cs="宋体"/>
          <w:color w:val="auto"/>
          <w:sz w:val="32"/>
          <w:szCs w:val="32"/>
          <w:highlight w:val="none"/>
        </w:rPr>
      </w:pPr>
    </w:p>
    <w:p>
      <w:pPr>
        <w:tabs>
          <w:tab w:val="left" w:pos="540"/>
          <w:tab w:val="left" w:pos="1080"/>
          <w:tab w:val="left" w:pos="1440"/>
        </w:tabs>
        <w:snapToGrid w:val="0"/>
        <w:jc w:val="center"/>
        <w:rPr>
          <w:rFonts w:hint="eastAsia" w:ascii="宋体" w:hAnsi="宋体" w:cs="宋体"/>
          <w:color w:val="auto"/>
          <w:sz w:val="32"/>
          <w:szCs w:val="32"/>
          <w:highlight w:val="none"/>
        </w:rPr>
      </w:pPr>
    </w:p>
    <w:p>
      <w:pPr>
        <w:rPr>
          <w:rFonts w:hint="eastAsia" w:ascii="方正小标宋简体" w:hAnsi="方正小标宋简体" w:eastAsia="方正小标宋简体" w:cs="方正小标宋简体"/>
          <w:b w:val="0"/>
          <w:bCs/>
          <w:color w:val="auto"/>
          <w:sz w:val="24"/>
          <w:szCs w:val="24"/>
          <w:highlight w:val="none"/>
        </w:rPr>
      </w:pPr>
    </w:p>
    <w:p>
      <w:pPr>
        <w:ind w:left="3355" w:leftChars="1026" w:hanging="1200" w:hangingChars="500"/>
        <w:rPr>
          <w:rFonts w:hint="eastAsia" w:ascii="方正小标宋简体" w:hAnsi="方正小标宋简体" w:eastAsia="方正小标宋简体" w:cs="方正小标宋简体"/>
          <w:b w:val="0"/>
          <w:bCs/>
          <w:color w:val="auto"/>
          <w:sz w:val="24"/>
          <w:szCs w:val="24"/>
          <w:highlight w:val="none"/>
          <w:u w:val="single"/>
          <w:lang w:eastAsia="zh-CN"/>
        </w:rPr>
      </w:pPr>
      <w:r>
        <w:rPr>
          <w:rFonts w:hint="eastAsia" w:ascii="方正小标宋简体" w:hAnsi="方正小标宋简体" w:eastAsia="方正小标宋简体" w:cs="方正小标宋简体"/>
          <w:b w:val="0"/>
          <w:bCs/>
          <w:color w:val="auto"/>
          <w:sz w:val="24"/>
          <w:szCs w:val="24"/>
          <w:highlight w:val="none"/>
        </w:rPr>
        <w:t>项目名称：</w:t>
      </w:r>
      <w:r>
        <w:rPr>
          <w:rFonts w:hint="eastAsia" w:ascii="方正小标宋简体" w:hAnsi="方正小标宋简体" w:eastAsia="方正小标宋简体" w:cs="方正小标宋简体"/>
          <w:b w:val="0"/>
          <w:bCs/>
          <w:color w:val="auto"/>
          <w:sz w:val="24"/>
          <w:szCs w:val="24"/>
          <w:highlight w:val="none"/>
          <w:u w:val="single"/>
          <w:lang w:eastAsia="zh-CN"/>
        </w:rPr>
        <w:t>国家税务总局黑龙江省税务局电子税务局咨询热线服务项目</w:t>
      </w: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ind w:left="2100" w:leftChars="1000" w:firstLine="0" w:firstLineChars="0"/>
        <w:textAlignment w:val="auto"/>
        <w:rPr>
          <w:rFonts w:hint="eastAsia" w:ascii="方正小标宋简体" w:hAnsi="方正小标宋简体" w:eastAsia="方正小标宋简体" w:cs="方正小标宋简体"/>
          <w:b w:val="0"/>
          <w:bCs/>
          <w:color w:val="auto"/>
          <w:sz w:val="24"/>
          <w:szCs w:val="24"/>
          <w:highlight w:val="none"/>
        </w:rPr>
      </w:pP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ind w:left="2100" w:leftChars="1000" w:firstLine="240" w:firstLineChars="100"/>
        <w:textAlignment w:val="auto"/>
        <w:rPr>
          <w:rFonts w:hint="default" w:ascii="方正小标宋简体" w:hAnsi="方正小标宋简体" w:eastAsia="方正小标宋简体" w:cs="方正小标宋简体"/>
          <w:b w:val="0"/>
          <w:bCs/>
          <w:color w:val="auto"/>
          <w:sz w:val="24"/>
          <w:szCs w:val="24"/>
          <w:highlight w:val="none"/>
          <w:lang w:val="en-US" w:eastAsia="zh-CN"/>
        </w:rPr>
      </w:pPr>
      <w:r>
        <w:rPr>
          <w:rFonts w:hint="eastAsia" w:ascii="方正小标宋简体" w:hAnsi="方正小标宋简体" w:eastAsia="方正小标宋简体" w:cs="方正小标宋简体"/>
          <w:b w:val="0"/>
          <w:bCs/>
          <w:color w:val="auto"/>
          <w:sz w:val="24"/>
          <w:szCs w:val="24"/>
          <w:highlight w:val="none"/>
        </w:rPr>
        <w:t>合同编号：</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lang w:val="en-US" w:eastAsia="zh-CN"/>
        </w:rPr>
        <w:t xml:space="preserve"> </w:t>
      </w: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880" w:leftChars="800" w:hanging="1200" w:hangingChars="500"/>
        <w:textAlignment w:val="auto"/>
        <w:rPr>
          <w:rFonts w:hint="eastAsia" w:ascii="方正小标宋简体" w:hAnsi="方正小标宋简体" w:eastAsia="方正小标宋简体" w:cs="方正小标宋简体"/>
          <w:b w:val="0"/>
          <w:bCs/>
          <w:color w:val="auto"/>
          <w:sz w:val="24"/>
          <w:szCs w:val="24"/>
          <w:highlight w:val="none"/>
        </w:rPr>
      </w:pPr>
    </w:p>
    <w:p>
      <w:pPr>
        <w:pStyle w:val="14"/>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pStyle w:val="14"/>
        <w:tabs>
          <w:tab w:val="left" w:pos="3045"/>
        </w:tabs>
        <w:spacing w:line="460" w:lineRule="exact"/>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ab/>
      </w:r>
    </w:p>
    <w:p>
      <w:pPr>
        <w:pStyle w:val="14"/>
        <w:spacing w:line="460" w:lineRule="exact"/>
        <w:jc w:val="both"/>
        <w:rPr>
          <w:rFonts w:hint="eastAsia" w:ascii="方正小标宋简体" w:hAnsi="方正小标宋简体" w:eastAsia="方正小标宋简体" w:cs="方正小标宋简体"/>
          <w:b w:val="0"/>
          <w:bCs/>
          <w:color w:val="auto"/>
          <w:sz w:val="24"/>
          <w:szCs w:val="24"/>
          <w:highlight w:val="none"/>
        </w:rPr>
      </w:pPr>
    </w:p>
    <w:p>
      <w:pPr>
        <w:pStyle w:val="14"/>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 xml:space="preserve">甲    方： </w:t>
      </w:r>
      <w:r>
        <w:rPr>
          <w:rFonts w:hint="eastAsia" w:ascii="方正小标宋简体" w:hAnsi="方正小标宋简体" w:eastAsia="方正小标宋简体" w:cs="方正小标宋简体"/>
          <w:b w:val="0"/>
          <w:bCs/>
          <w:color w:val="auto"/>
          <w:sz w:val="24"/>
          <w:szCs w:val="24"/>
          <w:highlight w:val="none"/>
          <w:u w:val="single"/>
        </w:rPr>
        <w:t>国家税务总局</w:t>
      </w:r>
      <w:r>
        <w:rPr>
          <w:rFonts w:hint="eastAsia" w:ascii="方正小标宋简体" w:hAnsi="方正小标宋简体" w:eastAsia="方正小标宋简体" w:cs="方正小标宋简体"/>
          <w:b w:val="0"/>
          <w:bCs/>
          <w:color w:val="auto"/>
          <w:sz w:val="24"/>
          <w:szCs w:val="24"/>
          <w:highlight w:val="none"/>
          <w:u w:val="single"/>
          <w:lang w:eastAsia="zh-CN"/>
        </w:rPr>
        <w:t>黑龙江省</w:t>
      </w:r>
      <w:r>
        <w:rPr>
          <w:rFonts w:hint="eastAsia" w:ascii="方正小标宋简体" w:hAnsi="方正小标宋简体" w:eastAsia="方正小标宋简体" w:cs="方正小标宋简体"/>
          <w:b w:val="0"/>
          <w:bCs/>
          <w:color w:val="auto"/>
          <w:sz w:val="24"/>
          <w:szCs w:val="24"/>
          <w:highlight w:val="none"/>
          <w:u w:val="single"/>
          <w:lang w:val="en-US" w:eastAsia="zh-CN"/>
        </w:rPr>
        <w:t>税务局</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rPr>
          <w:rFonts w:hint="eastAsia" w:ascii="方正小标宋简体" w:hAnsi="方正小标宋简体" w:eastAsia="方正小标宋简体" w:cs="方正小标宋简体"/>
          <w:b w:val="0"/>
          <w:bCs/>
          <w:color w:val="auto"/>
          <w:sz w:val="24"/>
          <w:szCs w:val="24"/>
          <w:highlight w:val="none"/>
          <w:u w:val="single"/>
          <w:lang w:val="en-US" w:eastAsia="zh-CN"/>
        </w:rPr>
      </w:pPr>
      <w:r>
        <w:rPr>
          <w:rFonts w:hint="eastAsia" w:ascii="方正小标宋简体" w:hAnsi="方正小标宋简体" w:eastAsia="方正小标宋简体" w:cs="方正小标宋简体"/>
          <w:b w:val="0"/>
          <w:bCs/>
          <w:color w:val="auto"/>
          <w:sz w:val="24"/>
          <w:szCs w:val="24"/>
          <w:highlight w:val="none"/>
        </w:rPr>
        <w:t xml:space="preserve">乙    方：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rPr>
          <w:rFonts w:hint="eastAsia" w:ascii="方正小标宋简体" w:hAnsi="方正小标宋简体" w:eastAsia="方正小标宋简体" w:cs="方正小标宋简体"/>
          <w:b w:val="0"/>
          <w:bCs/>
          <w:color w:val="auto"/>
          <w:sz w:val="24"/>
          <w:szCs w:val="24"/>
          <w:highlight w:val="none"/>
          <w:u w:val="single"/>
          <w:lang w:eastAsia="zh-CN"/>
        </w:rPr>
      </w:pPr>
      <w:r>
        <w:rPr>
          <w:rFonts w:hint="eastAsia" w:ascii="方正小标宋简体" w:hAnsi="方正小标宋简体" w:eastAsia="方正小标宋简体" w:cs="方正小标宋简体"/>
          <w:b w:val="0"/>
          <w:bCs/>
          <w:color w:val="auto"/>
          <w:sz w:val="24"/>
          <w:szCs w:val="24"/>
          <w:highlight w:val="none"/>
        </w:rPr>
        <w:t xml:space="preserve">日    期： </w:t>
      </w:r>
      <w:r>
        <w:rPr>
          <w:rFonts w:hint="eastAsia" w:ascii="方正小标宋简体" w:hAnsi="方正小标宋简体" w:eastAsia="方正小标宋简体" w:cs="方正小标宋简体"/>
          <w:b w:val="0"/>
          <w:bCs/>
          <w:color w:val="auto"/>
          <w:sz w:val="24"/>
          <w:szCs w:val="24"/>
          <w:highlight w:val="none"/>
          <w:u w:val="single"/>
        </w:rPr>
        <w:t xml:space="preserve">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年</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 xml:space="preserve">月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lang w:eastAsia="zh-CN"/>
        </w:rPr>
        <w:t>日</w:t>
      </w:r>
    </w:p>
    <w:p>
      <w:pPr>
        <w:spacing w:line="300" w:lineRule="auto"/>
        <w:jc w:val="center"/>
        <w:rPr>
          <w:rFonts w:hint="eastAsia" w:ascii="宋体" w:hAnsi="宋体" w:cs="宋体"/>
          <w:b/>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u w:val="single"/>
        </w:rPr>
        <w:br w:type="page"/>
      </w:r>
      <w:r>
        <w:rPr>
          <w:rFonts w:hint="eastAsia" w:ascii="宋体" w:hAnsi="宋体" w:cs="宋体"/>
          <w:b/>
          <w:color w:val="auto"/>
          <w:sz w:val="24"/>
          <w:szCs w:val="24"/>
          <w:highlight w:val="none"/>
        </w:rPr>
        <w:t>合同条款前附表</w:t>
      </w:r>
    </w:p>
    <w:tbl>
      <w:tblPr>
        <w:tblStyle w:val="23"/>
        <w:tblW w:w="8343"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5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序号</w:t>
            </w:r>
          </w:p>
        </w:tc>
        <w:tc>
          <w:tcPr>
            <w:tcW w:w="768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合同名称</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bCs/>
                <w:color w:val="auto"/>
                <w:sz w:val="21"/>
                <w:szCs w:val="21"/>
                <w:highlight w:val="none"/>
              </w:rPr>
            </w:pPr>
            <w:r>
              <w:rPr>
                <w:rFonts w:hint="eastAsia" w:ascii="仿宋_GB2312" w:hAnsi="宋体" w:eastAsia="仿宋_GB2312" w:cs="仿宋_GB2312"/>
                <w:i w:val="0"/>
                <w:color w:val="000000"/>
                <w:kern w:val="0"/>
                <w:sz w:val="23"/>
                <w:szCs w:val="23"/>
                <w:u w:val="none"/>
                <w:lang w:val="en-US" w:eastAsia="zh-CN" w:bidi="ar"/>
              </w:rPr>
              <w:t>国家税务总局黑龙江省税务局电子税务局咨询热线服务项目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合同编号</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eastAsia" w:ascii="Times New Roman" w:hAnsi="Times New Roman" w:eastAsia="华文中宋" w:cs="Times New Roman"/>
                <w:bCs/>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合同类型</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r>
              <w:rPr>
                <w:rFonts w:hint="eastAsia" w:ascii="仿宋_GB2312" w:hAnsi="宋体" w:eastAsia="仿宋_GB2312" w:cs="仿宋_GB2312"/>
                <w:i w:val="0"/>
                <w:color w:val="000000"/>
                <w:kern w:val="0"/>
                <w:sz w:val="23"/>
                <w:szCs w:val="23"/>
                <w:u w:val="none"/>
                <w:lang w:val="en-US" w:eastAsia="zh-CN" w:bidi="ar"/>
              </w:rPr>
              <w:t>服务类合同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定价方式</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r>
              <w:rPr>
                <w:rFonts w:hint="eastAsia" w:ascii="仿宋_GB2312" w:hAnsi="宋体" w:eastAsia="仿宋_GB2312" w:cs="仿宋_GB2312"/>
                <w:i w:val="0"/>
                <w:color w:val="000000"/>
                <w:kern w:val="0"/>
                <w:sz w:val="23"/>
                <w:szCs w:val="23"/>
                <w:u w:val="none"/>
                <w:lang w:val="en-US" w:eastAsia="zh-CN" w:bidi="ar"/>
              </w:rPr>
              <w:t>固定总价合同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5</w:t>
            </w:r>
          </w:p>
        </w:tc>
        <w:tc>
          <w:tcPr>
            <w:tcW w:w="1909" w:type="dxa"/>
            <w:gridSpan w:val="2"/>
            <w:tcBorders>
              <w:top w:val="single" w:color="auto" w:sz="4"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甲方名称</w:t>
            </w:r>
          </w:p>
        </w:tc>
        <w:tc>
          <w:tcPr>
            <w:tcW w:w="5779" w:type="dxa"/>
            <w:tcBorders>
              <w:top w:val="single" w:color="auto" w:sz="4"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bCs/>
                <w:color w:val="auto"/>
                <w:sz w:val="21"/>
                <w:szCs w:val="21"/>
                <w:highlight w:val="none"/>
              </w:rPr>
              <w:t>国家税务总局黑龙江省税务局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甲方地址</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eastAsia="zh-CN"/>
              </w:rPr>
              <w:t>黑龙江省哈尔滨市南岗区东大直街</w:t>
            </w:r>
            <w:r>
              <w:rPr>
                <w:rFonts w:hint="eastAsia" w:ascii="Times New Roman" w:hAnsi="Times New Roman" w:cs="Times New Roman"/>
                <w:color w:val="auto"/>
                <w:sz w:val="21"/>
                <w:szCs w:val="21"/>
                <w:highlight w:val="none"/>
                <w:lang w:val="en-US" w:eastAsia="zh-CN"/>
              </w:rPr>
              <w:t>190号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restart"/>
            <w:tcBorders>
              <w:top w:val="single" w:color="auto" w:sz="6"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甲方相关部门</w:t>
            </w: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甲方采购部门</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国家税务总局黑龙江省税务局</w:t>
            </w:r>
            <w:r>
              <w:rPr>
                <w:rFonts w:hint="eastAsia" w:ascii="Times New Roman" w:hAnsi="Times New Roman" w:cs="Times New Roman"/>
                <w:color w:val="auto"/>
                <w:sz w:val="21"/>
                <w:szCs w:val="21"/>
                <w:highlight w:val="none"/>
                <w:lang w:eastAsia="zh-CN"/>
              </w:rPr>
              <w:t>财务管理处（装备和采购处）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5779"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高楠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w:t>
            </w:r>
            <w:r>
              <w:rPr>
                <w:rFonts w:hint="default" w:ascii="Times New Roman" w:hAnsi="Times New Roman" w:cs="Times New Roman"/>
                <w:color w:val="auto"/>
                <w:sz w:val="21"/>
                <w:szCs w:val="21"/>
                <w:highlight w:val="none"/>
                <w:lang w:eastAsia="zh-CN"/>
              </w:rPr>
              <w:t>需求部门</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国家税务总局黑龙江省税务局纳税服务和宣传中心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张运超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5779"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6</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乙方名称</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乙方企业性质</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sym w:font="Wingdings 2" w:char="00A3"/>
            </w:r>
            <w:r>
              <w:rPr>
                <w:rFonts w:hint="default" w:ascii="Times New Roman" w:hAnsi="Times New Roman" w:cs="Times New Roman"/>
                <w:color w:val="auto"/>
                <w:sz w:val="21"/>
                <w:szCs w:val="21"/>
                <w:highlight w:val="none"/>
              </w:rPr>
              <w:t xml:space="preserve"> 中型企业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小型企业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微型企业    </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监狱企业</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残疾人福利性单位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乙方地址</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乙方联系人</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传真</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合同金额</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p>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服务内容</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仿宋_GB2312" w:hAnsi="宋体" w:eastAsia="仿宋_GB2312" w:cs="仿宋_GB2312"/>
                <w:i w:val="0"/>
                <w:color w:val="000000"/>
                <w:kern w:val="0"/>
                <w:sz w:val="23"/>
                <w:szCs w:val="23"/>
                <w:u w:val="none"/>
                <w:lang w:val="en-US" w:eastAsia="zh-CN" w:bidi="ar"/>
              </w:rPr>
            </w:pPr>
          </w:p>
          <w:p>
            <w:pPr>
              <w:keepNext w:val="0"/>
              <w:keepLines w:val="0"/>
              <w:pageBreakBefore w:val="0"/>
              <w:tabs>
                <w:tab w:val="left" w:pos="700"/>
              </w:tabs>
              <w:kinsoku/>
              <w:wordWrap/>
              <w:overflowPunct/>
              <w:bidi w:val="0"/>
              <w:adjustRightInd w:val="0"/>
              <w:snapToGrid w:val="0"/>
              <w:spacing w:line="240" w:lineRule="auto"/>
              <w:rPr>
                <w:rFonts w:hint="eastAsia" w:ascii="仿宋_GB2312" w:hAnsi="宋体" w:eastAsia="仿宋_GB2312" w:cs="仿宋_GB2312"/>
                <w:i w:val="0"/>
                <w:color w:val="000000"/>
                <w:kern w:val="0"/>
                <w:sz w:val="23"/>
                <w:szCs w:val="23"/>
                <w:u w:val="none"/>
                <w:lang w:val="en-US" w:eastAsia="zh-CN" w:bidi="ar"/>
              </w:rPr>
            </w:pPr>
          </w:p>
          <w:p>
            <w:pPr>
              <w:keepNext w:val="0"/>
              <w:keepLines w:val="0"/>
              <w:pageBreakBefore w:val="0"/>
              <w:tabs>
                <w:tab w:val="left" w:pos="700"/>
              </w:tabs>
              <w:kinsoku/>
              <w:wordWrap/>
              <w:overflowPunct/>
              <w:bidi w:val="0"/>
              <w:adjustRightInd w:val="0"/>
              <w:snapToGrid w:val="0"/>
              <w:spacing w:line="240" w:lineRule="auto"/>
              <w:rPr>
                <w:rFonts w:hint="eastAsia" w:ascii="仿宋_GB2312" w:hAnsi="宋体" w:eastAsia="仿宋_GB2312" w:cs="仿宋_GB2312"/>
                <w:i w:val="0"/>
                <w:color w:val="000000"/>
                <w:kern w:val="0"/>
                <w:sz w:val="23"/>
                <w:szCs w:val="23"/>
                <w:u w:val="none"/>
                <w:lang w:val="en-US" w:eastAsia="zh-CN" w:bidi="ar"/>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eastAsia" w:ascii="仿宋_GB2312" w:hAnsi="宋体" w:eastAsia="仿宋_GB2312" w:cs="仿宋_GB2312"/>
                <w:i w:val="0"/>
                <w:color w:val="000000"/>
                <w:kern w:val="0"/>
                <w:sz w:val="23"/>
                <w:szCs w:val="23"/>
                <w:u w:val="none"/>
                <w:lang w:val="en-US" w:eastAsia="zh-CN" w:bidi="ar"/>
              </w:rPr>
              <w:t>电子税务局咨询热线服务</w:t>
            </w:r>
            <w:r>
              <w:rPr>
                <w:rFonts w:hint="default" w:ascii="Times New Roman" w:hAnsi="Times New Roman" w:cs="Times New Roman"/>
                <w:color w:val="auto"/>
                <w:sz w:val="21"/>
                <w:szCs w:val="21"/>
                <w:highlight w:val="none"/>
                <w:lang w:eastAsia="zh-CN"/>
              </w:rPr>
              <w:t>，详见招标文件采购需求。</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5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合同付款</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pStyle w:val="54"/>
              <w:keepNext w:val="0"/>
              <w:keepLines w:val="0"/>
              <w:pageBreakBefore w:val="0"/>
              <w:numPr>
                <w:ilvl w:val="0"/>
                <w:numId w:val="0"/>
              </w:numPr>
              <w:tabs>
                <w:tab w:val="left" w:pos="840"/>
              </w:tabs>
              <w:kinsoku/>
              <w:wordWrap/>
              <w:overflowPunct/>
              <w:bidi w:val="0"/>
              <w:adjustRightInd w:val="0"/>
              <w:snapToGrid w:val="0"/>
              <w:spacing w:line="240" w:lineRule="auto"/>
              <w:jc w:val="left"/>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合同以人民币结算，付款方式：</w:t>
            </w:r>
          </w:p>
          <w:p>
            <w:pPr>
              <w:pStyle w:val="54"/>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jc w:val="left"/>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合同标的服务费金额为人民币     万元（大写：       元整）。合同签订后，收到乙方发票后30个工作日内，甲方支付给乙方合同价款的 50 %，人民币      万元（大写：        元整）；项目中期验收合格后，收到乙方发票30个工作日内，甲方支付给乙方合同价款的 40 %，人民币      万元（大写：        元整）；服务期满后，收到乙方发票30个工作日内，甲方支付给乙方合同价款的10%，人民币       万元（大写：         元整）。</w:t>
            </w:r>
          </w:p>
          <w:p>
            <w:pPr>
              <w:pStyle w:val="54"/>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jc w:val="left"/>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每次办理付款时，乙方应提供发票、付款申请（格式另附）、合同或合同关键页复印件、合同约定的其他资料。涉及验收的，应同时提交验收意见。</w:t>
            </w:r>
          </w:p>
          <w:p>
            <w:pPr>
              <w:pStyle w:val="54"/>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2"/>
                <w:sz w:val="21"/>
                <w:szCs w:val="21"/>
                <w:highlight w:val="none"/>
                <w:lang w:val="en-US" w:eastAsia="zh-CN" w:bidi="ar-SA"/>
              </w:rPr>
              <w:t>甲方在收到发票等合同约定资料后，进行核实。满足合同约定支付条件的，自收到发票后   日内将资金支付到乙方账户，特殊情形付款期限最长不超过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履约保证金及返还</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sym w:font="Wingdings 2" w:char="0052"/>
            </w:r>
            <w:r>
              <w:rPr>
                <w:rFonts w:hint="default" w:ascii="Times New Roman" w:hAnsi="Times New Roman" w:cs="Times New Roman"/>
                <w:color w:val="auto"/>
                <w:sz w:val="21"/>
                <w:szCs w:val="21"/>
                <w:highlight w:val="none"/>
              </w:rPr>
              <w:t>本</w:t>
            </w:r>
            <w:r>
              <w:rPr>
                <w:rFonts w:hint="default" w:ascii="Times New Roman" w:hAnsi="Times New Roman" w:cs="Times New Roman"/>
                <w:color w:val="auto"/>
                <w:sz w:val="21"/>
                <w:szCs w:val="21"/>
                <w:highlight w:val="none"/>
                <w:lang w:eastAsia="zh-CN"/>
              </w:rPr>
              <w:t>项目不要求提供履约保证金。</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□本项目要求提供履约保证金。履约保证金为合同</w:t>
            </w:r>
            <w:r>
              <w:rPr>
                <w:rFonts w:hint="default" w:ascii="Times New Roman" w:hAnsi="Times New Roman" w:cs="Times New Roman"/>
                <w:color w:val="auto"/>
                <w:sz w:val="21"/>
                <w:szCs w:val="21"/>
                <w:highlight w:val="none"/>
                <w:lang w:eastAsia="zh-CN"/>
              </w:rPr>
              <w:t>总</w:t>
            </w:r>
            <w:r>
              <w:rPr>
                <w:rFonts w:hint="default" w:ascii="Times New Roman" w:hAnsi="Times New Roman" w:cs="Times New Roman"/>
                <w:color w:val="auto"/>
                <w:sz w:val="21"/>
                <w:szCs w:val="21"/>
                <w:highlight w:val="none"/>
              </w:rPr>
              <w:t>金额</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%，即人民币</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none"/>
                <w:lang w:val="en" w:eastAsia="zh-CN"/>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乙方应在合同签订之日起 30 日内提交甲方。提交方式为银行电汇、金融机构或担保机构出具的保函。在合同履行期满，扣除应扣除的款项（如有）且双方无争议后，无息返还。</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办理返还履约保证金时，乙方应提供履约保证金返还申请（格式另附）、</w:t>
            </w:r>
            <w:r>
              <w:rPr>
                <w:rFonts w:hint="default" w:ascii="Times New Roman" w:hAnsi="Times New Roman" w:cs="Times New Roman"/>
                <w:color w:val="auto"/>
                <w:sz w:val="21"/>
                <w:szCs w:val="21"/>
                <w:highlight w:val="none"/>
                <w:lang w:eastAsia="zh-CN"/>
              </w:rPr>
              <w:t>合同或</w:t>
            </w:r>
            <w:r>
              <w:rPr>
                <w:rFonts w:hint="default" w:ascii="Times New Roman" w:hAnsi="Times New Roman" w:cs="Times New Roman"/>
                <w:color w:val="auto"/>
                <w:sz w:val="21"/>
                <w:szCs w:val="21"/>
                <w:highlight w:val="none"/>
              </w:rPr>
              <w:t>合同关键页复印件、合同约定的其他资料。涉及验收的，应同时提交甲方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出具的项目终验意见或</w:t>
            </w:r>
            <w:r>
              <w:rPr>
                <w:rFonts w:hint="default" w:ascii="Times New Roman" w:hAnsi="Times New Roman" w:cs="Times New Roman"/>
                <w:color w:val="auto"/>
                <w:sz w:val="21"/>
                <w:szCs w:val="21"/>
                <w:highlight w:val="none"/>
                <w:lang w:eastAsia="zh-CN"/>
              </w:rPr>
              <w:t>质量保证</w:t>
            </w:r>
            <w:r>
              <w:rPr>
                <w:rFonts w:hint="default" w:ascii="Times New Roman" w:hAnsi="Times New Roman" w:cs="Times New Roman"/>
                <w:color w:val="auto"/>
                <w:sz w:val="21"/>
                <w:szCs w:val="21"/>
                <w:highlight w:val="none"/>
              </w:rPr>
              <w:t>期（服务期）满验收意见。</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满足履约保证金返还条件的，甲方在收到返还相关信息等合同约定资料后，进行核实。对核实结果无异议的，自完成核实之日起30日内，以</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方式返还履约保证金</w:t>
            </w:r>
            <w:r>
              <w:rPr>
                <w:rFonts w:hint="default" w:ascii="Times New Roman" w:hAnsi="Times New Roman" w:cs="Times New Roman"/>
                <w:color w:val="auto"/>
                <w:sz w:val="21"/>
                <w:szCs w:val="21"/>
                <w:highlight w:val="none"/>
                <w:lang w:eastAsia="zh-CN"/>
              </w:rPr>
              <w:t>或退回保函</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合同履行期限</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 w:eastAsia="zh-CN"/>
              </w:rPr>
            </w:pPr>
            <w:r>
              <w:rPr>
                <w:rFonts w:hint="default" w:ascii="Times New Roman" w:hAnsi="Times New Roman" w:cs="Times New Roman"/>
                <w:color w:val="auto"/>
                <w:sz w:val="21"/>
                <w:szCs w:val="21"/>
                <w:highlight w:val="none"/>
                <w:lang w:eastAsia="zh-CN"/>
              </w:rPr>
              <w:t>服务期</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lang w:val="en-US" w:eastAsia="zh-CN"/>
              </w:rPr>
              <w:t>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lang w:val="en-US" w:eastAsia="zh-CN"/>
              </w:rPr>
              <w:t>月</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eastAsia="zh-CN"/>
              </w:rPr>
              <w:t>日至</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lang w:val="en-US" w:eastAsia="zh-CN"/>
              </w:rPr>
              <w:t>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lang w:val="en-US" w:eastAsia="zh-CN"/>
              </w:rPr>
              <w:t>月</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合同履约地点</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合同约定地点或甲方指定地点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合同纠纷解决方式</w:t>
            </w:r>
          </w:p>
        </w:tc>
        <w:tc>
          <w:tcPr>
            <w:tcW w:w="57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甲乙双方应首先通过友好协商解决在执行本合同中所发生的或与本合同有关的一切争端。如从协商开始</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eastAsia="zh-CN"/>
              </w:rPr>
              <w:t>天内仍不能解决，可以选择以下途径之一解决纠纷：</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□向甲方所在地仲裁委员会或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eastAsia="zh-CN"/>
              </w:rPr>
              <w:t>仲裁委员会申请仲裁</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□向甲方所在地人民法院或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eastAsia="zh-CN"/>
              </w:rPr>
              <w:t>人民法院提起诉讼</w:t>
            </w:r>
          </w:p>
        </w:tc>
      </w:tr>
    </w:tbl>
    <w:p>
      <w:pPr>
        <w:tabs>
          <w:tab w:val="left" w:pos="700"/>
        </w:tabs>
        <w:topLinePunct/>
        <w:autoSpaceDE w:val="0"/>
        <w:autoSpaceDN w:val="0"/>
        <w:spacing w:line="460" w:lineRule="exact"/>
        <w:rPr>
          <w:rFonts w:hint="eastAsia" w:ascii="宋体" w:hAnsi="宋体" w:cs="宋体"/>
          <w:b/>
          <w:color w:val="auto"/>
          <w:sz w:val="24"/>
          <w:highlight w:val="none"/>
        </w:rPr>
      </w:pPr>
      <w:r>
        <w:rPr>
          <w:rFonts w:hint="eastAsia" w:ascii="宋体" w:hAnsi="宋体" w:cs="宋体"/>
          <w:b/>
          <w:color w:val="auto"/>
          <w:sz w:val="28"/>
          <w:highlight w:val="none"/>
        </w:rPr>
        <w:br w:type="page"/>
      </w:r>
    </w:p>
    <w:p>
      <w:pPr>
        <w:keepNext w:val="0"/>
        <w:keepLines w:val="0"/>
        <w:pageBreakBefore w:val="0"/>
        <w:widowControl w:val="0"/>
        <w:tabs>
          <w:tab w:val="left" w:pos="0"/>
        </w:tabs>
        <w:kinsoku/>
        <w:wordWrap/>
        <w:overflowPunct/>
        <w:topLinePunct/>
        <w:autoSpaceDE w:val="0"/>
        <w:autoSpaceDN w:val="0"/>
        <w:bidi w:val="0"/>
        <w:adjustRightInd/>
        <w:snapToGrid/>
        <w:spacing w:line="360" w:lineRule="auto"/>
        <w:jc w:val="center"/>
        <w:textAlignment w:val="auto"/>
        <w:rPr>
          <w:rFonts w:hint="eastAsia" w:ascii="宋体" w:hAnsi="宋体" w:cs="宋体"/>
          <w:b/>
          <w:color w:val="auto"/>
          <w:sz w:val="24"/>
          <w:highlight w:val="none"/>
        </w:rPr>
      </w:pPr>
      <w:r>
        <w:rPr>
          <w:rFonts w:hint="eastAsia" w:ascii="宋体" w:hAnsi="宋体" w:cs="宋体"/>
          <w:b/>
          <w:color w:val="auto"/>
          <w:sz w:val="24"/>
          <w:highlight w:val="none"/>
        </w:rPr>
        <w:t xml:space="preserve">一   合  同 </w:t>
      </w:r>
    </w:p>
    <w:p>
      <w:pPr>
        <w:tabs>
          <w:tab w:val="left" w:pos="540"/>
        </w:tabs>
        <w:topLinePunct/>
        <w:autoSpaceDE w:val="0"/>
        <w:autoSpaceDN w:val="0"/>
        <w:spacing w:line="460" w:lineRule="exact"/>
        <w:rPr>
          <w:rFonts w:hint="eastAsia" w:ascii="宋体" w:hAnsi="宋体" w:cs="宋体"/>
          <w:b/>
          <w:color w:val="auto"/>
          <w:sz w:val="24"/>
          <w:highlight w:val="none"/>
        </w:rPr>
      </w:pP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国家税务总局</w:t>
      </w:r>
      <w:r>
        <w:rPr>
          <w:rFonts w:hint="eastAsia" w:ascii="Times New Roman" w:hAnsi="Times New Roman" w:cs="Times New Roman"/>
          <w:color w:val="auto"/>
          <w:sz w:val="21"/>
          <w:szCs w:val="21"/>
          <w:highlight w:val="none"/>
          <w:lang w:eastAsia="zh-CN"/>
        </w:rPr>
        <w:t>黑龙江省</w:t>
      </w:r>
      <w:r>
        <w:rPr>
          <w:rFonts w:hint="default" w:ascii="Times New Roman" w:hAnsi="Times New Roman" w:cs="Times New Roman"/>
          <w:color w:val="auto"/>
          <w:sz w:val="21"/>
          <w:szCs w:val="21"/>
          <w:highlight w:val="none"/>
          <w:lang w:val="en-US" w:eastAsia="zh-CN"/>
        </w:rPr>
        <w:t>税务局</w:t>
      </w:r>
      <w:r>
        <w:rPr>
          <w:rFonts w:hint="default" w:ascii="Times New Roman" w:hAnsi="Times New Roman" w:cs="Times New Roman"/>
          <w:color w:val="auto"/>
          <w:sz w:val="21"/>
          <w:szCs w:val="21"/>
          <w:highlight w:val="none"/>
        </w:rPr>
        <w:t>（以下简称“甲方”）通过</w:t>
      </w:r>
      <w:r>
        <w:rPr>
          <w:rFonts w:hint="eastAsia" w:ascii="Times New Roman" w:hAnsi="Times New Roman" w:cs="Times New Roman"/>
          <w:color w:val="auto"/>
          <w:sz w:val="21"/>
          <w:szCs w:val="21"/>
          <w:highlight w:val="none"/>
          <w:u w:val="single"/>
          <w:lang w:val="en-US" w:eastAsia="zh-CN"/>
        </w:rPr>
        <w:t>公开招标</w:t>
      </w:r>
      <w:r>
        <w:rPr>
          <w:rFonts w:hint="eastAsia" w:ascii="Times New Roman" w:hAnsi="Times New Roman" w:cs="Times New Roman"/>
          <w:color w:val="auto"/>
          <w:sz w:val="21"/>
          <w:szCs w:val="21"/>
          <w:highlight w:val="none"/>
          <w:u w:val="none"/>
          <w:lang w:val="en-US" w:eastAsia="zh-CN"/>
        </w:rPr>
        <w:t>方</w:t>
      </w:r>
      <w:r>
        <w:rPr>
          <w:rFonts w:hint="default" w:ascii="Times New Roman" w:hAnsi="Times New Roman" w:cs="Times New Roman"/>
          <w:color w:val="auto"/>
          <w:sz w:val="21"/>
          <w:szCs w:val="21"/>
          <w:highlight w:val="none"/>
          <w:u w:val="none"/>
          <w:lang w:val="en-US" w:eastAsia="zh-CN"/>
        </w:rPr>
        <w:t>式</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确定_</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_____公司（以下简称“乙方”）为</w:t>
      </w:r>
      <w:r>
        <w:rPr>
          <w:rFonts w:hint="default"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国家税务总局黑龙江省税务局电子税务局咨询热线服务</w:t>
      </w:r>
      <w:r>
        <w:rPr>
          <w:rFonts w:hint="default" w:ascii="Times New Roman" w:hAnsi="Times New Roman" w:eastAsia="宋体" w:cs="Times New Roman"/>
          <w:color w:val="auto"/>
          <w:sz w:val="21"/>
          <w:szCs w:val="21"/>
          <w:highlight w:val="none"/>
          <w:lang w:eastAsia="zh-CN"/>
        </w:rPr>
        <w:t>项目》中标（成交）供应商。甲乙双方同</w:t>
      </w:r>
      <w:r>
        <w:rPr>
          <w:rFonts w:hint="default" w:ascii="Times New Roman" w:hAnsi="Times New Roman" w:cs="Times New Roman"/>
          <w:color w:val="auto"/>
          <w:sz w:val="21"/>
          <w:szCs w:val="21"/>
          <w:highlight w:val="none"/>
        </w:rPr>
        <w:t>意按照该项目</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约定的内容，签署《</w:t>
      </w:r>
      <w:r>
        <w:rPr>
          <w:rFonts w:hint="eastAsia" w:ascii="Times New Roman" w:hAnsi="Times New Roman" w:eastAsia="宋体" w:cs="Times New Roman"/>
          <w:color w:val="auto"/>
          <w:sz w:val="21"/>
          <w:szCs w:val="21"/>
          <w:highlight w:val="none"/>
          <w:lang w:val="en-US" w:eastAsia="zh-CN"/>
        </w:rPr>
        <w:t>国家税务总局黑龙江省税务局电子税务局咨询热线服务</w:t>
      </w:r>
      <w:r>
        <w:rPr>
          <w:rFonts w:hint="default" w:ascii="Times New Roman" w:hAnsi="Times New Roman" w:eastAsia="宋体" w:cs="Times New Roman"/>
          <w:color w:val="auto"/>
          <w:sz w:val="21"/>
          <w:szCs w:val="21"/>
          <w:highlight w:val="none"/>
          <w:lang w:eastAsia="zh-CN"/>
        </w:rPr>
        <w:t>项目</w:t>
      </w:r>
      <w:r>
        <w:rPr>
          <w:rFonts w:hint="default" w:ascii="Times New Roman" w:hAnsi="Times New Roman" w:cs="Times New Roman"/>
          <w:color w:val="auto"/>
          <w:sz w:val="21"/>
          <w:szCs w:val="21"/>
          <w:highlight w:val="none"/>
        </w:rPr>
        <w:t>合同书》（合同编号：</w:t>
      </w:r>
      <w:r>
        <w:rPr>
          <w:rFonts w:hint="default" w:ascii="Times New Roman" w:hAnsi="Times New Roman" w:cs="Times New Roman"/>
          <w:color w:val="auto"/>
          <w:sz w:val="21"/>
          <w:szCs w:val="21"/>
          <w:highlight w:val="none"/>
          <w:u w:val="single"/>
        </w:rPr>
        <w:t xml:space="preserve">      </w:t>
      </w:r>
      <w:r>
        <w:rPr>
          <w:rFonts w:hint="default" w:ascii="Times New Roman" w:hAnsi="Times New Roman" w:cs="Times New Roman"/>
          <w:color w:val="auto"/>
          <w:sz w:val="21"/>
          <w:szCs w:val="21"/>
          <w:highlight w:val="none"/>
        </w:rPr>
        <w:t>，以下简称“合同”)。</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合同文件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本合同所附下列文件是构成本合同不可分割的部分：</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（1）合同通用条款；</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（2）报价表（总报价表和分项报价表）；</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eastAsia="zh-CN"/>
        </w:rPr>
        <w:t>）招标（采购）文件；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投标（响应）</w:t>
      </w:r>
      <w:r>
        <w:rPr>
          <w:rFonts w:hint="default" w:ascii="Times New Roman" w:hAnsi="Times New Roman" w:cs="Times New Roman"/>
          <w:color w:val="auto"/>
          <w:sz w:val="21"/>
          <w:szCs w:val="21"/>
          <w:highlight w:val="none"/>
        </w:rPr>
        <w:t>文件。</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合同范围和条件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本合同的范围和条件应与上述合同文件的规定相一致。</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13" w:firstLineChars="196"/>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合同金额</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w:t>
      </w:r>
      <w:r>
        <w:rPr>
          <w:rFonts w:hint="default" w:ascii="Times New Roman" w:hAnsi="Times New Roman" w:cs="Times New Roman"/>
          <w:color w:val="auto"/>
          <w:sz w:val="21"/>
          <w:szCs w:val="21"/>
          <w:highlight w:val="none"/>
          <w:lang w:eastAsia="zh-CN"/>
        </w:rPr>
        <w:t>总</w:t>
      </w:r>
      <w:r>
        <w:rPr>
          <w:rFonts w:hint="default" w:ascii="Times New Roman" w:hAnsi="Times New Roman" w:cs="Times New Roman"/>
          <w:color w:val="auto"/>
          <w:sz w:val="21"/>
          <w:szCs w:val="21"/>
          <w:highlight w:val="none"/>
        </w:rPr>
        <w:t>金额为人民币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。本项目以</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val="en-US" w:eastAsia="zh-CN"/>
        </w:rPr>
        <w:t>个月为1个服务周期，每个服务周期合同金额为人民币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p>
      <w:pPr>
        <w:keepNext w:val="0"/>
        <w:keepLines w:val="0"/>
        <w:pageBreakBefore w:val="0"/>
        <w:widowControl w:val="0"/>
        <w:numPr>
          <w:ilvl w:val="0"/>
          <w:numId w:val="0"/>
        </w:numPr>
        <w:tabs>
          <w:tab w:val="left" w:pos="700"/>
        </w:tabs>
        <w:kinsoku/>
        <w:wordWrap/>
        <w:overflowPunct/>
        <w:topLinePunct/>
        <w:autoSpaceDE w:val="0"/>
        <w:autoSpaceDN w:val="0"/>
        <w:bidi w:val="0"/>
        <w:snapToGrid w:val="0"/>
        <w:spacing w:line="360" w:lineRule="auto"/>
        <w:ind w:firstLine="422" w:firstLineChars="200"/>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
        </w:rPr>
        <w:t>4.</w:t>
      </w:r>
      <w:r>
        <w:rPr>
          <w:rFonts w:hint="default" w:ascii="Times New Roman" w:hAnsi="Times New Roman" w:cs="Times New Roman"/>
          <w:b/>
          <w:color w:val="auto"/>
          <w:sz w:val="21"/>
          <w:szCs w:val="21"/>
          <w:highlight w:val="none"/>
        </w:rPr>
        <w:t>付款条件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本项目每</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val="en-US" w:eastAsia="zh-CN"/>
        </w:rPr>
        <w:t>个</w:t>
      </w:r>
      <w:r>
        <w:rPr>
          <w:rFonts w:hint="default" w:ascii="Times New Roman" w:hAnsi="Times New Roman" w:cs="Times New Roman"/>
          <w:color w:val="auto"/>
          <w:sz w:val="21"/>
          <w:szCs w:val="21"/>
          <w:highlight w:val="none"/>
        </w:rPr>
        <w:t>月为 1 个服务周期，共</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个服务周期。每个服务周期，甲方按照采购文件和合同约定对乙方提供的服务进行考核或验收后支付相应款项。</w:t>
      </w:r>
    </w:p>
    <w:p>
      <w:pPr>
        <w:pStyle w:val="54"/>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20" w:firstLineChars="200"/>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合同以人民币结算，付款方式：</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eastAsia"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rPr>
        <w:t xml:space="preserve">合同标的服务费金额为人民币 </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万元（大写：</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元整）。合同签订后，</w:t>
      </w:r>
      <w:r>
        <w:rPr>
          <w:rFonts w:hint="eastAsia" w:ascii="Times New Roman" w:hAnsi="Times New Roman" w:eastAsia="宋体" w:cs="Times New Roman"/>
          <w:color w:val="auto"/>
          <w:sz w:val="21"/>
          <w:szCs w:val="21"/>
          <w:highlight w:val="none"/>
          <w:lang w:val="en-US" w:eastAsia="zh-CN"/>
        </w:rPr>
        <w:t>收到乙方发票后30个工作日内，</w:t>
      </w:r>
      <w:r>
        <w:rPr>
          <w:rFonts w:hint="eastAsia" w:ascii="Times New Roman" w:hAnsi="Times New Roman" w:eastAsia="宋体" w:cs="Times New Roman"/>
          <w:color w:val="auto"/>
          <w:sz w:val="21"/>
          <w:szCs w:val="21"/>
          <w:highlight w:val="none"/>
        </w:rPr>
        <w:t>甲方支付给乙方合同价款的 50 %，人民币</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 xml:space="preserve">万元（大写： </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元整）；项目</w:t>
      </w:r>
      <w:r>
        <w:rPr>
          <w:rFonts w:hint="eastAsia" w:ascii="Times New Roman" w:hAnsi="Times New Roman" w:eastAsia="宋体" w:cs="Times New Roman"/>
          <w:color w:val="auto"/>
          <w:sz w:val="21"/>
          <w:szCs w:val="21"/>
          <w:highlight w:val="none"/>
          <w:lang w:val="en-US" w:eastAsia="zh-CN"/>
        </w:rPr>
        <w:t>中</w:t>
      </w:r>
      <w:r>
        <w:rPr>
          <w:rFonts w:hint="eastAsia" w:ascii="Times New Roman" w:hAnsi="Times New Roman" w:eastAsia="宋体" w:cs="Times New Roman"/>
          <w:color w:val="auto"/>
          <w:sz w:val="21"/>
          <w:szCs w:val="21"/>
          <w:highlight w:val="none"/>
        </w:rPr>
        <w:t>期验收合格</w:t>
      </w:r>
      <w:r>
        <w:rPr>
          <w:rFonts w:hint="eastAsia" w:ascii="Times New Roman" w:hAnsi="Times New Roman" w:eastAsia="宋体" w:cs="Times New Roman"/>
          <w:color w:val="auto"/>
          <w:sz w:val="21"/>
          <w:szCs w:val="21"/>
          <w:highlight w:val="none"/>
          <w:lang w:val="en-US" w:eastAsia="zh-CN"/>
        </w:rPr>
        <w:t>后，收到乙方发票3</w:t>
      </w:r>
      <w:r>
        <w:rPr>
          <w:rFonts w:hint="eastAsia" w:ascii="Times New Roman" w:hAnsi="Times New Roman" w:eastAsia="宋体" w:cs="Times New Roman"/>
          <w:color w:val="auto"/>
          <w:sz w:val="21"/>
          <w:szCs w:val="21"/>
          <w:highlight w:val="none"/>
        </w:rPr>
        <w:t>0个工作日内</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rPr>
        <w:t xml:space="preserve">甲方支付给乙方合同价款的 40 %，人民币 </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 xml:space="preserve"> 万元（大写：</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元整）；服务期满</w:t>
      </w:r>
      <w:r>
        <w:rPr>
          <w:rFonts w:hint="eastAsia" w:ascii="Times New Roman" w:hAnsi="Times New Roman" w:eastAsia="宋体" w:cs="Times New Roman"/>
          <w:color w:val="auto"/>
          <w:sz w:val="21"/>
          <w:szCs w:val="21"/>
          <w:highlight w:val="none"/>
          <w:lang w:val="en-US" w:eastAsia="zh-CN"/>
        </w:rPr>
        <w:t>后，收到乙方发票3</w:t>
      </w:r>
      <w:r>
        <w:rPr>
          <w:rFonts w:hint="eastAsia" w:ascii="Times New Roman" w:hAnsi="Times New Roman" w:eastAsia="宋体" w:cs="Times New Roman"/>
          <w:color w:val="auto"/>
          <w:sz w:val="21"/>
          <w:szCs w:val="21"/>
          <w:highlight w:val="none"/>
        </w:rPr>
        <w:t>0个工作日内</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rPr>
        <w:t>甲方支付</w:t>
      </w:r>
      <w:r>
        <w:rPr>
          <w:rFonts w:hint="eastAsia" w:ascii="Times New Roman" w:hAnsi="Times New Roman" w:eastAsia="宋体" w:cs="Times New Roman"/>
          <w:color w:val="auto"/>
          <w:sz w:val="21"/>
          <w:szCs w:val="21"/>
          <w:highlight w:val="none"/>
          <w:lang w:eastAsia="zh-CN"/>
        </w:rPr>
        <w:t>给乙方</w:t>
      </w:r>
      <w:r>
        <w:rPr>
          <w:rFonts w:hint="eastAsia" w:ascii="Times New Roman" w:hAnsi="Times New Roman" w:eastAsia="宋体" w:cs="Times New Roman"/>
          <w:color w:val="auto"/>
          <w:sz w:val="21"/>
          <w:szCs w:val="21"/>
          <w:highlight w:val="none"/>
        </w:rPr>
        <w:t xml:space="preserve">合同价款的10%，人民币 </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万元（大写：</w:t>
      </w:r>
      <w:r>
        <w:rPr>
          <w:rFonts w:hint="eastAsia" w:ascii="Times New Roman" w:hAnsi="Times New Roman" w:eastAsia="宋体" w:cs="Times New Roman"/>
          <w:color w:val="auto"/>
          <w:sz w:val="21"/>
          <w:szCs w:val="21"/>
          <w:highlight w:val="none"/>
          <w:lang w:val="en-US" w:eastAsia="zh-CN"/>
        </w:rPr>
        <w:t xml:space="preserve">         </w:t>
      </w:r>
      <w:r>
        <w:rPr>
          <w:rFonts w:hint="eastAsia" w:ascii="Times New Roman" w:hAnsi="Times New Roman" w:eastAsia="宋体" w:cs="Times New Roman"/>
          <w:color w:val="auto"/>
          <w:sz w:val="21"/>
          <w:szCs w:val="21"/>
          <w:highlight w:val="none"/>
        </w:rPr>
        <w:t>元整）。</w:t>
      </w:r>
    </w:p>
    <w:p>
      <w:pPr>
        <w:pStyle w:val="54"/>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20" w:firstLineChars="200"/>
        <w:jc w:val="left"/>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每次办理付款时，乙方应提供发票、付款申请（格式另附）、合同或合同关键页复印件、合同约定的其他资料。涉及验收的，应同时提交甲方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出具的验收意见。</w:t>
      </w:r>
    </w:p>
    <w:p>
      <w:pPr>
        <w:pStyle w:val="54"/>
        <w:keepNext w:val="0"/>
        <w:keepLines w:val="0"/>
        <w:pageBreakBefore w:val="0"/>
        <w:widowControl w:val="0"/>
        <w:numPr>
          <w:ilvl w:val="0"/>
          <w:numId w:val="0"/>
        </w:numPr>
        <w:tabs>
          <w:tab w:val="left" w:pos="840"/>
        </w:tabs>
        <w:kinsoku/>
        <w:wordWrap/>
        <w:overflowPunct/>
        <w:topLinePunct w:val="0"/>
        <w:autoSpaceDE/>
        <w:autoSpaceDN/>
        <w:bidi w:val="0"/>
        <w:adjustRightInd w:val="0"/>
        <w:snapToGrid w:val="0"/>
        <w:spacing w:line="360" w:lineRule="auto"/>
        <w:ind w:firstLine="420" w:firstLineChars="200"/>
        <w:jc w:val="left"/>
        <w:textAlignment w:val="baseline"/>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甲方在收到发票等合同约定资料后，进行核实。满足合同约定支付条件的，自收到发票后</w:t>
      </w:r>
      <w:r>
        <w:rPr>
          <w:rFonts w:hint="default" w:ascii="Times New Roman" w:hAnsi="Times New Roman" w:cs="Times New Roman"/>
          <w:color w:val="auto"/>
          <w:sz w:val="21"/>
          <w:szCs w:val="21"/>
          <w:highlight w:val="none"/>
          <w:u w:val="single"/>
        </w:rPr>
        <w:t xml:space="preserve">   </w:t>
      </w:r>
      <w:r>
        <w:rPr>
          <w:rFonts w:hint="default" w:ascii="Times New Roman" w:hAnsi="Times New Roman" w:cs="Times New Roman"/>
          <w:color w:val="auto"/>
          <w:sz w:val="21"/>
          <w:szCs w:val="21"/>
          <w:highlight w:val="none"/>
        </w:rPr>
        <w:t>日内将资金支付到乙方账户，特殊情形付款期限最长不超过</w:t>
      </w:r>
      <w:r>
        <w:rPr>
          <w:rFonts w:hint="default" w:ascii="Times New Roman" w:hAnsi="Times New Roman" w:cs="Times New Roman"/>
          <w:color w:val="auto"/>
          <w:sz w:val="21"/>
          <w:szCs w:val="21"/>
          <w:highlight w:val="none"/>
          <w:u w:val="single"/>
        </w:rPr>
        <w:t xml:space="preserve">   </w:t>
      </w:r>
      <w:r>
        <w:rPr>
          <w:rFonts w:hint="default" w:ascii="Times New Roman" w:hAnsi="Times New Roman" w:cs="Times New Roman"/>
          <w:color w:val="auto"/>
          <w:sz w:val="21"/>
          <w:szCs w:val="21"/>
          <w:highlight w:val="none"/>
        </w:rPr>
        <w:t>日。</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eastAsia="宋体" w:cs="Times New Roman"/>
          <w:b/>
          <w:color w:val="auto"/>
          <w:sz w:val="21"/>
          <w:szCs w:val="21"/>
          <w:highlight w:val="none"/>
          <w:lang w:eastAsia="zh-CN"/>
        </w:rPr>
      </w:pPr>
      <w:r>
        <w:rPr>
          <w:rFonts w:hint="default" w:ascii="Times New Roman" w:hAnsi="Times New Roman" w:cs="Times New Roman"/>
          <w:b/>
          <w:color w:val="auto"/>
          <w:sz w:val="21"/>
          <w:szCs w:val="21"/>
          <w:highlight w:val="none"/>
        </w:rPr>
        <w:t>5. 合同签订</w:t>
      </w:r>
      <w:r>
        <w:rPr>
          <w:rFonts w:hint="default" w:ascii="Times New Roman" w:hAnsi="Times New Roman" w:cs="Times New Roman"/>
          <w:b/>
          <w:color w:val="auto"/>
          <w:sz w:val="21"/>
          <w:szCs w:val="21"/>
          <w:highlight w:val="none"/>
          <w:lang w:eastAsia="zh-CN"/>
        </w:rPr>
        <w:t>及生效</w:t>
      </w:r>
    </w:p>
    <w:p>
      <w:pPr>
        <w:pStyle w:val="54"/>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本合同一式</w:t>
      </w:r>
      <w:r>
        <w:rPr>
          <w:rFonts w:hint="eastAsia" w:ascii="Times New Roman" w:hAnsi="Times New Roman" w:cs="Times New Roman"/>
          <w:color w:val="auto"/>
          <w:sz w:val="21"/>
          <w:szCs w:val="21"/>
          <w:highlight w:val="none"/>
          <w:u w:val="none"/>
          <w:lang w:eastAsia="zh-CN"/>
        </w:rPr>
        <w:t>肆</w:t>
      </w:r>
      <w:r>
        <w:rPr>
          <w:rFonts w:hint="default" w:ascii="Times New Roman" w:hAnsi="Times New Roman" w:cs="Times New Roman"/>
          <w:color w:val="auto"/>
          <w:sz w:val="21"/>
          <w:szCs w:val="21"/>
          <w:highlight w:val="none"/>
        </w:rPr>
        <w:t>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由甲乙双方</w:t>
      </w:r>
      <w:r>
        <w:rPr>
          <w:rFonts w:hint="default" w:ascii="Times New Roman" w:hAnsi="Times New Roman" w:cs="Times New Roman"/>
          <w:color w:val="auto"/>
          <w:sz w:val="21"/>
          <w:szCs w:val="21"/>
          <w:highlight w:val="none"/>
          <w:lang w:eastAsia="zh-CN"/>
        </w:rPr>
        <w:t>法定代表人或被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签字</w:t>
      </w:r>
      <w:r>
        <w:rPr>
          <w:rFonts w:hint="default" w:ascii="Times New Roman" w:hAnsi="Times New Roman" w:cs="Times New Roman"/>
          <w:color w:val="auto"/>
          <w:sz w:val="21"/>
          <w:szCs w:val="21"/>
          <w:highlight w:val="none"/>
          <w:lang w:eastAsia="zh-CN"/>
        </w:rPr>
        <w:t>并</w:t>
      </w:r>
      <w:r>
        <w:rPr>
          <w:rFonts w:hint="default" w:ascii="Times New Roman" w:hAnsi="Times New Roman" w:cs="Times New Roman"/>
          <w:color w:val="auto"/>
          <w:sz w:val="21"/>
          <w:szCs w:val="21"/>
          <w:highlight w:val="none"/>
        </w:rPr>
        <w:t>盖章</w:t>
      </w:r>
      <w:r>
        <w:rPr>
          <w:rFonts w:hint="default" w:ascii="Times New Roman" w:hAnsi="Times New Roman" w:cs="Times New Roman"/>
          <w:color w:val="auto"/>
          <w:sz w:val="21"/>
          <w:szCs w:val="21"/>
          <w:highlight w:val="none"/>
          <w:lang w:eastAsia="zh-CN"/>
        </w:rPr>
        <w:t>后生效。</w:t>
      </w:r>
    </w:p>
    <w:p>
      <w:pPr>
        <w:pStyle w:val="54"/>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乙方由</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签订合同的，应提供</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身份证复印件；乙方由</w:t>
      </w:r>
      <w:r>
        <w:rPr>
          <w:rFonts w:hint="default" w:ascii="Times New Roman" w:hAnsi="Times New Roman" w:cs="Times New Roman"/>
          <w:color w:val="auto"/>
          <w:sz w:val="21"/>
          <w:szCs w:val="21"/>
          <w:highlight w:val="none"/>
          <w:lang w:eastAsia="zh-CN"/>
        </w:rPr>
        <w:t>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签订合同的，</w:t>
      </w:r>
      <w:r>
        <w:rPr>
          <w:rFonts w:hint="default" w:ascii="Times New Roman" w:hAnsi="Times New Roman" w:cs="Times New Roman"/>
          <w:color w:val="auto"/>
          <w:sz w:val="21"/>
          <w:szCs w:val="21"/>
          <w:highlight w:val="none"/>
          <w:lang w:eastAsia="zh-CN"/>
        </w:rPr>
        <w:t>应</w:t>
      </w:r>
      <w:r>
        <w:rPr>
          <w:rFonts w:hint="default" w:ascii="Times New Roman" w:hAnsi="Times New Roman" w:cs="Times New Roman"/>
          <w:color w:val="auto"/>
          <w:sz w:val="21"/>
          <w:szCs w:val="21"/>
          <w:highlight w:val="none"/>
        </w:rPr>
        <w:t>提供授权</w:t>
      </w:r>
      <w:r>
        <w:rPr>
          <w:rFonts w:hint="default" w:ascii="Times New Roman" w:hAnsi="Times New Roman" w:cs="Times New Roman"/>
          <w:color w:val="auto"/>
          <w:sz w:val="21"/>
          <w:szCs w:val="21"/>
          <w:highlight w:val="none"/>
          <w:lang w:eastAsia="zh-CN"/>
        </w:rPr>
        <w:t>委托</w:t>
      </w:r>
      <w:r>
        <w:rPr>
          <w:rFonts w:hint="default" w:ascii="Times New Roman" w:hAnsi="Times New Roman" w:cs="Times New Roman"/>
          <w:color w:val="auto"/>
          <w:sz w:val="21"/>
          <w:szCs w:val="21"/>
          <w:highlight w:val="none"/>
        </w:rPr>
        <w:t>书和</w:t>
      </w:r>
      <w:r>
        <w:rPr>
          <w:rFonts w:hint="default" w:ascii="Times New Roman" w:hAnsi="Times New Roman" w:cs="Times New Roman"/>
          <w:color w:val="auto"/>
          <w:sz w:val="21"/>
          <w:szCs w:val="21"/>
          <w:highlight w:val="none"/>
          <w:lang w:eastAsia="zh-CN"/>
        </w:rPr>
        <w:t>法定代表人及被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身份证复印件。</w:t>
      </w:r>
    </w:p>
    <w:p>
      <w:pPr>
        <w:pStyle w:val="54"/>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rPr>
          <w:rFonts w:hint="default" w:ascii="Times New Roman" w:hAnsi="Times New Roman" w:cs="Times New Roman"/>
          <w:color w:val="auto"/>
          <w:sz w:val="21"/>
          <w:szCs w:val="21"/>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甲方：国家税务总局</w:t>
      </w:r>
      <w:r>
        <w:rPr>
          <w:rFonts w:hint="eastAsia" w:ascii="Times New Roman" w:hAnsi="Times New Roman" w:cs="Times New Roman"/>
          <w:color w:val="auto"/>
          <w:sz w:val="21"/>
          <w:szCs w:val="21"/>
          <w:highlight w:val="none"/>
          <w:lang w:eastAsia="zh-CN"/>
        </w:rPr>
        <w:t>黑龙江省</w:t>
      </w:r>
      <w:r>
        <w:rPr>
          <w:rFonts w:hint="default" w:ascii="Times New Roman" w:hAnsi="Times New Roman" w:cs="Times New Roman"/>
          <w:color w:val="auto"/>
          <w:sz w:val="21"/>
          <w:szCs w:val="21"/>
          <w:highlight w:val="none"/>
        </w:rPr>
        <w:t>税务局             乙方：</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签字：                                </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 xml:space="preserve"> 签字：</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盖章：                                 </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 xml:space="preserve">盖章： </w:t>
      </w:r>
    </w:p>
    <w:p>
      <w:pPr>
        <w:keepNext w:val="0"/>
        <w:keepLines w:val="0"/>
        <w:pageBreakBefore w:val="0"/>
        <w:widowControl w:val="0"/>
        <w:tabs>
          <w:tab w:val="left" w:pos="700"/>
        </w:tabs>
        <w:kinsoku/>
        <w:wordWrap/>
        <w:overflowPunct/>
        <w:topLinePunct/>
        <w:autoSpaceDE w:val="0"/>
        <w:autoSpaceDN w:val="0"/>
        <w:bidi w:val="0"/>
        <w:spacing w:line="360" w:lineRule="auto"/>
        <w:ind w:left="36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日期：    年    月    日               </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日期：     年   月   日</w:t>
      </w:r>
    </w:p>
    <w:p>
      <w:pPr>
        <w:keepNext w:val="0"/>
        <w:keepLines w:val="0"/>
        <w:pageBreakBefore w:val="0"/>
        <w:widowControl w:val="0"/>
        <w:kinsoku/>
        <w:wordWrap/>
        <w:overflowPunct/>
        <w:topLinePunct/>
        <w:autoSpaceDE w:val="0"/>
        <w:autoSpaceDN w:val="0"/>
        <w:bidi w:val="0"/>
        <w:spacing w:line="360" w:lineRule="auto"/>
        <w:rPr>
          <w:rFonts w:hint="default" w:ascii="Times New Roman" w:hAnsi="Times New Roman" w:cs="Times New Roman"/>
          <w:b/>
          <w:color w:val="auto"/>
          <w:sz w:val="21"/>
          <w:szCs w:val="21"/>
          <w:highlight w:val="none"/>
        </w:rPr>
      </w:pPr>
    </w:p>
    <w:p>
      <w:pPr>
        <w:topLinePunct/>
        <w:autoSpaceDE w:val="0"/>
        <w:autoSpaceDN w:val="0"/>
        <w:spacing w:line="460" w:lineRule="exact"/>
        <w:jc w:val="center"/>
        <w:rPr>
          <w:rFonts w:hint="eastAsia" w:ascii="宋体" w:hAnsi="宋体" w:eastAsia="宋体" w:cs="宋体"/>
          <w:b/>
          <w:color w:val="auto"/>
          <w:sz w:val="24"/>
          <w:highlight w:val="none"/>
          <w:lang w:eastAsia="zh-CN"/>
        </w:rPr>
      </w:pPr>
    </w:p>
    <w:p>
      <w:pPr>
        <w:topLinePunct/>
        <w:autoSpaceDE w:val="0"/>
        <w:autoSpaceDN w:val="0"/>
        <w:spacing w:line="460" w:lineRule="exact"/>
        <w:jc w:val="center"/>
        <w:rPr>
          <w:rFonts w:hint="eastAsia" w:ascii="宋体" w:hAnsi="宋体" w:eastAsia="宋体" w:cs="宋体"/>
          <w:b/>
          <w:color w:val="auto"/>
          <w:sz w:val="24"/>
          <w:highlight w:val="none"/>
          <w:lang w:eastAsia="zh-CN"/>
        </w:rPr>
      </w:pPr>
    </w:p>
    <w:p>
      <w:pPr>
        <w:keepNext w:val="0"/>
        <w:keepLines w:val="0"/>
        <w:pageBreakBefore w:val="0"/>
        <w:widowControl w:val="0"/>
        <w:kinsoku/>
        <w:wordWrap/>
        <w:overflowPunct/>
        <w:topLinePunct/>
        <w:autoSpaceDE w:val="0"/>
        <w:autoSpaceDN w:val="0"/>
        <w:bidi w:val="0"/>
        <w:adjustRightInd/>
        <w:snapToGrid/>
        <w:spacing w:line="360" w:lineRule="auto"/>
        <w:jc w:val="center"/>
        <w:textAlignment w:val="auto"/>
        <w:rPr>
          <w:rFonts w:hint="eastAsia" w:ascii="宋体" w:hAnsi="宋体" w:cs="宋体"/>
          <w:b/>
          <w:color w:val="auto"/>
          <w:sz w:val="24"/>
          <w:highlight w:val="none"/>
        </w:rPr>
      </w:pPr>
      <w:r>
        <w:rPr>
          <w:rFonts w:ascii="宋体" w:hAnsi="宋体" w:cs="宋体"/>
          <w:b/>
          <w:color w:val="auto"/>
          <w:sz w:val="24"/>
          <w:highlight w:val="none"/>
        </w:rPr>
        <w:br w:type="page"/>
      </w:r>
      <w:r>
        <w:rPr>
          <w:rFonts w:hint="eastAsia" w:ascii="宋体" w:hAnsi="宋体" w:cs="宋体"/>
          <w:b/>
          <w:color w:val="auto"/>
          <w:sz w:val="24"/>
          <w:highlight w:val="none"/>
        </w:rPr>
        <w:t>二   合 同 通 用 条 款</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定义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本合同下列术语应解释为：</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1.1“甲方”是指国家税务总局</w:t>
      </w:r>
      <w:r>
        <w:rPr>
          <w:rFonts w:hint="eastAsia" w:ascii="Times New Roman" w:hAnsi="Times New Roman" w:cs="Times New Roman"/>
          <w:color w:val="auto"/>
          <w:sz w:val="21"/>
          <w:szCs w:val="21"/>
          <w:highlight w:val="none"/>
          <w:lang w:eastAsia="zh-CN"/>
        </w:rPr>
        <w:t>黑龙江省</w:t>
      </w:r>
      <w:r>
        <w:rPr>
          <w:rFonts w:hint="default" w:ascii="Times New Roman" w:hAnsi="Times New Roman" w:cs="Times New Roman"/>
          <w:color w:val="auto"/>
          <w:sz w:val="21"/>
          <w:szCs w:val="21"/>
          <w:highlight w:val="none"/>
          <w:lang w:val="en" w:eastAsia="zh-CN"/>
        </w:rPr>
        <w:t>税务局</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1.1.1“甲方采购部门”见“合同条款前附表”第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项“甲方采购部门”。</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1.1.2“甲方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1.2“乙方”见“合同条款前附表”第</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项“乙方名称”。</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1.3 “合同”系指甲乙双方签订的、合同格式中载明的甲乙双方所达成的协议，包括所有的附件、附录和上述文件所提到的构成合同的所有文件。</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1.4 “天”除非特别指出，“天”均为自然天。</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标准</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2.1 乙方为甲方</w:t>
      </w:r>
      <w:r>
        <w:rPr>
          <w:rFonts w:hint="default" w:ascii="Times New Roman" w:hAnsi="Times New Roman" w:cs="Times New Roman"/>
          <w:color w:val="auto"/>
          <w:sz w:val="21"/>
          <w:szCs w:val="21"/>
          <w:highlight w:val="none"/>
          <w:lang w:eastAsia="zh-CN"/>
        </w:rPr>
        <w:t>交付或</w:t>
      </w:r>
      <w:r>
        <w:rPr>
          <w:rFonts w:hint="default" w:ascii="Times New Roman" w:hAnsi="Times New Roman" w:cs="Times New Roman"/>
          <w:color w:val="auto"/>
          <w:sz w:val="21"/>
          <w:szCs w:val="21"/>
          <w:highlight w:val="none"/>
        </w:rPr>
        <w:t>提供的服务应符合</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所述的</w:t>
      </w:r>
      <w:r>
        <w:rPr>
          <w:rFonts w:hint="default" w:ascii="Times New Roman" w:hAnsi="Times New Roman" w:cs="Times New Roman"/>
          <w:color w:val="auto"/>
          <w:sz w:val="21"/>
          <w:szCs w:val="21"/>
          <w:highlight w:val="none"/>
          <w:lang w:eastAsia="zh-CN"/>
        </w:rPr>
        <w:t>标准</w:t>
      </w:r>
      <w:r>
        <w:rPr>
          <w:rFonts w:hint="default" w:ascii="Times New Roman" w:hAnsi="Times New Roman" w:cs="Times New Roman"/>
          <w:color w:val="auto"/>
          <w:sz w:val="21"/>
          <w:szCs w:val="21"/>
          <w:highlight w:val="none"/>
        </w:rPr>
        <w:t>，如果没有提及适用标准，则应符合相应的国家标准。这些标准必须是有关机构发布的最新版本的标准。</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2.2 除非技术要求中另有规定，计量单位均采用中华人民共和国法定计量单位。</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服务</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Cs/>
          <w:color w:val="auto"/>
          <w:sz w:val="21"/>
          <w:szCs w:val="21"/>
          <w:highlight w:val="none"/>
        </w:rPr>
        <w:t>3.1 本项目的“服务”见“合同条款前附表”第</w:t>
      </w:r>
      <w:r>
        <w:rPr>
          <w:rFonts w:hint="default" w:ascii="Times New Roman" w:hAnsi="Times New Roman" w:cs="Times New Roman"/>
          <w:bCs/>
          <w:color w:val="auto"/>
          <w:sz w:val="21"/>
          <w:szCs w:val="21"/>
          <w:highlight w:val="none"/>
          <w:lang w:val="en-US" w:eastAsia="zh-CN"/>
        </w:rPr>
        <w:t>8</w:t>
      </w:r>
      <w:r>
        <w:rPr>
          <w:rFonts w:hint="default" w:ascii="Times New Roman" w:hAnsi="Times New Roman" w:cs="Times New Roman"/>
          <w:bCs/>
          <w:color w:val="auto"/>
          <w:sz w:val="21"/>
          <w:szCs w:val="21"/>
          <w:highlight w:val="none"/>
        </w:rPr>
        <w:t>项“服务内容”。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3.2 乙方应保证所提供的服务符合合同规定的要求。如不符时，乙方应负全责并尽快处理解决，由此造成的损失和相关费用由乙方负责，甲方保留终止合同及索赔的权利。</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3.3 乙方应保证通过执行合同中全部方案后，可以取得本合同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的结果，达到本合同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的预期目标。对任何情况下出现的问题，应尽快提出解决方案。</w:t>
      </w:r>
    </w:p>
    <w:p>
      <w:pPr>
        <w:keepNext w:val="0"/>
        <w:keepLines w:val="0"/>
        <w:pageBreakBefore w:val="0"/>
        <w:widowControl w:val="0"/>
        <w:tabs>
          <w:tab w:val="left" w:pos="0"/>
          <w:tab w:val="left" w:pos="54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3.4 如果乙方提供的服务和解决方案不符合甲方要求，或在规定的时间内没有弥补缺陷，甲方有权采取一切必要的补救措施，由此产生的费用全部由乙方负责。</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3.5 除合同条款另行规定外，伴随服务的费用应含在合同价中，不单独进行支付。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4. 知识产权</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4.1 乙方应保证所提供</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服务免受第三方提出侵犯其知识产权（专利权、商标权、</w:t>
      </w:r>
      <w:r>
        <w:rPr>
          <w:rFonts w:hint="default" w:ascii="Times New Roman" w:hAnsi="Times New Roman" w:cs="Times New Roman"/>
          <w:color w:val="auto"/>
          <w:sz w:val="21"/>
          <w:szCs w:val="21"/>
          <w:highlight w:val="none"/>
          <w:lang w:eastAsia="zh-CN"/>
        </w:rPr>
        <w:t>软件著作权、</w:t>
      </w:r>
      <w:r>
        <w:rPr>
          <w:rFonts w:hint="default" w:ascii="Times New Roman" w:hAnsi="Times New Roman" w:cs="Times New Roman"/>
          <w:color w:val="auto"/>
          <w:sz w:val="21"/>
          <w:szCs w:val="21"/>
          <w:highlight w:val="none"/>
        </w:rPr>
        <w:t>版权等）的起诉。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4.2 甲方对项目实施过程中所产生的所有成果（</w:t>
      </w:r>
      <w:r>
        <w:rPr>
          <w:rFonts w:hint="default" w:ascii="Times New Roman" w:hAnsi="Times New Roman" w:cs="Times New Roman"/>
          <w:color w:val="auto"/>
          <w:sz w:val="21"/>
          <w:szCs w:val="21"/>
          <w:highlight w:val="none"/>
          <w:lang w:eastAsia="zh-CN"/>
        </w:rPr>
        <w:t>包括但不限于发明</w:t>
      </w:r>
      <w:r>
        <w:rPr>
          <w:rFonts w:hint="default" w:ascii="Times New Roman" w:hAnsi="Times New Roman" w:cs="Times New Roman"/>
          <w:color w:val="auto"/>
          <w:sz w:val="21"/>
          <w:szCs w:val="21"/>
          <w:highlight w:val="none"/>
        </w:rPr>
        <w:t>、发现、可运行系统、源代码及相关技术资料、文档等）享有永久使用权、复制权和修改权，其专利申请权、专利权、软件著作权、技术秘密的所有权、使用权、转让权等知识产权归甲方所有。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4.3 乙方不得利用本项目实施过程中所产生的成果（</w:t>
      </w:r>
      <w:r>
        <w:rPr>
          <w:rFonts w:hint="default" w:ascii="Times New Roman" w:hAnsi="Times New Roman" w:cs="Times New Roman"/>
          <w:color w:val="auto"/>
          <w:sz w:val="21"/>
          <w:szCs w:val="21"/>
          <w:highlight w:val="none"/>
          <w:lang w:eastAsia="zh-CN"/>
        </w:rPr>
        <w:t>包括但不限于发明</w:t>
      </w:r>
      <w:r>
        <w:rPr>
          <w:rFonts w:hint="default" w:ascii="Times New Roman" w:hAnsi="Times New Roman" w:cs="Times New Roman"/>
          <w:color w:val="auto"/>
          <w:sz w:val="21"/>
          <w:szCs w:val="21"/>
          <w:highlight w:val="none"/>
        </w:rPr>
        <w:t>、发现、可运行系统、源代码及相关技术资料、文档等），另行自行开发本合同业务范围内供纳税人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使用的软件或产品，不得利用开发便利变相收费或搭车收费。</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5. 保密条款</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5.1 甲乙双方应对在本合同签订或履行过程中所接触的对方信息，包括但不限于知识产权、技术资料、技术诀窍、内部管理及其他相关信息，负有保密义务。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 应以审慎态度避免泄漏、公开或传播甲方的信息；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 在开发过程中对数据的处理方式应事先得到甲方的许可；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 未经甲方书面许可，不得对有关信息进行修改、补充、复制；</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 未经甲方书面许可，不得将信息以任何方式（如E-mail）携带出甲方场所；</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（5） 未经甲方书面许可，不得将信息透露给任何其他人； </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 严禁在提交的软件</w:t>
      </w:r>
      <w:r>
        <w:rPr>
          <w:rFonts w:hint="default" w:ascii="Times New Roman" w:hAnsi="Times New Roman" w:cs="Times New Roman"/>
          <w:color w:val="auto"/>
          <w:sz w:val="21"/>
          <w:szCs w:val="21"/>
          <w:highlight w:val="none"/>
          <w:lang w:eastAsia="zh-CN"/>
        </w:rPr>
        <w:t>产品</w:t>
      </w:r>
      <w:r>
        <w:rPr>
          <w:rFonts w:hint="default" w:ascii="Times New Roman" w:hAnsi="Times New Roman" w:cs="Times New Roman"/>
          <w:color w:val="auto"/>
          <w:sz w:val="21"/>
          <w:szCs w:val="21"/>
          <w:highlight w:val="none"/>
        </w:rPr>
        <w:t>中设置远程维护接口和后门程序；</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 不得进行系统软硬件设备的远程维护；</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（8） 甲方以书面形式提出的其他保密措施。</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5.3 保密期限不受合同有效期的限制，在合同有效期结束后，信息接受方仍应承担保密义务，直至该等信息成为公开信息。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5.4 甲乙双方如出现泄密行为，泄密方应承担相关的法律责任，包括但是不限于对由此给对方造成的经济损失进行赔偿。</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xml:space="preserve">. </w:t>
      </w:r>
      <w:r>
        <w:rPr>
          <w:rFonts w:hint="default" w:ascii="Times New Roman" w:hAnsi="Times New Roman" w:cs="Times New Roman"/>
          <w:b/>
          <w:color w:val="auto"/>
          <w:sz w:val="21"/>
          <w:szCs w:val="21"/>
          <w:highlight w:val="none"/>
          <w:lang w:eastAsia="zh-CN"/>
        </w:rPr>
        <w:t>履约</w:t>
      </w:r>
      <w:r>
        <w:rPr>
          <w:rFonts w:hint="default" w:ascii="Times New Roman" w:hAnsi="Times New Roman" w:cs="Times New Roman"/>
          <w:b/>
          <w:color w:val="auto"/>
          <w:sz w:val="21"/>
          <w:szCs w:val="21"/>
          <w:highlight w:val="none"/>
        </w:rPr>
        <w:t>验收要求</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严格按照采购合同开展履约验收。验收时,</w:t>
      </w:r>
      <w:r>
        <w:rPr>
          <w:rFonts w:hint="default" w:ascii="Times New Roman" w:hAnsi="Times New Roman" w:cs="Times New Roman"/>
          <w:color w:val="auto"/>
          <w:sz w:val="21"/>
          <w:szCs w:val="21"/>
          <w:highlight w:val="none"/>
          <w:lang w:eastAsia="zh-CN"/>
        </w:rPr>
        <w:t>应当按照本合同约定的技术、服务和安全标准，对供应商各项义务履行情况进行验收确认。未约定相关标准的，应当按照国家强制性规定、政策要求、安全标准和行业有关标准进行验收确认。</w:t>
      </w:r>
      <w:r>
        <w:rPr>
          <w:rFonts w:hint="default" w:ascii="Times New Roman" w:hAnsi="Times New Roman" w:cs="Times New Roman"/>
          <w:color w:val="auto"/>
          <w:sz w:val="21"/>
          <w:szCs w:val="21"/>
          <w:highlight w:val="none"/>
        </w:rPr>
        <w:t>验收结束后</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应当出具验收意见，列明合同事项、验收标准及验收情况</w:t>
      </w:r>
      <w:r>
        <w:rPr>
          <w:rFonts w:hint="default" w:ascii="Times New Roman" w:hAnsi="Times New Roman" w:cs="Times New Roman"/>
          <w:color w:val="auto"/>
          <w:sz w:val="21"/>
          <w:szCs w:val="21"/>
          <w:highlight w:val="none"/>
          <w:lang w:eastAsia="zh-CN"/>
        </w:rPr>
        <w:t>，由全体验收人员签字</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.2具体</w:t>
      </w:r>
      <w:r>
        <w:rPr>
          <w:rFonts w:hint="default" w:ascii="Times New Roman" w:hAnsi="Times New Roman" w:cs="Times New Roman"/>
          <w:color w:val="auto"/>
          <w:sz w:val="21"/>
          <w:szCs w:val="21"/>
          <w:highlight w:val="none"/>
          <w:lang w:eastAsia="zh-CN"/>
        </w:rPr>
        <w:t>履约</w:t>
      </w:r>
      <w:r>
        <w:rPr>
          <w:rFonts w:hint="default" w:ascii="Times New Roman" w:hAnsi="Times New Roman" w:cs="Times New Roman"/>
          <w:color w:val="auto"/>
          <w:sz w:val="21"/>
          <w:szCs w:val="21"/>
          <w:highlight w:val="none"/>
        </w:rPr>
        <w:t>验收要求详见</w:t>
      </w:r>
      <w:r>
        <w:rPr>
          <w:rFonts w:hint="default" w:ascii="Times New Roman" w:hAnsi="Times New Roman" w:cs="Times New Roman"/>
          <w:color w:val="auto"/>
          <w:sz w:val="21"/>
          <w:szCs w:val="21"/>
          <w:highlight w:val="none"/>
          <w:lang w:eastAsia="zh-CN"/>
        </w:rPr>
        <w:t>招标（</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文件。</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需提交履约保证金的项目，乙方应按照“合同条款前附表”第 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 xml:space="preserve"> 项“履约保证金及返还”提交履约保证金。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履约保证金的金额</w:t>
      </w:r>
      <w:r>
        <w:rPr>
          <w:rFonts w:hint="default" w:ascii="Times New Roman" w:hAnsi="Times New Roman" w:cs="Times New Roman"/>
          <w:color w:val="auto"/>
          <w:sz w:val="21"/>
          <w:szCs w:val="21"/>
          <w:highlight w:val="none"/>
          <w:lang w:eastAsia="zh-CN"/>
        </w:rPr>
        <w:t>可用于</w:t>
      </w:r>
      <w:r>
        <w:rPr>
          <w:rFonts w:hint="default" w:ascii="Times New Roman" w:hAnsi="Times New Roman" w:cs="Times New Roman"/>
          <w:color w:val="auto"/>
          <w:sz w:val="21"/>
          <w:szCs w:val="21"/>
          <w:highlight w:val="none"/>
        </w:rPr>
        <w:t>补偿甲方因乙方不能完成其合同义务而蒙受的损失。</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7.3如乙方未能按时支付合同约定的违约金、赔偿金、其他应付款项等的，甲方有权按照本合同的约定从履约保证金中扣除上述款项。乙方应在甲方扣除履约保证金后 15 天内，及时补充扣除部分金额。若逾期补充的，每日应按应补充金额的万分之五（0.05%）支付甲方违约金。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.4 乙方不履行合同</w:t>
      </w:r>
      <w:r>
        <w:rPr>
          <w:rFonts w:hint="eastAsia" w:cs="Times New Roman"/>
          <w:color w:val="auto"/>
          <w:sz w:val="21"/>
          <w:szCs w:val="21"/>
          <w:highlight w:val="none"/>
          <w:lang w:eastAsia="zh-CN"/>
        </w:rPr>
        <w:t>或者</w:t>
      </w:r>
      <w:r>
        <w:rPr>
          <w:rFonts w:hint="default" w:ascii="Times New Roman" w:hAnsi="Times New Roman" w:cs="Times New Roman"/>
          <w:color w:val="auto"/>
          <w:sz w:val="21"/>
          <w:szCs w:val="21"/>
          <w:highlight w:val="none"/>
        </w:rPr>
        <w:t>履行合同义务不符合约定使得合同目的不能实现，履约保证金不予退还，并应按合同约定支付违约金、赔偿金等。</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.5 履约保证金在合同履行期满后，扣除相应款项（如有）且双方无争议后，凭返还申请等资料一次性无息返还，详见“合同条款前附表”第</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项“履约保证金及返还”。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8</w:t>
      </w:r>
      <w:r>
        <w:rPr>
          <w:rFonts w:hint="default" w:ascii="Times New Roman" w:hAnsi="Times New Roman" w:cs="Times New Roman"/>
          <w:b/>
          <w:color w:val="auto"/>
          <w:sz w:val="21"/>
          <w:szCs w:val="21"/>
          <w:highlight w:val="none"/>
        </w:rPr>
        <w:t>．履约延误</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.1 乙方应按照本合同的规定提供服务。</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w:t>
      </w:r>
      <w:r>
        <w:rPr>
          <w:rFonts w:hint="default" w:ascii="Times New Roman" w:hAnsi="Times New Roman" w:cs="Times New Roman"/>
          <w:color w:val="auto"/>
          <w:sz w:val="21"/>
          <w:szCs w:val="21"/>
          <w:highlight w:val="none"/>
          <w:lang w:eastAsia="zh-CN"/>
        </w:rPr>
        <w:t>误期违约金</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.4 除不可抗力和根据合同规定延期取得甲方同意而不收取</w:t>
      </w:r>
      <w:r>
        <w:rPr>
          <w:rFonts w:hint="default" w:ascii="Times New Roman" w:hAnsi="Times New Roman" w:cs="Times New Roman"/>
          <w:color w:val="auto"/>
          <w:sz w:val="21"/>
          <w:szCs w:val="21"/>
          <w:highlight w:val="none"/>
          <w:lang w:eastAsia="zh-CN"/>
        </w:rPr>
        <w:t>误期违约金</w:t>
      </w:r>
      <w:r>
        <w:rPr>
          <w:rFonts w:hint="default" w:ascii="Times New Roman" w:hAnsi="Times New Roman" w:cs="Times New Roman"/>
          <w:color w:val="auto"/>
          <w:sz w:val="21"/>
          <w:szCs w:val="21"/>
          <w:highlight w:val="none"/>
        </w:rPr>
        <w:t>之外，乙方延误工期，将按合同规定被收取</w:t>
      </w:r>
      <w:r>
        <w:rPr>
          <w:rFonts w:hint="default" w:ascii="Times New Roman" w:hAnsi="Times New Roman" w:cs="Times New Roman"/>
          <w:color w:val="auto"/>
          <w:sz w:val="21"/>
          <w:szCs w:val="21"/>
          <w:highlight w:val="none"/>
          <w:lang w:eastAsia="zh-CN"/>
        </w:rPr>
        <w:t>误期违约金</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.5 逾期退还履约保证金的违约责任。满足履约保证金返还条件的，甲方在收到返还相关信息等合同约定资料后，进行核实。对核实结果无异议的，应当自完成核实之日起30日内返还履约保证金。无特殊原因逾期退还履约保证金</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，乙方可要求</w:t>
      </w:r>
      <w:r>
        <w:rPr>
          <w:rFonts w:hint="default" w:ascii="Times New Roman" w:hAnsi="Times New Roman" w:cs="Times New Roman"/>
          <w:color w:val="auto"/>
          <w:sz w:val="21"/>
          <w:szCs w:val="21"/>
          <w:highlight w:val="none"/>
          <w:lang w:eastAsia="zh-CN"/>
        </w:rPr>
        <w:t>甲方按</w:t>
      </w:r>
      <w:r>
        <w:rPr>
          <w:rFonts w:hint="default" w:ascii="Times New Roman" w:hAnsi="Times New Roman" w:cs="Times New Roman"/>
          <w:color w:val="auto"/>
          <w:sz w:val="21"/>
          <w:szCs w:val="21"/>
          <w:highlight w:val="none"/>
        </w:rPr>
        <w:t>银行</w:t>
      </w:r>
      <w:r>
        <w:rPr>
          <w:rFonts w:hint="default" w:ascii="Times New Roman" w:hAnsi="Times New Roman" w:cs="Times New Roman"/>
          <w:color w:val="auto"/>
          <w:sz w:val="21"/>
          <w:szCs w:val="21"/>
          <w:highlight w:val="none"/>
          <w:lang w:eastAsia="zh-CN"/>
        </w:rPr>
        <w:t>同期</w:t>
      </w:r>
      <w:r>
        <w:rPr>
          <w:rFonts w:hint="default" w:ascii="Times New Roman" w:hAnsi="Times New Roman" w:cs="Times New Roman"/>
          <w:color w:val="auto"/>
          <w:sz w:val="21"/>
          <w:szCs w:val="21"/>
          <w:highlight w:val="none"/>
        </w:rPr>
        <w:t>活期存款</w:t>
      </w:r>
      <w:r>
        <w:rPr>
          <w:rFonts w:hint="default" w:ascii="Times New Roman" w:hAnsi="Times New Roman" w:cs="Times New Roman"/>
          <w:color w:val="auto"/>
          <w:sz w:val="21"/>
          <w:szCs w:val="21"/>
          <w:highlight w:val="none"/>
          <w:lang w:eastAsia="zh-CN"/>
        </w:rPr>
        <w:t>利率支付逾期利息</w:t>
      </w:r>
      <w:r>
        <w:rPr>
          <w:rFonts w:hint="default" w:ascii="Times New Roman" w:hAnsi="Times New Roman" w:cs="Times New Roman"/>
          <w:color w:val="auto"/>
          <w:sz w:val="21"/>
          <w:szCs w:val="21"/>
          <w:highlight w:val="none"/>
        </w:rPr>
        <w:t>。特殊原因逾期返还的，双方协商解决。</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9</w:t>
      </w:r>
      <w:r>
        <w:rPr>
          <w:rFonts w:hint="default" w:ascii="Times New Roman" w:hAnsi="Times New Roman" w:cs="Times New Roman"/>
          <w:b/>
          <w:color w:val="auto"/>
          <w:sz w:val="21"/>
          <w:szCs w:val="21"/>
          <w:highlight w:val="none"/>
        </w:rPr>
        <w:t>. 违约责任</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.1 除本合同另有约定外，乙方不履行合同义务或者履行合同义务不符合合同约定的，按每违反一次从应付款项中扣除合同总金额的百分之一（1%）作为违约金；此外，应当承担继续履行、采取补救措施或者赔偿损失等违约责任。乙方支付的上述违约金、赔偿金等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.2 乙方没有按照时限要求提供服务，且在甲方指定的延长期限内没有采取补救措施，甲方有权自行采取其他方式进行补救，乙方除按合同第</w:t>
      </w: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条约定向甲方支付误期违约金外，另外甲方所发生的一切费用和甲方损失，甲方有权从应付的乙方的合同款项中扣除，不足扣除的乙方应另行支付。</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.3 除应支付甲方违约金等外，甲方有权根据合同或有关部门出具的检验证书向乙方提出索赔。</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.4 如果乙方对差异负有责任而甲方提出索赔，乙方同意按照下列方式解决索赔事宜：</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如果在甲方发出索赔通知后5个工作日内，乙方未作书面答复，上述索赔应视为已被乙方接受。如乙方未能在甲方发出索赔通知后5个工作日内或甲方同意的延长期限内着手解决索赔事宜，甲方有权从应付乙方的合同款项中扣除索赔金额。</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 xml:space="preserve"> 对于本协议未约定的、招标（采购）文件（技术部分）中约定的违约处理条款，按招标（采购）文件（技术部分）相关约定执行；对本协议与招标（采购）文件（技术部分）约定不同的违约处理条款，以本协议约定为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10</w:t>
      </w:r>
      <w:r>
        <w:rPr>
          <w:rFonts w:hint="default" w:ascii="Times New Roman" w:hAnsi="Times New Roman" w:cs="Times New Roman"/>
          <w:b/>
          <w:color w:val="auto"/>
          <w:sz w:val="21"/>
          <w:szCs w:val="21"/>
          <w:highlight w:val="none"/>
        </w:rPr>
        <w:t>. 不可抗力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本条所述的“不可抗力”系指双方不可预见、不可避免、不可克服的客观情况，但不包括双方的违约或疏忽。这些事件包括但不限于：战争、严重火灾、洪水、台风、地震等。</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如果乙方因不可抗力而导致合同实施延误或不能履行合同义务，不应承担误期赔偿或终止合同的责任。</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.3 在不可抗力事件发生后，当事方应及时将不可抗力情况通知合同对方，在不可抗力事件结束后3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.4 如因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1</w:t>
      </w:r>
      <w:r>
        <w:rPr>
          <w:rFonts w:hint="default" w:ascii="Times New Roman" w:hAnsi="Times New Roman" w:cs="Times New Roman"/>
          <w:b/>
          <w:color w:val="auto"/>
          <w:sz w:val="21"/>
          <w:szCs w:val="21"/>
          <w:highlight w:val="none"/>
        </w:rPr>
        <w:t>. 争端的解决</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.1 甲乙双方应</w:t>
      </w:r>
      <w:r>
        <w:rPr>
          <w:rFonts w:hint="default" w:ascii="Times New Roman" w:hAnsi="Times New Roman" w:cs="Times New Roman"/>
          <w:color w:val="auto"/>
          <w:sz w:val="21"/>
          <w:szCs w:val="21"/>
          <w:highlight w:val="none"/>
          <w:lang w:eastAsia="zh-CN"/>
        </w:rPr>
        <w:t>首先</w:t>
      </w:r>
      <w:r>
        <w:rPr>
          <w:rFonts w:hint="default" w:ascii="Times New Roman" w:hAnsi="Times New Roman" w:cs="Times New Roman"/>
          <w:color w:val="auto"/>
          <w:sz w:val="21"/>
          <w:szCs w:val="21"/>
          <w:highlight w:val="none"/>
        </w:rPr>
        <w:t>通过友好协商解决在执行本合同中所发生的或与本合同有关的一切争端。如从协商开始</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天内仍不能解决，</w:t>
      </w:r>
      <w:r>
        <w:rPr>
          <w:rFonts w:hint="default" w:ascii="Times New Roman" w:hAnsi="Times New Roman" w:cs="Times New Roman"/>
          <w:color w:val="auto"/>
          <w:sz w:val="21"/>
          <w:szCs w:val="21"/>
          <w:highlight w:val="none"/>
          <w:lang w:eastAsia="zh-CN"/>
        </w:rPr>
        <w:t>可以按合同约定的方式提起仲裁或诉讼</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left="239" w:leftChars="114" w:firstLine="210" w:firstLineChars="100"/>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rPr>
        <w:t>1</w:t>
      </w:r>
      <w:r>
        <w:rPr>
          <w:rFonts w:hint="default" w:ascii="Times New Roman" w:hAnsi="Times New Roman" w:cs="Times New Roman"/>
          <w:color w:val="FF0000"/>
          <w:sz w:val="21"/>
          <w:szCs w:val="21"/>
          <w:highlight w:val="none"/>
          <w:lang w:val="en-US" w:eastAsia="zh-CN"/>
        </w:rPr>
        <w:t>1</w:t>
      </w:r>
      <w:r>
        <w:rPr>
          <w:rFonts w:hint="default" w:ascii="Times New Roman" w:hAnsi="Times New Roman" w:cs="Times New Roman"/>
          <w:color w:val="FF0000"/>
          <w:sz w:val="21"/>
          <w:szCs w:val="21"/>
          <w:highlight w:val="none"/>
        </w:rPr>
        <w:t>.</w:t>
      </w:r>
      <w:r>
        <w:rPr>
          <w:rFonts w:hint="default" w:ascii="Times New Roman" w:hAnsi="Times New Roman" w:cs="Times New Roman"/>
          <w:color w:val="FF0000"/>
          <w:sz w:val="21"/>
          <w:szCs w:val="21"/>
          <w:highlight w:val="none"/>
          <w:lang w:val="en-US" w:eastAsia="zh-CN"/>
        </w:rPr>
        <w:t>2.1</w:t>
      </w:r>
      <w:r>
        <w:rPr>
          <w:rFonts w:hint="default" w:ascii="Times New Roman" w:hAnsi="Times New Roman" w:cs="Times New Roman"/>
          <w:color w:val="FF0000"/>
          <w:sz w:val="21"/>
          <w:szCs w:val="21"/>
          <w:highlight w:val="none"/>
        </w:rPr>
        <w:t>仲裁应</w:t>
      </w:r>
      <w:r>
        <w:rPr>
          <w:rFonts w:hint="default" w:ascii="Times New Roman" w:hAnsi="Times New Roman" w:cs="Times New Roman"/>
          <w:color w:val="FF0000"/>
          <w:sz w:val="21"/>
          <w:szCs w:val="21"/>
          <w:highlight w:val="none"/>
          <w:lang w:eastAsia="zh-CN"/>
        </w:rPr>
        <w:t>向</w:t>
      </w:r>
      <w:r>
        <w:rPr>
          <w:rFonts w:hint="default" w:ascii="Times New Roman" w:hAnsi="Times New Roman" w:cs="Times New Roman"/>
          <w:color w:val="FF0000"/>
          <w:sz w:val="21"/>
          <w:szCs w:val="21"/>
          <w:highlight w:val="none"/>
        </w:rPr>
        <w:t>甲方所在地或</w:t>
      </w:r>
      <w:r>
        <w:rPr>
          <w:rFonts w:hint="default" w:ascii="Times New Roman" w:hAnsi="Times New Roman" w:cs="Times New Roman"/>
          <w:color w:val="FF0000"/>
          <w:sz w:val="21"/>
          <w:szCs w:val="21"/>
          <w:highlight w:val="none"/>
          <w:u w:val="single"/>
          <w:lang w:val="en-US" w:eastAsia="zh-CN"/>
        </w:rPr>
        <w:t xml:space="preserve">       </w:t>
      </w:r>
      <w:r>
        <w:rPr>
          <w:rFonts w:hint="default" w:ascii="Times New Roman" w:hAnsi="Times New Roman" w:cs="Times New Roman"/>
          <w:color w:val="FF0000"/>
          <w:sz w:val="21"/>
          <w:szCs w:val="21"/>
          <w:highlight w:val="none"/>
        </w:rPr>
        <w:t>仲裁委员会申请仲裁。</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lang w:val="en-US" w:eastAsia="zh-CN"/>
        </w:rPr>
        <w:t>11</w:t>
      </w:r>
      <w:r>
        <w:rPr>
          <w:rFonts w:hint="default" w:ascii="Times New Roman" w:hAnsi="Times New Roman" w:cs="Times New Roman"/>
          <w:color w:val="FF0000"/>
          <w:sz w:val="21"/>
          <w:szCs w:val="21"/>
          <w:highlight w:val="none"/>
        </w:rPr>
        <w:t>.</w:t>
      </w:r>
      <w:r>
        <w:rPr>
          <w:rFonts w:hint="default" w:ascii="Times New Roman" w:hAnsi="Times New Roman" w:cs="Times New Roman"/>
          <w:color w:val="FF0000"/>
          <w:sz w:val="21"/>
          <w:szCs w:val="21"/>
          <w:highlight w:val="none"/>
          <w:lang w:val="en-US" w:eastAsia="zh-CN"/>
        </w:rPr>
        <w:t>2.2</w:t>
      </w:r>
      <w:r>
        <w:rPr>
          <w:rFonts w:hint="default" w:ascii="Times New Roman" w:hAnsi="Times New Roman" w:cs="Times New Roman"/>
          <w:color w:val="FF0000"/>
          <w:sz w:val="21"/>
          <w:szCs w:val="21"/>
          <w:highlight w:val="none"/>
        </w:rPr>
        <w:t xml:space="preserve"> 仲裁裁决应为最终裁决，对双方均具有约束力。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rPr>
        <w:t>1</w:t>
      </w:r>
      <w:r>
        <w:rPr>
          <w:rFonts w:hint="default" w:ascii="Times New Roman" w:hAnsi="Times New Roman" w:cs="Times New Roman"/>
          <w:color w:val="FF0000"/>
          <w:sz w:val="21"/>
          <w:szCs w:val="21"/>
          <w:highlight w:val="none"/>
          <w:lang w:val="en-US" w:eastAsia="zh-CN"/>
        </w:rPr>
        <w:t>1</w:t>
      </w:r>
      <w:r>
        <w:rPr>
          <w:rFonts w:hint="default" w:ascii="Times New Roman" w:hAnsi="Times New Roman" w:cs="Times New Roman"/>
          <w:color w:val="FF0000"/>
          <w:sz w:val="21"/>
          <w:szCs w:val="21"/>
          <w:highlight w:val="none"/>
        </w:rPr>
        <w:t>.</w:t>
      </w:r>
      <w:r>
        <w:rPr>
          <w:rFonts w:hint="default" w:ascii="Times New Roman" w:hAnsi="Times New Roman" w:cs="Times New Roman"/>
          <w:color w:val="FF0000"/>
          <w:sz w:val="21"/>
          <w:szCs w:val="21"/>
          <w:highlight w:val="none"/>
          <w:lang w:val="en-US" w:eastAsia="zh-CN"/>
        </w:rPr>
        <w:t>2.3</w:t>
      </w:r>
      <w:r>
        <w:rPr>
          <w:rFonts w:hint="default" w:ascii="Times New Roman" w:hAnsi="Times New Roman" w:cs="Times New Roman"/>
          <w:color w:val="FF0000"/>
          <w:sz w:val="21"/>
          <w:szCs w:val="21"/>
          <w:highlight w:val="none"/>
        </w:rPr>
        <w:t xml:space="preserve"> 仲裁费除仲裁机关另有裁决外应由败诉方负担。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rPr>
        <w:t>1</w:t>
      </w:r>
      <w:r>
        <w:rPr>
          <w:rFonts w:hint="default" w:ascii="Times New Roman" w:hAnsi="Times New Roman" w:cs="Times New Roman"/>
          <w:color w:val="FF0000"/>
          <w:sz w:val="21"/>
          <w:szCs w:val="21"/>
          <w:highlight w:val="none"/>
          <w:lang w:val="en-US" w:eastAsia="zh-CN"/>
        </w:rPr>
        <w:t>1</w:t>
      </w:r>
      <w:r>
        <w:rPr>
          <w:rFonts w:hint="default" w:ascii="Times New Roman" w:hAnsi="Times New Roman" w:cs="Times New Roman"/>
          <w:color w:val="FF0000"/>
          <w:sz w:val="21"/>
          <w:szCs w:val="21"/>
          <w:highlight w:val="none"/>
        </w:rPr>
        <w:t>.</w:t>
      </w:r>
      <w:r>
        <w:rPr>
          <w:rFonts w:hint="default" w:ascii="Times New Roman" w:hAnsi="Times New Roman" w:cs="Times New Roman"/>
          <w:color w:val="FF0000"/>
          <w:sz w:val="21"/>
          <w:szCs w:val="21"/>
          <w:highlight w:val="none"/>
          <w:lang w:val="en-US" w:eastAsia="zh-CN"/>
        </w:rPr>
        <w:t>2.4</w:t>
      </w:r>
      <w:r>
        <w:rPr>
          <w:rFonts w:hint="default" w:ascii="Times New Roman" w:hAnsi="Times New Roman" w:cs="Times New Roman"/>
          <w:color w:val="FF0000"/>
          <w:sz w:val="21"/>
          <w:szCs w:val="21"/>
          <w:highlight w:val="none"/>
        </w:rPr>
        <w:t>在仲裁期间，除正在进行仲裁部分外，本合同的其它部分应继续执行。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lang w:val="en-US" w:eastAsia="zh-CN"/>
        </w:rPr>
      </w:pPr>
      <w:r>
        <w:rPr>
          <w:rFonts w:hint="default" w:ascii="Times New Roman" w:hAnsi="Times New Roman" w:cs="Times New Roman"/>
          <w:color w:val="FF0000"/>
          <w:sz w:val="21"/>
          <w:szCs w:val="21"/>
          <w:highlight w:val="none"/>
          <w:lang w:val="en-US" w:eastAsia="zh-CN"/>
        </w:rPr>
        <w:t>11.3.1诉讼应向甲方所在地或</w:t>
      </w:r>
      <w:r>
        <w:rPr>
          <w:rFonts w:hint="default" w:ascii="Times New Roman" w:hAnsi="Times New Roman" w:cs="Times New Roman"/>
          <w:color w:val="FF0000"/>
          <w:sz w:val="21"/>
          <w:szCs w:val="21"/>
          <w:highlight w:val="none"/>
          <w:u w:val="single"/>
          <w:lang w:val="en-US" w:eastAsia="zh-CN"/>
        </w:rPr>
        <w:t xml:space="preserve">      </w:t>
      </w:r>
      <w:r>
        <w:rPr>
          <w:rFonts w:hint="default" w:ascii="Times New Roman" w:hAnsi="Times New Roman" w:cs="Times New Roman"/>
          <w:color w:val="FF0000"/>
          <w:sz w:val="21"/>
          <w:szCs w:val="21"/>
          <w:highlight w:val="none"/>
          <w:lang w:val="en-US" w:eastAsia="zh-CN"/>
        </w:rPr>
        <w:t>人民法院提起诉讼。</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lang w:val="en-US" w:eastAsia="zh-CN"/>
        </w:rPr>
      </w:pPr>
      <w:r>
        <w:rPr>
          <w:rFonts w:hint="default" w:ascii="Times New Roman" w:hAnsi="Times New Roman" w:cs="Times New Roman"/>
          <w:color w:val="FF0000"/>
          <w:sz w:val="21"/>
          <w:szCs w:val="21"/>
          <w:highlight w:val="none"/>
          <w:lang w:val="en-US" w:eastAsia="zh-CN"/>
        </w:rPr>
        <w:t>11.3.2诉讼费除人民法院另有判决外，应由败诉方负担。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lang w:val="en-US" w:eastAsia="zh-CN"/>
        </w:rPr>
        <w:t>11.3.3在诉讼期间，除正在进行诉讼部分外，本</w:t>
      </w:r>
      <w:r>
        <w:rPr>
          <w:rFonts w:hint="default" w:ascii="Times New Roman" w:hAnsi="Times New Roman" w:cs="Times New Roman"/>
          <w:color w:val="FF0000"/>
          <w:sz w:val="21"/>
          <w:szCs w:val="21"/>
          <w:highlight w:val="none"/>
        </w:rPr>
        <w:t>合同的其它部分应继续执行。</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2</w:t>
      </w:r>
      <w:r>
        <w:rPr>
          <w:rFonts w:hint="default" w:ascii="Times New Roman" w:hAnsi="Times New Roman" w:cs="Times New Roman"/>
          <w:b/>
          <w:color w:val="auto"/>
          <w:sz w:val="21"/>
          <w:szCs w:val="21"/>
          <w:highlight w:val="none"/>
        </w:rPr>
        <w:t>. 违约终止合同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12.1.1 </w:t>
      </w:r>
      <w:r>
        <w:rPr>
          <w:rFonts w:hint="default" w:ascii="Times New Roman" w:hAnsi="Times New Roman" w:cs="Times New Roman"/>
          <w:color w:val="auto"/>
          <w:sz w:val="21"/>
          <w:szCs w:val="21"/>
          <w:highlight w:val="none"/>
          <w:lang w:eastAsia="zh-CN"/>
        </w:rPr>
        <w:t>乙方不履行合同义务或者履行合同义务不符合合同约定累计达两次的；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如果乙方未能在合同规定的期限或甲方同意延长的期限内提供服务</w:t>
      </w:r>
      <w:r>
        <w:rPr>
          <w:rFonts w:hint="default" w:ascii="Times New Roman" w:hAnsi="Times New Roman" w:cs="Times New Roman"/>
          <w:color w:val="auto"/>
          <w:sz w:val="21"/>
          <w:szCs w:val="21"/>
          <w:highlight w:val="none"/>
          <w:lang w:eastAsia="zh-CN"/>
        </w:rPr>
        <w:t>，迟延累计达20日的；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 xml:space="preserve"> 因乙方人员自身技术能力、经验不足等问题造成甲方发生重大紧急故障，带来重大影响和损失的；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 xml:space="preserve"> 乙方对重大紧急故障没有及时响应，或不能在规定时间内解决处理故障、恢复正常运行的；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color w:val="auto"/>
          <w:sz w:val="21"/>
          <w:szCs w:val="21"/>
          <w:highlight w:val="none"/>
          <w:lang w:eastAsia="zh-CN"/>
        </w:rPr>
        <w:t>乙方</w:t>
      </w:r>
      <w:r>
        <w:rPr>
          <w:rFonts w:hint="default" w:ascii="Times New Roman" w:hAnsi="Times New Roman" w:cs="Times New Roman"/>
          <w:color w:val="auto"/>
          <w:sz w:val="21"/>
          <w:szCs w:val="21"/>
          <w:highlight w:val="none"/>
        </w:rPr>
        <w:t>不能满足本项目技术需求的管理要求和规范，且经</w:t>
      </w:r>
      <w:r>
        <w:rPr>
          <w:rFonts w:hint="default" w:ascii="Times New Roman" w:hAnsi="Times New Roman" w:cs="Times New Roman"/>
          <w:color w:val="auto"/>
          <w:sz w:val="21"/>
          <w:szCs w:val="21"/>
          <w:highlight w:val="none"/>
          <w:lang w:eastAsia="zh-CN"/>
        </w:rPr>
        <w:t>两</w:t>
      </w:r>
      <w:r>
        <w:rPr>
          <w:rFonts w:hint="default" w:ascii="Times New Roman" w:hAnsi="Times New Roman" w:cs="Times New Roman"/>
          <w:color w:val="auto"/>
          <w:sz w:val="21"/>
          <w:szCs w:val="21"/>
          <w:highlight w:val="none"/>
        </w:rPr>
        <w:t>次整改无明显改进的</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12.1.6 </w:t>
      </w:r>
      <w:r>
        <w:rPr>
          <w:rFonts w:hint="default" w:ascii="Times New Roman" w:hAnsi="Times New Roman" w:cs="Times New Roman"/>
          <w:color w:val="auto"/>
          <w:sz w:val="21"/>
          <w:szCs w:val="21"/>
          <w:highlight w:val="none"/>
        </w:rPr>
        <w:t>乙方利用本项目实施过程中所产生的成果（</w:t>
      </w:r>
      <w:r>
        <w:rPr>
          <w:rFonts w:hint="default" w:ascii="Times New Roman" w:hAnsi="Times New Roman" w:cs="Times New Roman"/>
          <w:color w:val="auto"/>
          <w:sz w:val="21"/>
          <w:szCs w:val="21"/>
          <w:highlight w:val="none"/>
          <w:lang w:eastAsia="zh-CN"/>
        </w:rPr>
        <w:t>包括但不限于发明</w:t>
      </w:r>
      <w:r>
        <w:rPr>
          <w:rFonts w:hint="default" w:ascii="Times New Roman" w:hAnsi="Times New Roman" w:cs="Times New Roman"/>
          <w:color w:val="auto"/>
          <w:sz w:val="21"/>
          <w:szCs w:val="21"/>
          <w:highlight w:val="none"/>
        </w:rPr>
        <w:t>、发现、可运行系统、源代码及相关技术资料、文档等），另行自行开发本合同业务范围内供纳税人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使用的软件或产品的，或利用</w:t>
      </w:r>
      <w:r>
        <w:rPr>
          <w:rFonts w:hint="default" w:ascii="Times New Roman" w:hAnsi="Times New Roman" w:cs="Times New Roman"/>
          <w:color w:val="auto"/>
          <w:sz w:val="21"/>
          <w:szCs w:val="21"/>
          <w:highlight w:val="none"/>
          <w:lang w:eastAsia="zh-CN"/>
        </w:rPr>
        <w:t>为税务机关提供信息化服务的</w:t>
      </w:r>
      <w:r>
        <w:rPr>
          <w:rFonts w:hint="default" w:ascii="Times New Roman" w:hAnsi="Times New Roman" w:cs="Times New Roman"/>
          <w:color w:val="auto"/>
          <w:sz w:val="21"/>
          <w:szCs w:val="21"/>
          <w:highlight w:val="none"/>
        </w:rPr>
        <w:t>便利</w:t>
      </w:r>
      <w:r>
        <w:rPr>
          <w:rFonts w:hint="default" w:ascii="Times New Roman" w:hAnsi="Times New Roman" w:cs="Times New Roman"/>
          <w:color w:val="auto"/>
          <w:sz w:val="21"/>
          <w:szCs w:val="21"/>
          <w:highlight w:val="none"/>
          <w:lang w:eastAsia="zh-CN"/>
        </w:rPr>
        <w:t>，向纳税人缴费人</w:t>
      </w:r>
      <w:r>
        <w:rPr>
          <w:rFonts w:hint="default" w:ascii="Times New Roman" w:hAnsi="Times New Roman" w:cs="Times New Roman"/>
          <w:color w:val="auto"/>
          <w:sz w:val="21"/>
          <w:szCs w:val="21"/>
          <w:highlight w:val="none"/>
        </w:rPr>
        <w:t>搭车收费或变相收费的，</w:t>
      </w:r>
      <w:r>
        <w:rPr>
          <w:rFonts w:hint="default" w:ascii="Times New Roman" w:hAnsi="Times New Roman" w:cs="Times New Roman"/>
          <w:color w:val="auto"/>
          <w:sz w:val="21"/>
          <w:szCs w:val="21"/>
          <w:highlight w:val="none"/>
          <w:lang w:eastAsia="zh-CN"/>
        </w:rPr>
        <w:t>或有其他失信行为的；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12.1.7 乙方在本项目实施过程中发生违反网络安全规定行为造成不良后果的。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 xml:space="preserve"> 乙方提供的服务侵犯甲方、第三方知识产权等合法权益的；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 xml:space="preserve"> 乙方或乙方人员造成甲方或第三方经济损失而拒不赔偿的；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 xml:space="preserve"> 乙方转让其应履行的合同义务，或未经甲方同意采取分包方式履行合同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乙方有其他严重违约行为的。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.2 如果甲方根据上述第1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.1条的规定，</w:t>
      </w:r>
      <w:r>
        <w:rPr>
          <w:rFonts w:hint="default" w:ascii="Times New Roman" w:hAnsi="Times New Roman" w:cs="Times New Roman"/>
          <w:color w:val="auto"/>
          <w:sz w:val="21"/>
          <w:szCs w:val="21"/>
          <w:highlight w:val="none"/>
          <w:lang w:eastAsia="zh-CN"/>
        </w:rPr>
        <w:t>解除</w:t>
      </w:r>
      <w:r>
        <w:rPr>
          <w:rFonts w:hint="default" w:ascii="Times New Roman" w:hAnsi="Times New Roman" w:cs="Times New Roman"/>
          <w:color w:val="auto"/>
          <w:sz w:val="21"/>
          <w:szCs w:val="21"/>
          <w:highlight w:val="none"/>
        </w:rPr>
        <w:t>了全部或部分合同，甲方可以适当的条件和方法购买乙方未能提供的服务，乙方应对甲方购买类似服务所超出的费用负责。同时，乙方应继续执行合同中未</w:t>
      </w:r>
      <w:r>
        <w:rPr>
          <w:rFonts w:hint="default" w:ascii="Times New Roman" w:hAnsi="Times New Roman" w:cs="Times New Roman"/>
          <w:color w:val="auto"/>
          <w:sz w:val="21"/>
          <w:szCs w:val="21"/>
          <w:highlight w:val="none"/>
          <w:lang w:eastAsia="zh-CN"/>
        </w:rPr>
        <w:t>解除</w:t>
      </w:r>
      <w:r>
        <w:rPr>
          <w:rFonts w:hint="default" w:ascii="Times New Roman" w:hAnsi="Times New Roman" w:cs="Times New Roman"/>
          <w:color w:val="auto"/>
          <w:sz w:val="21"/>
          <w:szCs w:val="21"/>
          <w:highlight w:val="none"/>
        </w:rPr>
        <w:t>的部分。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3</w:t>
      </w:r>
      <w:r>
        <w:rPr>
          <w:rFonts w:hint="default" w:ascii="Times New Roman" w:hAnsi="Times New Roman" w:cs="Times New Roman"/>
          <w:b/>
          <w:color w:val="auto"/>
          <w:sz w:val="21"/>
          <w:szCs w:val="21"/>
          <w:highlight w:val="none"/>
        </w:rPr>
        <w:t>. 破产终止合同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.1 如果乙方破产或无清偿能力，甲方可在任何时候以书面形式通知乙方终止合同而不给乙方补偿。</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.2该终止合同将不损害或影响甲方已经采取或将要采取的任何行动或补救措施的权</w:t>
      </w:r>
      <w:r>
        <w:rPr>
          <w:rFonts w:hint="default" w:ascii="Times New Roman" w:hAnsi="Times New Roman" w:cs="Times New Roman"/>
          <w:color w:val="auto"/>
          <w:sz w:val="21"/>
          <w:szCs w:val="21"/>
          <w:highlight w:val="none"/>
          <w:lang w:eastAsia="zh-CN"/>
        </w:rPr>
        <w:t>利</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4</w:t>
      </w:r>
      <w:r>
        <w:rPr>
          <w:rFonts w:hint="default" w:ascii="Times New Roman" w:hAnsi="Times New Roman" w:cs="Times New Roman"/>
          <w:b/>
          <w:color w:val="auto"/>
          <w:sz w:val="21"/>
          <w:szCs w:val="21"/>
          <w:highlight w:val="none"/>
        </w:rPr>
        <w:t>. 其他情况的终止合同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.1 乙方在执行合同的过程中发生重大事故或变故，对履行合同有直接影响的，甲方可以提出终止合同而不给予乙方任何补偿。</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.2 在服务期内，由于甲方工作计划调整，推广使用新应用系统导致本项目相关服务停止的，甲方可以提出终止合同而不给予乙方任何补偿。</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15</w:t>
      </w:r>
      <w:r>
        <w:rPr>
          <w:rFonts w:hint="default" w:ascii="Times New Roman" w:hAnsi="Times New Roman" w:cs="Times New Roman"/>
          <w:b/>
          <w:color w:val="auto"/>
          <w:sz w:val="21"/>
          <w:szCs w:val="21"/>
          <w:highlight w:val="none"/>
        </w:rPr>
        <w:t>. 合同修改或变更</w:t>
      </w:r>
    </w:p>
    <w:p>
      <w:pPr>
        <w:keepNext w:val="0"/>
        <w:keepLines w:val="0"/>
        <w:pageBreakBefore w:val="0"/>
        <w:widowControl w:val="0"/>
        <w:kinsoku/>
        <w:wordWrap/>
        <w:overflowPunct/>
        <w:bidi w:val="0"/>
        <w:adjustRightInd/>
        <w:snapToGrid/>
        <w:spacing w:line="360" w:lineRule="auto"/>
        <w:ind w:firstLine="482"/>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.1 合同如有未尽事宜，须经甲乙双方共同协商，做出补充约定，并签订书面补充合同或变更协议。补充合同或变更协议作为本合同的一部分，与本合同具有同等效力。</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.2 除了双方签署书面修改或变更协议，并成为本合同不可分割的一部分的情况之外，本合同的条款不得有任何变化或修改。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.3 由于采购人项目统一规划等原因导致本项目停止部分服务的，甲方将与乙方协商处理。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转让和分包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除甲方事先书面同意外，乙方不得部分转让或全部转让其应履行的合同义务。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16.2 </w:t>
      </w:r>
      <w:r>
        <w:rPr>
          <w:rFonts w:hint="default" w:ascii="Times New Roman" w:hAnsi="Times New Roman" w:eastAsia="宋体" w:cs="Times New Roman"/>
          <w:color w:val="auto"/>
          <w:sz w:val="21"/>
          <w:szCs w:val="21"/>
          <w:highlight w:val="none"/>
          <w:lang w:val="en-US" w:eastAsia="zh-CN"/>
        </w:rPr>
        <w:t>未经甲方同意，乙方不得采取分包方式履行合同。经甲方同意分包履行合同的，乙方就采购项目及分包项目向甲方负责，分包供应商就分包项目承担责任。</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合同语言</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本合同语言为中文。</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双方交换的与合同有关的信件和其他文件应用合同语言书写。</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18</w:t>
      </w:r>
      <w:r>
        <w:rPr>
          <w:rFonts w:hint="default" w:ascii="Times New Roman" w:hAnsi="Times New Roman" w:cs="Times New Roman"/>
          <w:b/>
          <w:color w:val="auto"/>
          <w:sz w:val="21"/>
          <w:szCs w:val="21"/>
          <w:highlight w:val="none"/>
        </w:rPr>
        <w:t>. 适用法律</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.1 本合同按照中华人民共和国现行法律进行解释。</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.2 本合同的履行、违约责任和解决争议的方法等适用《中华人民共和国</w:t>
      </w:r>
      <w:r>
        <w:rPr>
          <w:rFonts w:hint="default" w:ascii="Times New Roman" w:hAnsi="Times New Roman" w:cs="Times New Roman"/>
          <w:color w:val="auto"/>
          <w:sz w:val="21"/>
          <w:szCs w:val="21"/>
          <w:highlight w:val="none"/>
          <w:lang w:eastAsia="zh-CN"/>
        </w:rPr>
        <w:t>民法典（合同编）</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19</w:t>
      </w:r>
      <w:r>
        <w:rPr>
          <w:rFonts w:hint="default" w:ascii="Times New Roman" w:hAnsi="Times New Roman" w:cs="Times New Roman"/>
          <w:b/>
          <w:color w:val="auto"/>
          <w:sz w:val="21"/>
          <w:szCs w:val="21"/>
          <w:highlight w:val="none"/>
        </w:rPr>
        <w:t>. 税费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19</w:t>
      </w:r>
      <w:r>
        <w:rPr>
          <w:rFonts w:hint="default" w:ascii="Times New Roman" w:hAnsi="Times New Roman" w:cs="Times New Roman"/>
          <w:color w:val="auto"/>
          <w:sz w:val="21"/>
          <w:szCs w:val="21"/>
          <w:highlight w:val="none"/>
        </w:rPr>
        <w:t>.1 乙方应依法缴纳的合同服务相关税费，均已包含于合同总金额中，甲方不再另行支付</w:t>
      </w:r>
      <w:r>
        <w:rPr>
          <w:rFonts w:hint="default" w:ascii="Times New Roman" w:hAnsi="Times New Roman" w:cs="Times New Roman"/>
          <w:color w:val="auto"/>
          <w:sz w:val="21"/>
          <w:szCs w:val="21"/>
          <w:highlight w:val="none"/>
          <w:lang w:eastAsia="zh-CN"/>
        </w:rPr>
        <w:t>。</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20</w:t>
      </w:r>
      <w:r>
        <w:rPr>
          <w:rFonts w:hint="default" w:ascii="Times New Roman" w:hAnsi="Times New Roman" w:cs="Times New Roman"/>
          <w:b/>
          <w:color w:val="auto"/>
          <w:sz w:val="21"/>
          <w:szCs w:val="21"/>
          <w:highlight w:val="none"/>
        </w:rPr>
        <w:t>. 合同生效</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.1 本合同一式</w:t>
      </w:r>
      <w:r>
        <w:rPr>
          <w:rFonts w:hint="eastAsia" w:ascii="Times New Roman" w:hAnsi="Times New Roman" w:cs="Times New Roman"/>
          <w:color w:val="auto"/>
          <w:sz w:val="21"/>
          <w:szCs w:val="21"/>
          <w:highlight w:val="none"/>
          <w:u w:val="single"/>
          <w:lang w:eastAsia="zh-CN"/>
        </w:rPr>
        <w:t>肆</w:t>
      </w:r>
      <w:r>
        <w:rPr>
          <w:rFonts w:hint="default" w:ascii="Times New Roman" w:hAnsi="Times New Roman" w:cs="Times New Roman"/>
          <w:color w:val="auto"/>
          <w:sz w:val="21"/>
          <w:szCs w:val="21"/>
          <w:highlight w:val="none"/>
        </w:rPr>
        <w:t>份，由甲乙双方法定代表人或被授权人签字并盖章后生效</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p>
    <w:p>
      <w:pPr>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br w:type="page"/>
      </w:r>
    </w:p>
    <w:p>
      <w:pPr>
        <w:ind w:firstLine="480" w:firstLineChars="200"/>
        <w:rPr>
          <w:rFonts w:hint="eastAsia" w:ascii="宋体" w:hAnsi="宋体" w:cs="宋体"/>
          <w:color w:val="auto"/>
          <w:sz w:val="24"/>
          <w:highlight w:val="none"/>
          <w:lang w:eastAsia="zh-CN"/>
        </w:rPr>
      </w:pPr>
    </w:p>
    <w:p>
      <w:pPr>
        <w:keepNext w:val="0"/>
        <w:keepLines w:val="0"/>
        <w:pageBreakBefore w:val="0"/>
        <w:widowControl w:val="0"/>
        <w:kinsoku/>
        <w:wordWrap/>
        <w:overflowPunct/>
        <w:topLinePunct/>
        <w:autoSpaceDE w:val="0"/>
        <w:autoSpaceDN w:val="0"/>
        <w:bidi w:val="0"/>
        <w:adjustRightInd/>
        <w:snapToGrid/>
        <w:spacing w:line="360" w:lineRule="auto"/>
        <w:jc w:val="center"/>
        <w:textAlignment w:val="auto"/>
        <w:rPr>
          <w:rFonts w:hint="eastAsia" w:ascii="宋体" w:hAnsi="宋体" w:cs="宋体"/>
          <w:b/>
          <w:color w:val="auto"/>
          <w:sz w:val="24"/>
          <w:highlight w:val="none"/>
          <w:lang w:eastAsia="zh-CN"/>
        </w:rPr>
      </w:pPr>
      <w:r>
        <w:rPr>
          <w:rFonts w:hint="eastAsia" w:ascii="宋体" w:hAnsi="宋体" w:cs="宋体"/>
          <w:b/>
          <w:color w:val="auto"/>
          <w:sz w:val="24"/>
          <w:highlight w:val="none"/>
          <w:lang w:eastAsia="zh-CN"/>
        </w:rPr>
        <w:t>三</w:t>
      </w:r>
      <w:r>
        <w:rPr>
          <w:rFonts w:hint="eastAsia" w:ascii="宋体" w:hAnsi="宋体" w:cs="宋体"/>
          <w:b/>
          <w:color w:val="auto"/>
          <w:sz w:val="24"/>
          <w:highlight w:val="none"/>
          <w:lang w:val="en-US" w:eastAsia="zh-CN"/>
        </w:rPr>
        <w:t xml:space="preserve">   招标（采购）文件及投标（响应）文件</w:t>
      </w:r>
      <w:r>
        <w:rPr>
          <w:rFonts w:hint="eastAsia" w:ascii="宋体" w:hAnsi="宋体" w:cs="宋体"/>
          <w:b/>
          <w:color w:val="auto"/>
          <w:sz w:val="24"/>
          <w:highlight w:val="none"/>
          <w:lang w:eastAsia="zh-CN"/>
        </w:rPr>
        <w:t>（如需要，可另附）</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b/>
          <w:color w:val="auto"/>
          <w:sz w:val="24"/>
          <w:highlight w:val="none"/>
          <w:lang w:eastAsia="zh-CN"/>
        </w:rPr>
      </w:pPr>
      <w:r>
        <w:rPr>
          <w:rFonts w:hint="eastAsia" w:ascii="宋体" w:hAnsi="宋体" w:cs="宋体"/>
          <w:color w:val="auto"/>
          <w:sz w:val="24"/>
          <w:highlight w:val="none"/>
        </w:rPr>
        <w:br w:type="page"/>
      </w:r>
      <w:r>
        <w:rPr>
          <w:rFonts w:hint="eastAsia" w:ascii="宋体" w:hAnsi="宋体" w:cs="宋体"/>
          <w:b/>
          <w:color w:val="auto"/>
          <w:sz w:val="24"/>
          <w:highlight w:val="none"/>
          <w:lang w:eastAsia="zh-CN"/>
        </w:rPr>
        <w:t>四</w:t>
      </w:r>
      <w:r>
        <w:rPr>
          <w:rFonts w:hint="eastAsia" w:ascii="宋体" w:hAnsi="宋体" w:cs="宋体"/>
          <w:b/>
          <w:color w:val="auto"/>
          <w:sz w:val="24"/>
          <w:highlight w:val="none"/>
          <w:lang w:val="en-US" w:eastAsia="zh-CN"/>
        </w:rPr>
        <w:t xml:space="preserve">   </w:t>
      </w:r>
      <w:r>
        <w:rPr>
          <w:rFonts w:hint="eastAsia" w:ascii="宋体" w:hAnsi="宋体" w:cs="宋体"/>
          <w:b/>
          <w:color w:val="auto"/>
          <w:sz w:val="24"/>
          <w:highlight w:val="none"/>
          <w:lang w:eastAsia="zh-CN"/>
        </w:rPr>
        <w:t>报价表（总报价表和分项报价表，如有需要可另附）</w:t>
      </w:r>
    </w:p>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6"/>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6"/>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6"/>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6"/>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9B6436"/>
    <w:multiLevelType w:val="singleLevel"/>
    <w:tmpl w:val="879B6436"/>
    <w:lvl w:ilvl="0" w:tentative="0">
      <w:start w:val="6"/>
      <w:numFmt w:val="chineseCounting"/>
      <w:suff w:val="nothing"/>
      <w:lvlText w:val="%1、"/>
      <w:lvlJc w:val="left"/>
      <w:rPr>
        <w:rFonts w:hint="eastAsia"/>
      </w:rPr>
    </w:lvl>
  </w:abstractNum>
  <w:abstractNum w:abstractNumId="1">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2">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3">
    <w:nsid w:val="EC5D9CFA"/>
    <w:multiLevelType w:val="singleLevel"/>
    <w:tmpl w:val="EC5D9CFA"/>
    <w:lvl w:ilvl="0" w:tentative="0">
      <w:start w:val="1"/>
      <w:numFmt w:val="decimal"/>
      <w:pStyle w:val="3"/>
      <w:lvlText w:val="%1."/>
      <w:lvlJc w:val="left"/>
      <w:pPr>
        <w:tabs>
          <w:tab w:val="left" w:pos="780"/>
        </w:tabs>
        <w:ind w:left="780" w:hanging="360"/>
      </w:pPr>
    </w:lvl>
  </w:abstractNum>
  <w:abstractNum w:abstractNumId="4">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7"/>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3"/>
  </w:num>
  <w:num w:numId="2">
    <w:abstractNumId w:val="4"/>
  </w:num>
  <w:num w:numId="3">
    <w:abstractNumId w:val="6"/>
  </w:num>
  <w:num w:numId="4">
    <w:abstractNumId w:val="1"/>
  </w:num>
  <w:num w:numId="5">
    <w:abstractNumId w:val="2"/>
  </w:num>
  <w:num w:numId="6">
    <w:abstractNumId w:val="0"/>
  </w:num>
  <w:num w:numId="7">
    <w:abstractNumId w:val="5"/>
  </w:num>
  <w:num w:numId="8">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994E80"/>
    <w:rsid w:val="038C7237"/>
    <w:rsid w:val="03B24C65"/>
    <w:rsid w:val="055174C8"/>
    <w:rsid w:val="05594FD2"/>
    <w:rsid w:val="07861826"/>
    <w:rsid w:val="082C0673"/>
    <w:rsid w:val="08B573AC"/>
    <w:rsid w:val="0C6B37C3"/>
    <w:rsid w:val="0D1A4228"/>
    <w:rsid w:val="0E7D42BB"/>
    <w:rsid w:val="0EE71081"/>
    <w:rsid w:val="103F356B"/>
    <w:rsid w:val="115F1A85"/>
    <w:rsid w:val="13533D6F"/>
    <w:rsid w:val="13593647"/>
    <w:rsid w:val="14FE49FC"/>
    <w:rsid w:val="15132098"/>
    <w:rsid w:val="16506195"/>
    <w:rsid w:val="18807C4B"/>
    <w:rsid w:val="18BC6A4A"/>
    <w:rsid w:val="19D626B5"/>
    <w:rsid w:val="1BE64FC7"/>
    <w:rsid w:val="1FBC673A"/>
    <w:rsid w:val="23F07DC3"/>
    <w:rsid w:val="26170342"/>
    <w:rsid w:val="27C13B82"/>
    <w:rsid w:val="28DA283E"/>
    <w:rsid w:val="2AEB3A8A"/>
    <w:rsid w:val="2B821B32"/>
    <w:rsid w:val="2F611A30"/>
    <w:rsid w:val="2FEF65BC"/>
    <w:rsid w:val="30BD213F"/>
    <w:rsid w:val="322CE072"/>
    <w:rsid w:val="32900FAF"/>
    <w:rsid w:val="33F60296"/>
    <w:rsid w:val="3533276E"/>
    <w:rsid w:val="35980CA9"/>
    <w:rsid w:val="36B31F5F"/>
    <w:rsid w:val="37DA4CA6"/>
    <w:rsid w:val="38B16276"/>
    <w:rsid w:val="392F341B"/>
    <w:rsid w:val="398D59F8"/>
    <w:rsid w:val="3A197CA5"/>
    <w:rsid w:val="3F7FD5C6"/>
    <w:rsid w:val="3FEB4686"/>
    <w:rsid w:val="40137CA8"/>
    <w:rsid w:val="40A73D35"/>
    <w:rsid w:val="423A6C9B"/>
    <w:rsid w:val="42A62ACD"/>
    <w:rsid w:val="446723D4"/>
    <w:rsid w:val="459314F7"/>
    <w:rsid w:val="4B262FC3"/>
    <w:rsid w:val="4B6F4E42"/>
    <w:rsid w:val="4C242C23"/>
    <w:rsid w:val="4EFF6BD2"/>
    <w:rsid w:val="50B415EA"/>
    <w:rsid w:val="53C92CD5"/>
    <w:rsid w:val="54AF23FC"/>
    <w:rsid w:val="57182A2A"/>
    <w:rsid w:val="581A4428"/>
    <w:rsid w:val="59DF6221"/>
    <w:rsid w:val="5A6E105D"/>
    <w:rsid w:val="5DA7155A"/>
    <w:rsid w:val="5DC53457"/>
    <w:rsid w:val="5F4468FD"/>
    <w:rsid w:val="610B60EE"/>
    <w:rsid w:val="61CD6F76"/>
    <w:rsid w:val="627333FC"/>
    <w:rsid w:val="696D37AB"/>
    <w:rsid w:val="6A144077"/>
    <w:rsid w:val="6AEA700D"/>
    <w:rsid w:val="6DE42278"/>
    <w:rsid w:val="6E7FBBE4"/>
    <w:rsid w:val="6EF9071C"/>
    <w:rsid w:val="6EFBCE8A"/>
    <w:rsid w:val="6FF006A6"/>
    <w:rsid w:val="70B1597A"/>
    <w:rsid w:val="71815530"/>
    <w:rsid w:val="726D343A"/>
    <w:rsid w:val="72BD75D3"/>
    <w:rsid w:val="74FD35B0"/>
    <w:rsid w:val="77E73431"/>
    <w:rsid w:val="77F7CCD4"/>
    <w:rsid w:val="78916B04"/>
    <w:rsid w:val="7AA83FCF"/>
    <w:rsid w:val="7AAF66A3"/>
    <w:rsid w:val="7D974A70"/>
    <w:rsid w:val="7E7F7B6F"/>
    <w:rsid w:val="7E8E48BA"/>
    <w:rsid w:val="7EFF71A7"/>
    <w:rsid w:val="7FDF1C35"/>
    <w:rsid w:val="7FDFA2BA"/>
    <w:rsid w:val="8FFDE358"/>
    <w:rsid w:val="AFBF2247"/>
    <w:rsid w:val="B3F5593A"/>
    <w:rsid w:val="FDFA93F3"/>
    <w:rsid w:val="FF6F09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5">
    <w:name w:val="heading 1"/>
    <w:basedOn w:val="1"/>
    <w:next w:val="1"/>
    <w:link w:val="34"/>
    <w:qFormat/>
    <w:uiPriority w:val="0"/>
    <w:pPr>
      <w:keepNext/>
      <w:keepLines/>
      <w:spacing w:before="200" w:after="200"/>
      <w:jc w:val="center"/>
      <w:outlineLvl w:val="0"/>
    </w:pPr>
    <w:rPr>
      <w:rFonts w:eastAsia="黑体"/>
      <w:kern w:val="44"/>
      <w:sz w:val="44"/>
      <w:szCs w:val="44"/>
    </w:rPr>
  </w:style>
  <w:style w:type="paragraph" w:styleId="6">
    <w:name w:val="heading 2"/>
    <w:basedOn w:val="1"/>
    <w:next w:val="1"/>
    <w:link w:val="35"/>
    <w:qFormat/>
    <w:uiPriority w:val="0"/>
    <w:pPr>
      <w:keepNext/>
      <w:keepLines/>
      <w:spacing w:before="200" w:after="200"/>
      <w:jc w:val="center"/>
      <w:outlineLvl w:val="1"/>
    </w:pPr>
    <w:rPr>
      <w:rFonts w:eastAsia="黑体"/>
      <w:sz w:val="32"/>
      <w:szCs w:val="32"/>
    </w:rPr>
  </w:style>
  <w:style w:type="paragraph" w:styleId="7">
    <w:name w:val="heading 3"/>
    <w:basedOn w:val="1"/>
    <w:next w:val="1"/>
    <w:link w:val="36"/>
    <w:qFormat/>
    <w:uiPriority w:val="0"/>
    <w:pPr>
      <w:keepNext/>
      <w:keepLines/>
      <w:spacing w:before="200" w:after="200"/>
      <w:outlineLvl w:val="2"/>
    </w:pPr>
    <w:rPr>
      <w:rFonts w:eastAsia="黑体"/>
      <w:sz w:val="28"/>
      <w:szCs w:val="28"/>
    </w:rPr>
  </w:style>
  <w:style w:type="paragraph" w:styleId="2">
    <w:name w:val="heading 5"/>
    <w:basedOn w:val="3"/>
    <w:next w:val="4"/>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Layout w:type="fixed"/>
      <w:tblCellMar>
        <w:top w:w="0" w:type="dxa"/>
        <w:left w:w="108" w:type="dxa"/>
        <w:bottom w:w="0" w:type="dxa"/>
        <w:right w:w="108" w:type="dxa"/>
      </w:tblCellMar>
    </w:tblPr>
  </w:style>
  <w:style w:type="paragraph" w:styleId="3">
    <w:name w:val="List Number 2"/>
    <w:basedOn w:val="1"/>
    <w:uiPriority w:val="0"/>
    <w:pPr>
      <w:numPr>
        <w:ilvl w:val="0"/>
        <w:numId w:val="1"/>
      </w:numPr>
    </w:pPr>
  </w:style>
  <w:style w:type="paragraph" w:styleId="4">
    <w:name w:val="Normal (Web)"/>
    <w:basedOn w:val="1"/>
    <w:qFormat/>
    <w:uiPriority w:val="0"/>
    <w:pPr>
      <w:widowControl/>
      <w:spacing w:before="100" w:beforeAutospacing="1" w:after="100" w:afterAutospacing="1"/>
      <w:jc w:val="left"/>
    </w:pPr>
    <w:rPr>
      <w:rFonts w:ascii="宋体" w:cs="宋体"/>
      <w:kern w:val="0"/>
      <w:sz w:val="24"/>
    </w:rPr>
  </w:style>
  <w:style w:type="paragraph" w:styleId="8">
    <w:name w:val="Normal Indent"/>
    <w:basedOn w:val="1"/>
    <w:qFormat/>
    <w:uiPriority w:val="0"/>
    <w:pPr>
      <w:ind w:firstLine="420" w:firstLineChars="200"/>
    </w:pPr>
  </w:style>
  <w:style w:type="paragraph" w:styleId="9">
    <w:name w:val="annotation text"/>
    <w:basedOn w:val="1"/>
    <w:qFormat/>
    <w:uiPriority w:val="0"/>
    <w:pPr>
      <w:jc w:val="left"/>
    </w:pPr>
  </w:style>
  <w:style w:type="paragraph" w:styleId="10">
    <w:name w:val="Body Text"/>
    <w:basedOn w:val="1"/>
    <w:next w:val="11"/>
    <w:qFormat/>
    <w:uiPriority w:val="0"/>
    <w:pPr>
      <w:adjustRightInd w:val="0"/>
      <w:spacing w:line="360" w:lineRule="atLeast"/>
      <w:jc w:val="center"/>
      <w:textAlignment w:val="baseline"/>
    </w:pPr>
    <w:rPr>
      <w:kern w:val="0"/>
      <w:sz w:val="24"/>
      <w:szCs w:val="20"/>
    </w:rPr>
  </w:style>
  <w:style w:type="paragraph" w:styleId="11">
    <w:name w:val="Body Text 2"/>
    <w:basedOn w:val="1"/>
    <w:qFormat/>
    <w:uiPriority w:val="0"/>
    <w:pPr>
      <w:spacing w:after="120" w:line="480" w:lineRule="auto"/>
    </w:pPr>
  </w:style>
  <w:style w:type="paragraph" w:styleId="12">
    <w:name w:val="Body Text Indent"/>
    <w:basedOn w:val="1"/>
    <w:qFormat/>
    <w:uiPriority w:val="0"/>
    <w:pPr>
      <w:spacing w:after="120"/>
      <w:ind w:left="420" w:leftChars="200"/>
    </w:pPr>
  </w:style>
  <w:style w:type="paragraph" w:styleId="13">
    <w:name w:val="index 4"/>
    <w:basedOn w:val="1"/>
    <w:next w:val="1"/>
    <w:unhideWhenUsed/>
    <w:qFormat/>
    <w:uiPriority w:val="99"/>
    <w:pPr>
      <w:ind w:left="600" w:leftChars="600"/>
    </w:pPr>
  </w:style>
  <w:style w:type="paragraph" w:styleId="14">
    <w:name w:val="Plain Text"/>
    <w:basedOn w:val="1"/>
    <w:qFormat/>
    <w:uiPriority w:val="0"/>
    <w:rPr>
      <w:rFonts w:ascii="宋体" w:hAnsi="宋体" w:cs="Courier New"/>
    </w:rPr>
  </w:style>
  <w:style w:type="paragraph" w:styleId="15">
    <w:name w:val="Balloon Text"/>
    <w:basedOn w:val="1"/>
    <w:link w:val="45"/>
    <w:qFormat/>
    <w:uiPriority w:val="0"/>
    <w:pPr>
      <w:spacing w:line="240" w:lineRule="auto"/>
    </w:pPr>
    <w:rPr>
      <w:sz w:val="18"/>
      <w:szCs w:val="18"/>
    </w:r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bottom w:val="single" w:color="auto" w:sz="4" w:space="1"/>
      </w:pBdr>
      <w:tabs>
        <w:tab w:val="center" w:pos="4153"/>
        <w:tab w:val="right" w:pos="8306"/>
      </w:tabs>
      <w:snapToGrid w:val="0"/>
    </w:pPr>
    <w:rPr>
      <w:sz w:val="18"/>
    </w:rPr>
  </w:style>
  <w:style w:type="paragraph" w:styleId="18">
    <w:name w:val="toc 1"/>
    <w:basedOn w:val="1"/>
    <w:next w:val="1"/>
    <w:qFormat/>
    <w:uiPriority w:val="0"/>
    <w:pPr>
      <w:spacing w:before="120" w:after="120"/>
      <w:jc w:val="left"/>
    </w:pPr>
    <w:rPr>
      <w:rFonts w:ascii="等线" w:eastAsia="等线"/>
      <w:b/>
      <w:bCs/>
      <w:caps/>
      <w:sz w:val="20"/>
      <w:szCs w:val="20"/>
    </w:rPr>
  </w:style>
  <w:style w:type="paragraph" w:styleId="19">
    <w:name w:val="footnote text"/>
    <w:basedOn w:val="1"/>
    <w:qFormat/>
    <w:uiPriority w:val="0"/>
    <w:pPr>
      <w:snapToGrid w:val="0"/>
      <w:jc w:val="left"/>
    </w:pPr>
    <w:rPr>
      <w:sz w:val="18"/>
    </w:rPr>
  </w:style>
  <w:style w:type="paragraph" w:styleId="20">
    <w:name w:val="index 9"/>
    <w:basedOn w:val="1"/>
    <w:next w:val="1"/>
    <w:qFormat/>
    <w:uiPriority w:val="0"/>
    <w:pPr>
      <w:ind w:left="3360"/>
    </w:pPr>
  </w:style>
  <w:style w:type="paragraph" w:styleId="21">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2">
    <w:name w:val="Body Text First Indent 2"/>
    <w:basedOn w:val="12"/>
    <w:qFormat/>
    <w:uiPriority w:val="0"/>
    <w:pPr>
      <w:ind w:firstLine="420" w:firstLineChars="200"/>
    </w:pPr>
  </w:style>
  <w:style w:type="table" w:styleId="24">
    <w:name w:val="Table Grid"/>
    <w:basedOn w:val="2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6">
    <w:name w:val="page number"/>
    <w:basedOn w:val="25"/>
    <w:qFormat/>
    <w:uiPriority w:val="0"/>
  </w:style>
  <w:style w:type="character" w:styleId="27">
    <w:name w:val="Hyperlink"/>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正文（缩进）"/>
    <w:basedOn w:val="1"/>
    <w:qFormat/>
    <w:uiPriority w:val="0"/>
    <w:pPr>
      <w:spacing w:before="156" w:after="156"/>
      <w:ind w:firstLine="480" w:firstLineChars="200"/>
    </w:pPr>
  </w:style>
  <w:style w:type="paragraph" w:customStyle="1" w:styleId="30">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2">
    <w:name w:val="列出段落1"/>
    <w:basedOn w:val="1"/>
    <w:qFormat/>
    <w:uiPriority w:val="0"/>
    <w:pPr>
      <w:ind w:firstLine="200" w:firstLineChars="200"/>
    </w:pPr>
    <w:rPr>
      <w:rFonts w:cs="Calibri"/>
    </w:rPr>
  </w:style>
  <w:style w:type="paragraph" w:customStyle="1" w:styleId="33">
    <w:name w:val="WPSOffice手动目录 1"/>
    <w:qFormat/>
    <w:uiPriority w:val="0"/>
    <w:rPr>
      <w:rFonts w:ascii="Times New Roman" w:hAnsi="Times New Roman" w:eastAsia="宋体" w:cs="Times New Roman"/>
      <w:lang w:val="en-US" w:eastAsia="zh-CN" w:bidi="ar-SA"/>
    </w:rPr>
  </w:style>
  <w:style w:type="character" w:customStyle="1" w:styleId="34">
    <w:name w:val="标题 1 Char"/>
    <w:link w:val="5"/>
    <w:qFormat/>
    <w:uiPriority w:val="0"/>
    <w:rPr>
      <w:rFonts w:ascii="Times New Roman" w:hAnsi="Times New Roman" w:eastAsia="黑体" w:cs="Times New Roman"/>
      <w:kern w:val="44"/>
      <w:sz w:val="44"/>
      <w:szCs w:val="44"/>
    </w:rPr>
  </w:style>
  <w:style w:type="character" w:customStyle="1" w:styleId="35">
    <w:name w:val="标题 2 Char"/>
    <w:link w:val="6"/>
    <w:qFormat/>
    <w:uiPriority w:val="0"/>
    <w:rPr>
      <w:rFonts w:eastAsia="黑体"/>
      <w:sz w:val="32"/>
      <w:szCs w:val="32"/>
    </w:rPr>
  </w:style>
  <w:style w:type="character" w:customStyle="1" w:styleId="36">
    <w:name w:val="标题 3 Char"/>
    <w:link w:val="7"/>
    <w:qFormat/>
    <w:uiPriority w:val="0"/>
    <w:rPr>
      <w:rFonts w:eastAsia="黑体"/>
      <w:sz w:val="28"/>
      <w:szCs w:val="28"/>
    </w:rPr>
  </w:style>
  <w:style w:type="paragraph" w:customStyle="1" w:styleId="37">
    <w:name w:val="_Style 1"/>
    <w:basedOn w:val="1"/>
    <w:qFormat/>
    <w:uiPriority w:val="0"/>
    <w:pPr>
      <w:ind w:firstLine="200" w:firstLineChars="200"/>
    </w:pPr>
    <w:rPr>
      <w:sz w:val="32"/>
    </w:rPr>
  </w:style>
  <w:style w:type="paragraph" w:customStyle="1" w:styleId="38">
    <w:name w:val="无间隔1"/>
    <w:basedOn w:val="1"/>
    <w:qFormat/>
    <w:uiPriority w:val="0"/>
    <w:pPr>
      <w:widowControl/>
      <w:spacing w:line="240" w:lineRule="auto"/>
      <w:jc w:val="left"/>
    </w:pPr>
    <w:rPr>
      <w:rFonts w:ascii="Calibri" w:hAnsi="Calibri"/>
      <w:kern w:val="0"/>
      <w:sz w:val="22"/>
      <w:szCs w:val="20"/>
    </w:rPr>
  </w:style>
  <w:style w:type="paragraph" w:styleId="39">
    <w:name w:val="List Paragraph"/>
    <w:basedOn w:val="1"/>
    <w:next w:val="1"/>
    <w:qFormat/>
    <w:uiPriority w:val="34"/>
    <w:pPr>
      <w:ind w:firstLine="420"/>
    </w:pPr>
  </w:style>
  <w:style w:type="paragraph" w:customStyle="1" w:styleId="40">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1">
    <w:name w:val="无间隔2"/>
    <w:qFormat/>
    <w:uiPriority w:val="0"/>
    <w:rPr>
      <w:rFonts w:ascii="Calibri" w:hAnsi="Calibri" w:eastAsia="宋体" w:cs="Times New Roman"/>
      <w:sz w:val="22"/>
      <w:lang w:val="en-US" w:eastAsia="zh-CN" w:bidi="ar-SA"/>
    </w:rPr>
  </w:style>
  <w:style w:type="paragraph" w:customStyle="1" w:styleId="42">
    <w:name w:val="表"/>
    <w:next w:val="8"/>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3">
    <w:name w:val="评分"/>
    <w:qFormat/>
    <w:uiPriority w:val="0"/>
    <w:rPr>
      <w:rFonts w:ascii="宋体" w:hAnsi="宋体" w:eastAsia="宋体" w:cs="Times New Roman"/>
      <w:snapToGrid w:val="0"/>
      <w:sz w:val="21"/>
      <w:szCs w:val="22"/>
      <w:lang w:val="en-US" w:eastAsia="zh-CN" w:bidi="ar-SA"/>
    </w:rPr>
  </w:style>
  <w:style w:type="paragraph" w:customStyle="1" w:styleId="44">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5">
    <w:name w:val="批注框文本 Char"/>
    <w:basedOn w:val="25"/>
    <w:link w:val="15"/>
    <w:qFormat/>
    <w:uiPriority w:val="0"/>
    <w:rPr>
      <w:rFonts w:ascii="Times New Roman" w:hAnsi="Times New Roman" w:eastAsia="宋体" w:cs="Times New Roman"/>
      <w:kern w:val="2"/>
      <w:sz w:val="18"/>
      <w:szCs w:val="18"/>
    </w:rPr>
  </w:style>
  <w:style w:type="paragraph" w:customStyle="1" w:styleId="46">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7">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48">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No Spacing"/>
    <w:qFormat/>
    <w:uiPriority w:val="0"/>
    <w:rPr>
      <w:rFonts w:ascii="Calibri" w:hAnsi="Calibri" w:eastAsia="宋体" w:cs="Times New Roman"/>
      <w:sz w:val="22"/>
      <w:lang w:val="en-US" w:eastAsia="zh-CN" w:bidi="ar-SA"/>
    </w:rPr>
  </w:style>
  <w:style w:type="paragraph" w:customStyle="1" w:styleId="51">
    <w:name w:val="我的正文"/>
    <w:basedOn w:val="1"/>
    <w:qFormat/>
    <w:uiPriority w:val="0"/>
    <w:pPr>
      <w:ind w:firstLine="528"/>
    </w:pPr>
  </w:style>
  <w:style w:type="paragraph" w:customStyle="1" w:styleId="52">
    <w:name w:val="章标题"/>
    <w:next w:val="53"/>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3">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4">
    <w:name w:val="样式1"/>
    <w:basedOn w:val="1"/>
    <w:qFormat/>
    <w:uiPriority w:val="0"/>
    <w:pPr>
      <w:jc w:val="center"/>
    </w:pPr>
    <w:rPr>
      <w:rFonts w:eastAsia="方正大标宋简体"/>
      <w:sz w:val="52"/>
    </w:rPr>
  </w:style>
  <w:style w:type="paragraph" w:customStyle="1" w:styleId="55">
    <w:name w:val="正常"/>
    <w:basedOn w:val="56"/>
    <w:qFormat/>
    <w:uiPriority w:val="0"/>
    <w:rPr>
      <w:sz w:val="24"/>
    </w:rPr>
  </w:style>
  <w:style w:type="paragraph" w:customStyle="1" w:styleId="56">
    <w:name w:val="小正常"/>
    <w:basedOn w:val="1"/>
    <w:qFormat/>
    <w:uiPriority w:val="0"/>
    <w:rPr>
      <w:rFonts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68</Pages>
  <Words>33855</Words>
  <Characters>35445</Characters>
  <Lines>302</Lines>
  <Paragraphs>85</Paragraphs>
  <TotalTime>0</TotalTime>
  <ScaleCrop>false</ScaleCrop>
  <LinksUpToDate>false</LinksUpToDate>
  <CharactersWithSpaces>37925</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2022-07-16T04:44:00Z</dcterms:created>
  <dc:creator>QIQI</dc:creator>
  <cp:lastModifiedBy>haochunyang</cp:lastModifiedBy>
  <dcterms:modified xsi:type="dcterms:W3CDTF">2025-02-14T07:37:23Z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