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cs="宋体"/>
          <w:b/>
          <w:color w:val="auto"/>
          <w:sz w:val="100"/>
          <w:szCs w:val="100"/>
          <w:highlight w:val="none"/>
        </w:rPr>
      </w:pPr>
    </w:p>
    <w:p>
      <w:pPr>
        <w:jc w:val="center"/>
        <w:rPr>
          <w:rFonts w:ascii="黑体" w:hAnsi="黑体" w:eastAsia="黑体" w:cs="黑体"/>
          <w:bCs/>
          <w:color w:val="auto"/>
          <w:sz w:val="100"/>
          <w:szCs w:val="100"/>
          <w:highlight w:val="none"/>
        </w:rPr>
      </w:pPr>
      <w:r>
        <w:rPr>
          <w:rFonts w:hint="eastAsia" w:ascii="黑体" w:hAnsi="黑体" w:eastAsia="黑体" w:cs="黑体"/>
          <w:bCs/>
          <w:color w:val="auto"/>
          <w:sz w:val="100"/>
          <w:szCs w:val="100"/>
          <w:highlight w:val="none"/>
        </w:rPr>
        <w:t>政府采购</w:t>
      </w:r>
    </w:p>
    <w:p>
      <w:pPr>
        <w:jc w:val="center"/>
        <w:rPr>
          <w:rFonts w:cs="宋体"/>
          <w:b/>
          <w:color w:val="auto"/>
          <w:szCs w:val="18"/>
          <w:highlight w:val="none"/>
        </w:rPr>
      </w:pPr>
      <w:r>
        <w:rPr>
          <w:rFonts w:hint="eastAsia" w:ascii="黑体" w:hAnsi="黑体" w:eastAsia="黑体" w:cs="黑体"/>
          <w:bCs/>
          <w:color w:val="auto"/>
          <w:sz w:val="72"/>
          <w:szCs w:val="72"/>
          <w:highlight w:val="none"/>
        </w:rPr>
        <w:t>公开招标文件</w:t>
      </w:r>
    </w:p>
    <w:p>
      <w:pPr>
        <w:snapToGrid w:val="0"/>
        <w:jc w:val="center"/>
        <w:rPr>
          <w:rFonts w:eastAsia="黑体"/>
          <w:b/>
          <w:bCs/>
          <w:color w:val="auto"/>
          <w:highlight w:val="none"/>
        </w:rPr>
      </w:pPr>
    </w:p>
    <w:p>
      <w:pPr>
        <w:snapToGrid w:val="0"/>
        <w:jc w:val="center"/>
        <w:rPr>
          <w:rFonts w:eastAsia="黑体"/>
          <w:b/>
          <w:bCs/>
          <w:color w:val="auto"/>
          <w:highlight w:val="none"/>
        </w:rPr>
      </w:pPr>
    </w:p>
    <w:p>
      <w:pPr>
        <w:pStyle w:val="2"/>
        <w:spacing w:line="360" w:lineRule="auto"/>
        <w:rPr>
          <w:rFonts w:eastAsia="仿宋_GB2312"/>
          <w:color w:val="auto"/>
          <w:sz w:val="28"/>
          <w:szCs w:val="28"/>
          <w:highlight w:val="none"/>
        </w:rPr>
      </w:pPr>
    </w:p>
    <w:p>
      <w:pPr>
        <w:pStyle w:val="2"/>
        <w:spacing w:line="360" w:lineRule="auto"/>
        <w:rPr>
          <w:rFonts w:eastAsia="仿宋_GB2312"/>
          <w:color w:val="auto"/>
          <w:sz w:val="28"/>
          <w:szCs w:val="28"/>
          <w:highlight w:val="none"/>
        </w:rPr>
      </w:pPr>
    </w:p>
    <w:p>
      <w:pPr>
        <w:snapToGrid w:val="0"/>
        <w:jc w:val="center"/>
        <w:rPr>
          <w:rFonts w:eastAsia="黑体"/>
          <w:b/>
          <w:bCs/>
          <w:color w:val="auto"/>
          <w:highlight w:val="none"/>
        </w:rPr>
      </w:pPr>
    </w:p>
    <w:p>
      <w:pPr>
        <w:tabs>
          <w:tab w:val="left" w:pos="424"/>
        </w:tabs>
        <w:adjustRightInd w:val="0"/>
        <w:snapToGrid w:val="0"/>
        <w:spacing w:line="480" w:lineRule="auto"/>
        <w:jc w:val="center"/>
        <w:rPr>
          <w:rFonts w:hint="eastAsia" w:eastAsia="黑体"/>
          <w:color w:val="auto"/>
          <w:sz w:val="32"/>
          <w:szCs w:val="32"/>
          <w:highlight w:val="none"/>
          <w:u w:val="single"/>
          <w:lang w:eastAsia="zh-CN"/>
        </w:rPr>
      </w:pPr>
      <w:r>
        <w:rPr>
          <w:rFonts w:eastAsia="黑体"/>
          <w:color w:val="auto"/>
          <w:sz w:val="32"/>
          <w:szCs w:val="32"/>
          <w:highlight w:val="none"/>
        </w:rPr>
        <w:t>项目名称：</w:t>
      </w:r>
      <w:r>
        <w:rPr>
          <w:rFonts w:hint="eastAsia" w:eastAsia="黑体"/>
          <w:color w:val="auto"/>
          <w:sz w:val="32"/>
          <w:szCs w:val="32"/>
          <w:highlight w:val="none"/>
          <w:lang w:eastAsia="zh-CN"/>
        </w:rPr>
        <w:t>国家税务总局黑龙江省税务局金税三期社保费征管信息系统（标准版）统一社会保险费征收模式部署实施和功能完善项目</w:t>
      </w:r>
    </w:p>
    <w:p>
      <w:pPr>
        <w:adjustRightInd w:val="0"/>
        <w:snapToGrid w:val="0"/>
        <w:spacing w:line="480" w:lineRule="auto"/>
        <w:jc w:val="center"/>
        <w:rPr>
          <w:rFonts w:hint="eastAsia" w:eastAsia="黑体"/>
          <w:color w:val="auto"/>
          <w:sz w:val="32"/>
          <w:szCs w:val="32"/>
          <w:highlight w:val="none"/>
          <w:u w:val="single"/>
          <w:lang w:eastAsia="zh-CN"/>
        </w:rPr>
      </w:pPr>
      <w:r>
        <w:rPr>
          <w:rFonts w:eastAsia="黑体"/>
          <w:color w:val="auto"/>
          <w:sz w:val="32"/>
          <w:szCs w:val="32"/>
          <w:highlight w:val="none"/>
        </w:rPr>
        <w:t>项目编号：</w:t>
      </w:r>
      <w:r>
        <w:rPr>
          <w:rFonts w:hint="eastAsia" w:eastAsia="黑体"/>
          <w:color w:val="auto"/>
          <w:sz w:val="32"/>
          <w:szCs w:val="32"/>
          <w:highlight w:val="none"/>
          <w:lang w:eastAsia="zh-CN"/>
        </w:rPr>
        <w:t xml:space="preserve">HTCL-ZB-233172 </w:t>
      </w:r>
    </w:p>
    <w:p>
      <w:pPr>
        <w:snapToGrid w:val="0"/>
        <w:jc w:val="center"/>
        <w:rPr>
          <w:rFonts w:eastAsia="黑体"/>
          <w:b/>
          <w:bCs/>
          <w:color w:val="auto"/>
          <w:sz w:val="32"/>
          <w:szCs w:val="32"/>
          <w:highlight w:val="none"/>
        </w:rPr>
      </w:pPr>
    </w:p>
    <w:p>
      <w:pPr>
        <w:snapToGrid w:val="0"/>
        <w:jc w:val="center"/>
        <w:rPr>
          <w:rFonts w:eastAsia="黑体"/>
          <w:b/>
          <w:bCs/>
          <w:color w:val="auto"/>
          <w:highlight w:val="none"/>
        </w:rPr>
      </w:pPr>
    </w:p>
    <w:p>
      <w:pPr>
        <w:snapToGrid w:val="0"/>
        <w:jc w:val="center"/>
        <w:rPr>
          <w:rFonts w:eastAsia="黑体"/>
          <w:b/>
          <w:bCs/>
          <w:color w:val="auto"/>
          <w:highlight w:val="none"/>
        </w:rPr>
      </w:pPr>
    </w:p>
    <w:p>
      <w:pPr>
        <w:snapToGrid w:val="0"/>
        <w:jc w:val="center"/>
        <w:rPr>
          <w:rFonts w:eastAsia="黑体"/>
          <w:b/>
          <w:bCs/>
          <w:color w:val="auto"/>
          <w:highlight w:val="none"/>
        </w:rPr>
      </w:pPr>
    </w:p>
    <w:p>
      <w:pPr>
        <w:snapToGrid w:val="0"/>
        <w:jc w:val="center"/>
        <w:rPr>
          <w:rFonts w:eastAsia="黑体"/>
          <w:b/>
          <w:bCs/>
          <w:color w:val="auto"/>
          <w:highlight w:val="none"/>
        </w:rPr>
      </w:pPr>
    </w:p>
    <w:p>
      <w:pPr>
        <w:snapToGrid w:val="0"/>
        <w:jc w:val="center"/>
        <w:rPr>
          <w:rFonts w:eastAsia="黑体"/>
          <w:color w:val="auto"/>
          <w:sz w:val="28"/>
          <w:szCs w:val="28"/>
          <w:highlight w:val="none"/>
        </w:rPr>
      </w:pPr>
      <w:r>
        <w:rPr>
          <w:rFonts w:eastAsia="黑体"/>
          <w:color w:val="auto"/>
          <w:sz w:val="28"/>
          <w:szCs w:val="28"/>
          <w:highlight w:val="none"/>
        </w:rPr>
        <w:t>黑龙江省</w:t>
      </w:r>
      <w:r>
        <w:rPr>
          <w:rFonts w:hint="eastAsia" w:eastAsia="黑体"/>
          <w:color w:val="auto"/>
          <w:sz w:val="28"/>
          <w:szCs w:val="28"/>
          <w:highlight w:val="none"/>
        </w:rPr>
        <w:t>招标有限公司</w:t>
      </w:r>
    </w:p>
    <w:p>
      <w:pPr>
        <w:widowControl/>
        <w:snapToGrid w:val="0"/>
        <w:jc w:val="center"/>
        <w:rPr>
          <w:rFonts w:eastAsia="黑体"/>
          <w:color w:val="auto"/>
          <w:kern w:val="0"/>
          <w:sz w:val="28"/>
          <w:szCs w:val="28"/>
          <w:highlight w:val="none"/>
        </w:rPr>
      </w:pPr>
      <w:r>
        <w:rPr>
          <w:rFonts w:hint="eastAsia" w:eastAsia="黑体"/>
          <w:color w:val="auto"/>
          <w:sz w:val="32"/>
          <w:szCs w:val="32"/>
          <w:highlight w:val="none"/>
          <w:u w:val="single"/>
        </w:rPr>
        <w:t>202</w:t>
      </w:r>
      <w:r>
        <w:rPr>
          <w:rFonts w:hint="eastAsia" w:eastAsia="黑体"/>
          <w:color w:val="auto"/>
          <w:sz w:val="32"/>
          <w:szCs w:val="32"/>
          <w:highlight w:val="none"/>
          <w:u w:val="single"/>
          <w:lang w:val="en-US" w:eastAsia="zh-CN"/>
        </w:rPr>
        <w:t>3</w:t>
      </w:r>
      <w:r>
        <w:rPr>
          <w:rFonts w:hint="eastAsia" w:eastAsia="黑体"/>
          <w:color w:val="auto"/>
          <w:kern w:val="0"/>
          <w:sz w:val="28"/>
          <w:szCs w:val="28"/>
          <w:highlight w:val="none"/>
        </w:rPr>
        <w:t>年</w:t>
      </w:r>
      <w:r>
        <w:rPr>
          <w:rFonts w:hint="eastAsia" w:eastAsia="黑体"/>
          <w:color w:val="auto"/>
          <w:sz w:val="32"/>
          <w:szCs w:val="32"/>
          <w:highlight w:val="none"/>
          <w:u w:val="single"/>
          <w:lang w:val="en-US" w:eastAsia="zh-CN"/>
        </w:rPr>
        <w:t>10</w:t>
      </w:r>
      <w:r>
        <w:rPr>
          <w:rFonts w:hint="eastAsia" w:eastAsia="黑体"/>
          <w:color w:val="auto"/>
          <w:kern w:val="0"/>
          <w:sz w:val="28"/>
          <w:szCs w:val="28"/>
          <w:highlight w:val="none"/>
        </w:rPr>
        <w:t>月</w:t>
      </w:r>
    </w:p>
    <w:p>
      <w:pPr>
        <w:jc w:val="center"/>
        <w:rPr>
          <w:rFonts w:cs="宋体"/>
          <w:b/>
          <w:bCs/>
          <w:color w:val="auto"/>
          <w:sz w:val="36"/>
          <w:szCs w:val="44"/>
          <w:highlight w:val="none"/>
        </w:rPr>
        <w:sectPr>
          <w:pgSz w:w="11906" w:h="16838"/>
          <w:pgMar w:top="1440" w:right="1803" w:bottom="1440" w:left="1803" w:header="851" w:footer="992" w:gutter="0"/>
          <w:cols w:space="720" w:num="1"/>
          <w:docGrid w:linePitch="312" w:charSpace="0"/>
        </w:sectPr>
      </w:pPr>
    </w:p>
    <w:p>
      <w:pPr>
        <w:pStyle w:val="15"/>
        <w:tabs>
          <w:tab w:val="right" w:leader="dot" w:pos="8300"/>
        </w:tabs>
        <w:spacing w:line="240" w:lineRule="auto"/>
        <w:jc w:val="center"/>
        <w:rPr>
          <w:rFonts w:ascii="黑体" w:hAnsi="黑体" w:eastAsia="黑体" w:cs="黑体"/>
          <w:b w:val="0"/>
          <w:bCs w:val="0"/>
          <w:color w:val="auto"/>
          <w:sz w:val="44"/>
          <w:szCs w:val="44"/>
          <w:highlight w:val="none"/>
        </w:rPr>
      </w:pPr>
      <w:r>
        <w:rPr>
          <w:rFonts w:hint="eastAsia" w:ascii="黑体" w:hAnsi="黑体" w:eastAsia="黑体" w:cs="黑体"/>
          <w:b w:val="0"/>
          <w:bCs w:val="0"/>
          <w:color w:val="auto"/>
          <w:sz w:val="44"/>
          <w:szCs w:val="44"/>
          <w:highlight w:val="none"/>
        </w:rPr>
        <w:t>目录</w:t>
      </w:r>
    </w:p>
    <w:p>
      <w:pPr>
        <w:pStyle w:val="15"/>
        <w:tabs>
          <w:tab w:val="right" w:leader="dot" w:pos="8296"/>
        </w:tabs>
        <w:rPr>
          <w:rFonts w:ascii="宋体" w:hAnsi="宋体" w:eastAsia="宋体" w:cs="宋体"/>
          <w:b w:val="0"/>
          <w:bCs w:val="0"/>
          <w:color w:val="auto"/>
          <w:sz w:val="21"/>
          <w:szCs w:val="21"/>
          <w:highlight w:val="none"/>
        </w:rPr>
      </w:pP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TOC \o "1-1" \h \z \u </w:instrText>
      </w:r>
      <w:r>
        <w:rPr>
          <w:rFonts w:hint="eastAsia" w:ascii="宋体" w:hAnsi="宋体" w:eastAsia="宋体" w:cs="宋体"/>
          <w:color w:val="auto"/>
          <w:sz w:val="21"/>
          <w:szCs w:val="21"/>
          <w:highlight w:val="none"/>
        </w:rPr>
        <w:fldChar w:fldCharType="separate"/>
      </w:r>
      <w:r>
        <w:rPr>
          <w:color w:val="auto"/>
          <w:highlight w:val="none"/>
        </w:rPr>
        <w:fldChar w:fldCharType="begin"/>
      </w:r>
      <w:r>
        <w:rPr>
          <w:color w:val="auto"/>
          <w:highlight w:val="none"/>
        </w:rPr>
        <w:instrText xml:space="preserve"> HYPERLINK \l "_Toc78962470" </w:instrText>
      </w:r>
      <w:r>
        <w:rPr>
          <w:color w:val="auto"/>
          <w:highlight w:val="none"/>
        </w:rPr>
        <w:fldChar w:fldCharType="separate"/>
      </w:r>
      <w:r>
        <w:rPr>
          <w:rFonts w:hint="eastAsia" w:ascii="宋体" w:hAnsi="宋体" w:eastAsia="宋体" w:cs="宋体"/>
          <w:color w:val="auto"/>
          <w:sz w:val="21"/>
          <w:szCs w:val="21"/>
          <w:highlight w:val="none"/>
        </w:rPr>
        <w:t>招标公告</w:t>
      </w:r>
      <w:r>
        <w:rPr>
          <w:rFonts w:hint="eastAsia" w:ascii="宋体" w:hAnsi="宋体" w:eastAsia="宋体" w:cs="宋体"/>
          <w:color w:val="auto"/>
          <w:sz w:val="21"/>
          <w:szCs w:val="21"/>
          <w:highlight w:val="none"/>
        </w:rPr>
        <w:fldChar w:fldCharType="end"/>
      </w:r>
    </w:p>
    <w:p>
      <w:pPr>
        <w:pStyle w:val="15"/>
        <w:tabs>
          <w:tab w:val="right" w:leader="dot" w:pos="8296"/>
        </w:tabs>
        <w:rPr>
          <w:rFonts w:ascii="宋体" w:hAnsi="宋体" w:eastAsia="宋体" w:cs="宋体"/>
          <w:b w:val="0"/>
          <w:bCs w:val="0"/>
          <w:color w:val="auto"/>
          <w:sz w:val="21"/>
          <w:szCs w:val="21"/>
          <w:highlight w:val="none"/>
        </w:rPr>
      </w:pPr>
      <w:r>
        <w:rPr>
          <w:color w:val="auto"/>
          <w:highlight w:val="none"/>
        </w:rPr>
        <w:fldChar w:fldCharType="begin"/>
      </w:r>
      <w:r>
        <w:rPr>
          <w:color w:val="auto"/>
          <w:highlight w:val="none"/>
        </w:rPr>
        <w:instrText xml:space="preserve"> HYPERLINK \l "_Toc78962471" </w:instrText>
      </w:r>
      <w:r>
        <w:rPr>
          <w:color w:val="auto"/>
          <w:highlight w:val="none"/>
        </w:rPr>
        <w:fldChar w:fldCharType="separate"/>
      </w:r>
      <w:r>
        <w:rPr>
          <w:rFonts w:hint="eastAsia" w:ascii="宋体" w:hAnsi="宋体" w:eastAsia="宋体" w:cs="宋体"/>
          <w:color w:val="auto"/>
          <w:sz w:val="21"/>
          <w:szCs w:val="21"/>
          <w:highlight w:val="none"/>
        </w:rPr>
        <w:t>第一章 供应商须知</w:t>
      </w:r>
      <w:r>
        <w:rPr>
          <w:rFonts w:hint="eastAsia" w:ascii="宋体" w:hAnsi="宋体" w:eastAsia="宋体" w:cs="宋体"/>
          <w:color w:val="auto"/>
          <w:sz w:val="21"/>
          <w:szCs w:val="21"/>
          <w:highlight w:val="none"/>
        </w:rPr>
        <w:fldChar w:fldCharType="end"/>
      </w:r>
    </w:p>
    <w:p>
      <w:pPr>
        <w:pStyle w:val="15"/>
        <w:tabs>
          <w:tab w:val="right" w:leader="dot" w:pos="8296"/>
        </w:tabs>
        <w:rPr>
          <w:rFonts w:ascii="宋体" w:hAnsi="宋体" w:eastAsia="宋体" w:cs="宋体"/>
          <w:b w:val="0"/>
          <w:bCs w:val="0"/>
          <w:color w:val="auto"/>
          <w:sz w:val="21"/>
          <w:szCs w:val="21"/>
          <w:highlight w:val="none"/>
        </w:rPr>
      </w:pPr>
      <w:r>
        <w:rPr>
          <w:color w:val="auto"/>
          <w:highlight w:val="none"/>
        </w:rPr>
        <w:fldChar w:fldCharType="begin"/>
      </w:r>
      <w:r>
        <w:rPr>
          <w:color w:val="auto"/>
          <w:highlight w:val="none"/>
        </w:rPr>
        <w:instrText xml:space="preserve"> HYPERLINK \l "_Toc78962472" </w:instrText>
      </w:r>
      <w:r>
        <w:rPr>
          <w:color w:val="auto"/>
          <w:highlight w:val="none"/>
        </w:rPr>
        <w:fldChar w:fldCharType="separate"/>
      </w:r>
      <w:r>
        <w:rPr>
          <w:rFonts w:hint="eastAsia" w:ascii="宋体" w:hAnsi="宋体" w:eastAsia="宋体" w:cs="宋体"/>
          <w:color w:val="auto"/>
          <w:sz w:val="21"/>
          <w:szCs w:val="21"/>
          <w:highlight w:val="none"/>
        </w:rPr>
        <w:t>第二章 投标文件内容及格式</w:t>
      </w:r>
      <w:r>
        <w:rPr>
          <w:rFonts w:hint="eastAsia" w:ascii="宋体" w:hAnsi="宋体" w:eastAsia="宋体" w:cs="宋体"/>
          <w:color w:val="auto"/>
          <w:sz w:val="21"/>
          <w:szCs w:val="21"/>
          <w:highlight w:val="none"/>
        </w:rPr>
        <w:fldChar w:fldCharType="end"/>
      </w:r>
    </w:p>
    <w:p>
      <w:pPr>
        <w:pStyle w:val="15"/>
        <w:tabs>
          <w:tab w:val="right" w:leader="dot" w:pos="8296"/>
        </w:tabs>
        <w:rPr>
          <w:rFonts w:ascii="宋体" w:hAnsi="宋体" w:eastAsia="宋体" w:cs="宋体"/>
          <w:b w:val="0"/>
          <w:bCs w:val="0"/>
          <w:color w:val="auto"/>
          <w:sz w:val="21"/>
          <w:szCs w:val="21"/>
          <w:highlight w:val="none"/>
        </w:rPr>
      </w:pPr>
      <w:r>
        <w:rPr>
          <w:color w:val="auto"/>
          <w:highlight w:val="none"/>
        </w:rPr>
        <w:fldChar w:fldCharType="begin"/>
      </w:r>
      <w:r>
        <w:rPr>
          <w:color w:val="auto"/>
          <w:highlight w:val="none"/>
        </w:rPr>
        <w:instrText xml:space="preserve"> HYPERLINK \l "_Toc78962473" </w:instrText>
      </w:r>
      <w:r>
        <w:rPr>
          <w:color w:val="auto"/>
          <w:highlight w:val="none"/>
        </w:rPr>
        <w:fldChar w:fldCharType="separate"/>
      </w:r>
      <w:r>
        <w:rPr>
          <w:rFonts w:hint="eastAsia" w:ascii="宋体" w:hAnsi="宋体" w:eastAsia="宋体" w:cs="宋体"/>
          <w:color w:val="auto"/>
          <w:sz w:val="21"/>
          <w:szCs w:val="21"/>
          <w:highlight w:val="none"/>
        </w:rPr>
        <w:t>第三章 服务需求</w:t>
      </w:r>
      <w:r>
        <w:rPr>
          <w:rFonts w:hint="eastAsia" w:ascii="宋体" w:hAnsi="宋体" w:eastAsia="宋体" w:cs="宋体"/>
          <w:color w:val="auto"/>
          <w:sz w:val="21"/>
          <w:szCs w:val="21"/>
          <w:highlight w:val="none"/>
        </w:rPr>
        <w:fldChar w:fldCharType="end"/>
      </w:r>
    </w:p>
    <w:p>
      <w:pPr>
        <w:pStyle w:val="15"/>
        <w:tabs>
          <w:tab w:val="right" w:leader="dot" w:pos="8296"/>
        </w:tabs>
        <w:rPr>
          <w:rFonts w:ascii="宋体" w:hAnsi="宋体" w:eastAsia="宋体" w:cs="宋体"/>
          <w:b w:val="0"/>
          <w:bCs w:val="0"/>
          <w:color w:val="auto"/>
          <w:sz w:val="21"/>
          <w:szCs w:val="21"/>
          <w:highlight w:val="none"/>
        </w:rPr>
      </w:pPr>
      <w:r>
        <w:rPr>
          <w:color w:val="auto"/>
          <w:highlight w:val="none"/>
        </w:rPr>
        <w:fldChar w:fldCharType="begin"/>
      </w:r>
      <w:r>
        <w:rPr>
          <w:color w:val="auto"/>
          <w:highlight w:val="none"/>
        </w:rPr>
        <w:instrText xml:space="preserve"> HYPERLINK \l "_Toc78962474" </w:instrText>
      </w:r>
      <w:r>
        <w:rPr>
          <w:color w:val="auto"/>
          <w:highlight w:val="none"/>
        </w:rPr>
        <w:fldChar w:fldCharType="separate"/>
      </w:r>
      <w:r>
        <w:rPr>
          <w:rFonts w:hint="eastAsia" w:ascii="宋体" w:hAnsi="宋体" w:eastAsia="宋体" w:cs="宋体"/>
          <w:color w:val="auto"/>
          <w:sz w:val="21"/>
          <w:szCs w:val="21"/>
          <w:highlight w:val="none"/>
        </w:rPr>
        <w:t>第四章 评标方法</w:t>
      </w:r>
      <w:r>
        <w:rPr>
          <w:rFonts w:hint="eastAsia" w:ascii="宋体" w:hAnsi="宋体" w:eastAsia="宋体" w:cs="宋体"/>
          <w:color w:val="auto"/>
          <w:sz w:val="21"/>
          <w:szCs w:val="21"/>
          <w:highlight w:val="none"/>
        </w:rPr>
        <w:fldChar w:fldCharType="end"/>
      </w:r>
    </w:p>
    <w:p>
      <w:pPr>
        <w:pStyle w:val="15"/>
        <w:tabs>
          <w:tab w:val="right" w:leader="dot" w:pos="8296"/>
        </w:tabs>
        <w:rPr>
          <w:rFonts w:ascii="宋体" w:hAnsi="宋体" w:eastAsia="宋体" w:cs="宋体"/>
          <w:b w:val="0"/>
          <w:bCs w:val="0"/>
          <w:color w:val="auto"/>
          <w:sz w:val="21"/>
          <w:szCs w:val="21"/>
          <w:highlight w:val="none"/>
        </w:rPr>
      </w:pPr>
      <w:r>
        <w:rPr>
          <w:color w:val="auto"/>
          <w:highlight w:val="none"/>
        </w:rPr>
        <w:fldChar w:fldCharType="begin"/>
      </w:r>
      <w:r>
        <w:rPr>
          <w:color w:val="auto"/>
          <w:highlight w:val="none"/>
        </w:rPr>
        <w:instrText xml:space="preserve"> HYPERLINK \l "_Toc78962475" </w:instrText>
      </w:r>
      <w:r>
        <w:rPr>
          <w:color w:val="auto"/>
          <w:highlight w:val="none"/>
        </w:rPr>
        <w:fldChar w:fldCharType="separate"/>
      </w:r>
      <w:r>
        <w:rPr>
          <w:rFonts w:hint="eastAsia" w:ascii="宋体" w:hAnsi="宋体" w:eastAsia="宋体" w:cs="宋体"/>
          <w:color w:val="auto"/>
          <w:sz w:val="21"/>
          <w:szCs w:val="21"/>
          <w:highlight w:val="none"/>
        </w:rPr>
        <w:t>第五章 政府采购合同条款及格式</w:t>
      </w:r>
      <w:r>
        <w:rPr>
          <w:rFonts w:hint="eastAsia" w:ascii="宋体" w:hAnsi="宋体" w:eastAsia="宋体" w:cs="宋体"/>
          <w:color w:val="auto"/>
          <w:sz w:val="21"/>
          <w:szCs w:val="21"/>
          <w:highlight w:val="none"/>
        </w:rPr>
        <w:fldChar w:fldCharType="end"/>
      </w:r>
    </w:p>
    <w:p>
      <w:pPr>
        <w:pStyle w:val="33"/>
        <w:tabs>
          <w:tab w:val="right" w:leader="dot" w:pos="8306"/>
        </w:tabs>
        <w:spacing w:line="600" w:lineRule="exact"/>
        <w:rPr>
          <w:rFonts w:eastAsia="仿宋_GB2312" w:cs="仿宋_GB2312"/>
          <w:b/>
          <w:bCs/>
          <w:color w:val="auto"/>
          <w:highlight w:val="none"/>
        </w:rPr>
        <w:sectPr>
          <w:headerReference r:id="rId3" w:type="default"/>
          <w:footerReference r:id="rId4" w:type="default"/>
          <w:pgSz w:w="11906" w:h="16838"/>
          <w:pgMar w:top="1440" w:right="1803" w:bottom="1440" w:left="1803" w:header="851" w:footer="992" w:gutter="0"/>
          <w:pgNumType w:fmt="upperRoman" w:start="1"/>
          <w:cols w:space="720" w:num="1"/>
          <w:docGrid w:linePitch="312" w:charSpace="0"/>
        </w:sectPr>
      </w:pPr>
      <w:r>
        <w:rPr>
          <w:rFonts w:hint="eastAsia" w:ascii="宋体" w:hAnsi="宋体" w:cs="宋体"/>
          <w:color w:val="auto"/>
          <w:sz w:val="21"/>
          <w:szCs w:val="21"/>
          <w:highlight w:val="none"/>
        </w:rPr>
        <w:fldChar w:fldCharType="end"/>
      </w:r>
    </w:p>
    <w:p>
      <w:pPr>
        <w:pStyle w:val="4"/>
        <w:rPr>
          <w:color w:val="auto"/>
          <w:highlight w:val="none"/>
        </w:rPr>
      </w:pPr>
      <w:bookmarkStart w:id="0" w:name="_Toc1124_WPSOffice_Level1"/>
      <w:bookmarkStart w:id="1" w:name="_Toc78902190"/>
      <w:bookmarkStart w:id="2" w:name="_Toc15817"/>
      <w:r>
        <w:rPr>
          <w:rFonts w:hint="eastAsia"/>
          <w:color w:val="auto"/>
          <w:highlight w:val="none"/>
        </w:rPr>
        <w:t>招标公告</w:t>
      </w:r>
      <w:bookmarkEnd w:id="0"/>
      <w:bookmarkEnd w:id="1"/>
      <w:bookmarkEnd w:id="2"/>
    </w:p>
    <w:tbl>
      <w:tblPr>
        <w:tblStyle w:val="23"/>
        <w:tblW w:w="851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40" w:hRule="atLeast"/>
        </w:trPr>
        <w:tc>
          <w:tcPr>
            <w:tcW w:w="8516" w:type="dxa"/>
            <w:noWrap w:val="0"/>
            <w:vAlign w:val="top"/>
          </w:tcPr>
          <w:p>
            <w:pPr>
              <w:rPr>
                <w:color w:val="auto"/>
                <w:highlight w:val="none"/>
              </w:rPr>
            </w:pPr>
            <w:r>
              <w:rPr>
                <w:rFonts w:hint="eastAsia"/>
                <w:color w:val="auto"/>
                <w:highlight w:val="none"/>
              </w:rPr>
              <w:t>项目概况</w:t>
            </w:r>
          </w:p>
          <w:p>
            <w:pPr>
              <w:ind w:firstLine="420" w:firstLineChars="200"/>
              <w:rPr>
                <w:color w:val="auto"/>
                <w:highlight w:val="none"/>
              </w:rPr>
            </w:pPr>
            <w:r>
              <w:rPr>
                <w:rFonts w:hint="eastAsia"/>
                <w:color w:val="auto"/>
                <w:highlight w:val="none"/>
                <w:lang w:eastAsia="zh-CN"/>
              </w:rPr>
              <w:t>国家税务总局黑龙江省税务局金税三期社保费征管信息系统（标准版）统一社会保险费征收模式部署实施和功能完善项目</w:t>
            </w:r>
            <w:r>
              <w:rPr>
                <w:rFonts w:hint="eastAsia"/>
                <w:color w:val="auto"/>
                <w:highlight w:val="none"/>
              </w:rPr>
              <w:t>的潜在供应商应在黑龙江省招标有限公司一楼获取招标文件，并于202</w:t>
            </w:r>
            <w:r>
              <w:rPr>
                <w:rFonts w:hint="eastAsia"/>
                <w:color w:val="auto"/>
                <w:highlight w:val="none"/>
                <w:lang w:val="en-US" w:eastAsia="zh-CN"/>
              </w:rPr>
              <w:t>3</w:t>
            </w:r>
            <w:r>
              <w:rPr>
                <w:rFonts w:hint="eastAsia"/>
                <w:color w:val="auto"/>
                <w:highlight w:val="none"/>
              </w:rPr>
              <w:t>年</w:t>
            </w:r>
            <w:r>
              <w:rPr>
                <w:rFonts w:hint="eastAsia"/>
                <w:color w:val="auto"/>
                <w:highlight w:val="none"/>
                <w:lang w:val="en-US" w:eastAsia="zh-CN"/>
              </w:rPr>
              <w:t>11</w:t>
            </w:r>
            <w:r>
              <w:rPr>
                <w:rFonts w:hint="eastAsia"/>
                <w:color w:val="auto"/>
                <w:highlight w:val="none"/>
              </w:rPr>
              <w:t>月</w:t>
            </w:r>
            <w:r>
              <w:rPr>
                <w:rFonts w:hint="eastAsia"/>
                <w:color w:val="auto"/>
                <w:highlight w:val="none"/>
                <w:lang w:val="en-US" w:eastAsia="zh-CN"/>
              </w:rPr>
              <w:t>1</w:t>
            </w:r>
            <w:r>
              <w:rPr>
                <w:rFonts w:hint="eastAsia"/>
                <w:color w:val="auto"/>
                <w:highlight w:val="none"/>
              </w:rPr>
              <w:t>日9点00分（北京时间）前递交投标文件。</w:t>
            </w:r>
          </w:p>
        </w:tc>
      </w:tr>
    </w:tbl>
    <w:p>
      <w:pPr>
        <w:rPr>
          <w:color w:val="auto"/>
          <w:highlight w:val="none"/>
        </w:rPr>
      </w:pPr>
      <w:bookmarkStart w:id="3" w:name="_Toc28359079"/>
      <w:bookmarkStart w:id="4" w:name="_Toc28359002"/>
      <w:bookmarkStart w:id="5" w:name="_Hlk24379207"/>
      <w:r>
        <w:rPr>
          <w:rFonts w:hint="eastAsia"/>
          <w:color w:val="auto"/>
          <w:highlight w:val="none"/>
        </w:rPr>
        <w:t>一、项目基本情况</w:t>
      </w:r>
      <w:bookmarkEnd w:id="3"/>
      <w:bookmarkEnd w:id="4"/>
    </w:p>
    <w:p>
      <w:pPr>
        <w:rPr>
          <w:rFonts w:hint="eastAsia" w:eastAsia="宋体"/>
          <w:color w:val="auto"/>
          <w:highlight w:val="none"/>
          <w:lang w:eastAsia="zh-CN"/>
        </w:rPr>
      </w:pPr>
      <w:r>
        <w:rPr>
          <w:rFonts w:hint="eastAsia"/>
          <w:color w:val="auto"/>
          <w:highlight w:val="none"/>
        </w:rPr>
        <w:t>招标编号：</w:t>
      </w:r>
      <w:r>
        <w:rPr>
          <w:rFonts w:hint="eastAsia"/>
          <w:color w:val="auto"/>
          <w:highlight w:val="none"/>
          <w:lang w:eastAsia="zh-CN"/>
        </w:rPr>
        <w:t>HTCL-ZB-233172</w:t>
      </w:r>
    </w:p>
    <w:p>
      <w:pPr>
        <w:rPr>
          <w:rFonts w:hint="eastAsia" w:eastAsia="宋体"/>
          <w:color w:val="auto"/>
          <w:highlight w:val="none"/>
          <w:lang w:eastAsia="zh-CN"/>
        </w:rPr>
      </w:pPr>
      <w:r>
        <w:rPr>
          <w:rFonts w:hint="eastAsia"/>
          <w:color w:val="auto"/>
          <w:highlight w:val="none"/>
        </w:rPr>
        <w:t>项目名称：</w:t>
      </w:r>
      <w:bookmarkEnd w:id="5"/>
      <w:r>
        <w:rPr>
          <w:rFonts w:hint="eastAsia"/>
          <w:color w:val="auto"/>
          <w:highlight w:val="none"/>
          <w:lang w:eastAsia="zh-CN"/>
        </w:rPr>
        <w:t>国家税务总局黑龙江省税务局金税三期社保费征管信息系统（标准版）统一社会保险费征收模式部署实施和功能完善项目</w:t>
      </w:r>
    </w:p>
    <w:p>
      <w:pPr>
        <w:rPr>
          <w:rFonts w:hint="default" w:eastAsia="宋体"/>
          <w:color w:val="auto"/>
          <w:highlight w:val="none"/>
          <w:u w:val="single"/>
          <w:lang w:val="en-US" w:eastAsia="zh-CN"/>
        </w:rPr>
      </w:pPr>
      <w:r>
        <w:rPr>
          <w:rFonts w:hint="eastAsia"/>
          <w:color w:val="auto"/>
          <w:highlight w:val="none"/>
        </w:rPr>
        <w:t>预算金额：937.8</w:t>
      </w:r>
      <w:r>
        <w:rPr>
          <w:rFonts w:hint="eastAsia"/>
          <w:color w:val="auto"/>
          <w:highlight w:val="none"/>
          <w:lang w:val="en-US" w:eastAsia="zh-CN"/>
        </w:rPr>
        <w:t>万</w:t>
      </w:r>
      <w:r>
        <w:rPr>
          <w:rFonts w:hint="eastAsia"/>
          <w:color w:val="auto"/>
          <w:highlight w:val="none"/>
        </w:rPr>
        <w:t>元</w:t>
      </w:r>
    </w:p>
    <w:p>
      <w:pPr>
        <w:rPr>
          <w:color w:val="auto"/>
          <w:highlight w:val="none"/>
        </w:rPr>
      </w:pPr>
      <w:r>
        <w:rPr>
          <w:rFonts w:hint="eastAsia"/>
          <w:color w:val="auto"/>
          <w:highlight w:val="none"/>
        </w:rPr>
        <w:t>最高限价：937.8</w:t>
      </w:r>
      <w:r>
        <w:rPr>
          <w:rFonts w:hint="eastAsia"/>
          <w:color w:val="auto"/>
          <w:highlight w:val="none"/>
          <w:lang w:val="en-US" w:eastAsia="zh-CN"/>
        </w:rPr>
        <w:t>万元</w:t>
      </w:r>
    </w:p>
    <w:p>
      <w:pPr>
        <w:pStyle w:val="31"/>
        <w:ind w:firstLine="0" w:firstLineChars="0"/>
        <w:rPr>
          <w:rFonts w:hint="eastAsia"/>
          <w:color w:val="auto"/>
          <w:highlight w:val="none"/>
        </w:rPr>
      </w:pPr>
      <w:r>
        <w:rPr>
          <w:rFonts w:hint="eastAsia"/>
          <w:color w:val="auto"/>
          <w:highlight w:val="none"/>
        </w:rPr>
        <w:t>采购需求：</w:t>
      </w:r>
    </w:p>
    <w:p>
      <w:pPr>
        <w:pStyle w:val="31"/>
        <w:ind w:firstLine="0" w:firstLineChars="0"/>
        <w:rPr>
          <w:rFonts w:hint="eastAsia" w:eastAsia="宋体"/>
          <w:color w:val="auto"/>
          <w:highlight w:val="none"/>
          <w:lang w:eastAsia="zh-CN"/>
        </w:rPr>
      </w:pPr>
      <w:r>
        <w:rPr>
          <w:rFonts w:hint="eastAsia"/>
          <w:color w:val="auto"/>
          <w:highlight w:val="none"/>
          <w:lang w:val="en-US" w:eastAsia="zh-CN"/>
        </w:rPr>
        <w:t>第一包</w:t>
      </w:r>
      <w:r>
        <w:rPr>
          <w:rFonts w:hint="eastAsia"/>
          <w:color w:val="auto"/>
          <w:highlight w:val="none"/>
        </w:rPr>
        <w:t>：金税三期社保费征管信息系统（标准版）管理子系统“统模式”部署实施及功能完善项目</w:t>
      </w:r>
      <w:r>
        <w:rPr>
          <w:rFonts w:hint="eastAsia"/>
          <w:color w:val="auto"/>
          <w:highlight w:val="none"/>
          <w:lang w:eastAsia="zh-CN"/>
        </w:rPr>
        <w:t>。根据国家税务总局黑龙江省税务局统一社会保险费征收模式实施要求，对社保费标准版管理子系统进行升级改造和部署集成。预算371.94万元。</w:t>
      </w:r>
    </w:p>
    <w:p>
      <w:pPr>
        <w:pStyle w:val="31"/>
        <w:ind w:firstLine="0" w:firstLineChars="0"/>
        <w:rPr>
          <w:rFonts w:hint="eastAsia"/>
          <w:color w:val="auto"/>
          <w:highlight w:val="none"/>
          <w:lang w:val="en-US" w:eastAsia="zh-CN"/>
        </w:rPr>
      </w:pPr>
      <w:r>
        <w:rPr>
          <w:rFonts w:hint="eastAsia"/>
          <w:color w:val="auto"/>
          <w:highlight w:val="none"/>
        </w:rPr>
        <w:t>第二</w:t>
      </w:r>
      <w:r>
        <w:rPr>
          <w:rFonts w:hint="eastAsia"/>
          <w:color w:val="auto"/>
          <w:highlight w:val="none"/>
          <w:lang w:eastAsia="zh-CN"/>
        </w:rPr>
        <w:t>包：金税三期社保费征管信息系统（标准版）征收子系统“统模式”部署实施。按照《税务部门统一社会保险费征收模式工作方案》通知的工作安排，完成黑龙江省 “统模式”上线和实施工作。主要内容包括定制本省征收子系统“统模式”上线和实施方案、业务差异分析服务、征收子系统标准版“统模式”初始化服务、征收子系统标准版“统模式”代码转换和数据迁移服务、联调测试服务（应用总集成）、全流程测试服务、性能测试工作、操作培训服务、上线切换服务。预算</w:t>
      </w:r>
      <w:r>
        <w:rPr>
          <w:rFonts w:hint="eastAsia"/>
          <w:color w:val="auto"/>
          <w:highlight w:val="none"/>
          <w:lang w:val="en-US" w:eastAsia="zh-CN"/>
        </w:rPr>
        <w:t>60.78万元</w:t>
      </w:r>
    </w:p>
    <w:p>
      <w:pPr>
        <w:pStyle w:val="31"/>
        <w:ind w:firstLine="0" w:firstLineChars="0"/>
        <w:rPr>
          <w:rFonts w:hint="eastAsia"/>
          <w:color w:val="auto"/>
          <w:highlight w:val="none"/>
          <w:lang w:val="en-US" w:eastAsia="zh-CN"/>
        </w:rPr>
      </w:pPr>
      <w:r>
        <w:rPr>
          <w:rFonts w:hint="eastAsia"/>
          <w:color w:val="auto"/>
          <w:highlight w:val="none"/>
          <w:lang w:val="en-US" w:eastAsia="zh-CN"/>
        </w:rPr>
        <w:t>第三包：金税三期社保费征管信息系统（标准版）信息共享平台和税银子系统等“统模式”部署实施及功能完善项目。对金税三期社保费征管信息系统（标准版）信息共享平台、税银子系统、税库银系统（社保费部分）、决策1包（社保费部分）“统模式”上线实施涉及的需求差异化分析、系统设计、工作方案制定、系统培训、基础环境测算评估、升级部署、系统初始化、系统测试、模拟试算、性能优化等工作进行统一要求。</w:t>
      </w:r>
      <w:r>
        <w:rPr>
          <w:rFonts w:hint="eastAsia"/>
          <w:color w:val="auto"/>
          <w:highlight w:val="none"/>
          <w:lang w:eastAsia="zh-CN"/>
        </w:rPr>
        <w:t>预算</w:t>
      </w:r>
      <w:r>
        <w:rPr>
          <w:rFonts w:hint="eastAsia"/>
          <w:color w:val="auto"/>
          <w:highlight w:val="none"/>
          <w:lang w:val="en-US" w:eastAsia="zh-CN"/>
        </w:rPr>
        <w:t>227.7万元</w:t>
      </w:r>
    </w:p>
    <w:p>
      <w:pPr>
        <w:pStyle w:val="31"/>
        <w:ind w:firstLine="0" w:firstLineChars="0"/>
        <w:rPr>
          <w:rFonts w:hint="default"/>
          <w:color w:val="auto"/>
          <w:highlight w:val="none"/>
          <w:lang w:val="en-US" w:eastAsia="zh-CN"/>
        </w:rPr>
      </w:pPr>
      <w:r>
        <w:rPr>
          <w:rFonts w:hint="eastAsia"/>
          <w:color w:val="auto"/>
          <w:highlight w:val="none"/>
          <w:lang w:val="en-US" w:eastAsia="zh-CN"/>
        </w:rPr>
        <w:t>第四包：社保费网上办、掌上办全责征收改造及线上“一窗通办”项目。为了实现税务社保费全责征收的统模式，建立单位、个人社保费业务税务全责征收办理的服务模式。利用技术手段优化缴费人缴费体验，节约缴费人的缴费成本。预算277.38万元</w:t>
      </w:r>
    </w:p>
    <w:p>
      <w:pPr>
        <w:pStyle w:val="31"/>
        <w:ind w:left="0" w:leftChars="0" w:firstLine="0" w:firstLineChars="0"/>
        <w:rPr>
          <w:rFonts w:hint="eastAsia"/>
          <w:color w:val="auto"/>
          <w:highlight w:val="none"/>
          <w:lang w:val="en-US" w:eastAsia="zh-CN"/>
        </w:rPr>
      </w:pPr>
      <w:r>
        <w:rPr>
          <w:rFonts w:hint="eastAsia"/>
          <w:color w:val="auto"/>
          <w:highlight w:val="none"/>
          <w:lang w:eastAsia="zh-CN"/>
        </w:rPr>
        <w:t>合同履行期限：一年。</w:t>
      </w:r>
    </w:p>
    <w:p>
      <w:pPr>
        <w:rPr>
          <w:rFonts w:cs="宋体"/>
          <w:color w:val="auto"/>
          <w:highlight w:val="none"/>
        </w:rPr>
      </w:pPr>
      <w:r>
        <w:rPr>
          <w:rFonts w:hint="eastAsia" w:cs="宋体"/>
          <w:color w:val="auto"/>
          <w:highlight w:val="none"/>
        </w:rPr>
        <w:t>本项目不接受联合体投标。</w:t>
      </w:r>
    </w:p>
    <w:p>
      <w:pPr>
        <w:rPr>
          <w:color w:val="auto"/>
          <w:highlight w:val="none"/>
        </w:rPr>
      </w:pPr>
      <w:bookmarkStart w:id="6" w:name="_Toc28359003"/>
      <w:bookmarkStart w:id="7" w:name="_Toc28359080"/>
      <w:r>
        <w:rPr>
          <w:rFonts w:hint="eastAsia"/>
          <w:color w:val="auto"/>
          <w:highlight w:val="none"/>
        </w:rPr>
        <w:t>二、申请人的资格要求：</w:t>
      </w:r>
      <w:bookmarkEnd w:id="6"/>
      <w:bookmarkEnd w:id="7"/>
    </w:p>
    <w:p>
      <w:pPr>
        <w:rPr>
          <w:color w:val="auto"/>
          <w:highlight w:val="none"/>
        </w:rPr>
      </w:pPr>
      <w:r>
        <w:rPr>
          <w:color w:val="auto"/>
          <w:highlight w:val="none"/>
        </w:rPr>
        <w:t>1、供应商必须具备《政府采购法》第二十二条规定的条件。</w:t>
      </w:r>
    </w:p>
    <w:p>
      <w:pPr>
        <w:rPr>
          <w:color w:val="auto"/>
          <w:highlight w:val="none"/>
        </w:rPr>
      </w:pPr>
      <w:r>
        <w:rPr>
          <w:color w:val="auto"/>
          <w:highlight w:val="none"/>
        </w:rPr>
        <w:t>2、落实政府采购政策需满足的资格要求：</w:t>
      </w:r>
      <w:r>
        <w:rPr>
          <w:rFonts w:hint="eastAsia"/>
          <w:color w:val="auto"/>
          <w:highlight w:val="none"/>
          <w:lang w:val="en-US" w:eastAsia="zh-CN"/>
        </w:rPr>
        <w:t>无</w:t>
      </w:r>
      <w:r>
        <w:rPr>
          <w:color w:val="auto"/>
          <w:highlight w:val="none"/>
        </w:rPr>
        <w:t>。</w:t>
      </w:r>
    </w:p>
    <w:p>
      <w:pPr>
        <w:rPr>
          <w:color w:val="auto"/>
          <w:highlight w:val="none"/>
        </w:rPr>
      </w:pPr>
      <w:r>
        <w:rPr>
          <w:color w:val="auto"/>
          <w:highlight w:val="none"/>
        </w:rPr>
        <w:t>3、</w:t>
      </w:r>
      <w:r>
        <w:rPr>
          <w:rFonts w:hint="eastAsia"/>
          <w:color w:val="auto"/>
          <w:highlight w:val="none"/>
        </w:rPr>
        <w:t>本项目的特定资格要求</w:t>
      </w:r>
      <w:r>
        <w:rPr>
          <w:rFonts w:hint="eastAsia"/>
          <w:color w:val="auto"/>
          <w:highlight w:val="none"/>
          <w:lang w:eastAsia="zh-CN"/>
        </w:rPr>
        <w:t>：</w:t>
      </w:r>
      <w:r>
        <w:rPr>
          <w:color w:val="auto"/>
          <w:highlight w:val="none"/>
        </w:rPr>
        <w:t>参加政府采购活动前三年内，在经营活动中没有重大违法记录和不良信用记录（在“信用中国”网站(www.creditchina.gov.cn)、中国政府采购网(www.ccgp.gov.cn)等渠道被列入失信被执行人、重大税收违法案件当事人名单、政府采购严重违法失信行为记录名单的供应商将被拒绝其参与本次政府采购活动）。</w:t>
      </w:r>
    </w:p>
    <w:p>
      <w:pPr>
        <w:rPr>
          <w:color w:val="auto"/>
          <w:highlight w:val="none"/>
        </w:rPr>
      </w:pPr>
      <w:r>
        <w:rPr>
          <w:color w:val="auto"/>
          <w:highlight w:val="none"/>
        </w:rPr>
        <w:t>4、同一供应商可以针对本项目的多个包递交投标文件，但只能在一个包中标，排名在前的供应商可以优先选择中标的包。</w:t>
      </w:r>
    </w:p>
    <w:p>
      <w:pPr>
        <w:rPr>
          <w:color w:val="auto"/>
          <w:highlight w:val="none"/>
        </w:rPr>
      </w:pPr>
      <w:bookmarkStart w:id="8" w:name="_Toc28359081"/>
      <w:bookmarkStart w:id="9" w:name="_Toc28359004"/>
      <w:r>
        <w:rPr>
          <w:rFonts w:hint="eastAsia"/>
          <w:color w:val="auto"/>
          <w:highlight w:val="none"/>
        </w:rPr>
        <w:t>三、获取招标文件</w:t>
      </w:r>
      <w:bookmarkEnd w:id="8"/>
      <w:bookmarkEnd w:id="9"/>
    </w:p>
    <w:p>
      <w:pPr>
        <w:rPr>
          <w:color w:val="auto"/>
          <w:highlight w:val="none"/>
        </w:rPr>
      </w:pPr>
      <w:r>
        <w:rPr>
          <w:color w:val="auto"/>
          <w:highlight w:val="none"/>
        </w:rPr>
        <w:t>时间：202</w:t>
      </w:r>
      <w:r>
        <w:rPr>
          <w:rFonts w:hint="eastAsia"/>
          <w:color w:val="auto"/>
          <w:highlight w:val="none"/>
          <w:lang w:val="en-US" w:eastAsia="zh-CN"/>
        </w:rPr>
        <w:t>3</w:t>
      </w:r>
      <w:r>
        <w:rPr>
          <w:color w:val="auto"/>
          <w:highlight w:val="none"/>
        </w:rPr>
        <w:t>年</w:t>
      </w:r>
      <w:r>
        <w:rPr>
          <w:rFonts w:hint="eastAsia"/>
          <w:color w:val="auto"/>
          <w:highlight w:val="none"/>
          <w:lang w:val="en-US" w:eastAsia="zh-CN"/>
        </w:rPr>
        <w:t>10</w:t>
      </w:r>
      <w:r>
        <w:rPr>
          <w:color w:val="auto"/>
          <w:highlight w:val="none"/>
        </w:rPr>
        <w:t>月</w:t>
      </w:r>
      <w:r>
        <w:rPr>
          <w:rFonts w:hint="eastAsia"/>
          <w:color w:val="auto"/>
          <w:highlight w:val="none"/>
          <w:lang w:val="en-US" w:eastAsia="zh-CN"/>
        </w:rPr>
        <w:t>9</w:t>
      </w:r>
      <w:r>
        <w:rPr>
          <w:color w:val="auto"/>
          <w:highlight w:val="none"/>
        </w:rPr>
        <w:t>日至202</w:t>
      </w:r>
      <w:r>
        <w:rPr>
          <w:rFonts w:hint="eastAsia"/>
          <w:color w:val="auto"/>
          <w:highlight w:val="none"/>
          <w:lang w:val="en-US" w:eastAsia="zh-CN"/>
        </w:rPr>
        <w:t>3</w:t>
      </w:r>
      <w:r>
        <w:rPr>
          <w:color w:val="auto"/>
          <w:highlight w:val="none"/>
        </w:rPr>
        <w:t>年</w:t>
      </w:r>
      <w:r>
        <w:rPr>
          <w:rFonts w:hint="eastAsia"/>
          <w:color w:val="auto"/>
          <w:highlight w:val="none"/>
          <w:lang w:val="en-US" w:eastAsia="zh-CN"/>
        </w:rPr>
        <w:t>10</w:t>
      </w:r>
      <w:r>
        <w:rPr>
          <w:color w:val="auto"/>
          <w:highlight w:val="none"/>
        </w:rPr>
        <w:t>月</w:t>
      </w:r>
      <w:r>
        <w:rPr>
          <w:rFonts w:hint="eastAsia"/>
          <w:color w:val="auto"/>
          <w:highlight w:val="none"/>
          <w:lang w:val="en-US" w:eastAsia="zh-CN"/>
        </w:rPr>
        <w:t>16</w:t>
      </w:r>
      <w:r>
        <w:rPr>
          <w:color w:val="auto"/>
          <w:highlight w:val="none"/>
        </w:rPr>
        <w:t>日，每天上午8点30分至11点30分，下午13点至16点（北京时间，法定节假日除外）</w:t>
      </w:r>
    </w:p>
    <w:p>
      <w:pPr>
        <w:rPr>
          <w:color w:val="auto"/>
          <w:highlight w:val="none"/>
        </w:rPr>
      </w:pPr>
      <w:r>
        <w:rPr>
          <w:color w:val="auto"/>
          <w:highlight w:val="none"/>
        </w:rPr>
        <w:t>地点：黑龙江省哈尔滨市南岗区汉水路180号</w:t>
      </w:r>
    </w:p>
    <w:p>
      <w:pPr>
        <w:rPr>
          <w:color w:val="auto"/>
          <w:highlight w:val="none"/>
        </w:rPr>
      </w:pPr>
      <w:r>
        <w:rPr>
          <w:color w:val="auto"/>
          <w:highlight w:val="none"/>
        </w:rPr>
        <w:t>方式：现场获取。</w:t>
      </w:r>
    </w:p>
    <w:p>
      <w:pPr>
        <w:rPr>
          <w:color w:val="auto"/>
          <w:highlight w:val="none"/>
        </w:rPr>
      </w:pPr>
      <w:r>
        <w:rPr>
          <w:color w:val="auto"/>
          <w:highlight w:val="none"/>
        </w:rPr>
        <w:t>售价：500元/包</w:t>
      </w:r>
    </w:p>
    <w:p>
      <w:pPr>
        <w:rPr>
          <w:color w:val="auto"/>
          <w:highlight w:val="none"/>
        </w:rPr>
      </w:pPr>
      <w:bookmarkStart w:id="10" w:name="_Toc28359005"/>
      <w:bookmarkStart w:id="11" w:name="_Toc28359082"/>
      <w:r>
        <w:rPr>
          <w:rFonts w:hint="eastAsia"/>
          <w:color w:val="auto"/>
          <w:highlight w:val="none"/>
        </w:rPr>
        <w:t>四、投标文件递交</w:t>
      </w:r>
      <w:bookmarkEnd w:id="10"/>
      <w:bookmarkEnd w:id="11"/>
    </w:p>
    <w:p>
      <w:pPr>
        <w:rPr>
          <w:color w:val="auto"/>
          <w:highlight w:val="none"/>
        </w:rPr>
      </w:pPr>
      <w:r>
        <w:rPr>
          <w:color w:val="auto"/>
          <w:highlight w:val="none"/>
        </w:rPr>
        <w:t>投标截止时间：202</w:t>
      </w:r>
      <w:r>
        <w:rPr>
          <w:rFonts w:hint="eastAsia"/>
          <w:color w:val="auto"/>
          <w:highlight w:val="none"/>
          <w:lang w:val="en-US" w:eastAsia="zh-CN"/>
        </w:rPr>
        <w:t>3</w:t>
      </w:r>
      <w:r>
        <w:rPr>
          <w:color w:val="auto"/>
          <w:highlight w:val="none"/>
        </w:rPr>
        <w:t>年</w:t>
      </w:r>
      <w:r>
        <w:rPr>
          <w:rFonts w:hint="eastAsia"/>
          <w:color w:val="auto"/>
          <w:highlight w:val="none"/>
          <w:lang w:val="en-US" w:eastAsia="zh-CN"/>
        </w:rPr>
        <w:t>11</w:t>
      </w:r>
      <w:r>
        <w:rPr>
          <w:rFonts w:hint="eastAsia"/>
          <w:color w:val="auto"/>
          <w:highlight w:val="none"/>
        </w:rPr>
        <w:t>月</w:t>
      </w:r>
      <w:r>
        <w:rPr>
          <w:rFonts w:hint="eastAsia"/>
          <w:color w:val="auto"/>
          <w:highlight w:val="none"/>
          <w:lang w:val="en-US" w:eastAsia="zh-CN"/>
        </w:rPr>
        <w:t>1</w:t>
      </w:r>
      <w:r>
        <w:rPr>
          <w:rFonts w:hint="eastAsia"/>
          <w:color w:val="auto"/>
          <w:highlight w:val="none"/>
        </w:rPr>
        <w:t>日</w:t>
      </w:r>
      <w:r>
        <w:rPr>
          <w:color w:val="auto"/>
          <w:highlight w:val="none"/>
        </w:rPr>
        <w:t>9点00分（北京时间）</w:t>
      </w:r>
    </w:p>
    <w:p>
      <w:pPr>
        <w:rPr>
          <w:color w:val="auto"/>
          <w:highlight w:val="none"/>
        </w:rPr>
      </w:pPr>
      <w:r>
        <w:rPr>
          <w:color w:val="auto"/>
          <w:highlight w:val="none"/>
        </w:rPr>
        <w:t>地点：黑龙江省招标有限公司一楼</w:t>
      </w:r>
    </w:p>
    <w:p>
      <w:pPr>
        <w:rPr>
          <w:color w:val="auto"/>
          <w:highlight w:val="none"/>
        </w:rPr>
      </w:pPr>
      <w:bookmarkStart w:id="12" w:name="_Toc28359006"/>
      <w:bookmarkStart w:id="13" w:name="_Toc28359083"/>
      <w:r>
        <w:rPr>
          <w:rFonts w:hint="eastAsia"/>
          <w:color w:val="auto"/>
          <w:highlight w:val="none"/>
        </w:rPr>
        <w:t>五、开标</w:t>
      </w:r>
      <w:bookmarkEnd w:id="12"/>
      <w:bookmarkEnd w:id="13"/>
    </w:p>
    <w:p>
      <w:pPr>
        <w:rPr>
          <w:color w:val="auto"/>
          <w:highlight w:val="none"/>
        </w:rPr>
      </w:pPr>
      <w:bookmarkStart w:id="14" w:name="_Toc28359007"/>
      <w:bookmarkStart w:id="15" w:name="_Toc28359084"/>
      <w:r>
        <w:rPr>
          <w:rFonts w:hint="eastAsia"/>
          <w:color w:val="auto"/>
          <w:highlight w:val="none"/>
        </w:rPr>
        <w:t>时间：202</w:t>
      </w:r>
      <w:r>
        <w:rPr>
          <w:rFonts w:hint="eastAsia"/>
          <w:color w:val="auto"/>
          <w:highlight w:val="none"/>
          <w:lang w:val="en-US" w:eastAsia="zh-CN"/>
        </w:rPr>
        <w:t>3</w:t>
      </w:r>
      <w:r>
        <w:rPr>
          <w:rFonts w:hint="eastAsia"/>
          <w:color w:val="auto"/>
          <w:highlight w:val="none"/>
        </w:rPr>
        <w:t>年</w:t>
      </w:r>
      <w:r>
        <w:rPr>
          <w:rFonts w:hint="eastAsia"/>
          <w:color w:val="auto"/>
          <w:highlight w:val="none"/>
          <w:lang w:val="en-US" w:eastAsia="zh-CN"/>
        </w:rPr>
        <w:t>11</w:t>
      </w:r>
      <w:r>
        <w:rPr>
          <w:rFonts w:hint="eastAsia"/>
          <w:color w:val="auto"/>
          <w:highlight w:val="none"/>
        </w:rPr>
        <w:t>月</w:t>
      </w:r>
      <w:r>
        <w:rPr>
          <w:rFonts w:hint="eastAsia"/>
          <w:color w:val="auto"/>
          <w:highlight w:val="none"/>
          <w:lang w:val="en-US" w:eastAsia="zh-CN"/>
        </w:rPr>
        <w:t>1</w:t>
      </w:r>
      <w:r>
        <w:rPr>
          <w:rFonts w:hint="eastAsia"/>
          <w:color w:val="auto"/>
          <w:highlight w:val="none"/>
        </w:rPr>
        <w:t>日9点00分（北京时间）</w:t>
      </w:r>
    </w:p>
    <w:p>
      <w:pPr>
        <w:rPr>
          <w:color w:val="auto"/>
          <w:highlight w:val="none"/>
        </w:rPr>
      </w:pPr>
      <w:r>
        <w:rPr>
          <w:rFonts w:hint="eastAsia"/>
          <w:color w:val="auto"/>
          <w:highlight w:val="none"/>
        </w:rPr>
        <w:t>地点：黑龙江省招标有限公司二楼会议室</w:t>
      </w:r>
    </w:p>
    <w:p>
      <w:pPr>
        <w:rPr>
          <w:color w:val="auto"/>
          <w:highlight w:val="none"/>
        </w:rPr>
      </w:pPr>
      <w:r>
        <w:rPr>
          <w:rFonts w:hint="eastAsia"/>
          <w:color w:val="auto"/>
          <w:highlight w:val="none"/>
        </w:rPr>
        <w:t>六、公告期限</w:t>
      </w:r>
      <w:bookmarkEnd w:id="14"/>
      <w:bookmarkEnd w:id="15"/>
    </w:p>
    <w:p>
      <w:pPr>
        <w:rPr>
          <w:color w:val="auto"/>
          <w:highlight w:val="none"/>
        </w:rPr>
      </w:pPr>
      <w:r>
        <w:rPr>
          <w:rFonts w:hint="eastAsia"/>
          <w:color w:val="auto"/>
          <w:highlight w:val="none"/>
        </w:rPr>
        <w:t>自本公告发布之日起5个工作日。</w:t>
      </w:r>
    </w:p>
    <w:p>
      <w:pPr>
        <w:rPr>
          <w:color w:val="auto"/>
          <w:highlight w:val="none"/>
        </w:rPr>
      </w:pPr>
      <w:bookmarkStart w:id="16" w:name="_Toc28359085"/>
      <w:bookmarkStart w:id="17" w:name="_Toc28359008"/>
      <w:r>
        <w:rPr>
          <w:rFonts w:hint="eastAsia"/>
          <w:color w:val="auto"/>
          <w:highlight w:val="none"/>
        </w:rPr>
        <w:t>七、对本次招标提出询问，请按以下方式联系。</w:t>
      </w:r>
      <w:bookmarkEnd w:id="16"/>
      <w:bookmarkEnd w:id="17"/>
    </w:p>
    <w:p>
      <w:pPr>
        <w:rPr>
          <w:color w:val="auto"/>
          <w:highlight w:val="none"/>
        </w:rPr>
      </w:pPr>
      <w:r>
        <w:rPr>
          <w:rFonts w:hint="eastAsia"/>
          <w:color w:val="auto"/>
          <w:highlight w:val="none"/>
        </w:rPr>
        <w:t>1.采购人信息</w:t>
      </w:r>
    </w:p>
    <w:p>
      <w:pPr>
        <w:rPr>
          <w:color w:val="auto"/>
          <w:highlight w:val="none"/>
        </w:rPr>
      </w:pPr>
      <w:r>
        <w:rPr>
          <w:rFonts w:hint="eastAsia"/>
          <w:color w:val="auto"/>
          <w:highlight w:val="none"/>
        </w:rPr>
        <w:t>名    称：国家税务总局黑龙江省税务局</w:t>
      </w:r>
    </w:p>
    <w:p>
      <w:pPr>
        <w:rPr>
          <w:color w:val="auto"/>
          <w:highlight w:val="none"/>
        </w:rPr>
      </w:pPr>
      <w:r>
        <w:rPr>
          <w:rFonts w:hint="eastAsia"/>
          <w:color w:val="auto"/>
          <w:highlight w:val="none"/>
        </w:rPr>
        <w:t>地    址：哈尔滨市南岗区东大直街190号</w:t>
      </w:r>
    </w:p>
    <w:p>
      <w:pPr>
        <w:rPr>
          <w:color w:val="auto"/>
          <w:highlight w:val="none"/>
        </w:rPr>
      </w:pPr>
      <w:r>
        <w:rPr>
          <w:rFonts w:hint="eastAsia"/>
          <w:color w:val="auto"/>
          <w:highlight w:val="none"/>
        </w:rPr>
        <w:t>联 系 人：赵先生</w:t>
      </w:r>
    </w:p>
    <w:p>
      <w:pPr>
        <w:rPr>
          <w:color w:val="auto"/>
          <w:highlight w:val="none"/>
        </w:rPr>
      </w:pPr>
      <w:r>
        <w:rPr>
          <w:rFonts w:hint="eastAsia"/>
          <w:color w:val="auto"/>
          <w:highlight w:val="none"/>
        </w:rPr>
        <w:t xml:space="preserve">联系方式：0451-53611198 </w:t>
      </w:r>
    </w:p>
    <w:p>
      <w:pPr>
        <w:rPr>
          <w:color w:val="auto"/>
          <w:highlight w:val="none"/>
        </w:rPr>
      </w:pPr>
      <w:r>
        <w:rPr>
          <w:rFonts w:hint="eastAsia"/>
          <w:color w:val="auto"/>
          <w:highlight w:val="none"/>
        </w:rPr>
        <w:t>2.采购代理机构信息</w:t>
      </w:r>
    </w:p>
    <w:p>
      <w:pPr>
        <w:rPr>
          <w:color w:val="auto"/>
          <w:highlight w:val="none"/>
        </w:rPr>
      </w:pPr>
      <w:r>
        <w:rPr>
          <w:rFonts w:hint="eastAsia"/>
          <w:color w:val="auto"/>
          <w:highlight w:val="none"/>
        </w:rPr>
        <w:t>名    称：黑龙江省招标有限公司</w:t>
      </w:r>
    </w:p>
    <w:p>
      <w:pPr>
        <w:rPr>
          <w:color w:val="auto"/>
          <w:highlight w:val="none"/>
        </w:rPr>
      </w:pPr>
      <w:r>
        <w:rPr>
          <w:rFonts w:hint="eastAsia"/>
          <w:color w:val="auto"/>
          <w:highlight w:val="none"/>
        </w:rPr>
        <w:t>地　  址：哈尔滨市南岗区汉水路180号</w:t>
      </w:r>
    </w:p>
    <w:p>
      <w:pPr>
        <w:rPr>
          <w:color w:val="auto"/>
          <w:highlight w:val="none"/>
        </w:rPr>
      </w:pPr>
      <w:r>
        <w:rPr>
          <w:rFonts w:hint="eastAsia"/>
          <w:color w:val="auto"/>
          <w:highlight w:val="none"/>
        </w:rPr>
        <w:t>联 系 人：韩宇奇、於佳</w:t>
      </w:r>
    </w:p>
    <w:p>
      <w:pPr>
        <w:rPr>
          <w:color w:val="auto"/>
          <w:highlight w:val="none"/>
        </w:rPr>
      </w:pPr>
      <w:r>
        <w:rPr>
          <w:rFonts w:hint="eastAsia"/>
          <w:color w:val="auto"/>
          <w:highlight w:val="none"/>
        </w:rPr>
        <w:t>联系方式：0451-82364703</w:t>
      </w:r>
    </w:p>
    <w:p>
      <w:pPr>
        <w:rPr>
          <w:color w:val="auto"/>
          <w:highlight w:val="none"/>
        </w:rPr>
      </w:pPr>
      <w:r>
        <w:rPr>
          <w:rFonts w:hint="eastAsia"/>
          <w:color w:val="auto"/>
          <w:highlight w:val="none"/>
        </w:rPr>
        <w:t>3.项目联系方式</w:t>
      </w:r>
    </w:p>
    <w:p>
      <w:pPr>
        <w:rPr>
          <w:color w:val="auto"/>
          <w:highlight w:val="none"/>
        </w:rPr>
      </w:pPr>
      <w:r>
        <w:rPr>
          <w:rFonts w:hint="eastAsia"/>
          <w:color w:val="auto"/>
          <w:highlight w:val="none"/>
        </w:rPr>
        <w:t>项目联系人：韩宇奇、於佳</w:t>
      </w:r>
    </w:p>
    <w:p>
      <w:pPr>
        <w:rPr>
          <w:color w:val="auto"/>
          <w:highlight w:val="none"/>
        </w:rPr>
      </w:pPr>
      <w:r>
        <w:rPr>
          <w:rFonts w:hint="eastAsia"/>
          <w:color w:val="auto"/>
          <w:highlight w:val="none"/>
        </w:rPr>
        <w:t>电    话：0451-82364703</w:t>
      </w:r>
    </w:p>
    <w:p>
      <w:pPr>
        <w:jc w:val="center"/>
        <w:rPr>
          <w:rFonts w:cs="宋体"/>
          <w:color w:val="auto"/>
          <w:highlight w:val="none"/>
        </w:rPr>
      </w:pPr>
      <w:r>
        <w:rPr>
          <w:rFonts w:hint="eastAsia"/>
          <w:color w:val="auto"/>
          <w:highlight w:val="none"/>
        </w:rPr>
        <w:br w:type="page"/>
      </w:r>
      <w:bookmarkStart w:id="18" w:name="_Toc27915"/>
      <w:bookmarkStart w:id="19" w:name="_Toc78902191"/>
      <w:bookmarkStart w:id="20" w:name="_Toc26518_WPSOffice_Level1"/>
      <w:r>
        <w:rPr>
          <w:rStyle w:val="34"/>
          <w:rFonts w:hint="eastAsia"/>
          <w:color w:val="auto"/>
          <w:highlight w:val="none"/>
        </w:rPr>
        <w:t>第一章 供应商须知</w:t>
      </w:r>
      <w:bookmarkEnd w:id="18"/>
      <w:bookmarkEnd w:id="19"/>
      <w:bookmarkEnd w:id="20"/>
    </w:p>
    <w:p>
      <w:pPr>
        <w:pStyle w:val="5"/>
        <w:rPr>
          <w:color w:val="auto"/>
          <w:highlight w:val="none"/>
        </w:rPr>
      </w:pPr>
      <w:bookmarkStart w:id="21" w:name="_Toc18613_WPSOffice_Level2"/>
      <w:r>
        <w:rPr>
          <w:rFonts w:hint="eastAsia"/>
          <w:color w:val="auto"/>
          <w:highlight w:val="none"/>
        </w:rPr>
        <w:t>一 供应商须知表</w:t>
      </w:r>
      <w:bookmarkEnd w:id="21"/>
    </w:p>
    <w:tbl>
      <w:tblPr>
        <w:tblStyle w:val="23"/>
        <w:tblW w:w="8656" w:type="dxa"/>
        <w:tblInd w:w="108" w:type="dxa"/>
        <w:tblLayout w:type="fixed"/>
        <w:tblCellMar>
          <w:top w:w="0" w:type="dxa"/>
          <w:left w:w="108" w:type="dxa"/>
          <w:bottom w:w="0" w:type="dxa"/>
          <w:right w:w="108" w:type="dxa"/>
        </w:tblCellMar>
      </w:tblPr>
      <w:tblGrid>
        <w:gridCol w:w="852"/>
        <w:gridCol w:w="1917"/>
        <w:gridCol w:w="5887"/>
      </w:tblGrid>
      <w:tr>
        <w:tblPrEx>
          <w:tblLayout w:type="fixed"/>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bookmarkStart w:id="22" w:name="sys_招标项目基本内容及要求其他：Block"/>
            <w:bookmarkEnd w:id="22"/>
            <w:bookmarkStart w:id="23" w:name="招标项目基本内容及要求其他：Block"/>
            <w:bookmarkEnd w:id="23"/>
            <w:bookmarkStart w:id="24" w:name="招标项目基本内容及要求：Block"/>
            <w:bookmarkEnd w:id="24"/>
            <w:bookmarkStart w:id="25" w:name="sys_招标项目基本内容及要求：Block"/>
            <w:bookmarkEnd w:id="25"/>
            <w:r>
              <w:rPr>
                <w:rFonts w:hint="eastAsia"/>
                <w:color w:val="auto"/>
                <w:highlight w:val="none"/>
              </w:rPr>
              <w:t>条款号</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项   目</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内     容</w:t>
            </w:r>
          </w:p>
        </w:tc>
      </w:tr>
      <w:tr>
        <w:tblPrEx>
          <w:tblLayout w:type="fixed"/>
          <w:tblCellMar>
            <w:top w:w="0" w:type="dxa"/>
            <w:left w:w="108" w:type="dxa"/>
            <w:bottom w:w="0" w:type="dxa"/>
            <w:right w:w="108" w:type="dxa"/>
          </w:tblCellMar>
        </w:tblPrEx>
        <w:trPr>
          <w:trHeight w:val="1252"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1.1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采购人</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color w:val="auto"/>
                <w:highlight w:val="none"/>
              </w:rPr>
            </w:pPr>
            <w:r>
              <w:rPr>
                <w:color w:val="auto"/>
                <w:highlight w:val="none"/>
              </w:rPr>
              <w:t>名  称：</w:t>
            </w:r>
            <w:r>
              <w:rPr>
                <w:rFonts w:hint="eastAsia"/>
                <w:color w:val="auto"/>
                <w:highlight w:val="none"/>
              </w:rPr>
              <w:t>国家税务总局黑龙江省税务局</w:t>
            </w:r>
          </w:p>
          <w:p>
            <w:pPr>
              <w:spacing w:line="300" w:lineRule="exact"/>
              <w:rPr>
                <w:color w:val="auto"/>
                <w:highlight w:val="none"/>
              </w:rPr>
            </w:pPr>
            <w:r>
              <w:rPr>
                <w:color w:val="auto"/>
                <w:highlight w:val="none"/>
              </w:rPr>
              <w:t>地  址：</w:t>
            </w:r>
            <w:r>
              <w:rPr>
                <w:rFonts w:hint="eastAsia"/>
                <w:color w:val="auto"/>
                <w:highlight w:val="none"/>
              </w:rPr>
              <w:t>哈尔滨市南岗区东大直街190号</w:t>
            </w:r>
          </w:p>
          <w:p>
            <w:pPr>
              <w:spacing w:line="300" w:lineRule="exact"/>
              <w:rPr>
                <w:color w:val="auto"/>
                <w:highlight w:val="none"/>
              </w:rPr>
            </w:pPr>
            <w:r>
              <w:rPr>
                <w:color w:val="auto"/>
                <w:highlight w:val="none"/>
              </w:rPr>
              <w:t>联系人：</w:t>
            </w:r>
            <w:r>
              <w:rPr>
                <w:rFonts w:hint="eastAsia"/>
                <w:color w:val="auto"/>
                <w:highlight w:val="none"/>
              </w:rPr>
              <w:t>赵先生</w:t>
            </w:r>
          </w:p>
          <w:p>
            <w:pPr>
              <w:spacing w:line="300" w:lineRule="exact"/>
              <w:rPr>
                <w:rFonts w:cs="宋体"/>
                <w:color w:val="auto"/>
                <w:kern w:val="0"/>
                <w:highlight w:val="none"/>
              </w:rPr>
            </w:pPr>
            <w:r>
              <w:rPr>
                <w:color w:val="auto"/>
                <w:highlight w:val="none"/>
              </w:rPr>
              <w:t>电  话：</w:t>
            </w:r>
            <w:r>
              <w:rPr>
                <w:rFonts w:hint="eastAsia"/>
                <w:color w:val="auto"/>
                <w:highlight w:val="none"/>
              </w:rPr>
              <w:t>0451-53611198</w:t>
            </w:r>
          </w:p>
        </w:tc>
      </w:tr>
      <w:tr>
        <w:tblPrEx>
          <w:tblLayout w:type="fixed"/>
          <w:tblCellMar>
            <w:top w:w="0" w:type="dxa"/>
            <w:left w:w="108" w:type="dxa"/>
            <w:bottom w:w="0" w:type="dxa"/>
            <w:right w:w="108" w:type="dxa"/>
          </w:tblCellMar>
        </w:tblPrEx>
        <w:trPr>
          <w:trHeight w:val="1252"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1.2</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采购代理机构</w:t>
            </w:r>
          </w:p>
        </w:tc>
        <w:tc>
          <w:tcPr>
            <w:tcW w:w="588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color w:val="auto"/>
                <w:kern w:val="0"/>
                <w:highlight w:val="none"/>
                <w:u w:val="single"/>
              </w:rPr>
            </w:pPr>
            <w:r>
              <w:rPr>
                <w:color w:val="auto"/>
                <w:kern w:val="0"/>
                <w:highlight w:val="none"/>
              </w:rPr>
              <w:t>名  称：</w:t>
            </w:r>
            <w:r>
              <w:rPr>
                <w:rFonts w:hint="eastAsia"/>
                <w:color w:val="auto"/>
                <w:kern w:val="0"/>
                <w:highlight w:val="none"/>
              </w:rPr>
              <w:t>黑龙江省招标有限公司</w:t>
            </w:r>
          </w:p>
          <w:p>
            <w:pPr>
              <w:widowControl/>
              <w:spacing w:line="300" w:lineRule="exact"/>
              <w:jc w:val="left"/>
              <w:rPr>
                <w:color w:val="auto"/>
                <w:kern w:val="0"/>
                <w:highlight w:val="none"/>
                <w:u w:val="single"/>
              </w:rPr>
            </w:pPr>
            <w:r>
              <w:rPr>
                <w:color w:val="auto"/>
                <w:kern w:val="0"/>
                <w:highlight w:val="none"/>
              </w:rPr>
              <w:t>地  址：</w:t>
            </w:r>
            <w:r>
              <w:rPr>
                <w:rFonts w:hint="eastAsia"/>
                <w:color w:val="auto"/>
                <w:kern w:val="0"/>
                <w:highlight w:val="none"/>
              </w:rPr>
              <w:t>黑龙江省哈尔滨市南岗区汉水路1</w:t>
            </w:r>
            <w:r>
              <w:rPr>
                <w:color w:val="auto"/>
                <w:kern w:val="0"/>
                <w:highlight w:val="none"/>
              </w:rPr>
              <w:t>80</w:t>
            </w:r>
            <w:r>
              <w:rPr>
                <w:rFonts w:hint="eastAsia"/>
                <w:color w:val="auto"/>
                <w:kern w:val="0"/>
                <w:highlight w:val="none"/>
              </w:rPr>
              <w:t>号</w:t>
            </w:r>
          </w:p>
          <w:p>
            <w:pPr>
              <w:widowControl/>
              <w:spacing w:line="300" w:lineRule="exact"/>
              <w:jc w:val="left"/>
              <w:rPr>
                <w:color w:val="auto"/>
                <w:kern w:val="0"/>
                <w:highlight w:val="none"/>
                <w:u w:val="single"/>
              </w:rPr>
            </w:pPr>
            <w:r>
              <w:rPr>
                <w:color w:val="auto"/>
                <w:kern w:val="0"/>
                <w:highlight w:val="none"/>
              </w:rPr>
              <w:t>联系人：</w:t>
            </w:r>
            <w:r>
              <w:rPr>
                <w:rFonts w:hint="eastAsia"/>
                <w:color w:val="auto"/>
                <w:kern w:val="0"/>
                <w:highlight w:val="none"/>
              </w:rPr>
              <w:t>韩宇奇、於佳</w:t>
            </w:r>
          </w:p>
          <w:p>
            <w:pPr>
              <w:widowControl/>
              <w:spacing w:line="300" w:lineRule="exact"/>
              <w:jc w:val="left"/>
              <w:rPr>
                <w:rFonts w:cs="宋体"/>
                <w:color w:val="auto"/>
                <w:kern w:val="0"/>
                <w:highlight w:val="none"/>
              </w:rPr>
            </w:pPr>
            <w:r>
              <w:rPr>
                <w:color w:val="auto"/>
                <w:kern w:val="0"/>
                <w:highlight w:val="none"/>
              </w:rPr>
              <w:t>电  话：</w:t>
            </w:r>
            <w:r>
              <w:rPr>
                <w:rFonts w:hint="eastAsia"/>
                <w:color w:val="auto"/>
                <w:kern w:val="0"/>
                <w:highlight w:val="none"/>
              </w:rPr>
              <w:t>0451-8236470</w:t>
            </w:r>
            <w:r>
              <w:rPr>
                <w:color w:val="auto"/>
                <w:kern w:val="0"/>
                <w:highlight w:val="none"/>
              </w:rPr>
              <w:t>3</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1.3.4</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合格供应商资格条件</w:t>
            </w:r>
          </w:p>
        </w:tc>
        <w:tc>
          <w:tcPr>
            <w:tcW w:w="588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cs="宋体"/>
                <w:color w:val="auto"/>
                <w:kern w:val="0"/>
                <w:highlight w:val="none"/>
              </w:rPr>
            </w:pPr>
            <w:r>
              <w:rPr>
                <w:rFonts w:hint="eastAsia" w:ascii="宋体" w:cs="宋体"/>
                <w:color w:val="auto"/>
                <w:kern w:val="0"/>
                <w:highlight w:val="none"/>
              </w:rPr>
              <w:t>详见招标公告</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1.4</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是否允许联合体投标</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color w:val="auto"/>
                <w:highlight w:val="none"/>
              </w:rPr>
            </w:pPr>
            <w:r>
              <w:rPr>
                <w:color w:val="auto"/>
                <w:highlight w:val="none"/>
              </w:rPr>
              <w:sym w:font="Wingdings 2" w:char="00A3"/>
            </w:r>
            <w:r>
              <w:rPr>
                <w:rFonts w:hint="eastAsia"/>
                <w:color w:val="auto"/>
                <w:highlight w:val="none"/>
              </w:rPr>
              <w:t>是</w:t>
            </w:r>
          </w:p>
          <w:p>
            <w:pPr>
              <w:spacing w:line="300" w:lineRule="exact"/>
              <w:rPr>
                <w:rFonts w:cs="宋体"/>
                <w:color w:val="auto"/>
                <w:kern w:val="0"/>
                <w:highlight w:val="none"/>
              </w:rPr>
            </w:pPr>
            <w:r>
              <w:rPr>
                <w:color w:val="auto"/>
                <w:highlight w:val="none"/>
              </w:rPr>
              <w:sym w:font="Wingdings 2" w:char="0052"/>
            </w:r>
            <w:r>
              <w:rPr>
                <w:rFonts w:hint="eastAsia"/>
                <w:color w:val="auto"/>
                <w:highlight w:val="none"/>
              </w:rPr>
              <w:t>否</w:t>
            </w:r>
          </w:p>
        </w:tc>
      </w:tr>
      <w:tr>
        <w:tblPrEx>
          <w:tblLayout w:type="fixed"/>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1.4.8</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联合体投标的其他资格要求</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cs="宋体"/>
                <w:color w:val="auto"/>
                <w:kern w:val="0"/>
                <w:highlight w:val="none"/>
              </w:rPr>
            </w:pPr>
            <w:r>
              <w:rPr>
                <w:rFonts w:hint="eastAsia" w:cs="宋体"/>
                <w:color w:val="auto"/>
                <w:kern w:val="0"/>
                <w:highlight w:val="none"/>
              </w:rPr>
              <w:t>无</w:t>
            </w:r>
          </w:p>
        </w:tc>
      </w:tr>
      <w:tr>
        <w:tblPrEx>
          <w:tblLayout w:type="fixed"/>
          <w:tblCellMar>
            <w:top w:w="0" w:type="dxa"/>
            <w:left w:w="108" w:type="dxa"/>
            <w:bottom w:w="0" w:type="dxa"/>
            <w:right w:w="108" w:type="dxa"/>
          </w:tblCellMar>
        </w:tblPrEx>
        <w:trPr>
          <w:trHeight w:val="1180"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2.2</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项目预算金额/最高限价</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cs="宋体"/>
                <w:color w:val="auto"/>
                <w:kern w:val="0"/>
                <w:highlight w:val="none"/>
              </w:rPr>
            </w:pPr>
            <w:r>
              <w:rPr>
                <w:rFonts w:hint="eastAsia" w:cs="宋体"/>
                <w:color w:val="auto"/>
                <w:kern w:val="0"/>
                <w:highlight w:val="none"/>
              </w:rPr>
              <w:t>第一包：371.94万元。</w:t>
            </w:r>
          </w:p>
          <w:p>
            <w:pPr>
              <w:spacing w:line="300" w:lineRule="exact"/>
              <w:rPr>
                <w:rFonts w:hint="eastAsia" w:cs="宋体"/>
                <w:color w:val="auto"/>
                <w:kern w:val="0"/>
                <w:highlight w:val="none"/>
                <w:lang w:val="en-US" w:eastAsia="zh-CN"/>
              </w:rPr>
            </w:pPr>
            <w:r>
              <w:rPr>
                <w:rFonts w:hint="eastAsia" w:cs="宋体"/>
                <w:color w:val="auto"/>
                <w:kern w:val="0"/>
                <w:highlight w:val="none"/>
                <w:lang w:val="en-US" w:eastAsia="zh-CN"/>
              </w:rPr>
              <w:t>第二包：60.78万元</w:t>
            </w:r>
          </w:p>
          <w:p>
            <w:pPr>
              <w:spacing w:line="300" w:lineRule="exact"/>
              <w:rPr>
                <w:rFonts w:hint="eastAsia" w:cs="宋体"/>
                <w:color w:val="auto"/>
                <w:kern w:val="0"/>
                <w:highlight w:val="none"/>
                <w:lang w:val="en-US" w:eastAsia="zh-CN"/>
              </w:rPr>
            </w:pPr>
            <w:r>
              <w:rPr>
                <w:rFonts w:hint="eastAsia" w:cs="宋体"/>
                <w:color w:val="auto"/>
                <w:kern w:val="0"/>
                <w:highlight w:val="none"/>
                <w:lang w:val="en-US" w:eastAsia="zh-CN"/>
              </w:rPr>
              <w:t>第三包：227.7万元</w:t>
            </w:r>
          </w:p>
          <w:p>
            <w:pPr>
              <w:spacing w:line="300" w:lineRule="exact"/>
              <w:rPr>
                <w:rFonts w:hint="default"/>
                <w:lang w:val="en-US" w:eastAsia="zh-CN"/>
              </w:rPr>
            </w:pPr>
            <w:r>
              <w:rPr>
                <w:rFonts w:hint="eastAsia" w:cs="宋体"/>
                <w:color w:val="auto"/>
                <w:kern w:val="0"/>
                <w:highlight w:val="none"/>
                <w:lang w:val="en-US" w:eastAsia="zh-CN"/>
              </w:rPr>
              <w:t>第四包：277.38万元</w:t>
            </w:r>
          </w:p>
        </w:tc>
      </w:tr>
      <w:tr>
        <w:tblPrEx>
          <w:tblLayout w:type="fixed"/>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4</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计量单位</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color w:val="auto"/>
                <w:highlight w:val="none"/>
              </w:rPr>
            </w:pPr>
            <w:r>
              <w:rPr>
                <w:color w:val="auto"/>
                <w:highlight w:val="none"/>
              </w:rPr>
              <w:sym w:font="Wingdings 2" w:char="0052"/>
            </w:r>
            <w:r>
              <w:rPr>
                <w:rFonts w:hint="eastAsia"/>
                <w:color w:val="auto"/>
                <w:highlight w:val="none"/>
              </w:rPr>
              <w:t>中华人民共和国法定计量单位</w:t>
            </w:r>
          </w:p>
          <w:p>
            <w:pPr>
              <w:spacing w:line="300" w:lineRule="exact"/>
              <w:rPr>
                <w:rFonts w:cs="宋体"/>
                <w:color w:val="auto"/>
                <w:kern w:val="0"/>
                <w:highlight w:val="none"/>
              </w:rPr>
            </w:pPr>
            <w:r>
              <w:rPr>
                <w:color w:val="auto"/>
                <w:highlight w:val="none"/>
              </w:rPr>
              <w:sym w:font="Wingdings 2" w:char="00A3"/>
            </w:r>
            <w:r>
              <w:rPr>
                <w:rFonts w:hint="eastAsia"/>
                <w:color w:val="auto"/>
                <w:highlight w:val="none"/>
              </w:rPr>
              <w:t>其他：</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5.1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现场考察、开标前答疑会</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color w:val="auto"/>
                <w:highlight w:val="none"/>
              </w:rPr>
            </w:pPr>
            <w:r>
              <w:rPr>
                <w:color w:val="auto"/>
                <w:highlight w:val="none"/>
              </w:rPr>
              <w:sym w:font="Wingdings 2" w:char="0052"/>
            </w:r>
            <w:r>
              <w:rPr>
                <w:rFonts w:hint="eastAsia"/>
                <w:color w:val="auto"/>
                <w:highlight w:val="none"/>
              </w:rPr>
              <w:t>不组织</w:t>
            </w:r>
          </w:p>
          <w:p>
            <w:pPr>
              <w:spacing w:line="300" w:lineRule="exact"/>
              <w:rPr>
                <w:color w:val="auto"/>
                <w:kern w:val="0"/>
                <w:highlight w:val="none"/>
              </w:rPr>
            </w:pPr>
            <w:r>
              <w:rPr>
                <w:color w:val="auto"/>
                <w:highlight w:val="none"/>
              </w:rPr>
              <w:sym w:font="Wingdings 2" w:char="00A3"/>
            </w:r>
            <w:r>
              <w:rPr>
                <w:rFonts w:hint="eastAsia"/>
                <w:color w:val="auto"/>
                <w:highlight w:val="none"/>
              </w:rPr>
              <w:t>组织，</w:t>
            </w:r>
            <w:r>
              <w:rPr>
                <w:color w:val="auto"/>
                <w:kern w:val="0"/>
                <w:highlight w:val="none"/>
              </w:rPr>
              <w:t>时  间：</w:t>
            </w:r>
          </w:p>
          <w:p>
            <w:pPr>
              <w:widowControl/>
              <w:spacing w:line="300" w:lineRule="exact"/>
              <w:ind w:left="-105" w:leftChars="-50" w:firstLine="949" w:firstLineChars="452"/>
              <w:rPr>
                <w:color w:val="auto"/>
                <w:kern w:val="0"/>
                <w:highlight w:val="none"/>
              </w:rPr>
            </w:pPr>
            <w:r>
              <w:rPr>
                <w:color w:val="auto"/>
                <w:kern w:val="0"/>
                <w:highlight w:val="none"/>
              </w:rPr>
              <w:t>地  点：</w:t>
            </w:r>
          </w:p>
          <w:p>
            <w:pPr>
              <w:spacing w:line="300" w:lineRule="exact"/>
              <w:ind w:left="-105" w:leftChars="-50" w:firstLine="949" w:firstLineChars="452"/>
              <w:rPr>
                <w:color w:val="auto"/>
                <w:kern w:val="0"/>
                <w:highlight w:val="none"/>
              </w:rPr>
            </w:pPr>
            <w:r>
              <w:rPr>
                <w:color w:val="auto"/>
                <w:kern w:val="0"/>
                <w:highlight w:val="none"/>
              </w:rPr>
              <w:t>联系人：</w:t>
            </w:r>
          </w:p>
          <w:p>
            <w:pPr>
              <w:spacing w:line="300" w:lineRule="exact"/>
              <w:ind w:firstLine="840" w:firstLineChars="400"/>
              <w:rPr>
                <w:color w:val="auto"/>
                <w:highlight w:val="none"/>
              </w:rPr>
            </w:pPr>
            <w:r>
              <w:rPr>
                <w:color w:val="auto"/>
                <w:kern w:val="0"/>
                <w:highlight w:val="none"/>
              </w:rPr>
              <w:t>电  话：</w:t>
            </w:r>
          </w:p>
          <w:p>
            <w:pPr>
              <w:spacing w:line="300" w:lineRule="exact"/>
              <w:rPr>
                <w:rFonts w:cs="宋体"/>
                <w:bCs/>
                <w:color w:val="auto"/>
                <w:kern w:val="0"/>
                <w:highlight w:val="none"/>
              </w:rPr>
            </w:pPr>
            <w:r>
              <w:rPr>
                <w:color w:val="auto"/>
                <w:highlight w:val="none"/>
              </w:rPr>
              <w:sym w:font="Wingdings 2" w:char="00A3"/>
            </w:r>
            <w:r>
              <w:rPr>
                <w:rFonts w:hint="eastAsia"/>
                <w:color w:val="auto"/>
                <w:highlight w:val="none"/>
              </w:rPr>
              <w:t>组织，招标文件提供期限截止后以书面形式通知。</w:t>
            </w:r>
          </w:p>
        </w:tc>
      </w:tr>
      <w:tr>
        <w:tblPrEx>
          <w:tblLayout w:type="fixed"/>
          <w:tblCellMar>
            <w:top w:w="0" w:type="dxa"/>
            <w:left w:w="108" w:type="dxa"/>
            <w:bottom w:w="0" w:type="dxa"/>
            <w:right w:w="108" w:type="dxa"/>
          </w:tblCellMar>
        </w:tblPrEx>
        <w:trPr>
          <w:trHeight w:val="864"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6.2.1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是否为专门面向中小企业采购</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color w:val="auto"/>
                <w:highlight w:val="none"/>
              </w:rPr>
            </w:pPr>
            <w:r>
              <w:rPr>
                <w:color w:val="auto"/>
                <w:highlight w:val="none"/>
              </w:rPr>
              <w:sym w:font="Wingdings 2" w:char="00A3"/>
            </w:r>
            <w:r>
              <w:rPr>
                <w:rFonts w:hint="eastAsia"/>
                <w:color w:val="auto"/>
                <w:highlight w:val="none"/>
              </w:rPr>
              <w:t>是</w:t>
            </w:r>
          </w:p>
          <w:p>
            <w:pPr>
              <w:spacing w:line="300" w:lineRule="exact"/>
              <w:rPr>
                <w:rFonts w:cs="宋体"/>
                <w:bCs/>
                <w:color w:val="auto"/>
                <w:kern w:val="0"/>
                <w:highlight w:val="none"/>
              </w:rPr>
            </w:pPr>
            <w:r>
              <w:rPr>
                <w:color w:val="auto"/>
                <w:highlight w:val="none"/>
              </w:rPr>
              <w:sym w:font="Wingdings 2" w:char="0052"/>
            </w:r>
            <w:r>
              <w:rPr>
                <w:rFonts w:hint="eastAsia"/>
                <w:color w:val="auto"/>
                <w:highlight w:val="none"/>
              </w:rPr>
              <w:t>否</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6.2.3</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标的所属行业</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default" w:eastAsia="宋体" w:cs="宋体"/>
                <w:color w:val="auto"/>
                <w:kern w:val="0"/>
                <w:highlight w:val="none"/>
                <w:lang w:val="en-US" w:eastAsia="zh-CN"/>
              </w:rPr>
            </w:pPr>
            <w:r>
              <w:rPr>
                <w:rFonts w:hint="eastAsia" w:ascii="宋体" w:cs="宋体"/>
                <w:bCs/>
                <w:kern w:val="0"/>
              </w:rPr>
              <w:t>软件和信息技术服务业</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color w:val="auto"/>
                <w:highlight w:val="none"/>
              </w:rPr>
              <w:t>11.3</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演示</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color w:val="auto"/>
                <w:highlight w:val="none"/>
              </w:rPr>
            </w:pPr>
            <w:r>
              <w:rPr>
                <w:color w:val="auto"/>
                <w:highlight w:val="none"/>
              </w:rPr>
              <w:sym w:font="Wingdings 2" w:char="0052"/>
            </w:r>
            <w:r>
              <w:rPr>
                <w:rFonts w:hint="eastAsia"/>
                <w:color w:val="auto"/>
                <w:highlight w:val="none"/>
              </w:rPr>
              <w:t>不需要提供演示</w:t>
            </w:r>
          </w:p>
          <w:p>
            <w:pPr>
              <w:spacing w:line="300" w:lineRule="exact"/>
              <w:rPr>
                <w:color w:val="auto"/>
                <w:highlight w:val="none"/>
              </w:rPr>
            </w:pPr>
            <w:r>
              <w:rPr>
                <w:color w:val="auto"/>
                <w:highlight w:val="none"/>
              </w:rPr>
              <w:sym w:font="Wingdings 2" w:char="00A3"/>
            </w:r>
            <w:r>
              <w:rPr>
                <w:rFonts w:hint="eastAsia"/>
                <w:color w:val="auto"/>
                <w:highlight w:val="none"/>
              </w:rPr>
              <w:t>需要提供演示</w:t>
            </w:r>
          </w:p>
          <w:p>
            <w:pPr>
              <w:spacing w:line="300" w:lineRule="exact"/>
              <w:rPr>
                <w:color w:val="auto"/>
                <w:highlight w:val="none"/>
              </w:rPr>
            </w:pPr>
            <w:r>
              <w:rPr>
                <w:rFonts w:hint="eastAsia"/>
                <w:color w:val="auto"/>
                <w:highlight w:val="none"/>
              </w:rPr>
              <w:t>1、演示时间：</w:t>
            </w:r>
          </w:p>
          <w:p>
            <w:pPr>
              <w:spacing w:line="300" w:lineRule="exact"/>
              <w:rPr>
                <w:color w:val="auto"/>
                <w:highlight w:val="none"/>
              </w:rPr>
            </w:pPr>
            <w:r>
              <w:rPr>
                <w:rFonts w:hint="eastAsia"/>
                <w:color w:val="auto"/>
                <w:highlight w:val="none"/>
              </w:rPr>
              <w:t xml:space="preserve">   演示地点：</w:t>
            </w:r>
          </w:p>
          <w:p>
            <w:pPr>
              <w:spacing w:line="300" w:lineRule="exact"/>
              <w:rPr>
                <w:color w:val="auto"/>
                <w:highlight w:val="none"/>
              </w:rPr>
            </w:pPr>
            <w:r>
              <w:rPr>
                <w:rFonts w:hint="eastAsia"/>
                <w:color w:val="auto"/>
                <w:highlight w:val="none"/>
              </w:rPr>
              <w:t xml:space="preserve">   演示顺序：</w:t>
            </w:r>
          </w:p>
          <w:p>
            <w:pPr>
              <w:spacing w:line="300" w:lineRule="exact"/>
              <w:rPr>
                <w:rFonts w:cs="宋体"/>
                <w:color w:val="auto"/>
                <w:kern w:val="0"/>
                <w:highlight w:val="none"/>
              </w:rPr>
            </w:pPr>
            <w:r>
              <w:rPr>
                <w:rFonts w:hint="eastAsia"/>
                <w:color w:val="auto"/>
                <w:highlight w:val="none"/>
              </w:rPr>
              <w:t>2、演示要求：（内容、设备等要求）</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12.1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投标报价货币要求</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color w:val="auto"/>
                <w:highlight w:val="none"/>
              </w:rPr>
            </w:pPr>
            <w:r>
              <w:rPr>
                <w:color w:val="auto"/>
                <w:highlight w:val="none"/>
              </w:rPr>
              <w:sym w:font="Wingdings 2" w:char="0052"/>
            </w:r>
            <w:r>
              <w:rPr>
                <w:rFonts w:hint="eastAsia"/>
                <w:color w:val="auto"/>
                <w:highlight w:val="none"/>
              </w:rPr>
              <w:t>所有投标均按</w:t>
            </w:r>
            <w:r>
              <w:rPr>
                <w:rFonts w:hint="eastAsia"/>
                <w:color w:val="auto"/>
                <w:highlight w:val="none"/>
                <w:u w:val="single"/>
              </w:rPr>
              <w:t>人民币</w:t>
            </w:r>
            <w:r>
              <w:rPr>
                <w:rFonts w:hint="eastAsia"/>
                <w:color w:val="auto"/>
                <w:highlight w:val="none"/>
              </w:rPr>
              <w:t>货币进行报价。</w:t>
            </w:r>
          </w:p>
          <w:p>
            <w:pPr>
              <w:spacing w:line="300" w:lineRule="exact"/>
              <w:rPr>
                <w:rFonts w:cs="宋体"/>
                <w:color w:val="auto"/>
                <w:kern w:val="0"/>
                <w:highlight w:val="none"/>
                <w:u w:val="single"/>
              </w:rPr>
            </w:pPr>
            <w:r>
              <w:rPr>
                <w:color w:val="auto"/>
                <w:highlight w:val="none"/>
              </w:rPr>
              <w:sym w:font="Wingdings 2" w:char="00A3"/>
            </w:r>
            <w:r>
              <w:rPr>
                <w:rFonts w:hint="eastAsia"/>
                <w:color w:val="auto"/>
                <w:highlight w:val="none"/>
              </w:rPr>
              <w:t>其它：</w:t>
            </w:r>
          </w:p>
        </w:tc>
      </w:tr>
      <w:tr>
        <w:tblPrEx>
          <w:tblLayout w:type="fixed"/>
          <w:tblCellMar>
            <w:top w:w="0" w:type="dxa"/>
            <w:left w:w="108" w:type="dxa"/>
            <w:bottom w:w="0" w:type="dxa"/>
            <w:right w:w="108" w:type="dxa"/>
          </w:tblCellMar>
        </w:tblPrEx>
        <w:trPr>
          <w:trHeight w:val="2786" w:hRule="atLeast"/>
        </w:trPr>
        <w:tc>
          <w:tcPr>
            <w:tcW w:w="852" w:type="dxa"/>
            <w:tcBorders>
              <w:top w:val="single" w:color="auto" w:sz="4" w:space="0"/>
              <w:left w:val="single" w:color="auto" w:sz="8" w:space="0"/>
              <w:bottom w:val="single" w:color="auto" w:sz="8" w:space="0"/>
              <w:right w:val="single" w:color="auto" w:sz="4" w:space="0"/>
            </w:tcBorders>
            <w:vAlign w:val="center"/>
          </w:tcPr>
          <w:p>
            <w:pPr>
              <w:spacing w:line="300" w:lineRule="exact"/>
              <w:jc w:val="center"/>
              <w:rPr>
                <w:color w:val="auto"/>
                <w:highlight w:val="none"/>
              </w:rPr>
            </w:pPr>
            <w:r>
              <w:rPr>
                <w:rFonts w:hint="eastAsia"/>
                <w:color w:val="auto"/>
                <w:highlight w:val="none"/>
              </w:rPr>
              <w:t>13.1</w:t>
            </w:r>
          </w:p>
        </w:tc>
        <w:tc>
          <w:tcPr>
            <w:tcW w:w="1917" w:type="dxa"/>
            <w:tcBorders>
              <w:top w:val="single" w:color="auto" w:sz="4" w:space="0"/>
              <w:left w:val="single" w:color="auto" w:sz="4" w:space="0"/>
              <w:bottom w:val="single" w:color="auto" w:sz="8" w:space="0"/>
              <w:right w:val="single" w:color="auto" w:sz="8" w:space="0"/>
            </w:tcBorders>
            <w:vAlign w:val="center"/>
          </w:tcPr>
          <w:p>
            <w:pPr>
              <w:spacing w:line="300" w:lineRule="exact"/>
              <w:jc w:val="center"/>
              <w:rPr>
                <w:color w:val="auto"/>
                <w:highlight w:val="none"/>
              </w:rPr>
            </w:pPr>
            <w:r>
              <w:rPr>
                <w:rFonts w:hint="eastAsia"/>
                <w:color w:val="auto"/>
                <w:highlight w:val="none"/>
              </w:rPr>
              <w:t>投标保证金</w:t>
            </w:r>
          </w:p>
        </w:tc>
        <w:tc>
          <w:tcPr>
            <w:tcW w:w="5887" w:type="dxa"/>
            <w:tcBorders>
              <w:top w:val="single" w:color="auto" w:sz="4" w:space="0"/>
              <w:left w:val="nil"/>
              <w:bottom w:val="single" w:color="auto" w:sz="8" w:space="0"/>
              <w:right w:val="single" w:color="auto" w:sz="8" w:space="0"/>
            </w:tcBorders>
            <w:vAlign w:val="center"/>
          </w:tcPr>
          <w:p>
            <w:pPr>
              <w:spacing w:line="300" w:lineRule="exact"/>
              <w:rPr>
                <w:rFonts w:hint="default" w:eastAsia="宋体" w:cs="宋体"/>
                <w:color w:val="auto"/>
                <w:highlight w:val="none"/>
                <w:lang w:val="en-US" w:eastAsia="zh-CN"/>
              </w:rPr>
            </w:pPr>
            <w:r>
              <w:rPr>
                <w:rFonts w:hint="eastAsia" w:cs="宋体"/>
                <w:color w:val="auto"/>
                <w:highlight w:val="none"/>
              </w:rPr>
              <w:t>1.投标保证金金额：</w:t>
            </w:r>
            <w:r>
              <w:rPr>
                <w:rFonts w:hint="eastAsia" w:cs="宋体"/>
                <w:color w:val="auto"/>
                <w:highlight w:val="none"/>
                <w:lang w:val="en-US" w:eastAsia="zh-CN"/>
              </w:rPr>
              <w:t>第一包：40000元，第二包10000元，第三包30000元，第四包30000元</w:t>
            </w:r>
          </w:p>
          <w:p>
            <w:pPr>
              <w:spacing w:line="300" w:lineRule="exact"/>
              <w:rPr>
                <w:rFonts w:cs="宋体"/>
                <w:color w:val="auto"/>
                <w:highlight w:val="none"/>
              </w:rPr>
            </w:pPr>
            <w:r>
              <w:rPr>
                <w:rFonts w:hint="eastAsia" w:cs="宋体"/>
                <w:color w:val="auto"/>
                <w:highlight w:val="none"/>
              </w:rPr>
              <w:t xml:space="preserve">2.投标保证金缴纳时间：同投标截止时间 </w:t>
            </w:r>
          </w:p>
          <w:p>
            <w:pPr>
              <w:spacing w:line="300" w:lineRule="exact"/>
              <w:rPr>
                <w:rFonts w:cs="宋体"/>
                <w:color w:val="auto"/>
                <w:highlight w:val="none"/>
              </w:rPr>
            </w:pPr>
            <w:r>
              <w:rPr>
                <w:rFonts w:hint="eastAsia" w:cs="宋体"/>
                <w:color w:val="auto"/>
                <w:highlight w:val="none"/>
              </w:rPr>
              <w:t>3.投标保证金缴纳方式：保函   支票  电汇 其他非现金形式</w:t>
            </w:r>
          </w:p>
          <w:p>
            <w:pPr>
              <w:spacing w:line="300" w:lineRule="exact"/>
              <w:rPr>
                <w:rFonts w:cs="宋体"/>
                <w:color w:val="auto"/>
                <w:highlight w:val="none"/>
              </w:rPr>
            </w:pPr>
            <w:r>
              <w:rPr>
                <w:rFonts w:hint="eastAsia" w:cs="宋体"/>
                <w:color w:val="auto"/>
                <w:highlight w:val="none"/>
              </w:rPr>
              <w:t>保证金收款人银行信息：</w:t>
            </w:r>
          </w:p>
          <w:p>
            <w:pPr>
              <w:spacing w:line="300" w:lineRule="exact"/>
              <w:rPr>
                <w:rFonts w:cs="宋体"/>
                <w:color w:val="auto"/>
                <w:highlight w:val="none"/>
              </w:rPr>
            </w:pPr>
            <w:r>
              <w:rPr>
                <w:rFonts w:hint="eastAsia" w:cs="宋体"/>
                <w:color w:val="auto"/>
                <w:highlight w:val="none"/>
              </w:rPr>
              <w:t>开户名称：黑龙江省招标有限公司</w:t>
            </w:r>
          </w:p>
          <w:p>
            <w:pPr>
              <w:spacing w:line="300" w:lineRule="exact"/>
              <w:rPr>
                <w:rFonts w:cs="宋体"/>
                <w:color w:val="auto"/>
                <w:highlight w:val="none"/>
              </w:rPr>
            </w:pPr>
            <w:r>
              <w:rPr>
                <w:rFonts w:hint="eastAsia" w:cs="宋体"/>
                <w:color w:val="auto"/>
                <w:highlight w:val="none"/>
              </w:rPr>
              <w:t>开户行：招商银行股份有限公司哈尔滨开发区支行</w:t>
            </w:r>
          </w:p>
          <w:p>
            <w:pPr>
              <w:spacing w:line="300" w:lineRule="exact"/>
              <w:rPr>
                <w:rFonts w:cs="宋体"/>
                <w:color w:val="auto"/>
                <w:highlight w:val="none"/>
              </w:rPr>
            </w:pPr>
            <w:r>
              <w:rPr>
                <w:rFonts w:hint="eastAsia" w:cs="宋体"/>
                <w:color w:val="auto"/>
                <w:highlight w:val="none"/>
              </w:rPr>
              <w:t>帐号： 451902390110302</w:t>
            </w:r>
          </w:p>
          <w:p>
            <w:pPr>
              <w:spacing w:line="300" w:lineRule="exact"/>
              <w:rPr>
                <w:rFonts w:cs="宋体"/>
                <w:color w:val="auto"/>
                <w:highlight w:val="none"/>
              </w:rPr>
            </w:pPr>
            <w:r>
              <w:rPr>
                <w:rFonts w:hint="eastAsia" w:cs="宋体"/>
                <w:color w:val="auto"/>
                <w:highlight w:val="none"/>
              </w:rPr>
              <w:t>4.保证金退还咨询电话：0451-82364703</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8" w:space="0"/>
              <w:bottom w:val="single" w:color="auto" w:sz="8" w:space="0"/>
              <w:right w:val="single" w:color="auto" w:sz="4" w:space="0"/>
            </w:tcBorders>
            <w:vAlign w:val="center"/>
          </w:tcPr>
          <w:p>
            <w:pPr>
              <w:spacing w:line="300" w:lineRule="exact"/>
              <w:jc w:val="center"/>
              <w:rPr>
                <w:color w:val="auto"/>
                <w:highlight w:val="none"/>
              </w:rPr>
            </w:pPr>
            <w:r>
              <w:rPr>
                <w:rFonts w:hint="eastAsia"/>
                <w:color w:val="auto"/>
                <w:highlight w:val="none"/>
              </w:rPr>
              <w:t>15.1</w:t>
            </w:r>
          </w:p>
        </w:tc>
        <w:tc>
          <w:tcPr>
            <w:tcW w:w="1917" w:type="dxa"/>
            <w:tcBorders>
              <w:top w:val="single" w:color="auto" w:sz="4" w:space="0"/>
              <w:left w:val="single" w:color="auto" w:sz="4" w:space="0"/>
              <w:bottom w:val="single" w:color="auto" w:sz="8" w:space="0"/>
              <w:right w:val="single" w:color="auto" w:sz="8" w:space="0"/>
            </w:tcBorders>
            <w:vAlign w:val="center"/>
          </w:tcPr>
          <w:p>
            <w:pPr>
              <w:spacing w:line="300" w:lineRule="exact"/>
              <w:jc w:val="center"/>
              <w:rPr>
                <w:color w:val="auto"/>
                <w:highlight w:val="none"/>
              </w:rPr>
            </w:pPr>
            <w:r>
              <w:rPr>
                <w:rFonts w:hint="eastAsia"/>
                <w:color w:val="auto"/>
                <w:highlight w:val="none"/>
              </w:rPr>
              <w:t>投标有效期</w:t>
            </w:r>
          </w:p>
        </w:tc>
        <w:tc>
          <w:tcPr>
            <w:tcW w:w="5887" w:type="dxa"/>
            <w:tcBorders>
              <w:top w:val="single" w:color="auto" w:sz="4" w:space="0"/>
              <w:left w:val="nil"/>
              <w:bottom w:val="single" w:color="auto" w:sz="8" w:space="0"/>
              <w:right w:val="single" w:color="auto" w:sz="8" w:space="0"/>
            </w:tcBorders>
            <w:vAlign w:val="center"/>
          </w:tcPr>
          <w:p>
            <w:pPr>
              <w:spacing w:line="300" w:lineRule="exact"/>
              <w:rPr>
                <w:rFonts w:cs="宋体"/>
                <w:color w:val="auto"/>
                <w:kern w:val="0"/>
                <w:highlight w:val="none"/>
              </w:rPr>
            </w:pPr>
            <w:r>
              <w:rPr>
                <w:rFonts w:hint="eastAsia"/>
                <w:color w:val="auto"/>
                <w:highlight w:val="none"/>
                <w:u w:val="single"/>
              </w:rPr>
              <w:t>180</w:t>
            </w:r>
            <w:r>
              <w:rPr>
                <w:rFonts w:hint="eastAsia"/>
                <w:color w:val="auto"/>
                <w:highlight w:val="none"/>
              </w:rPr>
              <w:t>日历日</w:t>
            </w:r>
          </w:p>
        </w:tc>
      </w:tr>
      <w:tr>
        <w:tblPrEx>
          <w:tblLayout w:type="fixed"/>
          <w:tblCellMar>
            <w:top w:w="0" w:type="dxa"/>
            <w:left w:w="108" w:type="dxa"/>
            <w:bottom w:w="0" w:type="dxa"/>
            <w:right w:w="108" w:type="dxa"/>
          </w:tblCellMar>
        </w:tblPrEx>
        <w:trPr>
          <w:trHeight w:val="641" w:hRule="atLeast"/>
        </w:trPr>
        <w:tc>
          <w:tcPr>
            <w:tcW w:w="852" w:type="dxa"/>
            <w:tcBorders>
              <w:top w:val="nil"/>
              <w:left w:val="single" w:color="auto" w:sz="8"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16.1</w:t>
            </w:r>
          </w:p>
        </w:tc>
        <w:tc>
          <w:tcPr>
            <w:tcW w:w="1917" w:type="dxa"/>
            <w:tcBorders>
              <w:top w:val="nil"/>
              <w:left w:val="single" w:color="auto" w:sz="4" w:space="0"/>
              <w:bottom w:val="single" w:color="auto" w:sz="4" w:space="0"/>
              <w:right w:val="single" w:color="auto" w:sz="8" w:space="0"/>
            </w:tcBorders>
            <w:vAlign w:val="center"/>
          </w:tcPr>
          <w:p>
            <w:pPr>
              <w:spacing w:line="300" w:lineRule="exact"/>
              <w:jc w:val="center"/>
              <w:rPr>
                <w:color w:val="auto"/>
                <w:highlight w:val="none"/>
              </w:rPr>
            </w:pPr>
            <w:r>
              <w:rPr>
                <w:rFonts w:hint="eastAsia"/>
                <w:color w:val="auto"/>
                <w:highlight w:val="none"/>
              </w:rPr>
              <w:t>投标文件及电子文档份数</w:t>
            </w:r>
          </w:p>
        </w:tc>
        <w:tc>
          <w:tcPr>
            <w:tcW w:w="5887" w:type="dxa"/>
            <w:tcBorders>
              <w:top w:val="nil"/>
              <w:left w:val="nil"/>
              <w:bottom w:val="single" w:color="auto" w:sz="4" w:space="0"/>
              <w:right w:val="single" w:color="auto" w:sz="8" w:space="0"/>
            </w:tcBorders>
            <w:vAlign w:val="center"/>
          </w:tcPr>
          <w:p>
            <w:pPr>
              <w:spacing w:line="300" w:lineRule="exact"/>
              <w:rPr>
                <w:color w:val="auto"/>
                <w:highlight w:val="none"/>
              </w:rPr>
            </w:pPr>
            <w:r>
              <w:rPr>
                <w:rFonts w:hint="eastAsia"/>
                <w:color w:val="auto"/>
                <w:highlight w:val="none"/>
              </w:rPr>
              <w:t>投标文件正本</w:t>
            </w:r>
            <w:r>
              <w:rPr>
                <w:rFonts w:hint="eastAsia"/>
                <w:color w:val="auto"/>
                <w:highlight w:val="none"/>
                <w:u w:val="single"/>
              </w:rPr>
              <w:t>1</w:t>
            </w:r>
            <w:r>
              <w:rPr>
                <w:rFonts w:hint="eastAsia"/>
                <w:color w:val="auto"/>
                <w:highlight w:val="none"/>
              </w:rPr>
              <w:t>份,副本</w:t>
            </w:r>
            <w:r>
              <w:rPr>
                <w:rFonts w:hint="eastAsia"/>
                <w:color w:val="auto"/>
                <w:highlight w:val="none"/>
                <w:u w:val="single"/>
              </w:rPr>
              <w:t>4</w:t>
            </w:r>
            <w:r>
              <w:rPr>
                <w:rFonts w:hint="eastAsia"/>
                <w:color w:val="auto"/>
                <w:highlight w:val="none"/>
              </w:rPr>
              <w:t>份；电子文档</w:t>
            </w:r>
            <w:r>
              <w:rPr>
                <w:rFonts w:hint="eastAsia"/>
                <w:color w:val="auto"/>
                <w:highlight w:val="none"/>
                <w:u w:val="single"/>
              </w:rPr>
              <w:t>1</w:t>
            </w:r>
            <w:r>
              <w:rPr>
                <w:rFonts w:hint="eastAsia"/>
                <w:color w:val="auto"/>
                <w:highlight w:val="none"/>
              </w:rPr>
              <w:t>份。</w:t>
            </w:r>
          </w:p>
        </w:tc>
      </w:tr>
      <w:tr>
        <w:tblPrEx>
          <w:tblLayout w:type="fixed"/>
          <w:tblCellMar>
            <w:top w:w="0" w:type="dxa"/>
            <w:left w:w="108" w:type="dxa"/>
            <w:bottom w:w="0" w:type="dxa"/>
            <w:right w:w="108" w:type="dxa"/>
          </w:tblCellMar>
        </w:tblPrEx>
        <w:trPr>
          <w:trHeight w:val="631" w:hRule="atLeast"/>
        </w:trPr>
        <w:tc>
          <w:tcPr>
            <w:tcW w:w="852" w:type="dxa"/>
            <w:tcBorders>
              <w:top w:val="nil"/>
              <w:left w:val="single" w:color="auto" w:sz="8"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18.1</w:t>
            </w:r>
          </w:p>
        </w:tc>
        <w:tc>
          <w:tcPr>
            <w:tcW w:w="1917" w:type="dxa"/>
            <w:tcBorders>
              <w:top w:val="nil"/>
              <w:left w:val="single" w:color="auto" w:sz="4" w:space="0"/>
              <w:bottom w:val="single" w:color="auto" w:sz="4" w:space="0"/>
              <w:right w:val="single" w:color="auto" w:sz="8" w:space="0"/>
            </w:tcBorders>
            <w:vAlign w:val="center"/>
          </w:tcPr>
          <w:p>
            <w:pPr>
              <w:spacing w:line="300" w:lineRule="exact"/>
              <w:jc w:val="center"/>
              <w:rPr>
                <w:color w:val="auto"/>
                <w:highlight w:val="none"/>
              </w:rPr>
            </w:pPr>
            <w:r>
              <w:rPr>
                <w:rFonts w:hint="eastAsia"/>
                <w:color w:val="auto"/>
                <w:highlight w:val="none"/>
              </w:rPr>
              <w:t>递交投标文件截止时间、地点</w:t>
            </w:r>
          </w:p>
        </w:tc>
        <w:tc>
          <w:tcPr>
            <w:tcW w:w="5887" w:type="dxa"/>
            <w:tcBorders>
              <w:top w:val="nil"/>
              <w:left w:val="nil"/>
              <w:bottom w:val="single" w:color="auto" w:sz="4" w:space="0"/>
              <w:right w:val="single" w:color="auto" w:sz="8" w:space="0"/>
            </w:tcBorders>
            <w:vAlign w:val="center"/>
          </w:tcPr>
          <w:p>
            <w:pPr>
              <w:spacing w:line="300" w:lineRule="exact"/>
              <w:rPr>
                <w:color w:val="auto"/>
                <w:highlight w:val="none"/>
              </w:rPr>
            </w:pPr>
            <w:r>
              <w:rPr>
                <w:rFonts w:hint="eastAsia"/>
                <w:color w:val="auto"/>
                <w:highlight w:val="none"/>
              </w:rPr>
              <w:t>详见招标公告，以招标公告规定时间、地点为准。</w:t>
            </w:r>
          </w:p>
        </w:tc>
      </w:tr>
      <w:tr>
        <w:tblPrEx>
          <w:tblLayout w:type="fixed"/>
          <w:tblCellMar>
            <w:top w:w="0" w:type="dxa"/>
            <w:left w:w="108" w:type="dxa"/>
            <w:bottom w:w="0" w:type="dxa"/>
            <w:right w:w="108" w:type="dxa"/>
          </w:tblCellMar>
        </w:tblPrEx>
        <w:trPr>
          <w:trHeight w:val="613" w:hRule="atLeast"/>
        </w:trPr>
        <w:tc>
          <w:tcPr>
            <w:tcW w:w="852" w:type="dxa"/>
            <w:tcBorders>
              <w:top w:val="nil"/>
              <w:left w:val="single" w:color="auto" w:sz="8"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20.1</w:t>
            </w:r>
          </w:p>
        </w:tc>
        <w:tc>
          <w:tcPr>
            <w:tcW w:w="1917" w:type="dxa"/>
            <w:tcBorders>
              <w:top w:val="nil"/>
              <w:left w:val="single" w:color="auto" w:sz="4" w:space="0"/>
              <w:bottom w:val="single" w:color="auto" w:sz="4" w:space="0"/>
              <w:right w:val="single" w:color="auto" w:sz="8" w:space="0"/>
            </w:tcBorders>
            <w:vAlign w:val="center"/>
          </w:tcPr>
          <w:p>
            <w:pPr>
              <w:spacing w:line="300" w:lineRule="exact"/>
              <w:jc w:val="center"/>
              <w:rPr>
                <w:color w:val="auto"/>
                <w:highlight w:val="none"/>
              </w:rPr>
            </w:pPr>
            <w:r>
              <w:rPr>
                <w:rFonts w:hint="eastAsia"/>
                <w:color w:val="auto"/>
                <w:highlight w:val="none"/>
              </w:rPr>
              <w:t>开标时间、地点</w:t>
            </w:r>
          </w:p>
        </w:tc>
        <w:tc>
          <w:tcPr>
            <w:tcW w:w="5887" w:type="dxa"/>
            <w:tcBorders>
              <w:top w:val="nil"/>
              <w:left w:val="nil"/>
              <w:bottom w:val="single" w:color="auto" w:sz="4" w:space="0"/>
              <w:right w:val="single" w:color="auto" w:sz="8" w:space="0"/>
            </w:tcBorders>
            <w:vAlign w:val="center"/>
          </w:tcPr>
          <w:p>
            <w:pPr>
              <w:spacing w:line="300" w:lineRule="exact"/>
              <w:rPr>
                <w:color w:val="auto"/>
                <w:highlight w:val="none"/>
              </w:rPr>
            </w:pPr>
            <w:r>
              <w:rPr>
                <w:rFonts w:hint="eastAsia"/>
                <w:color w:val="auto"/>
                <w:highlight w:val="none"/>
              </w:rPr>
              <w:t>详见招标公告，以招标公告规定时间、地点为准。</w:t>
            </w:r>
          </w:p>
        </w:tc>
      </w:tr>
      <w:tr>
        <w:tblPrEx>
          <w:tblLayout w:type="fixed"/>
          <w:tblCellMar>
            <w:top w:w="0" w:type="dxa"/>
            <w:left w:w="108" w:type="dxa"/>
            <w:bottom w:w="0" w:type="dxa"/>
            <w:right w:w="108" w:type="dxa"/>
          </w:tblCellMar>
        </w:tblPrEx>
        <w:trPr>
          <w:trHeight w:val="613" w:hRule="atLeast"/>
        </w:trPr>
        <w:tc>
          <w:tcPr>
            <w:tcW w:w="852" w:type="dxa"/>
            <w:tcBorders>
              <w:top w:val="nil"/>
              <w:left w:val="single" w:color="auto" w:sz="8"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21</w:t>
            </w:r>
          </w:p>
        </w:tc>
        <w:tc>
          <w:tcPr>
            <w:tcW w:w="1917" w:type="dxa"/>
            <w:tcBorders>
              <w:top w:val="nil"/>
              <w:left w:val="single" w:color="auto" w:sz="4" w:space="0"/>
              <w:bottom w:val="single" w:color="auto" w:sz="4" w:space="0"/>
              <w:right w:val="single" w:color="auto" w:sz="8" w:space="0"/>
            </w:tcBorders>
            <w:vAlign w:val="center"/>
          </w:tcPr>
          <w:p>
            <w:pPr>
              <w:spacing w:line="300" w:lineRule="exact"/>
              <w:jc w:val="center"/>
              <w:rPr>
                <w:color w:val="auto"/>
                <w:highlight w:val="none"/>
              </w:rPr>
            </w:pPr>
            <w:r>
              <w:rPr>
                <w:rFonts w:hint="eastAsia"/>
                <w:color w:val="auto"/>
                <w:highlight w:val="none"/>
              </w:rPr>
              <w:t>评标委员会组成</w:t>
            </w:r>
          </w:p>
        </w:tc>
        <w:tc>
          <w:tcPr>
            <w:tcW w:w="5887" w:type="dxa"/>
            <w:tcBorders>
              <w:top w:val="nil"/>
              <w:left w:val="nil"/>
              <w:bottom w:val="single" w:color="auto" w:sz="4" w:space="0"/>
              <w:right w:val="single" w:color="auto" w:sz="8" w:space="0"/>
            </w:tcBorders>
            <w:vAlign w:val="center"/>
          </w:tcPr>
          <w:p>
            <w:pPr>
              <w:spacing w:line="300" w:lineRule="exact"/>
              <w:rPr>
                <w:color w:val="auto"/>
                <w:highlight w:val="none"/>
              </w:rPr>
            </w:pPr>
            <w:r>
              <w:rPr>
                <w:rFonts w:hint="eastAsia"/>
                <w:color w:val="auto"/>
                <w:highlight w:val="none"/>
              </w:rPr>
              <w:t>评标委员会由采购人代表</w:t>
            </w:r>
            <w:r>
              <w:rPr>
                <w:rFonts w:hint="eastAsia"/>
                <w:color w:val="auto"/>
                <w:highlight w:val="none"/>
                <w:u w:val="single"/>
                <w:lang w:val="en-US" w:eastAsia="zh-CN"/>
              </w:rPr>
              <w:t>0-2</w:t>
            </w:r>
            <w:r>
              <w:rPr>
                <w:rFonts w:hint="eastAsia"/>
                <w:color w:val="auto"/>
                <w:highlight w:val="none"/>
              </w:rPr>
              <w:t>人，评审专家</w:t>
            </w:r>
            <w:r>
              <w:rPr>
                <w:rFonts w:hint="eastAsia"/>
                <w:color w:val="auto"/>
                <w:highlight w:val="none"/>
                <w:u w:val="single"/>
                <w:lang w:val="en-US" w:eastAsia="zh-CN"/>
              </w:rPr>
              <w:t>5-7</w:t>
            </w:r>
            <w:r>
              <w:rPr>
                <w:rFonts w:hint="eastAsia"/>
                <w:color w:val="auto"/>
                <w:highlight w:val="none"/>
              </w:rPr>
              <w:t>人组成，共</w:t>
            </w:r>
            <w:r>
              <w:rPr>
                <w:rFonts w:hint="eastAsia"/>
                <w:color w:val="auto"/>
                <w:highlight w:val="none"/>
                <w:u w:val="single"/>
                <w:lang w:val="en-US" w:eastAsia="zh-CN"/>
              </w:rPr>
              <w:t>7</w:t>
            </w:r>
            <w:r>
              <w:rPr>
                <w:rFonts w:hint="eastAsia"/>
                <w:color w:val="auto"/>
                <w:highlight w:val="none"/>
              </w:rPr>
              <w:t xml:space="preserve">人。 </w:t>
            </w:r>
          </w:p>
        </w:tc>
      </w:tr>
      <w:tr>
        <w:tblPrEx>
          <w:tblLayout w:type="fixed"/>
          <w:tblCellMar>
            <w:top w:w="0" w:type="dxa"/>
            <w:left w:w="108" w:type="dxa"/>
            <w:bottom w:w="0" w:type="dxa"/>
            <w:right w:w="108" w:type="dxa"/>
          </w:tblCellMar>
        </w:tblPrEx>
        <w:trPr>
          <w:trHeight w:val="1214"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25.1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演示的评审方法及评审标准</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color w:val="auto"/>
                <w:highlight w:val="none"/>
              </w:rPr>
            </w:pPr>
            <w:r>
              <w:rPr>
                <w:rFonts w:hint="eastAsia"/>
                <w:color w:val="auto"/>
                <w:highlight w:val="none"/>
              </w:rPr>
              <w:t>/</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27.2</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评标办法</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color w:val="auto"/>
                <w:highlight w:val="none"/>
              </w:rPr>
            </w:pPr>
            <w:r>
              <w:rPr>
                <w:color w:val="auto"/>
                <w:highlight w:val="none"/>
              </w:rPr>
              <w:sym w:font="Wingdings 2" w:char="0052"/>
            </w:r>
            <w:r>
              <w:rPr>
                <w:rFonts w:hint="eastAsia"/>
                <w:color w:val="auto"/>
                <w:highlight w:val="none"/>
              </w:rPr>
              <w:t>综合评分法</w:t>
            </w:r>
          </w:p>
          <w:p>
            <w:pPr>
              <w:spacing w:line="300" w:lineRule="exact"/>
              <w:rPr>
                <w:rFonts w:cs="宋体"/>
                <w:color w:val="auto"/>
                <w:highlight w:val="none"/>
              </w:rPr>
            </w:pPr>
            <w:r>
              <w:rPr>
                <w:color w:val="auto"/>
                <w:highlight w:val="none"/>
              </w:rPr>
              <w:sym w:font="Wingdings 2" w:char="00A3"/>
            </w:r>
            <w:r>
              <w:rPr>
                <w:rFonts w:hint="eastAsia"/>
                <w:color w:val="auto"/>
                <w:highlight w:val="none"/>
              </w:rPr>
              <w:t>最低评标价法</w:t>
            </w:r>
          </w:p>
        </w:tc>
      </w:tr>
      <w:tr>
        <w:tblPrEx>
          <w:tblLayout w:type="fixed"/>
          <w:tblCellMar>
            <w:top w:w="0" w:type="dxa"/>
            <w:left w:w="108" w:type="dxa"/>
            <w:bottom w:w="0" w:type="dxa"/>
            <w:right w:w="108" w:type="dxa"/>
          </w:tblCellMar>
        </w:tblPrEx>
        <w:trPr>
          <w:trHeight w:val="1067"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27.3</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报价扣除</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color w:val="auto"/>
                <w:highlight w:val="none"/>
              </w:rPr>
            </w:pPr>
            <w:r>
              <w:rPr>
                <w:rFonts w:hint="eastAsia"/>
                <w:color w:val="auto"/>
                <w:highlight w:val="none"/>
              </w:rPr>
              <w:t>（1）小型和微型企业价格扣除：</w:t>
            </w:r>
            <w:r>
              <w:rPr>
                <w:rFonts w:hint="eastAsia"/>
                <w:color w:val="auto"/>
                <w:highlight w:val="none"/>
                <w:u w:val="single"/>
              </w:rPr>
              <w:t>15</w:t>
            </w:r>
            <w:r>
              <w:rPr>
                <w:rFonts w:hint="eastAsia"/>
                <w:color w:val="auto"/>
                <w:highlight w:val="none"/>
              </w:rPr>
              <w:t>%。</w:t>
            </w:r>
          </w:p>
          <w:p>
            <w:pPr>
              <w:spacing w:line="300" w:lineRule="exact"/>
              <w:jc w:val="left"/>
              <w:rPr>
                <w:color w:val="auto"/>
                <w:highlight w:val="none"/>
              </w:rPr>
            </w:pPr>
            <w:r>
              <w:rPr>
                <w:rFonts w:hint="eastAsia"/>
                <w:color w:val="auto"/>
                <w:highlight w:val="none"/>
              </w:rPr>
              <w:t>（2）监狱企业价格扣除：同小型和微型企业。</w:t>
            </w:r>
          </w:p>
          <w:p>
            <w:pPr>
              <w:spacing w:line="300" w:lineRule="exact"/>
              <w:jc w:val="left"/>
              <w:rPr>
                <w:rFonts w:hint="eastAsia" w:eastAsia="宋体"/>
                <w:color w:val="auto"/>
                <w:highlight w:val="none"/>
                <w:lang w:eastAsia="zh-CN"/>
              </w:rPr>
            </w:pPr>
            <w:r>
              <w:rPr>
                <w:rFonts w:hint="eastAsia"/>
                <w:color w:val="auto"/>
                <w:highlight w:val="none"/>
              </w:rPr>
              <w:t>（3）残疾人福利性单位价格扣除：同小型和微型企业。</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29.2</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推荐中标候选人的数量</w:t>
            </w:r>
          </w:p>
        </w:tc>
        <w:tc>
          <w:tcPr>
            <w:tcW w:w="588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rPr>
                <w:rFonts w:cs="宋体"/>
                <w:color w:val="auto"/>
                <w:kern w:val="0"/>
                <w:highlight w:val="none"/>
              </w:rPr>
            </w:pPr>
            <w:r>
              <w:rPr>
                <w:rFonts w:hint="eastAsia" w:cs="宋体"/>
                <w:color w:val="auto"/>
                <w:kern w:val="0"/>
                <w:highlight w:val="none"/>
              </w:rPr>
              <w:t>不低于3名</w:t>
            </w:r>
          </w:p>
        </w:tc>
      </w:tr>
      <w:tr>
        <w:tblPrEx>
          <w:tblLayout w:type="fixed"/>
          <w:tblCellMar>
            <w:top w:w="0" w:type="dxa"/>
            <w:left w:w="108" w:type="dxa"/>
            <w:bottom w:w="0" w:type="dxa"/>
            <w:right w:w="108" w:type="dxa"/>
          </w:tblCellMar>
        </w:tblPrEx>
        <w:trPr>
          <w:trHeight w:val="942"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31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确定中标人的方式</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color w:val="auto"/>
                <w:highlight w:val="none"/>
                <w:u w:val="single"/>
              </w:rPr>
            </w:pPr>
            <w:r>
              <w:rPr>
                <w:rFonts w:hint="eastAsia"/>
                <w:color w:val="auto"/>
                <w:highlight w:val="none"/>
              </w:rPr>
              <w:t>中标人数量：每包1名</w:t>
            </w:r>
          </w:p>
          <w:p>
            <w:pPr>
              <w:spacing w:line="300" w:lineRule="exact"/>
              <w:rPr>
                <w:color w:val="auto"/>
                <w:highlight w:val="none"/>
              </w:rPr>
            </w:pPr>
            <w:r>
              <w:rPr>
                <w:color w:val="auto"/>
                <w:highlight w:val="none"/>
              </w:rPr>
              <w:sym w:font="Wingdings 2" w:char="0052"/>
            </w:r>
            <w:r>
              <w:rPr>
                <w:rFonts w:hint="eastAsia"/>
                <w:color w:val="auto"/>
                <w:highlight w:val="none"/>
              </w:rPr>
              <w:t>采购人委托评标委员会直接确认中标人</w:t>
            </w:r>
          </w:p>
          <w:p>
            <w:pPr>
              <w:spacing w:line="300" w:lineRule="exact"/>
              <w:rPr>
                <w:color w:val="auto"/>
                <w:highlight w:val="none"/>
              </w:rPr>
            </w:pPr>
            <w:r>
              <w:rPr>
                <w:color w:val="auto"/>
                <w:highlight w:val="none"/>
              </w:rPr>
              <w:sym w:font="Wingdings 2" w:char="00A3"/>
            </w:r>
            <w:r>
              <w:rPr>
                <w:rFonts w:hint="eastAsia"/>
                <w:color w:val="auto"/>
                <w:highlight w:val="none"/>
              </w:rPr>
              <w:t>采购人确认中标人</w:t>
            </w:r>
          </w:p>
        </w:tc>
      </w:tr>
      <w:tr>
        <w:tblPrEx>
          <w:tblLayout w:type="fixed"/>
          <w:tblCellMar>
            <w:top w:w="0" w:type="dxa"/>
            <w:left w:w="108" w:type="dxa"/>
            <w:bottom w:w="0" w:type="dxa"/>
            <w:right w:w="108" w:type="dxa"/>
          </w:tblCellMar>
        </w:tblPrEx>
        <w:trPr>
          <w:trHeight w:val="416"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35.1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履约保证金</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color w:val="auto"/>
                <w:highlight w:val="none"/>
              </w:rPr>
            </w:pPr>
            <w:r>
              <w:rPr>
                <w:color w:val="auto"/>
                <w:highlight w:val="none"/>
              </w:rPr>
              <w:sym w:font="Wingdings 2" w:char="0052"/>
            </w:r>
            <w:r>
              <w:rPr>
                <w:rFonts w:hint="eastAsia"/>
                <w:color w:val="auto"/>
                <w:highlight w:val="none"/>
              </w:rPr>
              <w:t>本项目不收取履约保证金</w:t>
            </w:r>
          </w:p>
          <w:p>
            <w:pPr>
              <w:spacing w:line="300" w:lineRule="exact"/>
              <w:rPr>
                <w:color w:val="auto"/>
                <w:highlight w:val="none"/>
              </w:rPr>
            </w:pPr>
            <w:r>
              <w:rPr>
                <w:color w:val="auto"/>
                <w:highlight w:val="none"/>
              </w:rPr>
              <w:sym w:font="Wingdings 2" w:char="00A3"/>
            </w:r>
            <w:r>
              <w:rPr>
                <w:rFonts w:hint="eastAsia"/>
                <w:color w:val="auto"/>
                <w:highlight w:val="none"/>
              </w:rPr>
              <w:t>本项目收取履约保证金</w:t>
            </w:r>
          </w:p>
          <w:p>
            <w:pPr>
              <w:spacing w:line="300" w:lineRule="exact"/>
              <w:rPr>
                <w:color w:val="auto"/>
                <w:highlight w:val="none"/>
              </w:rPr>
            </w:pPr>
            <w:r>
              <w:rPr>
                <w:rFonts w:hint="eastAsia"/>
                <w:color w:val="auto"/>
                <w:highlight w:val="none"/>
              </w:rPr>
              <w:t>履约保证金金额：</w:t>
            </w:r>
          </w:p>
          <w:p>
            <w:pPr>
              <w:spacing w:line="300" w:lineRule="exact"/>
              <w:rPr>
                <w:color w:val="auto"/>
                <w:highlight w:val="none"/>
              </w:rPr>
            </w:pPr>
            <w:r>
              <w:rPr>
                <w:rFonts w:hint="eastAsia"/>
                <w:color w:val="auto"/>
                <w:highlight w:val="none"/>
              </w:rPr>
              <w:t xml:space="preserve">履约保证金递交时间： </w:t>
            </w:r>
          </w:p>
          <w:p>
            <w:pPr>
              <w:spacing w:line="300" w:lineRule="exact"/>
              <w:rPr>
                <w:color w:val="auto"/>
                <w:highlight w:val="none"/>
              </w:rPr>
            </w:pPr>
            <w:r>
              <w:rPr>
                <w:rFonts w:hint="eastAsia"/>
                <w:color w:val="auto"/>
                <w:highlight w:val="none"/>
              </w:rPr>
              <w:t>履约保证金递交方式：□保函   □支票  □电汇 □其他非现金形式</w:t>
            </w:r>
          </w:p>
          <w:p>
            <w:pPr>
              <w:spacing w:line="300" w:lineRule="exact"/>
              <w:rPr>
                <w:color w:val="auto"/>
                <w:highlight w:val="none"/>
              </w:rPr>
            </w:pPr>
            <w:r>
              <w:rPr>
                <w:rFonts w:hint="eastAsia"/>
                <w:color w:val="auto"/>
                <w:highlight w:val="none"/>
              </w:rPr>
              <w:t>账户信息：</w:t>
            </w:r>
          </w:p>
          <w:p>
            <w:pPr>
              <w:spacing w:line="300" w:lineRule="exact"/>
              <w:rPr>
                <w:color w:val="auto"/>
                <w:highlight w:val="none"/>
              </w:rPr>
            </w:pPr>
            <w:r>
              <w:rPr>
                <w:rFonts w:hint="eastAsia"/>
                <w:color w:val="auto"/>
                <w:highlight w:val="none"/>
              </w:rPr>
              <w:t xml:space="preserve">开 户 名： </w:t>
            </w:r>
          </w:p>
          <w:p>
            <w:pPr>
              <w:spacing w:line="300" w:lineRule="exact"/>
              <w:rPr>
                <w:color w:val="auto"/>
                <w:highlight w:val="none"/>
              </w:rPr>
            </w:pPr>
            <w:r>
              <w:rPr>
                <w:rFonts w:hint="eastAsia"/>
                <w:color w:val="auto"/>
                <w:highlight w:val="none"/>
              </w:rPr>
              <w:t xml:space="preserve">开 户 行： </w:t>
            </w:r>
          </w:p>
          <w:p>
            <w:pPr>
              <w:spacing w:line="300" w:lineRule="exact"/>
              <w:rPr>
                <w:color w:val="auto"/>
                <w:highlight w:val="none"/>
              </w:rPr>
            </w:pPr>
            <w:r>
              <w:rPr>
                <w:rFonts w:hint="eastAsia"/>
                <w:color w:val="auto"/>
                <w:highlight w:val="none"/>
              </w:rPr>
              <w:t xml:space="preserve">账    号： </w:t>
            </w:r>
          </w:p>
          <w:p>
            <w:pPr>
              <w:spacing w:line="300" w:lineRule="exact"/>
              <w:rPr>
                <w:color w:val="auto"/>
                <w:highlight w:val="none"/>
              </w:rPr>
            </w:pPr>
            <w:r>
              <w:rPr>
                <w:rFonts w:hint="eastAsia"/>
                <w:color w:val="auto"/>
                <w:highlight w:val="none"/>
              </w:rPr>
              <w:t>履约保证金退还时间及规定：</w:t>
            </w:r>
          </w:p>
        </w:tc>
      </w:tr>
      <w:tr>
        <w:tblPrEx>
          <w:tblLayout w:type="fixed"/>
          <w:tblCellMar>
            <w:top w:w="0" w:type="dxa"/>
            <w:left w:w="108" w:type="dxa"/>
            <w:bottom w:w="0" w:type="dxa"/>
            <w:right w:w="108" w:type="dxa"/>
          </w:tblCellMar>
        </w:tblPrEx>
        <w:trPr>
          <w:trHeight w:val="1252" w:hRule="atLeast"/>
        </w:trPr>
        <w:tc>
          <w:tcPr>
            <w:tcW w:w="852" w:type="dxa"/>
            <w:tcBorders>
              <w:top w:val="nil"/>
              <w:left w:val="single" w:color="auto" w:sz="8" w:space="0"/>
              <w:bottom w:val="single" w:color="auto" w:sz="8" w:space="0"/>
              <w:right w:val="single" w:color="auto" w:sz="4" w:space="0"/>
            </w:tcBorders>
            <w:vAlign w:val="center"/>
          </w:tcPr>
          <w:p>
            <w:pPr>
              <w:spacing w:line="300" w:lineRule="exact"/>
              <w:jc w:val="center"/>
              <w:rPr>
                <w:color w:val="auto"/>
                <w:highlight w:val="none"/>
              </w:rPr>
            </w:pPr>
            <w:r>
              <w:rPr>
                <w:rFonts w:hint="eastAsia"/>
                <w:color w:val="auto"/>
                <w:highlight w:val="none"/>
              </w:rPr>
              <w:t>36</w:t>
            </w:r>
          </w:p>
        </w:tc>
        <w:tc>
          <w:tcPr>
            <w:tcW w:w="1917" w:type="dxa"/>
            <w:tcBorders>
              <w:top w:val="nil"/>
              <w:left w:val="single" w:color="auto" w:sz="4" w:space="0"/>
              <w:bottom w:val="single" w:color="auto" w:sz="8" w:space="0"/>
              <w:right w:val="single" w:color="auto" w:sz="8" w:space="0"/>
            </w:tcBorders>
            <w:vAlign w:val="center"/>
          </w:tcPr>
          <w:p>
            <w:pPr>
              <w:spacing w:line="300" w:lineRule="exact"/>
              <w:jc w:val="center"/>
              <w:rPr>
                <w:color w:val="auto"/>
                <w:highlight w:val="none"/>
              </w:rPr>
            </w:pPr>
            <w:r>
              <w:rPr>
                <w:rFonts w:hint="eastAsia"/>
                <w:color w:val="auto"/>
                <w:highlight w:val="none"/>
              </w:rPr>
              <w:t>招标代理服务费</w:t>
            </w:r>
          </w:p>
        </w:tc>
        <w:tc>
          <w:tcPr>
            <w:tcW w:w="5887" w:type="dxa"/>
            <w:tcBorders>
              <w:top w:val="nil"/>
              <w:left w:val="nil"/>
              <w:bottom w:val="single" w:color="auto" w:sz="8" w:space="0"/>
              <w:right w:val="single" w:color="auto" w:sz="8" w:space="0"/>
            </w:tcBorders>
            <w:vAlign w:val="center"/>
          </w:tcPr>
          <w:p>
            <w:pPr>
              <w:spacing w:line="300" w:lineRule="exact"/>
              <w:rPr>
                <w:color w:val="auto"/>
                <w:highlight w:val="none"/>
              </w:rPr>
            </w:pPr>
            <w:r>
              <w:rPr>
                <w:color w:val="auto"/>
                <w:highlight w:val="none"/>
              </w:rPr>
              <w:sym w:font="Wingdings 2" w:char="00A3"/>
            </w:r>
            <w:r>
              <w:rPr>
                <w:rFonts w:hint="eastAsia"/>
                <w:color w:val="auto"/>
                <w:highlight w:val="none"/>
              </w:rPr>
              <w:t>本项目不收取采购代理服务费</w:t>
            </w:r>
          </w:p>
          <w:p>
            <w:pPr>
              <w:spacing w:line="300" w:lineRule="exact"/>
              <w:rPr>
                <w:color w:val="auto"/>
                <w:highlight w:val="none"/>
              </w:rPr>
            </w:pPr>
            <w:r>
              <w:rPr>
                <w:color w:val="auto"/>
                <w:highlight w:val="none"/>
              </w:rPr>
              <w:sym w:font="Wingdings 2" w:char="0052"/>
            </w:r>
            <w:r>
              <w:rPr>
                <w:rFonts w:hint="eastAsia"/>
                <w:color w:val="auto"/>
                <w:highlight w:val="none"/>
              </w:rPr>
              <w:t>本项目收取采购代理服务费</w:t>
            </w:r>
          </w:p>
          <w:p>
            <w:pPr>
              <w:spacing w:line="300" w:lineRule="exact"/>
              <w:rPr>
                <w:color w:val="auto"/>
                <w:highlight w:val="none"/>
              </w:rPr>
            </w:pPr>
            <w:r>
              <w:rPr>
                <w:rFonts w:hint="eastAsia"/>
                <w:color w:val="auto"/>
                <w:highlight w:val="none"/>
              </w:rPr>
              <w:t>中标人与采购人签订合同后，代理机构向每包中标人按下列标准收取采购代理服务费。</w:t>
            </w:r>
          </w:p>
          <w:p>
            <w:pPr>
              <w:spacing w:line="300" w:lineRule="exact"/>
              <w:rPr>
                <w:color w:val="auto"/>
                <w:highlight w:val="none"/>
              </w:rPr>
            </w:pPr>
            <w:r>
              <w:rPr>
                <w:rFonts w:hint="eastAsia"/>
                <w:color w:val="auto"/>
                <w:highlight w:val="none"/>
              </w:rPr>
              <w:t>（1）以《中标通知书》中确定的</w:t>
            </w:r>
            <w:r>
              <w:rPr>
                <w:rFonts w:hint="eastAsia"/>
                <w:color w:val="auto"/>
                <w:highlight w:val="none"/>
                <w:lang w:val="en-US" w:eastAsia="zh-CN"/>
              </w:rPr>
              <w:t>总</w:t>
            </w:r>
            <w:r>
              <w:rPr>
                <w:rFonts w:hint="eastAsia"/>
                <w:color w:val="auto"/>
                <w:highlight w:val="none"/>
              </w:rPr>
              <w:t>中标</w:t>
            </w:r>
            <w:r>
              <w:rPr>
                <w:rFonts w:hint="eastAsia"/>
                <w:color w:val="auto"/>
                <w:highlight w:val="none"/>
                <w:lang w:val="en-US" w:eastAsia="zh-CN"/>
              </w:rPr>
              <w:t>金额</w:t>
            </w:r>
            <w:r>
              <w:rPr>
                <w:rFonts w:hint="eastAsia"/>
                <w:color w:val="auto"/>
                <w:highlight w:val="none"/>
              </w:rPr>
              <w:t>为收费的计算基数：</w:t>
            </w:r>
          </w:p>
          <w:p>
            <w:pPr>
              <w:spacing w:line="300" w:lineRule="exact"/>
              <w:rPr>
                <w:color w:val="auto"/>
                <w:highlight w:val="none"/>
              </w:rPr>
            </w:pPr>
            <w:r>
              <w:rPr>
                <w:rFonts w:hint="eastAsia"/>
                <w:color w:val="auto"/>
                <w:highlight w:val="none"/>
              </w:rPr>
              <w:t>（2）分段收取采购代理服务费即各中标金额区间乘相应费率后之和为采购代理服务费。</w:t>
            </w:r>
          </w:p>
          <w:p>
            <w:pPr>
              <w:spacing w:line="300" w:lineRule="exact"/>
              <w:rPr>
                <w:rFonts w:hint="eastAsia"/>
                <w:color w:val="auto"/>
                <w:highlight w:val="none"/>
              </w:rPr>
            </w:pPr>
            <w:r>
              <w:rPr>
                <w:rFonts w:hint="eastAsia"/>
                <w:color w:val="auto"/>
                <w:highlight w:val="none"/>
              </w:rPr>
              <w:t>100万元人民币以下（含 100万元）按1.5%费率收取；</w:t>
            </w:r>
          </w:p>
          <w:p>
            <w:pPr>
              <w:spacing w:line="300" w:lineRule="exact"/>
              <w:rPr>
                <w:rFonts w:hint="eastAsia"/>
                <w:color w:val="auto"/>
                <w:highlight w:val="none"/>
              </w:rPr>
            </w:pPr>
            <w:r>
              <w:rPr>
                <w:rFonts w:hint="eastAsia"/>
                <w:color w:val="auto"/>
                <w:highlight w:val="none"/>
              </w:rPr>
              <w:t>100~500万元人民币（含 500万元）按</w:t>
            </w:r>
            <w:r>
              <w:rPr>
                <w:rFonts w:hint="eastAsia"/>
                <w:color w:val="auto"/>
                <w:highlight w:val="none"/>
                <w:lang w:val="en-US" w:eastAsia="zh-CN"/>
              </w:rPr>
              <w:t>0.8</w:t>
            </w:r>
            <w:r>
              <w:rPr>
                <w:rFonts w:hint="eastAsia"/>
                <w:color w:val="auto"/>
                <w:highlight w:val="none"/>
              </w:rPr>
              <w:t>%费率收取；</w:t>
            </w:r>
          </w:p>
          <w:p>
            <w:pPr>
              <w:spacing w:line="300" w:lineRule="exact"/>
              <w:rPr>
                <w:rFonts w:hint="eastAsia"/>
                <w:color w:val="auto"/>
                <w:highlight w:val="none"/>
              </w:rPr>
            </w:pPr>
            <w:r>
              <w:rPr>
                <w:rFonts w:hint="eastAsia"/>
                <w:color w:val="auto"/>
                <w:highlight w:val="none"/>
              </w:rPr>
              <w:t>500~1000万元人民币（含 1000万元）按0.</w:t>
            </w:r>
            <w:r>
              <w:rPr>
                <w:rFonts w:hint="eastAsia"/>
                <w:color w:val="auto"/>
                <w:highlight w:val="none"/>
                <w:lang w:val="en-US" w:eastAsia="zh-CN"/>
              </w:rPr>
              <w:t>45</w:t>
            </w:r>
            <w:r>
              <w:rPr>
                <w:rFonts w:hint="eastAsia"/>
                <w:color w:val="auto"/>
                <w:highlight w:val="none"/>
              </w:rPr>
              <w:t>%费率收取；</w:t>
            </w:r>
          </w:p>
          <w:p>
            <w:pPr>
              <w:spacing w:line="300" w:lineRule="exact"/>
              <w:rPr>
                <w:rFonts w:hint="eastAsia"/>
                <w:color w:val="auto"/>
                <w:highlight w:val="none"/>
              </w:rPr>
            </w:pPr>
            <w:r>
              <w:rPr>
                <w:rFonts w:hint="eastAsia"/>
                <w:color w:val="auto"/>
                <w:highlight w:val="none"/>
                <w:lang w:val="en-US" w:eastAsia="zh-CN"/>
              </w:rPr>
              <w:t>10</w:t>
            </w:r>
            <w:r>
              <w:rPr>
                <w:rFonts w:hint="eastAsia"/>
                <w:color w:val="auto"/>
                <w:highlight w:val="none"/>
              </w:rPr>
              <w:t>00~</w:t>
            </w:r>
            <w:r>
              <w:rPr>
                <w:rFonts w:hint="eastAsia"/>
                <w:color w:val="auto"/>
                <w:highlight w:val="none"/>
                <w:lang w:val="en-US" w:eastAsia="zh-CN"/>
              </w:rPr>
              <w:t>5</w:t>
            </w:r>
            <w:r>
              <w:rPr>
                <w:rFonts w:hint="eastAsia"/>
                <w:color w:val="auto"/>
                <w:highlight w:val="none"/>
              </w:rPr>
              <w:t xml:space="preserve">000万元人民币（含 </w:t>
            </w:r>
            <w:r>
              <w:rPr>
                <w:rFonts w:hint="eastAsia"/>
                <w:color w:val="auto"/>
                <w:highlight w:val="none"/>
                <w:lang w:val="en-US" w:eastAsia="zh-CN"/>
              </w:rPr>
              <w:t>5</w:t>
            </w:r>
            <w:r>
              <w:rPr>
                <w:rFonts w:hint="eastAsia"/>
                <w:color w:val="auto"/>
                <w:highlight w:val="none"/>
              </w:rPr>
              <w:t>000万元）按0.</w:t>
            </w:r>
            <w:r>
              <w:rPr>
                <w:rFonts w:hint="eastAsia"/>
                <w:color w:val="auto"/>
                <w:highlight w:val="none"/>
                <w:lang w:val="en-US" w:eastAsia="zh-CN"/>
              </w:rPr>
              <w:t>25</w:t>
            </w:r>
            <w:r>
              <w:rPr>
                <w:rFonts w:hint="eastAsia"/>
                <w:color w:val="auto"/>
                <w:highlight w:val="none"/>
              </w:rPr>
              <w:t>%费率收取；</w:t>
            </w:r>
          </w:p>
          <w:p>
            <w:pPr>
              <w:spacing w:line="300" w:lineRule="exact"/>
              <w:rPr>
                <w:color w:val="auto"/>
                <w:highlight w:val="none"/>
              </w:rPr>
            </w:pPr>
            <w:r>
              <w:rPr>
                <w:rFonts w:hint="eastAsia"/>
                <w:color w:val="auto"/>
                <w:highlight w:val="none"/>
              </w:rPr>
              <w:t>2、采购代理服务费交纳方式：</w:t>
            </w:r>
          </w:p>
          <w:p>
            <w:pPr>
              <w:spacing w:line="300" w:lineRule="exact"/>
              <w:rPr>
                <w:color w:val="auto"/>
                <w:highlight w:val="none"/>
              </w:rPr>
            </w:pPr>
            <w:r>
              <w:rPr>
                <w:rFonts w:hint="eastAsia"/>
                <w:color w:val="auto"/>
                <w:highlight w:val="none"/>
              </w:rPr>
              <w:t>合同生效后30日内，卖方以支票、汇票、电汇、现金等付款方式按规定的标准向招标机构一次缴清采购代理服务费。</w:t>
            </w:r>
          </w:p>
          <w:p>
            <w:pPr>
              <w:spacing w:line="300" w:lineRule="exact"/>
              <w:rPr>
                <w:color w:val="auto"/>
                <w:highlight w:val="none"/>
              </w:rPr>
            </w:pPr>
            <w:r>
              <w:rPr>
                <w:rFonts w:hint="eastAsia"/>
                <w:color w:val="auto"/>
                <w:highlight w:val="none"/>
              </w:rPr>
              <w:t>开户名称：黑龙江省招标有限公司</w:t>
            </w:r>
          </w:p>
          <w:p>
            <w:pPr>
              <w:spacing w:line="300" w:lineRule="exact"/>
              <w:rPr>
                <w:color w:val="auto"/>
                <w:highlight w:val="none"/>
              </w:rPr>
            </w:pPr>
            <w:r>
              <w:rPr>
                <w:rFonts w:hint="eastAsia"/>
                <w:color w:val="auto"/>
                <w:highlight w:val="none"/>
              </w:rPr>
              <w:t>开户行：招商银行股份有限公司哈尔滨开发区支行</w:t>
            </w:r>
          </w:p>
          <w:p>
            <w:pPr>
              <w:spacing w:line="300" w:lineRule="exact"/>
              <w:rPr>
                <w:rFonts w:cs="宋体"/>
                <w:color w:val="auto"/>
                <w:kern w:val="0"/>
                <w:highlight w:val="none"/>
              </w:rPr>
            </w:pPr>
            <w:r>
              <w:rPr>
                <w:rFonts w:hint="eastAsia"/>
                <w:color w:val="auto"/>
                <w:highlight w:val="none"/>
              </w:rPr>
              <w:t>帐号： 451902390110302</w:t>
            </w:r>
          </w:p>
        </w:tc>
      </w:tr>
      <w:tr>
        <w:tblPrEx>
          <w:tblLayout w:type="fixed"/>
          <w:tblCellMar>
            <w:top w:w="0" w:type="dxa"/>
            <w:left w:w="108" w:type="dxa"/>
            <w:bottom w:w="0" w:type="dxa"/>
            <w:right w:w="108" w:type="dxa"/>
          </w:tblCellMar>
        </w:tblPrEx>
        <w:trPr>
          <w:trHeight w:val="3139" w:hRule="atLeast"/>
        </w:trPr>
        <w:tc>
          <w:tcPr>
            <w:tcW w:w="852" w:type="dxa"/>
            <w:tcBorders>
              <w:top w:val="single" w:color="auto" w:sz="4" w:space="0"/>
              <w:left w:val="single" w:color="auto" w:sz="8"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39.3</w:t>
            </w:r>
          </w:p>
        </w:tc>
        <w:tc>
          <w:tcPr>
            <w:tcW w:w="1917" w:type="dxa"/>
            <w:tcBorders>
              <w:top w:val="single" w:color="auto" w:sz="4" w:space="0"/>
              <w:left w:val="single" w:color="auto" w:sz="4" w:space="0"/>
              <w:bottom w:val="single" w:color="auto" w:sz="4" w:space="0"/>
              <w:right w:val="single" w:color="auto" w:sz="8" w:space="0"/>
            </w:tcBorders>
            <w:vAlign w:val="center"/>
          </w:tcPr>
          <w:p>
            <w:pPr>
              <w:spacing w:line="300" w:lineRule="exact"/>
              <w:jc w:val="center"/>
              <w:rPr>
                <w:color w:val="auto"/>
                <w:highlight w:val="none"/>
              </w:rPr>
            </w:pPr>
            <w:r>
              <w:rPr>
                <w:rFonts w:hint="eastAsia"/>
                <w:color w:val="auto"/>
                <w:highlight w:val="none"/>
              </w:rPr>
              <w:t>质疑</w:t>
            </w:r>
          </w:p>
        </w:tc>
        <w:tc>
          <w:tcPr>
            <w:tcW w:w="5887" w:type="dxa"/>
            <w:tcBorders>
              <w:top w:val="single" w:color="auto" w:sz="4" w:space="0"/>
              <w:left w:val="nil"/>
              <w:bottom w:val="single" w:color="auto" w:sz="4" w:space="0"/>
              <w:right w:val="single" w:color="auto" w:sz="8" w:space="0"/>
            </w:tcBorders>
            <w:vAlign w:val="center"/>
          </w:tcPr>
          <w:p>
            <w:pPr>
              <w:spacing w:line="300" w:lineRule="exact"/>
              <w:rPr>
                <w:color w:val="auto"/>
                <w:highlight w:val="none"/>
              </w:rPr>
            </w:pPr>
            <w:r>
              <w:rPr>
                <w:rFonts w:hint="eastAsia"/>
                <w:color w:val="auto"/>
                <w:highlight w:val="none"/>
              </w:rPr>
              <w:t>一、供应商认为自己的权益受到损害的，可以在知道或者应知其权益受到损害之日起七个工作日内，向采购代理机构提出质疑。</w:t>
            </w:r>
          </w:p>
          <w:p>
            <w:pPr>
              <w:spacing w:line="300" w:lineRule="exact"/>
              <w:rPr>
                <w:color w:val="auto"/>
                <w:highlight w:val="none"/>
              </w:rPr>
            </w:pPr>
            <w:r>
              <w:rPr>
                <w:rFonts w:hint="eastAsia"/>
                <w:color w:val="auto"/>
                <w:highlight w:val="none"/>
              </w:rPr>
              <w:t>1.接收质疑函的方式：接收加盖单位公章的书面纸质疑函</w:t>
            </w:r>
          </w:p>
          <w:p>
            <w:pPr>
              <w:spacing w:line="300" w:lineRule="exact"/>
              <w:rPr>
                <w:color w:val="auto"/>
                <w:highlight w:val="none"/>
              </w:rPr>
            </w:pPr>
            <w:r>
              <w:rPr>
                <w:rFonts w:hint="eastAsia"/>
                <w:color w:val="auto"/>
                <w:highlight w:val="none"/>
              </w:rPr>
              <w:t>联系单位：黑龙江省招标有限公司</w:t>
            </w:r>
          </w:p>
          <w:p>
            <w:pPr>
              <w:spacing w:line="300" w:lineRule="exact"/>
              <w:rPr>
                <w:color w:val="auto"/>
                <w:highlight w:val="none"/>
              </w:rPr>
            </w:pPr>
            <w:r>
              <w:rPr>
                <w:rFonts w:hint="eastAsia"/>
                <w:color w:val="auto"/>
                <w:highlight w:val="none"/>
              </w:rPr>
              <w:t>联系电话：0451-82364703</w:t>
            </w:r>
          </w:p>
          <w:p>
            <w:pPr>
              <w:spacing w:line="300" w:lineRule="exact"/>
              <w:rPr>
                <w:color w:val="auto"/>
                <w:highlight w:val="none"/>
              </w:rPr>
            </w:pPr>
            <w:r>
              <w:rPr>
                <w:rFonts w:hint="eastAsia"/>
                <w:color w:val="auto"/>
                <w:highlight w:val="none"/>
              </w:rPr>
              <w:t>通讯地址：哈尔滨市南岗区汉水路180号</w:t>
            </w:r>
          </w:p>
          <w:p>
            <w:pPr>
              <w:spacing w:line="300" w:lineRule="exact"/>
              <w:rPr>
                <w:color w:val="auto"/>
                <w:highlight w:val="none"/>
              </w:rPr>
            </w:pPr>
            <w:r>
              <w:rPr>
                <w:rFonts w:hint="eastAsia"/>
                <w:color w:val="auto"/>
                <w:highlight w:val="none"/>
              </w:rPr>
              <w:t>2.质疑函的内容、格式：应符合《政府采购质疑和投诉办法》相关规定和财政部门制定的《政府采购质疑函范本》格式。</w:t>
            </w:r>
          </w:p>
          <w:p>
            <w:pPr>
              <w:spacing w:line="300" w:lineRule="exact"/>
              <w:rPr>
                <w:rFonts w:cs="宋体"/>
                <w:color w:val="auto"/>
                <w:kern w:val="0"/>
                <w:highlight w:val="none"/>
              </w:rPr>
            </w:pPr>
            <w:r>
              <w:rPr>
                <w:rFonts w:hint="eastAsia"/>
                <w:color w:val="auto"/>
                <w:highlight w:val="none"/>
              </w:rPr>
              <w:t>二、供应商应在法定质疑期内一次性针对同一采购程序环节提出质疑，否则针对再次提出质疑将不予接收。（采购程序环节分为：采购公告、招标文件、招标过程、中标结果）</w:t>
            </w:r>
          </w:p>
        </w:tc>
      </w:tr>
      <w:tr>
        <w:tblPrEx>
          <w:tblLayout w:type="fixed"/>
          <w:tblCellMar>
            <w:top w:w="0" w:type="dxa"/>
            <w:left w:w="108" w:type="dxa"/>
            <w:bottom w:w="0" w:type="dxa"/>
            <w:right w:w="108" w:type="dxa"/>
          </w:tblCellMar>
        </w:tblPrEx>
        <w:trPr>
          <w:trHeight w:val="3139" w:hRule="atLeast"/>
        </w:trPr>
        <w:tc>
          <w:tcPr>
            <w:tcW w:w="2769" w:type="dxa"/>
            <w:gridSpan w:val="2"/>
            <w:tcBorders>
              <w:top w:val="single" w:color="auto" w:sz="4" w:space="0"/>
              <w:left w:val="single" w:color="auto" w:sz="8" w:space="0"/>
              <w:bottom w:val="single" w:color="auto" w:sz="8" w:space="0"/>
              <w:right w:val="single" w:color="auto" w:sz="8" w:space="0"/>
            </w:tcBorders>
            <w:vAlign w:val="center"/>
          </w:tcPr>
          <w:p>
            <w:pPr>
              <w:spacing w:line="300" w:lineRule="exact"/>
              <w:jc w:val="center"/>
              <w:rPr>
                <w:color w:val="auto"/>
                <w:highlight w:val="none"/>
              </w:rPr>
            </w:pPr>
            <w:r>
              <w:rPr>
                <w:rFonts w:hint="eastAsia"/>
                <w:color w:val="auto"/>
                <w:highlight w:val="none"/>
              </w:rPr>
              <w:t>关于“兼投不兼中”的说明</w:t>
            </w:r>
          </w:p>
        </w:tc>
        <w:tc>
          <w:tcPr>
            <w:tcW w:w="5887" w:type="dxa"/>
            <w:tcBorders>
              <w:top w:val="single" w:color="auto" w:sz="4" w:space="0"/>
              <w:left w:val="nil"/>
              <w:bottom w:val="single" w:color="auto" w:sz="8" w:space="0"/>
              <w:right w:val="single" w:color="auto" w:sz="8" w:space="0"/>
            </w:tcBorders>
            <w:vAlign w:val="center"/>
          </w:tcPr>
          <w:p>
            <w:pPr>
              <w:spacing w:line="300" w:lineRule="exact"/>
              <w:rPr>
                <w:b/>
                <w:bCs/>
                <w:color w:val="auto"/>
                <w:highlight w:val="none"/>
              </w:rPr>
            </w:pPr>
            <w:r>
              <w:rPr>
                <w:rFonts w:hint="eastAsia"/>
                <w:b/>
                <w:bCs/>
                <w:color w:val="auto"/>
                <w:highlight w:val="none"/>
              </w:rPr>
              <w:t>本项目“兼投不兼中”，即同一供应商可以针对本项目的多个包递交投标文件，但只能在一个包中标，排名在前的供应商可以优先选择中标的包。</w:t>
            </w:r>
          </w:p>
          <w:p>
            <w:pPr>
              <w:pStyle w:val="30"/>
              <w:rPr>
                <w:b/>
                <w:bCs/>
                <w:color w:val="auto"/>
                <w:highlight w:val="none"/>
              </w:rPr>
            </w:pPr>
            <w:r>
              <w:rPr>
                <w:rFonts w:hint="eastAsia"/>
                <w:b/>
                <w:bCs/>
                <w:color w:val="auto"/>
                <w:highlight w:val="none"/>
              </w:rPr>
              <w:t>根据财政部国库司对“兼投不兼中”相关问题的答复：“如果一个项目分三个包组，且项目允许兼投不允许兼中。假设有三个供应商参加了这三个包的投标，则第一包可以确定一个中标人。其余两个包供应商不满足三家，根据87号令第四十四条，应该废标。”对本项目作出如下说明：</w:t>
            </w:r>
          </w:p>
          <w:p>
            <w:pPr>
              <w:pStyle w:val="30"/>
              <w:rPr>
                <w:b/>
                <w:bCs/>
                <w:color w:val="auto"/>
                <w:highlight w:val="none"/>
              </w:rPr>
            </w:pPr>
            <w:r>
              <w:rPr>
                <w:rFonts w:hint="eastAsia"/>
                <w:b/>
                <w:bCs/>
                <w:color w:val="auto"/>
                <w:highlight w:val="none"/>
              </w:rPr>
              <w:t>当供应商在某包被确定为预中标人后，该供应商将不被视为其余包的有效供应商。</w:t>
            </w:r>
          </w:p>
          <w:p>
            <w:pPr>
              <w:spacing w:line="300" w:lineRule="exact"/>
              <w:rPr>
                <w:color w:val="auto"/>
                <w:highlight w:val="none"/>
              </w:rPr>
            </w:pPr>
            <w:r>
              <w:rPr>
                <w:rFonts w:hint="eastAsia"/>
                <w:b/>
                <w:bCs/>
                <w:color w:val="auto"/>
                <w:highlight w:val="none"/>
              </w:rPr>
              <w:t>例如：A在所有包均排名第一，并选择第一包中标。B在第二包排名第二，当第二包除A外剩余的有效供应商仍满足三家时，B成为第二包的中标人，否则第二包流标。</w:t>
            </w:r>
          </w:p>
        </w:tc>
      </w:tr>
    </w:tbl>
    <w:p>
      <w:pPr>
        <w:rPr>
          <w:color w:val="auto"/>
          <w:highlight w:val="none"/>
        </w:rPr>
      </w:pPr>
      <w:r>
        <w:rPr>
          <w:rFonts w:hint="eastAsia"/>
          <w:color w:val="auto"/>
          <w:highlight w:val="none"/>
        </w:rPr>
        <w:t>注：表格中“</w:t>
      </w:r>
      <w:r>
        <w:rPr>
          <w:color w:val="auto"/>
          <w:highlight w:val="none"/>
        </w:rPr>
        <w:sym w:font="Wingdings 2" w:char="0052"/>
      </w:r>
      <w:r>
        <w:rPr>
          <w:rFonts w:hint="eastAsia"/>
          <w:color w:val="auto"/>
          <w:highlight w:val="none"/>
        </w:rPr>
        <w:t>”项或“■”项为被选中项。</w:t>
      </w:r>
    </w:p>
    <w:p>
      <w:pPr>
        <w:pStyle w:val="5"/>
        <w:adjustRightInd w:val="0"/>
        <w:snapToGrid w:val="0"/>
        <w:rPr>
          <w:rStyle w:val="35"/>
          <w:color w:val="auto"/>
          <w:highlight w:val="none"/>
        </w:rPr>
      </w:pPr>
      <w:r>
        <w:rPr>
          <w:rFonts w:hint="eastAsia" w:eastAsia="宋体" w:cs="宋体"/>
          <w:color w:val="auto"/>
          <w:sz w:val="21"/>
          <w:szCs w:val="21"/>
          <w:highlight w:val="none"/>
        </w:rPr>
        <w:br w:type="page"/>
      </w:r>
      <w:bookmarkStart w:id="26" w:name="_Toc30384_WPSOffice_Level2"/>
      <w:r>
        <w:rPr>
          <w:rStyle w:val="35"/>
          <w:rFonts w:hint="eastAsia"/>
          <w:color w:val="auto"/>
          <w:highlight w:val="none"/>
        </w:rPr>
        <w:t>二 总则</w:t>
      </w:r>
      <w:bookmarkEnd w:id="26"/>
    </w:p>
    <w:p>
      <w:pPr>
        <w:pStyle w:val="5"/>
        <w:jc w:val="left"/>
        <w:rPr>
          <w:color w:val="auto"/>
          <w:highlight w:val="none"/>
        </w:rPr>
      </w:pPr>
      <w:r>
        <w:rPr>
          <w:rFonts w:hint="eastAsia"/>
          <w:color w:val="auto"/>
          <w:highlight w:val="none"/>
        </w:rPr>
        <w:t>1.采购人、采购代理机构及供应商</w:t>
      </w:r>
    </w:p>
    <w:p>
      <w:pPr>
        <w:rPr>
          <w:color w:val="auto"/>
          <w:highlight w:val="none"/>
        </w:rPr>
      </w:pPr>
      <w:r>
        <w:rPr>
          <w:rFonts w:hint="eastAsia"/>
          <w:color w:val="auto"/>
          <w:highlight w:val="none"/>
        </w:rPr>
        <w:t>1.1采购人：是指依法进行政府采购的国家机关、事业单位、团体组织。本项目采购人见供应商须知表1.1款。</w:t>
      </w:r>
    </w:p>
    <w:p>
      <w:pPr>
        <w:rPr>
          <w:color w:val="auto"/>
          <w:highlight w:val="none"/>
        </w:rPr>
      </w:pPr>
      <w:r>
        <w:rPr>
          <w:rFonts w:hint="eastAsia"/>
          <w:color w:val="auto"/>
          <w:highlight w:val="none"/>
        </w:rPr>
        <w:t>1.2采购代理机构：是指集中采购机构或从事采购代理业务的社会中介机构，本项目的采购代理机构见供应商须知表1.2款。</w:t>
      </w:r>
    </w:p>
    <w:p>
      <w:pPr>
        <w:rPr>
          <w:color w:val="auto"/>
          <w:highlight w:val="none"/>
        </w:rPr>
      </w:pPr>
      <w:r>
        <w:rPr>
          <w:rFonts w:hint="eastAsia"/>
          <w:color w:val="auto"/>
          <w:highlight w:val="none"/>
        </w:rPr>
        <w:t>★1.3 供应商：是指向采购人提供货物、工程或者服务的法人、非法人组织或者自然人。本项目的供应商及其投标货物须满足以下条件：</w:t>
      </w:r>
    </w:p>
    <w:p>
      <w:pPr>
        <w:rPr>
          <w:color w:val="auto"/>
          <w:highlight w:val="none"/>
        </w:rPr>
      </w:pPr>
      <w:r>
        <w:rPr>
          <w:rFonts w:hint="eastAsia"/>
          <w:color w:val="auto"/>
          <w:highlight w:val="none"/>
        </w:rPr>
        <w:t>1.3.1 在中华人民共和国境内注册，能够独立承担民事责任，有生产或供应能力的本国供应商。</w:t>
      </w:r>
    </w:p>
    <w:p>
      <w:pPr>
        <w:rPr>
          <w:color w:val="auto"/>
          <w:highlight w:val="none"/>
        </w:rPr>
      </w:pPr>
      <w:r>
        <w:rPr>
          <w:rFonts w:hint="eastAsia"/>
          <w:color w:val="auto"/>
          <w:highlight w:val="none"/>
        </w:rPr>
        <w:t>1.3.2 具备《中华人民共和国政府采购法》第二十二条关于供应商条件的规定，遵守本项目采购人本级和上级财政部门政府采购的有关规定。</w:t>
      </w:r>
    </w:p>
    <w:p>
      <w:pPr>
        <w:rPr>
          <w:color w:val="auto"/>
          <w:highlight w:val="none"/>
        </w:rPr>
      </w:pPr>
      <w:r>
        <w:rPr>
          <w:rFonts w:hint="eastAsia"/>
          <w:color w:val="auto"/>
          <w:highlight w:val="none"/>
        </w:rPr>
        <w:t>1.3.3 以采购代理机构认可的方式获得了本项目的招标文件。</w:t>
      </w:r>
    </w:p>
    <w:p>
      <w:pPr>
        <w:rPr>
          <w:color w:val="auto"/>
          <w:highlight w:val="none"/>
        </w:rPr>
      </w:pPr>
      <w:r>
        <w:rPr>
          <w:rFonts w:hint="eastAsia"/>
          <w:color w:val="auto"/>
          <w:highlight w:val="none"/>
        </w:rPr>
        <w:t>1.3.4 符合供应商须知表1.3.4款中规定的资格条件。</w:t>
      </w:r>
    </w:p>
    <w:p>
      <w:pPr>
        <w:rPr>
          <w:color w:val="auto"/>
          <w:highlight w:val="none"/>
        </w:rPr>
      </w:pPr>
      <w:r>
        <w:rPr>
          <w:rFonts w:hint="eastAsia"/>
          <w:color w:val="auto"/>
          <w:highlight w:val="none"/>
        </w:rPr>
        <w:t>★1.4 如供应商须知表1.4款中允许联合体投标，对联合体规定如下：</w:t>
      </w:r>
    </w:p>
    <w:p>
      <w:pPr>
        <w:rPr>
          <w:color w:val="auto"/>
          <w:highlight w:val="none"/>
        </w:rPr>
      </w:pPr>
      <w:r>
        <w:rPr>
          <w:rFonts w:hint="eastAsia"/>
          <w:color w:val="auto"/>
          <w:highlight w:val="none"/>
        </w:rPr>
        <w:t>1.4.1 两个以上供应商可以组成一个投标联合体，以一个供应商的身份投标。</w:t>
      </w:r>
    </w:p>
    <w:p>
      <w:pPr>
        <w:rPr>
          <w:color w:val="auto"/>
          <w:highlight w:val="none"/>
        </w:rPr>
      </w:pPr>
      <w:r>
        <w:rPr>
          <w:rFonts w:hint="eastAsia"/>
          <w:color w:val="auto"/>
          <w:highlight w:val="none"/>
        </w:rPr>
        <w:t>1.4.2 联合体各方均应符合《中华人民共和国政府采购法》第二十二条规定的条件。</w:t>
      </w:r>
    </w:p>
    <w:p>
      <w:pPr>
        <w:rPr>
          <w:color w:val="auto"/>
          <w:highlight w:val="none"/>
        </w:rPr>
      </w:pPr>
      <w:r>
        <w:rPr>
          <w:rFonts w:hint="eastAsia"/>
          <w:color w:val="auto"/>
          <w:highlight w:val="none"/>
        </w:rPr>
        <w:t>1.4.3 采购人根据采购项目对供应商的特殊要求，联合体中至少应当有一方符合相关规定。</w:t>
      </w:r>
    </w:p>
    <w:p>
      <w:pPr>
        <w:rPr>
          <w:rFonts w:cs="宋体"/>
          <w:color w:val="auto"/>
          <w:highlight w:val="none"/>
        </w:rPr>
      </w:pPr>
      <w:r>
        <w:rPr>
          <w:rFonts w:hint="eastAsia"/>
          <w:color w:val="auto"/>
          <w:highlight w:val="none"/>
        </w:rPr>
        <w:t>1.4.4 联合体各方应签订共同投标协议，明确约定联合体各方承担的工作和相应</w:t>
      </w:r>
      <w:r>
        <w:rPr>
          <w:rFonts w:hint="eastAsia" w:cs="宋体"/>
          <w:color w:val="auto"/>
          <w:highlight w:val="none"/>
        </w:rPr>
        <w:t>的责任。</w:t>
      </w:r>
    </w:p>
    <w:p>
      <w:pPr>
        <w:adjustRightInd w:val="0"/>
        <w:snapToGrid w:val="0"/>
        <w:rPr>
          <w:rFonts w:cs="宋体"/>
          <w:color w:val="auto"/>
          <w:highlight w:val="none"/>
        </w:rPr>
      </w:pPr>
      <w:r>
        <w:rPr>
          <w:rFonts w:hint="eastAsia" w:cs="宋体"/>
          <w:color w:val="auto"/>
          <w:highlight w:val="none"/>
        </w:rPr>
        <w:t>1.4.5 大中型企业、其他自然人、法人或者非法人组织与小型、微型企业组成联合体共同参加投标，共同投标协议中应写明小型、微型企业的协议合同金额占到共同投标协议投标总金额的比例。</w:t>
      </w:r>
    </w:p>
    <w:p>
      <w:pPr>
        <w:adjustRightInd w:val="0"/>
        <w:snapToGrid w:val="0"/>
        <w:rPr>
          <w:rFonts w:cs="宋体"/>
          <w:color w:val="auto"/>
          <w:highlight w:val="none"/>
        </w:rPr>
      </w:pPr>
      <w:r>
        <w:rPr>
          <w:rFonts w:hint="eastAsia" w:cs="宋体"/>
          <w:color w:val="auto"/>
          <w:highlight w:val="none"/>
        </w:rPr>
        <w:t>1.4.6 联合体中有同类资质的供应商按照联合体分工承担相同工作的，按照较低的资质等级确定联合体的资质等级。</w:t>
      </w:r>
    </w:p>
    <w:p>
      <w:pPr>
        <w:adjustRightInd w:val="0"/>
        <w:snapToGrid w:val="0"/>
        <w:rPr>
          <w:rFonts w:cs="宋体"/>
          <w:color w:val="auto"/>
          <w:highlight w:val="none"/>
        </w:rPr>
      </w:pPr>
      <w:r>
        <w:rPr>
          <w:rFonts w:hint="eastAsia" w:cs="宋体"/>
          <w:color w:val="auto"/>
          <w:highlight w:val="none"/>
        </w:rPr>
        <w:t>1.4.7 以联合体形式参加政府采购活动的，联合体各方不得再单独参加或者与其他供应商另外组成联合体参加本项目投标，否则相关投标将被认定为</w:t>
      </w:r>
      <w:r>
        <w:rPr>
          <w:rFonts w:hint="eastAsia" w:cs="宋体"/>
          <w:b/>
          <w:bCs/>
          <w:color w:val="auto"/>
          <w:highlight w:val="none"/>
        </w:rPr>
        <w:t>投标无效</w:t>
      </w:r>
      <w:r>
        <w:rPr>
          <w:rFonts w:hint="eastAsia" w:cs="宋体"/>
          <w:color w:val="auto"/>
          <w:highlight w:val="none"/>
        </w:rPr>
        <w:t>。</w:t>
      </w:r>
    </w:p>
    <w:p>
      <w:pPr>
        <w:adjustRightInd w:val="0"/>
        <w:snapToGrid w:val="0"/>
        <w:rPr>
          <w:rFonts w:cs="宋体"/>
          <w:color w:val="auto"/>
          <w:highlight w:val="none"/>
        </w:rPr>
      </w:pPr>
      <w:r>
        <w:rPr>
          <w:rFonts w:hint="eastAsia" w:cs="宋体"/>
          <w:color w:val="auto"/>
          <w:highlight w:val="none"/>
        </w:rPr>
        <w:t>（1）两个以上的自然人、法人或者其他组织可以组成一个联合体，以一个供应商的身份共同参加政府采购活动。</w:t>
      </w:r>
    </w:p>
    <w:p>
      <w:pPr>
        <w:adjustRightInd w:val="0"/>
        <w:snapToGrid w:val="0"/>
        <w:rPr>
          <w:rFonts w:cs="宋体"/>
          <w:color w:val="auto"/>
          <w:highlight w:val="none"/>
        </w:rPr>
      </w:pPr>
      <w:r>
        <w:rPr>
          <w:rFonts w:hint="eastAsia" w:cs="宋体"/>
          <w:color w:val="auto"/>
          <w:highlight w:val="none"/>
        </w:rPr>
        <w:t>（2）联合体中标的，联合体各方应共同与采购人签订采购合同，就采购合同约定的事项对采购人承担连带责任。</w:t>
      </w:r>
    </w:p>
    <w:p>
      <w:pPr>
        <w:adjustRightInd w:val="0"/>
        <w:snapToGrid w:val="0"/>
        <w:rPr>
          <w:rFonts w:cs="宋体"/>
          <w:color w:val="auto"/>
          <w:highlight w:val="none"/>
        </w:rPr>
      </w:pPr>
      <w:r>
        <w:rPr>
          <w:rFonts w:hint="eastAsia" w:cs="宋体"/>
          <w:color w:val="auto"/>
          <w:highlight w:val="none"/>
        </w:rPr>
        <w:t>1.4.8 对联合体投标的其他资格要求见供应商须知表1.4.8款。</w:t>
      </w:r>
    </w:p>
    <w:p>
      <w:pPr>
        <w:adjustRightInd w:val="0"/>
        <w:snapToGrid w:val="0"/>
        <w:rPr>
          <w:rFonts w:cs="宋体"/>
          <w:color w:val="auto"/>
          <w:highlight w:val="none"/>
        </w:rPr>
      </w:pPr>
      <w:r>
        <w:rPr>
          <w:rFonts w:hint="eastAsia" w:cs="宋体"/>
          <w:color w:val="auto"/>
          <w:highlight w:val="none"/>
        </w:rPr>
        <w:t>★1.5 单位负责人为同一人或者存在直接控股、管理关系的不同供应商，其相关投标将被认定为</w:t>
      </w:r>
      <w:r>
        <w:rPr>
          <w:rFonts w:hint="eastAsia" w:cs="宋体"/>
          <w:b/>
          <w:bCs/>
          <w:color w:val="auto"/>
          <w:highlight w:val="none"/>
        </w:rPr>
        <w:t>投标无效</w:t>
      </w:r>
      <w:r>
        <w:rPr>
          <w:rFonts w:hint="eastAsia" w:cs="宋体"/>
          <w:color w:val="auto"/>
          <w:highlight w:val="none"/>
        </w:rPr>
        <w:t>。</w:t>
      </w:r>
    </w:p>
    <w:p>
      <w:pPr>
        <w:adjustRightInd w:val="0"/>
        <w:snapToGrid w:val="0"/>
        <w:rPr>
          <w:rFonts w:cs="宋体"/>
          <w:color w:val="auto"/>
          <w:highlight w:val="none"/>
        </w:rPr>
      </w:pPr>
      <w:r>
        <w:rPr>
          <w:rFonts w:hint="eastAsia" w:cs="宋体"/>
          <w:color w:val="auto"/>
          <w:highlight w:val="none"/>
        </w:rPr>
        <w:t>★1.6 为本项目提供过整体设计、规范编制或者项目管理、监理、检测等服务的供应商，不得再参加本项目上述服务以外的其他采购活动。否则其投标将被认定为</w:t>
      </w:r>
      <w:r>
        <w:rPr>
          <w:rFonts w:hint="eastAsia" w:cs="宋体"/>
          <w:b/>
          <w:bCs/>
          <w:color w:val="auto"/>
          <w:highlight w:val="none"/>
        </w:rPr>
        <w:t>投标无效</w:t>
      </w:r>
      <w:r>
        <w:rPr>
          <w:rFonts w:hint="eastAsia" w:cs="宋体"/>
          <w:color w:val="auto"/>
          <w:highlight w:val="none"/>
        </w:rPr>
        <w:t>。</w:t>
      </w:r>
    </w:p>
    <w:p>
      <w:pPr>
        <w:adjustRightInd w:val="0"/>
        <w:snapToGrid w:val="0"/>
        <w:rPr>
          <w:rFonts w:cs="宋体"/>
          <w:color w:val="auto"/>
          <w:highlight w:val="none"/>
        </w:rPr>
      </w:pPr>
      <w:r>
        <w:rPr>
          <w:rFonts w:hint="eastAsia" w:cs="宋体"/>
          <w:color w:val="auto"/>
          <w:highlight w:val="none"/>
        </w:rPr>
        <w:t>1.7 供应商在投标过程中不得向采购人提供、给予任何有价值的物品，影响其正常决策行为。一经发现，其将被认定为</w:t>
      </w:r>
      <w:r>
        <w:rPr>
          <w:rFonts w:hint="eastAsia" w:cs="宋体"/>
          <w:b/>
          <w:bCs/>
          <w:color w:val="auto"/>
          <w:highlight w:val="none"/>
        </w:rPr>
        <w:t>投标无效</w:t>
      </w:r>
      <w:r>
        <w:rPr>
          <w:rFonts w:hint="eastAsia" w:cs="宋体"/>
          <w:color w:val="auto"/>
          <w:highlight w:val="none"/>
        </w:rPr>
        <w:t>。</w:t>
      </w:r>
    </w:p>
    <w:p>
      <w:pPr>
        <w:pStyle w:val="5"/>
        <w:jc w:val="left"/>
        <w:rPr>
          <w:color w:val="auto"/>
          <w:highlight w:val="none"/>
        </w:rPr>
      </w:pPr>
      <w:r>
        <w:rPr>
          <w:rFonts w:hint="eastAsia"/>
          <w:color w:val="auto"/>
          <w:highlight w:val="none"/>
        </w:rPr>
        <w:t>2.资金来源</w:t>
      </w:r>
    </w:p>
    <w:p>
      <w:pPr>
        <w:adjustRightInd w:val="0"/>
        <w:snapToGrid w:val="0"/>
        <w:rPr>
          <w:rFonts w:cs="宋体"/>
          <w:color w:val="auto"/>
          <w:highlight w:val="none"/>
        </w:rPr>
      </w:pPr>
      <w:r>
        <w:rPr>
          <w:rFonts w:hint="eastAsia" w:cs="宋体"/>
          <w:color w:val="auto"/>
          <w:highlight w:val="none"/>
        </w:rPr>
        <w:t>2.1本项目的采购人已获得足以支付本次招标后所签订的合同项下的资金（包括财政性资金和本项目采购中无法与财政性资金分割的非财政性资金）。</w:t>
      </w:r>
    </w:p>
    <w:p>
      <w:pPr>
        <w:adjustRightInd w:val="0"/>
        <w:snapToGrid w:val="0"/>
        <w:rPr>
          <w:rFonts w:cs="宋体"/>
          <w:color w:val="auto"/>
          <w:highlight w:val="none"/>
        </w:rPr>
      </w:pPr>
      <w:r>
        <w:rPr>
          <w:rFonts w:hint="eastAsia" w:cs="宋体"/>
          <w:b/>
          <w:bCs/>
          <w:color w:val="auto"/>
          <w:highlight w:val="none"/>
        </w:rPr>
        <w:t>★</w:t>
      </w:r>
      <w:r>
        <w:rPr>
          <w:rFonts w:hint="eastAsia" w:cs="宋体"/>
          <w:color w:val="auto"/>
          <w:highlight w:val="none"/>
        </w:rPr>
        <w:t>2.2项目预算金额和分项或分包最高限价见供应商须知表2.2款。</w:t>
      </w:r>
    </w:p>
    <w:p>
      <w:pPr>
        <w:adjustRightInd w:val="0"/>
        <w:snapToGrid w:val="0"/>
        <w:rPr>
          <w:rFonts w:cs="宋体"/>
          <w:color w:val="auto"/>
          <w:highlight w:val="none"/>
        </w:rPr>
      </w:pPr>
      <w:r>
        <w:rPr>
          <w:rFonts w:hint="eastAsia" w:cs="宋体"/>
          <w:b/>
          <w:bCs/>
          <w:color w:val="auto"/>
          <w:highlight w:val="none"/>
        </w:rPr>
        <w:t>★</w:t>
      </w:r>
      <w:r>
        <w:rPr>
          <w:rFonts w:hint="eastAsia" w:cs="宋体"/>
          <w:color w:val="auto"/>
          <w:highlight w:val="none"/>
        </w:rPr>
        <w:t>2.3供应商报价超过招标文件规定的预算金额或者分项、分包最高限价的，其投标将被认定为</w:t>
      </w:r>
      <w:r>
        <w:rPr>
          <w:rFonts w:hint="eastAsia" w:cs="宋体"/>
          <w:b/>
          <w:bCs/>
          <w:color w:val="auto"/>
          <w:highlight w:val="none"/>
        </w:rPr>
        <w:t>投标无效</w:t>
      </w:r>
      <w:r>
        <w:rPr>
          <w:rFonts w:hint="eastAsia" w:cs="宋体"/>
          <w:color w:val="auto"/>
          <w:highlight w:val="none"/>
        </w:rPr>
        <w:t>。</w:t>
      </w:r>
    </w:p>
    <w:p>
      <w:pPr>
        <w:pStyle w:val="5"/>
        <w:jc w:val="left"/>
        <w:rPr>
          <w:color w:val="auto"/>
          <w:highlight w:val="none"/>
        </w:rPr>
      </w:pPr>
      <w:bookmarkStart w:id="27" w:name="_Toc266951048"/>
      <w:r>
        <w:rPr>
          <w:rFonts w:hint="eastAsia"/>
          <w:color w:val="auto"/>
          <w:highlight w:val="none"/>
        </w:rPr>
        <w:t>3.语言文字</w:t>
      </w:r>
      <w:bookmarkEnd w:id="27"/>
    </w:p>
    <w:p>
      <w:pPr>
        <w:adjustRightInd w:val="0"/>
        <w:snapToGrid w:val="0"/>
        <w:ind w:firstLine="420" w:firstLineChars="200"/>
        <w:rPr>
          <w:rFonts w:cs="宋体"/>
          <w:color w:val="auto"/>
          <w:highlight w:val="none"/>
        </w:rPr>
      </w:pPr>
      <w:r>
        <w:rPr>
          <w:rFonts w:hint="eastAsia" w:cs="宋体"/>
          <w:color w:val="auto"/>
          <w:highlight w:val="none"/>
        </w:rPr>
        <w:t>除专用术语外，与投标有关的语言均使用中文。必要时专用术语应附有中文注释。对不同文字文本投标文件的解释发生异议的，以中文文本为准。</w:t>
      </w:r>
    </w:p>
    <w:p>
      <w:pPr>
        <w:pStyle w:val="5"/>
        <w:jc w:val="left"/>
        <w:rPr>
          <w:color w:val="auto"/>
          <w:highlight w:val="none"/>
        </w:rPr>
      </w:pPr>
      <w:bookmarkStart w:id="28" w:name="_1.8_计量单位"/>
      <w:bookmarkEnd w:id="28"/>
      <w:bookmarkStart w:id="29" w:name="_Toc266951049"/>
      <w:r>
        <w:rPr>
          <w:rFonts w:hint="eastAsia"/>
          <w:color w:val="auto"/>
          <w:highlight w:val="none"/>
        </w:rPr>
        <w:t>★4.</w:t>
      </w:r>
      <w:bookmarkEnd w:id="29"/>
      <w:r>
        <w:rPr>
          <w:rFonts w:hint="eastAsia"/>
          <w:color w:val="auto"/>
          <w:highlight w:val="none"/>
        </w:rPr>
        <w:t>计量单位</w:t>
      </w:r>
    </w:p>
    <w:p>
      <w:pPr>
        <w:adjustRightInd w:val="0"/>
        <w:snapToGrid w:val="0"/>
        <w:ind w:firstLine="420" w:firstLineChars="200"/>
        <w:rPr>
          <w:rFonts w:cs="宋体"/>
          <w:color w:val="auto"/>
          <w:highlight w:val="none"/>
        </w:rPr>
      </w:pPr>
      <w:r>
        <w:rPr>
          <w:rFonts w:hint="eastAsia" w:cs="宋体"/>
          <w:color w:val="auto"/>
          <w:highlight w:val="none"/>
        </w:rPr>
        <w:t>除供应商须知表4条中有特殊要求外，响应文件中所使用的计量单位，应采用中华人民共和国法定计量单位。</w:t>
      </w:r>
      <w:r>
        <w:rPr>
          <w:rFonts w:cs="宋体"/>
          <w:color w:val="auto"/>
          <w:highlight w:val="none"/>
        </w:rPr>
        <w:t xml:space="preserve"> </w:t>
      </w:r>
    </w:p>
    <w:p>
      <w:pPr>
        <w:pStyle w:val="5"/>
        <w:jc w:val="both"/>
        <w:rPr>
          <w:color w:val="auto"/>
          <w:highlight w:val="none"/>
        </w:rPr>
      </w:pPr>
      <w:r>
        <w:rPr>
          <w:rFonts w:hint="eastAsia"/>
          <w:color w:val="auto"/>
          <w:highlight w:val="none"/>
        </w:rPr>
        <w:t>5.现场考察、开标前答疑会</w:t>
      </w:r>
    </w:p>
    <w:p>
      <w:pPr>
        <w:rPr>
          <w:color w:val="auto"/>
          <w:highlight w:val="none"/>
        </w:rPr>
      </w:pPr>
      <w:r>
        <w:rPr>
          <w:rFonts w:hint="eastAsia"/>
          <w:color w:val="auto"/>
          <w:highlight w:val="none"/>
        </w:rPr>
        <w:t>5.1</w:t>
      </w:r>
      <w:r>
        <w:rPr>
          <w:color w:val="auto"/>
          <w:highlight w:val="none"/>
        </w:rPr>
        <w:fldChar w:fldCharType="begin"/>
      </w:r>
      <w:r>
        <w:rPr>
          <w:color w:val="auto"/>
          <w:highlight w:val="none"/>
        </w:rPr>
        <w:instrText xml:space="preserve"> HYPERLINK \l "_踏勘现场" </w:instrText>
      </w:r>
      <w:r>
        <w:rPr>
          <w:color w:val="auto"/>
          <w:highlight w:val="none"/>
        </w:rPr>
        <w:fldChar w:fldCharType="separate"/>
      </w:r>
      <w:r>
        <w:rPr>
          <w:rFonts w:hint="eastAsia"/>
          <w:color w:val="auto"/>
          <w:highlight w:val="none"/>
        </w:rPr>
        <w:t>供应商须知表</w:t>
      </w:r>
      <w:r>
        <w:rPr>
          <w:rFonts w:hint="eastAsia"/>
          <w:color w:val="auto"/>
          <w:highlight w:val="none"/>
        </w:rPr>
        <w:fldChar w:fldCharType="end"/>
      </w:r>
      <w:r>
        <w:rPr>
          <w:rFonts w:hint="eastAsia"/>
          <w:color w:val="auto"/>
          <w:highlight w:val="none"/>
        </w:rPr>
        <w:t>5.1款规定组织现场考察或开标前答疑会的，采购人按规定的时间、地点组织供应商现场考察或开标前答疑会，或者在领取招标文件期限截止后以书面形式通知所有获取招标文件的潜在供应商。</w:t>
      </w:r>
    </w:p>
    <w:p>
      <w:pPr>
        <w:rPr>
          <w:color w:val="auto"/>
          <w:highlight w:val="none"/>
        </w:rPr>
      </w:pPr>
      <w:bookmarkStart w:id="30" w:name="_1.10_投标预备会"/>
      <w:bookmarkEnd w:id="30"/>
      <w:r>
        <w:rPr>
          <w:rFonts w:hint="eastAsia"/>
          <w:color w:val="auto"/>
          <w:highlight w:val="none"/>
        </w:rPr>
        <w:t>5.2由于未参加现场踏勘或标前答疑而导致对项目实际情况不了解，影响技术文件编制、</w:t>
      </w:r>
      <w:r>
        <w:rPr>
          <w:color w:val="auto"/>
          <w:highlight w:val="none"/>
        </w:rPr>
        <w:fldChar w:fldCharType="begin"/>
      </w:r>
      <w:r>
        <w:rPr>
          <w:color w:val="auto"/>
          <w:highlight w:val="none"/>
        </w:rPr>
        <w:instrText xml:space="preserve"> HYPERLINK "https://www.baidu.com/s?wd=%E6%8A%95%E6%A0%87%E6%8A%A5%E4%BB%B7&amp;tn=44039180_cpr&amp;fenlei=mv6quAkxTZn0IZRqIHckPjm4nH00T1dWuyfdP1u9uyPBrjKhmvDv0ZwV5Hcvrjm3rH6sPfKWUMw85HfYnjn4nH6sgvPsT6KdThsqpZwYTjCEQLGCpyw9Uz4Bmy-bIi4WUvYETgN-TLwGUv3EPj63P1RkPH6Y" </w:instrText>
      </w:r>
      <w:r>
        <w:rPr>
          <w:color w:val="auto"/>
          <w:highlight w:val="none"/>
        </w:rPr>
        <w:fldChar w:fldCharType="separate"/>
      </w:r>
      <w:r>
        <w:rPr>
          <w:rFonts w:hint="eastAsia"/>
          <w:color w:val="auto"/>
          <w:highlight w:val="none"/>
        </w:rPr>
        <w:t>投标报价</w:t>
      </w:r>
      <w:r>
        <w:rPr>
          <w:rFonts w:hint="eastAsia"/>
          <w:color w:val="auto"/>
          <w:highlight w:val="none"/>
        </w:rPr>
        <w:fldChar w:fldCharType="end"/>
      </w:r>
      <w:r>
        <w:rPr>
          <w:rFonts w:hint="eastAsia"/>
          <w:color w:val="auto"/>
          <w:highlight w:val="none"/>
        </w:rPr>
        <w:t>准确性、综合因素响应不全面等问题的，由供应商自行承担相应后果。</w:t>
      </w:r>
    </w:p>
    <w:p>
      <w:pPr>
        <w:rPr>
          <w:color w:val="auto"/>
          <w:highlight w:val="none"/>
        </w:rPr>
      </w:pPr>
      <w:r>
        <w:rPr>
          <w:rFonts w:hint="eastAsia"/>
          <w:color w:val="auto"/>
          <w:highlight w:val="none"/>
        </w:rPr>
        <w:t>5.3现场考察及参加标前答疑会所发生的费用及一切责任由供应商自行承担。</w:t>
      </w:r>
    </w:p>
    <w:p>
      <w:pPr>
        <w:tabs>
          <w:tab w:val="left" w:pos="360"/>
        </w:tabs>
        <w:snapToGrid w:val="0"/>
        <w:spacing w:before="200" w:after="200"/>
        <w:outlineLvl w:val="1"/>
        <w:rPr>
          <w:rFonts w:eastAsia="黑体"/>
          <w:color w:val="auto"/>
          <w:sz w:val="32"/>
          <w:szCs w:val="32"/>
          <w:highlight w:val="none"/>
        </w:rPr>
      </w:pPr>
      <w:r>
        <w:rPr>
          <w:rFonts w:hint="eastAsia" w:eastAsia="黑体"/>
          <w:color w:val="auto"/>
          <w:sz w:val="32"/>
          <w:szCs w:val="32"/>
          <w:highlight w:val="none"/>
        </w:rPr>
        <w:t>★6.政府采购政策（包括但不限于下列具体政策要求）</w:t>
      </w:r>
    </w:p>
    <w:p>
      <w:pPr>
        <w:rPr>
          <w:color w:val="auto"/>
          <w:highlight w:val="none"/>
        </w:rPr>
      </w:pPr>
      <w:r>
        <w:rPr>
          <w:rFonts w:hint="eastAsia"/>
          <w:color w:val="auto"/>
          <w:highlight w:val="none"/>
        </w:rPr>
        <w:t>6.1进口产品：进口产品是指通过中国海关报关验放进入中国境内且产自关境外的产品，</w:t>
      </w:r>
      <w:bookmarkStart w:id="31" w:name="_Hlk77074056"/>
      <w:r>
        <w:rPr>
          <w:rFonts w:hint="eastAsia"/>
          <w:color w:val="auto"/>
          <w:highlight w:val="none"/>
        </w:rPr>
        <w:t>供应商应保证所投进口产品可履行合法报通关手续进入中国关境内，但不限制满足招标文件要求的国内产品参与投标。</w:t>
      </w:r>
      <w:bookmarkEnd w:id="31"/>
      <w:r>
        <w:rPr>
          <w:rFonts w:hint="eastAsia"/>
          <w:color w:val="auto"/>
          <w:highlight w:val="none"/>
        </w:rPr>
        <w:t>若本项目不允许采购进口产品，如供应商响应产品为进口产品，其响应文件将被认定为</w:t>
      </w:r>
      <w:r>
        <w:rPr>
          <w:rFonts w:hint="eastAsia"/>
          <w:b/>
          <w:bCs/>
          <w:color w:val="auto"/>
          <w:highlight w:val="none"/>
        </w:rPr>
        <w:t>投标无效</w:t>
      </w:r>
      <w:r>
        <w:rPr>
          <w:rFonts w:hint="eastAsia"/>
          <w:color w:val="auto"/>
          <w:highlight w:val="none"/>
        </w:rPr>
        <w:t>。</w:t>
      </w:r>
    </w:p>
    <w:p>
      <w:pPr>
        <w:rPr>
          <w:color w:val="auto"/>
          <w:highlight w:val="none"/>
        </w:rPr>
      </w:pPr>
      <w:r>
        <w:rPr>
          <w:rFonts w:hint="eastAsia"/>
          <w:color w:val="auto"/>
          <w:highlight w:val="none"/>
        </w:rPr>
        <w:t>6.2中小企业、监狱企业及残疾人福利性单位：</w:t>
      </w:r>
    </w:p>
    <w:p>
      <w:pPr>
        <w:rPr>
          <w:color w:val="auto"/>
          <w:highlight w:val="none"/>
        </w:rPr>
      </w:pPr>
      <w:r>
        <w:rPr>
          <w:rFonts w:hint="eastAsia"/>
          <w:color w:val="auto"/>
          <w:highlight w:val="none"/>
        </w:rPr>
        <w:t>6.2.1中小企业：指在中华人民共和国境内依法设立，依据国务院批准的中小企业划分标准确定的中型企业、小型企业和微型企业，但与大企业的负责人为同一人，或者与大企业存在直接控股、管理关系的除外。符合中小企业划分标准的个体工商户，在政府采购活动中视同中小企业。关于中小企业的相关规定依据《中华人民共和国中小企业促进法》、《政府采购促进中小企业发展管理办法》（财库〔2020〕46号）、《关于印发中小企业划型标准规定的通知》（工信部联企业〔2011〕300 号）、《国务院关于进一步促进中小企业发展的若干意见》（国发〔2009〕36 号）。若供应商须知表6.2.1条中写明专门面向中小企业采购的，如供应商所投产品为非中小企业产品制造、承接、承建的，其投标将被认定为</w:t>
      </w:r>
      <w:r>
        <w:rPr>
          <w:rFonts w:hint="eastAsia"/>
          <w:b/>
          <w:bCs/>
          <w:color w:val="auto"/>
          <w:highlight w:val="none"/>
        </w:rPr>
        <w:t>投标无效</w:t>
      </w:r>
      <w:r>
        <w:rPr>
          <w:rFonts w:hint="eastAsia"/>
          <w:color w:val="auto"/>
          <w:highlight w:val="none"/>
        </w:rPr>
        <w:t>。</w:t>
      </w:r>
    </w:p>
    <w:p>
      <w:pPr>
        <w:rPr>
          <w:color w:val="auto"/>
          <w:highlight w:val="none"/>
        </w:rPr>
      </w:pPr>
      <w:r>
        <w:rPr>
          <w:rFonts w:hint="eastAsia"/>
          <w:color w:val="auto"/>
          <w:highlight w:val="none"/>
        </w:rPr>
        <w:t>如为监狱企业或残疾人福利性单位的，视同为小型、微型企业。</w:t>
      </w:r>
    </w:p>
    <w:p>
      <w:pPr>
        <w:rPr>
          <w:color w:val="auto"/>
          <w:highlight w:val="none"/>
        </w:rPr>
      </w:pPr>
      <w:r>
        <w:rPr>
          <w:rFonts w:hint="eastAsia"/>
          <w:color w:val="auto"/>
          <w:highlight w:val="none"/>
        </w:rPr>
        <w:t>6.2.2供应商提供的货物、工程或者服务符合下列情形的，享受中小企业扶持政策：</w:t>
      </w:r>
    </w:p>
    <w:p>
      <w:pPr>
        <w:rPr>
          <w:color w:val="auto"/>
          <w:highlight w:val="none"/>
        </w:rPr>
      </w:pPr>
      <w:r>
        <w:rPr>
          <w:rFonts w:hint="eastAsia"/>
          <w:color w:val="auto"/>
          <w:highlight w:val="none"/>
        </w:rPr>
        <w:t>（1）在货物采购项目中，货物由中小企业制造，即货物由中小企业生产且使用该中小企业商号或者注册商标；</w:t>
      </w:r>
    </w:p>
    <w:p>
      <w:pPr>
        <w:rPr>
          <w:color w:val="auto"/>
          <w:highlight w:val="none"/>
        </w:rPr>
      </w:pPr>
      <w:r>
        <w:rPr>
          <w:rFonts w:hint="eastAsia"/>
          <w:color w:val="auto"/>
          <w:highlight w:val="none"/>
        </w:rPr>
        <w:t>（2）在工程采购项目中，工程由中小企业承建，即工程施工单位为中小企业；</w:t>
      </w:r>
    </w:p>
    <w:p>
      <w:pPr>
        <w:rPr>
          <w:color w:val="auto"/>
          <w:highlight w:val="none"/>
        </w:rPr>
      </w:pPr>
      <w:r>
        <w:rPr>
          <w:rFonts w:hint="eastAsia"/>
          <w:color w:val="auto"/>
          <w:highlight w:val="none"/>
        </w:rPr>
        <w:t>（3）在服务采购项目中，服务由中小企业承接，即提供服务的人员为中小企业依照《中华人民共和国劳动合同法》订立劳动合同的从业人员。</w:t>
      </w:r>
    </w:p>
    <w:p>
      <w:pPr>
        <w:pStyle w:val="32"/>
        <w:spacing w:line="360" w:lineRule="auto"/>
        <w:rPr>
          <w:color w:val="auto"/>
          <w:highlight w:val="none"/>
        </w:rPr>
      </w:pPr>
      <w:r>
        <w:rPr>
          <w:rFonts w:hint="eastAsia"/>
          <w:color w:val="auto"/>
          <w:highlight w:val="none"/>
        </w:rPr>
        <w:t>如为监狱企业或残疾人福利性单位的，视同为小型、微型企业。</w:t>
      </w:r>
    </w:p>
    <w:p>
      <w:pPr>
        <w:rPr>
          <w:color w:val="auto"/>
          <w:highlight w:val="none"/>
        </w:rPr>
      </w:pPr>
      <w:r>
        <w:rPr>
          <w:rFonts w:hint="eastAsia"/>
          <w:color w:val="auto"/>
          <w:highlight w:val="none"/>
        </w:rPr>
        <w:t>6.2.3</w:t>
      </w:r>
      <w:r>
        <w:rPr>
          <w:color w:val="auto"/>
          <w:highlight w:val="none"/>
        </w:rPr>
        <w:t xml:space="preserve"> </w:t>
      </w:r>
      <w:r>
        <w:rPr>
          <w:rFonts w:hint="eastAsia"/>
          <w:color w:val="auto"/>
          <w:highlight w:val="none"/>
        </w:rPr>
        <w:t>采购标的所属行业见供应商须知表。</w:t>
      </w:r>
    </w:p>
    <w:p>
      <w:pPr>
        <w:pStyle w:val="5"/>
        <w:spacing w:before="0" w:after="0"/>
        <w:jc w:val="both"/>
        <w:rPr>
          <w:rFonts w:eastAsia="宋体"/>
          <w:color w:val="auto"/>
          <w:sz w:val="21"/>
          <w:szCs w:val="21"/>
          <w:highlight w:val="none"/>
        </w:rPr>
      </w:pPr>
      <w:r>
        <w:rPr>
          <w:rFonts w:hint="eastAsia" w:eastAsia="宋体"/>
          <w:color w:val="auto"/>
          <w:sz w:val="21"/>
          <w:szCs w:val="21"/>
          <w:highlight w:val="none"/>
        </w:rPr>
        <w:t>6.3政府采购节能产品、环境标志产品：是指国务院有关部门发布的政府采购节能产品、环境标志产品品目清单中的产品。依据《关于调整优化节能产品、环境标志产品政府采购执行机制的通知》（财库〔2019〕9号），如采购产品属于实施政府强制采购品目清单范围的节能产品，则供应商所投产品必须获得国家确定的认证机构出具的、处于有效期之内的节能产品认证证书，否则</w:t>
      </w:r>
      <w:r>
        <w:rPr>
          <w:rFonts w:hint="eastAsia" w:eastAsia="宋体"/>
          <w:b/>
          <w:bCs/>
          <w:color w:val="auto"/>
          <w:sz w:val="21"/>
          <w:szCs w:val="21"/>
          <w:highlight w:val="none"/>
        </w:rPr>
        <w:t>投标无效。</w:t>
      </w:r>
    </w:p>
    <w:p>
      <w:pPr>
        <w:tabs>
          <w:tab w:val="left" w:pos="1080"/>
          <w:tab w:val="left" w:pos="2014"/>
        </w:tabs>
        <w:snapToGrid w:val="0"/>
        <w:rPr>
          <w:rFonts w:ascii="宋体" w:hAnsi="宋体" w:cs="宋体"/>
          <w:color w:val="auto"/>
          <w:highlight w:val="none"/>
        </w:rPr>
      </w:pPr>
      <w:r>
        <w:rPr>
          <w:rFonts w:hint="eastAsia" w:ascii="宋体" w:hAnsi="宋体" w:cs="宋体"/>
          <w:color w:val="auto"/>
          <w:highlight w:val="none"/>
        </w:rPr>
        <w:t>6.4正版软件</w:t>
      </w:r>
    </w:p>
    <w:p>
      <w:pPr>
        <w:tabs>
          <w:tab w:val="left" w:pos="1080"/>
          <w:tab w:val="left" w:pos="2014"/>
        </w:tabs>
        <w:snapToGrid w:val="0"/>
        <w:rPr>
          <w:rFonts w:ascii="宋体" w:hAnsi="宋体" w:cs="宋体"/>
          <w:color w:val="auto"/>
          <w:highlight w:val="none"/>
        </w:rPr>
      </w:pPr>
      <w:r>
        <w:rPr>
          <w:rFonts w:hint="eastAsia" w:ascii="宋体" w:hAnsi="宋体" w:cs="宋体"/>
          <w:color w:val="auto"/>
          <w:highlight w:val="none"/>
        </w:rPr>
        <w:t>6.4.1依据《财政部 国家发展改革委 信息产业部关于印发无线局域网产品政府采购实施意见的通知》（财库〔2005〕366 号），采购无线局域网产品和含有无线局域网功能的计算机、通信设备、打印机、复印机、投影仪等产品的，优先采购符合国家无线局域网安全标准（GB 15629.11/1102）并通过国家产品认证的产品。其中，国家有特殊信息安全要求的项目必须采购认证产品，</w:t>
      </w:r>
      <w:r>
        <w:rPr>
          <w:rFonts w:hint="eastAsia" w:ascii="宋体" w:hAnsi="宋体" w:cs="宋体"/>
          <w:color w:val="auto"/>
          <w:kern w:val="0"/>
          <w:highlight w:val="none"/>
        </w:rPr>
        <w:t>否则</w:t>
      </w:r>
      <w:r>
        <w:rPr>
          <w:rFonts w:hint="eastAsia"/>
          <w:b/>
          <w:bCs/>
          <w:color w:val="auto"/>
          <w:highlight w:val="none"/>
        </w:rPr>
        <w:t>投标无效</w:t>
      </w:r>
      <w:r>
        <w:rPr>
          <w:rFonts w:hint="eastAsia" w:ascii="宋体" w:hAnsi="宋体" w:cs="宋体"/>
          <w:color w:val="auto"/>
          <w:highlight w:val="none"/>
        </w:rPr>
        <w:t>。财政部、国家发展改革委、信息产业部根据政府采购改革进展和无线局域网产品技术及市场成熟等情况，从国家指定的认证机构认证的生产厂商和产品型号中确定优先采购的产品，并以“无线局域网认证产品政府采购清单”（以下简称清单）的形式公布。清单中新增认证产品厂商和型号，由财政部、国家发展改革委、信息产业部以文件形式确定、公布并适时调整。</w:t>
      </w:r>
    </w:p>
    <w:p>
      <w:pPr>
        <w:snapToGrid w:val="0"/>
        <w:rPr>
          <w:rFonts w:ascii="宋体" w:hAnsi="宋体" w:cs="宋体"/>
          <w:color w:val="auto"/>
          <w:highlight w:val="none"/>
        </w:rPr>
      </w:pPr>
      <w:r>
        <w:rPr>
          <w:rFonts w:hint="eastAsia" w:ascii="宋体" w:hAnsi="宋体" w:cs="宋体"/>
          <w:color w:val="auto"/>
          <w:highlight w:val="none"/>
        </w:rPr>
        <w:t>6.4.2各级政府部门在购置计算机办公设备时，必须采购预装正版操作系统软件的计算机产品，相关规定依据《国家版权局、信息产业部、财政部、国务院机关事务管理局关于政府部门购置计算机办公设备必须采购已预装正版操作系统软件产品的通知》（国权联〔2006〕1 号）、《国务院办公厅关于进一步做好政府机关使用正版软件工作的通知》（国办发〔2010〕47 号）、《财政部关于进一步做好政府机关使用正版软件工作的通知》（财预〔2010〕536 号）。</w:t>
      </w:r>
    </w:p>
    <w:p>
      <w:pPr>
        <w:tabs>
          <w:tab w:val="left" w:pos="1080"/>
          <w:tab w:val="left" w:pos="2014"/>
        </w:tabs>
        <w:snapToGrid w:val="0"/>
        <w:rPr>
          <w:rFonts w:ascii="宋体" w:hAnsi="宋体" w:cs="宋体"/>
          <w:color w:val="auto"/>
          <w:highlight w:val="none"/>
        </w:rPr>
      </w:pPr>
      <w:r>
        <w:rPr>
          <w:rFonts w:hint="eastAsia" w:ascii="宋体" w:hAnsi="宋体" w:cs="宋体"/>
          <w:color w:val="auto"/>
          <w:highlight w:val="none"/>
        </w:rPr>
        <w:t>6.5信息安全产品：所投产品属于《关于调整信息安全产品强制性认证实施要求的公告》（2009 年第33 号）范围的，采购经国家认证的信息安全产品，否则投标无效。关于信息安全相关规定依据《关于信息安全产品实施政府采购的通知》（财库〔2010〕48 号）。</w:t>
      </w:r>
    </w:p>
    <w:p>
      <w:pPr>
        <w:pStyle w:val="5"/>
        <w:jc w:val="both"/>
        <w:rPr>
          <w:color w:val="auto"/>
          <w:highlight w:val="none"/>
        </w:rPr>
      </w:pPr>
      <w:r>
        <w:rPr>
          <w:rFonts w:hint="eastAsia"/>
          <w:color w:val="auto"/>
          <w:highlight w:val="none"/>
        </w:rPr>
        <w:t>7.投标费用</w:t>
      </w:r>
    </w:p>
    <w:p>
      <w:pPr>
        <w:adjustRightInd w:val="0"/>
        <w:snapToGrid w:val="0"/>
        <w:ind w:firstLine="420" w:firstLineChars="200"/>
        <w:rPr>
          <w:rFonts w:cs="宋体"/>
          <w:color w:val="auto"/>
          <w:sz w:val="24"/>
          <w:highlight w:val="none"/>
        </w:rPr>
      </w:pPr>
      <w:r>
        <w:rPr>
          <w:rFonts w:hint="eastAsia" w:cs="宋体"/>
          <w:color w:val="auto"/>
          <w:highlight w:val="none"/>
        </w:rPr>
        <w:t>不论投标的结果如何，供应商应承担所有与准备和参加投标有关的费用。</w:t>
      </w:r>
    </w:p>
    <w:p>
      <w:pPr>
        <w:pStyle w:val="5"/>
        <w:rPr>
          <w:color w:val="auto"/>
          <w:highlight w:val="none"/>
        </w:rPr>
      </w:pPr>
      <w:bookmarkStart w:id="32" w:name="_Toc10106_WPSOffice_Level2"/>
    </w:p>
    <w:p>
      <w:pPr>
        <w:pStyle w:val="5"/>
        <w:rPr>
          <w:color w:val="auto"/>
          <w:highlight w:val="none"/>
        </w:rPr>
      </w:pPr>
      <w:r>
        <w:rPr>
          <w:rFonts w:hint="eastAsia"/>
          <w:color w:val="auto"/>
          <w:highlight w:val="none"/>
        </w:rPr>
        <w:t>三 招标文件</w:t>
      </w:r>
      <w:bookmarkEnd w:id="32"/>
    </w:p>
    <w:p>
      <w:pPr>
        <w:pStyle w:val="5"/>
        <w:numPr>
          <w:ilvl w:val="0"/>
          <w:numId w:val="2"/>
        </w:numPr>
        <w:jc w:val="left"/>
        <w:rPr>
          <w:color w:val="auto"/>
          <w:highlight w:val="none"/>
        </w:rPr>
      </w:pPr>
      <w:r>
        <w:rPr>
          <w:rFonts w:hint="eastAsia"/>
          <w:color w:val="auto"/>
          <w:highlight w:val="none"/>
        </w:rPr>
        <w:t>招标文件构成</w:t>
      </w:r>
    </w:p>
    <w:p>
      <w:pPr>
        <w:numPr>
          <w:ilvl w:val="1"/>
          <w:numId w:val="2"/>
        </w:numPr>
        <w:adjustRightInd w:val="0"/>
        <w:snapToGrid w:val="0"/>
        <w:rPr>
          <w:rFonts w:cs="宋体"/>
          <w:color w:val="auto"/>
          <w:highlight w:val="none"/>
        </w:rPr>
      </w:pPr>
      <w:r>
        <w:rPr>
          <w:rFonts w:hint="eastAsia" w:cs="宋体"/>
          <w:color w:val="auto"/>
          <w:highlight w:val="none"/>
        </w:rPr>
        <w:t>招标文件内容如下:</w:t>
      </w:r>
    </w:p>
    <w:p>
      <w:pPr>
        <w:adjustRightInd w:val="0"/>
        <w:snapToGrid w:val="0"/>
        <w:ind w:firstLine="420" w:firstLineChars="200"/>
        <w:rPr>
          <w:rFonts w:cs="宋体"/>
          <w:color w:val="auto"/>
          <w:highlight w:val="none"/>
        </w:rPr>
      </w:pPr>
      <w:r>
        <w:rPr>
          <w:rFonts w:hint="eastAsia" w:cs="宋体"/>
          <w:color w:val="auto"/>
          <w:highlight w:val="none"/>
        </w:rPr>
        <w:t>招标公告</w:t>
      </w:r>
    </w:p>
    <w:p>
      <w:pPr>
        <w:numPr>
          <w:ilvl w:val="0"/>
          <w:numId w:val="3"/>
        </w:numPr>
        <w:adjustRightInd w:val="0"/>
        <w:snapToGrid w:val="0"/>
        <w:ind w:firstLine="420" w:firstLineChars="200"/>
        <w:rPr>
          <w:rFonts w:cs="宋体"/>
          <w:color w:val="auto"/>
          <w:highlight w:val="none"/>
        </w:rPr>
      </w:pPr>
      <w:bookmarkStart w:id="33" w:name="_Toc25935_WPSOffice_Level2"/>
      <w:bookmarkStart w:id="34" w:name="_Toc4961_WPSOffice_Level2"/>
      <w:bookmarkStart w:id="35" w:name="_Toc24604_WPSOffice_Level2"/>
      <w:bookmarkStart w:id="36" w:name="_Toc188_WPSOffice_Level2"/>
      <w:r>
        <w:rPr>
          <w:rFonts w:hint="eastAsia" w:cs="宋体"/>
          <w:color w:val="auto"/>
          <w:highlight w:val="none"/>
        </w:rPr>
        <w:t>供应商须知</w:t>
      </w:r>
      <w:bookmarkEnd w:id="33"/>
      <w:bookmarkEnd w:id="34"/>
      <w:bookmarkEnd w:id="35"/>
      <w:bookmarkEnd w:id="36"/>
    </w:p>
    <w:p>
      <w:pPr>
        <w:adjustRightInd w:val="0"/>
        <w:snapToGrid w:val="0"/>
        <w:ind w:firstLine="420" w:firstLineChars="200"/>
        <w:rPr>
          <w:rFonts w:cs="宋体"/>
          <w:color w:val="auto"/>
          <w:highlight w:val="none"/>
        </w:rPr>
      </w:pPr>
      <w:bookmarkStart w:id="37" w:name="_Toc2443_WPSOffice_Level2"/>
      <w:bookmarkStart w:id="38" w:name="_Toc32235_WPSOffice_Level2"/>
      <w:bookmarkStart w:id="39" w:name="_Toc13276_WPSOffice_Level2"/>
      <w:bookmarkStart w:id="40" w:name="_Toc31424_WPSOffice_Level2"/>
      <w:r>
        <w:rPr>
          <w:rFonts w:hint="eastAsia" w:cs="宋体"/>
          <w:color w:val="auto"/>
          <w:highlight w:val="none"/>
        </w:rPr>
        <w:t>第二章 投标文件内容及格式</w:t>
      </w:r>
      <w:bookmarkEnd w:id="37"/>
      <w:bookmarkEnd w:id="38"/>
      <w:bookmarkEnd w:id="39"/>
      <w:bookmarkEnd w:id="40"/>
    </w:p>
    <w:p>
      <w:pPr>
        <w:adjustRightInd w:val="0"/>
        <w:snapToGrid w:val="0"/>
        <w:ind w:firstLine="420" w:firstLineChars="200"/>
        <w:rPr>
          <w:rFonts w:cs="宋体"/>
          <w:color w:val="auto"/>
          <w:highlight w:val="none"/>
        </w:rPr>
      </w:pPr>
      <w:bookmarkStart w:id="41" w:name="_Toc16269_WPSOffice_Level2"/>
      <w:bookmarkStart w:id="42" w:name="_Toc4416_WPSOffice_Level2"/>
      <w:bookmarkStart w:id="43" w:name="_Toc24836_WPSOffice_Level2"/>
      <w:bookmarkStart w:id="44" w:name="_Toc7005_WPSOffice_Level2"/>
      <w:r>
        <w:rPr>
          <w:rFonts w:hint="eastAsia" w:cs="宋体"/>
          <w:color w:val="auto"/>
          <w:highlight w:val="none"/>
        </w:rPr>
        <w:t>第三章 服务需求</w:t>
      </w:r>
      <w:bookmarkEnd w:id="41"/>
      <w:bookmarkEnd w:id="42"/>
      <w:bookmarkEnd w:id="43"/>
      <w:bookmarkEnd w:id="44"/>
    </w:p>
    <w:p>
      <w:pPr>
        <w:adjustRightInd w:val="0"/>
        <w:snapToGrid w:val="0"/>
        <w:ind w:firstLine="420" w:firstLineChars="200"/>
        <w:rPr>
          <w:rFonts w:cs="宋体"/>
          <w:color w:val="auto"/>
          <w:highlight w:val="none"/>
        </w:rPr>
      </w:pPr>
      <w:bookmarkStart w:id="45" w:name="_Toc16294_WPSOffice_Level2"/>
      <w:bookmarkStart w:id="46" w:name="_Toc16119_WPSOffice_Level2"/>
      <w:bookmarkStart w:id="47" w:name="_Toc23459_WPSOffice_Level2"/>
      <w:bookmarkStart w:id="48" w:name="_Toc25382_WPSOffice_Level2"/>
      <w:r>
        <w:rPr>
          <w:rFonts w:hint="eastAsia" w:cs="宋体"/>
          <w:color w:val="auto"/>
          <w:highlight w:val="none"/>
        </w:rPr>
        <w:t>第四章 评标方法</w:t>
      </w:r>
      <w:bookmarkEnd w:id="45"/>
      <w:bookmarkEnd w:id="46"/>
      <w:bookmarkEnd w:id="47"/>
      <w:bookmarkEnd w:id="48"/>
    </w:p>
    <w:p>
      <w:pPr>
        <w:adjustRightInd w:val="0"/>
        <w:snapToGrid w:val="0"/>
        <w:ind w:firstLine="420" w:firstLineChars="200"/>
        <w:rPr>
          <w:rFonts w:cs="宋体"/>
          <w:color w:val="auto"/>
          <w:highlight w:val="none"/>
        </w:rPr>
      </w:pPr>
      <w:bookmarkStart w:id="49" w:name="_Toc28106_WPSOffice_Level2"/>
      <w:bookmarkStart w:id="50" w:name="_Toc9629_WPSOffice_Level2"/>
      <w:bookmarkStart w:id="51" w:name="_Toc17794_WPSOffice_Level2"/>
      <w:bookmarkStart w:id="52" w:name="_Toc16368_WPSOffice_Level2"/>
      <w:r>
        <w:rPr>
          <w:rFonts w:hint="eastAsia" w:cs="宋体"/>
          <w:color w:val="auto"/>
          <w:highlight w:val="none"/>
        </w:rPr>
        <w:t>第五章 政府采购合同</w:t>
      </w:r>
      <w:bookmarkEnd w:id="49"/>
      <w:bookmarkEnd w:id="50"/>
      <w:bookmarkEnd w:id="51"/>
      <w:bookmarkEnd w:id="52"/>
      <w:r>
        <w:rPr>
          <w:rFonts w:hint="eastAsia" w:cs="宋体"/>
          <w:color w:val="auto"/>
          <w:highlight w:val="none"/>
        </w:rPr>
        <w:t>条款及格式</w:t>
      </w:r>
    </w:p>
    <w:p>
      <w:pPr>
        <w:adjustRightInd w:val="0"/>
        <w:snapToGrid w:val="0"/>
        <w:rPr>
          <w:rFonts w:cs="宋体"/>
          <w:color w:val="auto"/>
          <w:sz w:val="24"/>
          <w:highlight w:val="none"/>
        </w:rPr>
      </w:pPr>
      <w:r>
        <w:rPr>
          <w:rFonts w:hint="eastAsia" w:cs="宋体"/>
          <w:color w:val="auto"/>
          <w:highlight w:val="none"/>
        </w:rPr>
        <w:t>★8.2供应商应认真阅读招标文件所有的事项、格式、条款等。如供应商没有按照招标文件要求提交资料，或者投标文件没有对招标文件做出实质性响应，可能导致其投标被认定为投标无效。</w:t>
      </w:r>
    </w:p>
    <w:p>
      <w:pPr>
        <w:pStyle w:val="5"/>
        <w:jc w:val="left"/>
        <w:rPr>
          <w:rFonts w:eastAsia="宋体" w:cs="宋体"/>
          <w:b/>
          <w:bCs/>
          <w:color w:val="auto"/>
          <w:highlight w:val="none"/>
        </w:rPr>
      </w:pPr>
      <w:r>
        <w:rPr>
          <w:rFonts w:hint="eastAsia"/>
          <w:color w:val="auto"/>
          <w:highlight w:val="none"/>
        </w:rPr>
        <w:t>9.招标文件的澄清与修改</w:t>
      </w:r>
    </w:p>
    <w:p>
      <w:pPr>
        <w:adjustRightInd w:val="0"/>
        <w:snapToGrid w:val="0"/>
        <w:rPr>
          <w:rFonts w:cs="宋体"/>
          <w:color w:val="auto"/>
          <w:highlight w:val="none"/>
        </w:rPr>
      </w:pPr>
      <w:r>
        <w:rPr>
          <w:rFonts w:hint="eastAsia" w:cs="宋体"/>
          <w:color w:val="auto"/>
          <w:highlight w:val="none"/>
        </w:rPr>
        <w:t>9.1采购人或者采购代理机构可以对已发出的招标文件进行澄清或者修改。澄清或者修改的内容可能影响投标文件编制的，应当在投标截止时间至少15日前，在原公告发布媒体上发布变更公告，并以书面形式通知所有获取招标文件的潜在供应商；不足15日的，采购人或者采购代理机构应当顺延提交投标文件的截止时间。</w:t>
      </w:r>
    </w:p>
    <w:p>
      <w:pPr>
        <w:adjustRightInd w:val="0"/>
        <w:snapToGrid w:val="0"/>
        <w:rPr>
          <w:rFonts w:cs="宋体"/>
          <w:color w:val="auto"/>
          <w:sz w:val="24"/>
          <w:highlight w:val="none"/>
        </w:rPr>
      </w:pPr>
      <w:r>
        <w:rPr>
          <w:rFonts w:hint="eastAsia" w:cs="宋体"/>
          <w:color w:val="auto"/>
          <w:highlight w:val="none"/>
        </w:rPr>
        <w:t>9.2澄清或者修改的内容为招标文件的组成部分，对所有招标文件的收受人具有约束力。供应商在收到上述通知后，应及时向采购代理机构回函确认。</w:t>
      </w:r>
    </w:p>
    <w:p>
      <w:pPr>
        <w:pStyle w:val="5"/>
        <w:rPr>
          <w:color w:val="auto"/>
          <w:highlight w:val="none"/>
        </w:rPr>
      </w:pPr>
      <w:bookmarkStart w:id="53" w:name="_Toc7415_WPSOffice_Level2"/>
      <w:r>
        <w:rPr>
          <w:rFonts w:hint="eastAsia"/>
          <w:color w:val="auto"/>
          <w:highlight w:val="none"/>
        </w:rPr>
        <w:t>四  投标文件的编制</w:t>
      </w:r>
      <w:bookmarkEnd w:id="53"/>
    </w:p>
    <w:p>
      <w:pPr>
        <w:pStyle w:val="5"/>
        <w:jc w:val="left"/>
        <w:rPr>
          <w:color w:val="auto"/>
          <w:highlight w:val="none"/>
        </w:rPr>
      </w:pPr>
      <w:r>
        <w:rPr>
          <w:rFonts w:hint="eastAsia"/>
          <w:color w:val="auto"/>
          <w:highlight w:val="none"/>
        </w:rPr>
        <w:t>10.投标范围</w:t>
      </w:r>
    </w:p>
    <w:p>
      <w:pPr>
        <w:adjustRightInd w:val="0"/>
        <w:snapToGrid w:val="0"/>
        <w:rPr>
          <w:rFonts w:cs="宋体"/>
          <w:color w:val="auto"/>
          <w:highlight w:val="none"/>
        </w:rPr>
      </w:pPr>
      <w:r>
        <w:rPr>
          <w:rFonts w:hint="eastAsia" w:cs="宋体"/>
          <w:color w:val="auto"/>
          <w:highlight w:val="none"/>
        </w:rPr>
        <w:t>10.1项目有分包的，供应商可对招标文件其中某一个分包或几个分包进行投标。</w:t>
      </w:r>
    </w:p>
    <w:p>
      <w:pPr>
        <w:adjustRightInd w:val="0"/>
        <w:snapToGrid w:val="0"/>
        <w:rPr>
          <w:rFonts w:cs="宋体"/>
          <w:color w:val="auto"/>
          <w:highlight w:val="none"/>
        </w:rPr>
      </w:pPr>
      <w:r>
        <w:rPr>
          <w:rFonts w:hint="eastAsia" w:cs="宋体"/>
          <w:color w:val="auto"/>
          <w:highlight w:val="none"/>
        </w:rPr>
        <w:t>★10.2供应商应当对所投分包在招标文件“</w:t>
      </w:r>
      <w:r>
        <w:rPr>
          <w:rFonts w:cs="宋体"/>
          <w:color w:val="auto"/>
          <w:highlight w:val="none"/>
        </w:rPr>
        <w:t>服务</w:t>
      </w:r>
      <w:r>
        <w:rPr>
          <w:rFonts w:hint="eastAsia" w:cs="宋体"/>
          <w:color w:val="auto"/>
          <w:highlight w:val="none"/>
        </w:rPr>
        <w:t>需求”中所列的所有</w:t>
      </w:r>
      <w:r>
        <w:rPr>
          <w:rFonts w:cs="宋体"/>
          <w:color w:val="auto"/>
          <w:highlight w:val="none"/>
        </w:rPr>
        <w:t>服务内容</w:t>
      </w:r>
      <w:r>
        <w:rPr>
          <w:rFonts w:hint="eastAsia" w:cs="宋体"/>
          <w:color w:val="auto"/>
          <w:highlight w:val="none"/>
        </w:rPr>
        <w:t>进行投标，如仅响应分包中某一部分内容，其该包投标将被认定为投标无效。</w:t>
      </w:r>
    </w:p>
    <w:p>
      <w:pPr>
        <w:adjustRightInd w:val="0"/>
        <w:snapToGrid w:val="0"/>
        <w:rPr>
          <w:rFonts w:cs="宋体"/>
          <w:color w:val="auto"/>
          <w:highlight w:val="none"/>
        </w:rPr>
      </w:pPr>
      <w:r>
        <w:rPr>
          <w:rFonts w:hint="eastAsia" w:cs="宋体"/>
          <w:color w:val="auto"/>
          <w:highlight w:val="none"/>
        </w:rPr>
        <w:t>10.3无论招标文件第三章服务需求中是否要求，供应商所投的服务均应符合国家强制性标准。</w:t>
      </w:r>
    </w:p>
    <w:p>
      <w:pPr>
        <w:pStyle w:val="5"/>
        <w:jc w:val="left"/>
        <w:rPr>
          <w:color w:val="auto"/>
          <w:highlight w:val="none"/>
        </w:rPr>
      </w:pPr>
      <w:r>
        <w:rPr>
          <w:rFonts w:hint="eastAsia"/>
          <w:color w:val="auto"/>
          <w:highlight w:val="none"/>
        </w:rPr>
        <w:t>11.投标文件构成</w:t>
      </w:r>
    </w:p>
    <w:p>
      <w:pPr>
        <w:adjustRightInd w:val="0"/>
        <w:snapToGrid w:val="0"/>
        <w:rPr>
          <w:rFonts w:cs="宋体"/>
          <w:color w:val="auto"/>
          <w:highlight w:val="none"/>
        </w:rPr>
      </w:pPr>
      <w:r>
        <w:rPr>
          <w:rFonts w:hint="eastAsia" w:cs="宋体"/>
          <w:color w:val="auto"/>
          <w:highlight w:val="none"/>
        </w:rPr>
        <w:t>★11.1供应商应完整地按招标文件提供的投标文件格式及要求编写投标文件。投标文件应包括资格证明文件、符合性证明文件、其它材料三部分。具体见第二章 投标文件内容及格式。</w:t>
      </w:r>
    </w:p>
    <w:p>
      <w:pPr>
        <w:adjustRightInd w:val="0"/>
        <w:snapToGrid w:val="0"/>
        <w:rPr>
          <w:rFonts w:cs="宋体"/>
          <w:color w:val="auto"/>
          <w:highlight w:val="none"/>
        </w:rPr>
      </w:pPr>
      <w:r>
        <w:rPr>
          <w:rFonts w:hint="eastAsia" w:cs="宋体"/>
          <w:color w:val="auto"/>
          <w:highlight w:val="none"/>
        </w:rPr>
        <w:t>★11.2供应商应按招标文件提供的格式编写投标文件。招标文件提供标准格式的按标准格式填列，未提供标准格式的可自行拟定。</w:t>
      </w:r>
    </w:p>
    <w:p>
      <w:pPr>
        <w:adjustRightInd w:val="0"/>
        <w:snapToGrid w:val="0"/>
        <w:rPr>
          <w:rFonts w:cs="宋体"/>
          <w:color w:val="auto"/>
          <w:highlight w:val="none"/>
        </w:rPr>
      </w:pPr>
      <w:r>
        <w:rPr>
          <w:rFonts w:hint="eastAsia" w:cs="宋体"/>
          <w:color w:val="auto"/>
          <w:highlight w:val="none"/>
        </w:rPr>
        <w:t>11.3演示要求详见供应商须知表11.3款。</w:t>
      </w:r>
    </w:p>
    <w:p>
      <w:pPr>
        <w:pStyle w:val="5"/>
        <w:jc w:val="left"/>
        <w:rPr>
          <w:color w:val="auto"/>
          <w:highlight w:val="none"/>
        </w:rPr>
      </w:pPr>
      <w:r>
        <w:rPr>
          <w:rFonts w:hint="eastAsia"/>
          <w:color w:val="auto"/>
          <w:highlight w:val="none"/>
        </w:rPr>
        <w:t>★12.投标报价</w:t>
      </w:r>
    </w:p>
    <w:p>
      <w:pPr>
        <w:adjustRightInd w:val="0"/>
        <w:snapToGrid w:val="0"/>
        <w:rPr>
          <w:rFonts w:cs="宋体"/>
          <w:color w:val="auto"/>
          <w:highlight w:val="none"/>
        </w:rPr>
      </w:pPr>
      <w:r>
        <w:rPr>
          <w:rFonts w:hint="eastAsia" w:cs="宋体"/>
          <w:color w:val="auto"/>
          <w:highlight w:val="none"/>
        </w:rPr>
        <w:t>12.1所有投标均按供应商须知表12.1款中要求货币进行报价。供应商的投标报价应遵守《中华人民共和国价格法》。同时，根据《中华人民共和国政府采购法》第三条的规定，为保证公平竞争，如有货物主体部分的赠与行为，其投标将被认定为</w:t>
      </w:r>
      <w:r>
        <w:rPr>
          <w:rFonts w:hint="eastAsia" w:cs="宋体"/>
          <w:b/>
          <w:bCs/>
          <w:color w:val="auto"/>
          <w:highlight w:val="none"/>
        </w:rPr>
        <w:t>投标无效</w:t>
      </w:r>
      <w:r>
        <w:rPr>
          <w:rFonts w:hint="eastAsia" w:cs="宋体"/>
          <w:color w:val="auto"/>
          <w:highlight w:val="none"/>
        </w:rPr>
        <w:t>。</w:t>
      </w:r>
    </w:p>
    <w:p>
      <w:pPr>
        <w:adjustRightInd w:val="0"/>
        <w:snapToGrid w:val="0"/>
        <w:rPr>
          <w:rFonts w:cs="宋体"/>
          <w:color w:val="auto"/>
          <w:highlight w:val="none"/>
        </w:rPr>
      </w:pPr>
      <w:r>
        <w:rPr>
          <w:rFonts w:hint="eastAsia" w:cs="宋体"/>
          <w:color w:val="auto"/>
          <w:highlight w:val="none"/>
        </w:rPr>
        <w:t>12.2供应商应按招标文件要求在相关表格中标明投标服务的单价和总价，并由法定代表人（非法人组织的负责人）或其委托代理人签署。</w:t>
      </w:r>
    </w:p>
    <w:p>
      <w:pPr>
        <w:adjustRightInd w:val="0"/>
        <w:snapToGrid w:val="0"/>
        <w:rPr>
          <w:rFonts w:cs="宋体"/>
          <w:color w:val="auto"/>
          <w:highlight w:val="none"/>
        </w:rPr>
      </w:pPr>
      <w:r>
        <w:rPr>
          <w:rFonts w:hint="eastAsia" w:cs="宋体"/>
          <w:color w:val="auto"/>
          <w:highlight w:val="none"/>
        </w:rPr>
        <w:t>12.3供应商所报的各分项投标单价在合同履行过程中是固定不变的，不得以任何理由予以变更。任何包含价格调整要求的投标，其投标将被认定为</w:t>
      </w:r>
      <w:r>
        <w:rPr>
          <w:rFonts w:hint="eastAsia" w:cs="宋体"/>
          <w:bCs/>
          <w:color w:val="auto"/>
          <w:highlight w:val="none"/>
        </w:rPr>
        <w:t>投标无效。</w:t>
      </w:r>
    </w:p>
    <w:p>
      <w:pPr>
        <w:adjustRightInd w:val="0"/>
        <w:snapToGrid w:val="0"/>
        <w:rPr>
          <w:rFonts w:cs="宋体"/>
          <w:color w:val="auto"/>
          <w:highlight w:val="none"/>
        </w:rPr>
      </w:pPr>
      <w:r>
        <w:rPr>
          <w:rFonts w:hint="eastAsia" w:cs="宋体"/>
          <w:color w:val="auto"/>
          <w:highlight w:val="none"/>
        </w:rPr>
        <w:t>12.4每种服务只能有一个投标报价。采购人不接受具有附加条件的报价。</w:t>
      </w:r>
    </w:p>
    <w:p>
      <w:pPr>
        <w:adjustRightInd w:val="0"/>
        <w:snapToGrid w:val="0"/>
        <w:rPr>
          <w:rFonts w:cs="宋体"/>
          <w:color w:val="auto"/>
          <w:highlight w:val="none"/>
        </w:rPr>
      </w:pPr>
      <w:bookmarkStart w:id="54" w:name="_Toc22507_WPSOffice_Level2"/>
      <w:bookmarkStart w:id="55" w:name="_Toc31973_WPSOffice_Level2"/>
      <w:r>
        <w:rPr>
          <w:rFonts w:hint="eastAsia" w:cs="宋体"/>
          <w:color w:val="auto"/>
          <w:highlight w:val="none"/>
        </w:rPr>
        <w:t>12.5除非招标文件另有规定，报价原则上精确到小数点后两位。</w:t>
      </w:r>
      <w:bookmarkEnd w:id="54"/>
      <w:bookmarkEnd w:id="55"/>
    </w:p>
    <w:p>
      <w:pPr>
        <w:pStyle w:val="5"/>
        <w:jc w:val="left"/>
        <w:rPr>
          <w:color w:val="auto"/>
          <w:highlight w:val="none"/>
        </w:rPr>
      </w:pPr>
      <w:r>
        <w:rPr>
          <w:rFonts w:hint="eastAsia"/>
          <w:color w:val="auto"/>
          <w:highlight w:val="none"/>
        </w:rPr>
        <w:t>★13.投标保证金</w:t>
      </w:r>
    </w:p>
    <w:p>
      <w:pPr>
        <w:adjustRightInd w:val="0"/>
        <w:snapToGrid w:val="0"/>
        <w:rPr>
          <w:rFonts w:cs="宋体"/>
          <w:color w:val="auto"/>
          <w:highlight w:val="none"/>
        </w:rPr>
      </w:pPr>
      <w:r>
        <w:rPr>
          <w:rFonts w:hint="eastAsia" w:cs="宋体"/>
          <w:color w:val="auto"/>
          <w:highlight w:val="none"/>
        </w:rPr>
        <w:t>13.1供应商应提交供应商须知表13.1款中规定的投标保证金，并作为其投标的一部分。</w:t>
      </w:r>
    </w:p>
    <w:p>
      <w:pPr>
        <w:adjustRightInd w:val="0"/>
        <w:snapToGrid w:val="0"/>
        <w:jc w:val="left"/>
        <w:rPr>
          <w:rFonts w:cs="宋体"/>
          <w:color w:val="auto"/>
          <w:highlight w:val="none"/>
        </w:rPr>
      </w:pPr>
      <w:r>
        <w:rPr>
          <w:rFonts w:hint="eastAsia" w:cs="宋体"/>
          <w:color w:val="auto"/>
          <w:highlight w:val="none"/>
        </w:rPr>
        <w:t>13.2投标保证金缴纳人、招标文件领取人、投标登记人和供应商必须为同一组织机构或联合体内不同成员单位，否则将视同未按招标文件规定交纳投标保证金。</w:t>
      </w:r>
    </w:p>
    <w:p>
      <w:pPr>
        <w:adjustRightInd w:val="0"/>
        <w:snapToGrid w:val="0"/>
        <w:jc w:val="left"/>
        <w:rPr>
          <w:rFonts w:cs="宋体"/>
          <w:color w:val="auto"/>
          <w:highlight w:val="none"/>
        </w:rPr>
      </w:pPr>
      <w:r>
        <w:rPr>
          <w:rFonts w:hint="eastAsia" w:cs="宋体"/>
          <w:color w:val="auto"/>
          <w:highlight w:val="none"/>
        </w:rPr>
        <w:t>13.3供应商存在下列情形的，投标保证金不予退还:</w:t>
      </w:r>
    </w:p>
    <w:p>
      <w:pPr>
        <w:adjustRightInd w:val="0"/>
        <w:snapToGrid w:val="0"/>
        <w:jc w:val="left"/>
        <w:rPr>
          <w:rFonts w:cs="宋体"/>
          <w:color w:val="auto"/>
          <w:highlight w:val="none"/>
        </w:rPr>
      </w:pPr>
      <w:r>
        <w:rPr>
          <w:rFonts w:hint="eastAsia" w:cs="宋体"/>
          <w:color w:val="auto"/>
          <w:highlight w:val="none"/>
        </w:rPr>
        <w:t>(1)在投标有效期内，供应商撤销投标的;</w:t>
      </w:r>
    </w:p>
    <w:p>
      <w:pPr>
        <w:adjustRightInd w:val="0"/>
        <w:snapToGrid w:val="0"/>
        <w:jc w:val="left"/>
        <w:rPr>
          <w:rFonts w:cs="宋体"/>
          <w:color w:val="auto"/>
          <w:highlight w:val="none"/>
        </w:rPr>
      </w:pPr>
      <w:r>
        <w:rPr>
          <w:rFonts w:hint="eastAsia" w:cs="宋体"/>
          <w:color w:val="auto"/>
          <w:highlight w:val="none"/>
        </w:rPr>
        <w:t>(2)中标后不按本须知第34款的规定与采购人签订合同的;</w:t>
      </w:r>
    </w:p>
    <w:p>
      <w:pPr>
        <w:adjustRightInd w:val="0"/>
        <w:snapToGrid w:val="0"/>
        <w:rPr>
          <w:rFonts w:cs="宋体"/>
          <w:color w:val="auto"/>
          <w:highlight w:val="none"/>
        </w:rPr>
      </w:pPr>
      <w:r>
        <w:rPr>
          <w:rFonts w:hint="eastAsia" w:cs="宋体"/>
          <w:color w:val="auto"/>
          <w:highlight w:val="none"/>
        </w:rPr>
        <w:t>(3)中标后不按本须知第35款的规定提交履约保证金的;</w:t>
      </w:r>
    </w:p>
    <w:p>
      <w:pPr>
        <w:adjustRightInd w:val="0"/>
        <w:snapToGrid w:val="0"/>
        <w:rPr>
          <w:rFonts w:cs="宋体"/>
          <w:color w:val="auto"/>
          <w:highlight w:val="none"/>
        </w:rPr>
      </w:pPr>
      <w:r>
        <w:rPr>
          <w:rFonts w:hint="eastAsia" w:cs="宋体"/>
          <w:color w:val="auto"/>
          <w:highlight w:val="none"/>
        </w:rPr>
        <w:t>(</w:t>
      </w:r>
      <w:r>
        <w:rPr>
          <w:rFonts w:cs="宋体"/>
          <w:color w:val="auto"/>
          <w:highlight w:val="none"/>
        </w:rPr>
        <w:t>4</w:t>
      </w:r>
      <w:r>
        <w:rPr>
          <w:rFonts w:hint="eastAsia" w:cs="宋体"/>
          <w:color w:val="auto"/>
          <w:highlight w:val="none"/>
        </w:rPr>
        <w:t>)存在其他违法违规行为的。</w:t>
      </w:r>
    </w:p>
    <w:p>
      <w:pPr>
        <w:adjustRightInd w:val="0"/>
        <w:snapToGrid w:val="0"/>
        <w:rPr>
          <w:rFonts w:cs="宋体"/>
          <w:color w:val="auto"/>
          <w:highlight w:val="none"/>
        </w:rPr>
      </w:pPr>
      <w:r>
        <w:rPr>
          <w:rFonts w:hint="eastAsia" w:cs="宋体"/>
          <w:color w:val="auto"/>
          <w:highlight w:val="none"/>
        </w:rPr>
        <w:t>13.4联合体投标的，可以由联合体中的一方或者共同提交投标保证金。以一方名义提交投标保证金的，对联合体各方均具有约束力。</w:t>
      </w:r>
    </w:p>
    <w:p>
      <w:pPr>
        <w:adjustRightInd w:val="0"/>
        <w:snapToGrid w:val="0"/>
        <w:rPr>
          <w:rFonts w:cs="宋体"/>
          <w:color w:val="auto"/>
          <w:highlight w:val="none"/>
        </w:rPr>
      </w:pPr>
      <w:r>
        <w:rPr>
          <w:rFonts w:hint="eastAsia" w:cs="宋体"/>
          <w:color w:val="auto"/>
          <w:highlight w:val="none"/>
        </w:rPr>
        <w:t>13.5投标保证金的退还</w:t>
      </w:r>
    </w:p>
    <w:p>
      <w:pPr>
        <w:adjustRightInd w:val="0"/>
        <w:snapToGrid w:val="0"/>
        <w:rPr>
          <w:rFonts w:cs="宋体"/>
          <w:color w:val="auto"/>
          <w:highlight w:val="none"/>
        </w:rPr>
      </w:pPr>
      <w:r>
        <w:rPr>
          <w:rFonts w:hint="eastAsia" w:cs="宋体"/>
          <w:color w:val="auto"/>
          <w:highlight w:val="none"/>
        </w:rPr>
        <w:t>13.5.1中标人应在与采购人签订合同之日起5个工作日内，及时联系保证金收受机构办理投标保证金退还手续。</w:t>
      </w:r>
    </w:p>
    <w:p>
      <w:pPr>
        <w:adjustRightInd w:val="0"/>
        <w:snapToGrid w:val="0"/>
        <w:rPr>
          <w:rFonts w:cs="宋体"/>
          <w:color w:val="auto"/>
          <w:highlight w:val="none"/>
        </w:rPr>
      </w:pPr>
      <w:r>
        <w:rPr>
          <w:rFonts w:hint="eastAsia" w:cs="宋体"/>
          <w:color w:val="auto"/>
          <w:highlight w:val="none"/>
        </w:rPr>
        <w:t>13.5.2未中标供应商的投标保证金将在中标通知书发出之日暨中标结果公告公布之日起5个工作日内无息退还。供应商应及时联系保证金收受机构办理退还投标保证金手续。</w:t>
      </w:r>
    </w:p>
    <w:p>
      <w:pPr>
        <w:adjustRightInd w:val="0"/>
        <w:snapToGrid w:val="0"/>
        <w:rPr>
          <w:rFonts w:cs="宋体"/>
          <w:color w:val="auto"/>
          <w:highlight w:val="none"/>
        </w:rPr>
      </w:pPr>
      <w:r>
        <w:rPr>
          <w:rFonts w:hint="eastAsia" w:cs="宋体"/>
          <w:color w:val="auto"/>
          <w:highlight w:val="none"/>
        </w:rPr>
        <w:t>13.5.3供应商在投标截止时间前撤回已提交的投标文件的，供应商应自采购人或者采购代理机构收到供应商书面撤回通知之日起５个工作日内，及时联系保证金收受机构办理投标保证金退还手续。</w:t>
      </w:r>
    </w:p>
    <w:p>
      <w:pPr>
        <w:adjustRightInd w:val="0"/>
        <w:snapToGrid w:val="0"/>
        <w:rPr>
          <w:rFonts w:cs="宋体"/>
          <w:color w:val="auto"/>
          <w:highlight w:val="none"/>
        </w:rPr>
      </w:pPr>
      <w:r>
        <w:rPr>
          <w:rFonts w:hint="eastAsia" w:cs="宋体"/>
          <w:color w:val="auto"/>
          <w:highlight w:val="none"/>
        </w:rPr>
        <w:t>13.5.4政府采购投标担保函不予退回。</w:t>
      </w:r>
    </w:p>
    <w:p>
      <w:pPr>
        <w:adjustRightInd w:val="0"/>
        <w:snapToGrid w:val="0"/>
        <w:rPr>
          <w:rFonts w:cs="宋体"/>
          <w:color w:val="auto"/>
          <w:highlight w:val="none"/>
        </w:rPr>
      </w:pPr>
      <w:r>
        <w:rPr>
          <w:rFonts w:hint="eastAsia" w:cs="宋体"/>
          <w:color w:val="auto"/>
          <w:highlight w:val="none"/>
        </w:rPr>
        <w:t>13.6因供应商自身原因导致无法及时退还的，采购人或采购代理机构将不承担相应责任。</w:t>
      </w:r>
    </w:p>
    <w:p>
      <w:pPr>
        <w:pStyle w:val="5"/>
        <w:jc w:val="left"/>
        <w:rPr>
          <w:color w:val="auto"/>
          <w:highlight w:val="none"/>
        </w:rPr>
      </w:pPr>
      <w:r>
        <w:rPr>
          <w:rFonts w:hint="eastAsia"/>
          <w:color w:val="auto"/>
          <w:highlight w:val="none"/>
        </w:rPr>
        <w:t>★14.证明投标标的的合格性和符合招标文件规定的技术文件</w:t>
      </w:r>
    </w:p>
    <w:p>
      <w:pPr>
        <w:adjustRightInd w:val="0"/>
        <w:snapToGrid w:val="0"/>
        <w:rPr>
          <w:rFonts w:cs="宋体"/>
          <w:color w:val="auto"/>
          <w:highlight w:val="none"/>
        </w:rPr>
      </w:pPr>
      <w:r>
        <w:rPr>
          <w:rFonts w:hint="eastAsia" w:cs="宋体"/>
          <w:color w:val="auto"/>
          <w:highlight w:val="none"/>
        </w:rPr>
        <w:t>14.1供应商应提交证明文件，证明其投标内容符合招标文件规定。该证明文件是投标文件的一部分。</w:t>
      </w:r>
    </w:p>
    <w:p>
      <w:pPr>
        <w:adjustRightInd w:val="0"/>
        <w:snapToGrid w:val="0"/>
        <w:rPr>
          <w:rFonts w:cs="宋体"/>
          <w:color w:val="auto"/>
          <w:highlight w:val="none"/>
        </w:rPr>
      </w:pPr>
      <w:r>
        <w:rPr>
          <w:rFonts w:hint="eastAsia" w:cs="宋体"/>
          <w:color w:val="auto"/>
          <w:highlight w:val="none"/>
        </w:rPr>
        <w:t>14.2上条所述的证明文件，可以是文字资料、图纸和数据。</w:t>
      </w:r>
    </w:p>
    <w:p>
      <w:pPr>
        <w:pStyle w:val="5"/>
        <w:jc w:val="left"/>
        <w:rPr>
          <w:color w:val="auto"/>
          <w:highlight w:val="none"/>
        </w:rPr>
      </w:pPr>
      <w:r>
        <w:rPr>
          <w:rFonts w:hint="eastAsia"/>
          <w:color w:val="auto"/>
          <w:highlight w:val="none"/>
        </w:rPr>
        <w:t>★15.投标有效期</w:t>
      </w:r>
    </w:p>
    <w:p>
      <w:pPr>
        <w:adjustRightInd w:val="0"/>
        <w:snapToGrid w:val="0"/>
        <w:rPr>
          <w:rFonts w:cs="宋体"/>
          <w:color w:val="auto"/>
          <w:highlight w:val="none"/>
        </w:rPr>
      </w:pPr>
      <w:r>
        <w:rPr>
          <w:rFonts w:hint="eastAsia" w:cs="宋体"/>
          <w:color w:val="auto"/>
          <w:highlight w:val="none"/>
        </w:rPr>
        <w:t>15.1 投标应在供应商须知表15.1款中规定的投标有效期内保持有效。投标有效期不满足要求的投标，其投标将被认定为</w:t>
      </w:r>
      <w:r>
        <w:rPr>
          <w:rFonts w:hint="eastAsia" w:cs="宋体"/>
          <w:b/>
          <w:bCs/>
          <w:color w:val="auto"/>
          <w:highlight w:val="none"/>
        </w:rPr>
        <w:t>投标无效</w:t>
      </w:r>
      <w:r>
        <w:rPr>
          <w:rFonts w:hint="eastAsia" w:cs="宋体"/>
          <w:color w:val="auto"/>
          <w:highlight w:val="none"/>
        </w:rPr>
        <w:t>。</w:t>
      </w:r>
    </w:p>
    <w:p>
      <w:pPr>
        <w:adjustRightInd w:val="0"/>
        <w:snapToGrid w:val="0"/>
        <w:rPr>
          <w:rFonts w:cs="宋体"/>
          <w:color w:val="auto"/>
          <w:highlight w:val="none"/>
        </w:rPr>
      </w:pPr>
      <w:r>
        <w:rPr>
          <w:rFonts w:hint="eastAsia" w:cs="宋体"/>
          <w:color w:val="auto"/>
          <w:highlight w:val="none"/>
        </w:rPr>
        <w:t>15.2 在特殊情况下，采购人或采购代理机构可根据实际情况，在原投标有效期截止之前，要求供应商延长投标文件的有效期。接受该要求的供应商将不会被要求和允许修正其投标，且本须知中有关投标保证金的要求须在延长的有效期内继续有效。供应商可以拒绝延长投标有效期的要求，其投标保证金将及时退还。上述要求和答复都应以书面形式提交。</w:t>
      </w:r>
    </w:p>
    <w:p>
      <w:pPr>
        <w:pStyle w:val="5"/>
        <w:jc w:val="left"/>
        <w:rPr>
          <w:color w:val="auto"/>
          <w:highlight w:val="none"/>
        </w:rPr>
      </w:pPr>
      <w:r>
        <w:rPr>
          <w:rFonts w:hint="eastAsia"/>
          <w:color w:val="auto"/>
          <w:highlight w:val="none"/>
        </w:rPr>
        <w:t>★16.投标文件的签署及规定</w:t>
      </w:r>
    </w:p>
    <w:p>
      <w:pPr>
        <w:adjustRightInd w:val="0"/>
        <w:snapToGrid w:val="0"/>
        <w:rPr>
          <w:rFonts w:cs="宋体"/>
          <w:color w:val="auto"/>
          <w:highlight w:val="none"/>
        </w:rPr>
      </w:pPr>
      <w:r>
        <w:rPr>
          <w:rFonts w:hint="eastAsia" w:cs="宋体"/>
          <w:color w:val="auto"/>
          <w:highlight w:val="none"/>
        </w:rPr>
        <w:t>16.1 供应商应按供应商须知表16.1款中的规定，准备和递交投标文件正本、副本和电子文档，每份投标文件封皮须清楚地标明“正本”或“副本”。若正本和副本不符，以正本为准。</w:t>
      </w:r>
    </w:p>
    <w:p>
      <w:pPr>
        <w:adjustRightInd w:val="0"/>
        <w:snapToGrid w:val="0"/>
        <w:rPr>
          <w:rFonts w:cs="宋体"/>
          <w:color w:val="auto"/>
          <w:highlight w:val="none"/>
        </w:rPr>
      </w:pPr>
      <w:r>
        <w:rPr>
          <w:rFonts w:hint="eastAsia" w:cs="宋体"/>
          <w:color w:val="auto"/>
          <w:highlight w:val="none"/>
        </w:rPr>
        <w:t>16.2 投标文件的正本需打印或用不褪色墨水书写，并由供应商的法定代表人（非法人组织负责人）或经其正式委托代理人按招标文件规定在投标文件上签字或盖章，并加盖单位印章。委托代理人须持有书面的“法定代表人（非法人组织负责人）授权委托书”，并将其附在投标文件中。如对投标文件进行了修改，则应由供应商的法定代表人（非法人组织负责人）或其委托代理人在每一修改处签字。投标文件的副本可采用正本的复印件。</w:t>
      </w:r>
    </w:p>
    <w:p>
      <w:pPr>
        <w:adjustRightInd w:val="0"/>
        <w:snapToGrid w:val="0"/>
        <w:rPr>
          <w:rFonts w:cs="宋体"/>
          <w:color w:val="auto"/>
          <w:sz w:val="24"/>
          <w:highlight w:val="none"/>
        </w:rPr>
      </w:pPr>
      <w:r>
        <w:rPr>
          <w:rFonts w:hint="eastAsia" w:cs="宋体"/>
          <w:color w:val="auto"/>
          <w:highlight w:val="none"/>
        </w:rPr>
        <w:t>16.</w:t>
      </w:r>
      <w:r>
        <w:rPr>
          <w:rFonts w:cs="宋体"/>
          <w:color w:val="auto"/>
          <w:highlight w:val="none"/>
        </w:rPr>
        <w:t>3</w:t>
      </w:r>
      <w:r>
        <w:rPr>
          <w:rFonts w:hint="eastAsia" w:cs="宋体"/>
          <w:color w:val="auto"/>
          <w:highlight w:val="none"/>
        </w:rPr>
        <w:t xml:space="preserve"> 投标文件因字迹潦草无法辨认、表达不清或装订不当所引起的后果由供应商负责。</w:t>
      </w:r>
    </w:p>
    <w:p>
      <w:pPr>
        <w:pStyle w:val="5"/>
        <w:rPr>
          <w:color w:val="auto"/>
          <w:highlight w:val="none"/>
        </w:rPr>
      </w:pPr>
      <w:bookmarkStart w:id="56" w:name="_Toc27725_WPSOffice_Level2"/>
      <w:r>
        <w:rPr>
          <w:rFonts w:hint="eastAsia"/>
          <w:color w:val="auto"/>
          <w:highlight w:val="none"/>
        </w:rPr>
        <w:t>五 投标文件的递交</w:t>
      </w:r>
      <w:bookmarkEnd w:id="56"/>
    </w:p>
    <w:p>
      <w:pPr>
        <w:pStyle w:val="5"/>
        <w:jc w:val="left"/>
        <w:rPr>
          <w:color w:val="auto"/>
          <w:highlight w:val="none"/>
        </w:rPr>
      </w:pPr>
      <w:r>
        <w:rPr>
          <w:rFonts w:hint="eastAsia"/>
          <w:color w:val="auto"/>
          <w:highlight w:val="none"/>
        </w:rPr>
        <w:t>17.投标文件的密封和标记</w:t>
      </w:r>
    </w:p>
    <w:p>
      <w:pPr>
        <w:adjustRightInd w:val="0"/>
        <w:snapToGrid w:val="0"/>
        <w:rPr>
          <w:rFonts w:cs="宋体"/>
          <w:color w:val="auto"/>
          <w:highlight w:val="none"/>
        </w:rPr>
      </w:pPr>
      <w:r>
        <w:rPr>
          <w:rFonts w:hint="eastAsia" w:cs="宋体"/>
          <w:color w:val="auto"/>
          <w:highlight w:val="none"/>
        </w:rPr>
        <w:t>★17.1 供应商应将投标文件装订成册、密封，将正本和所有的副本、电子文档密封，并进行包封。如果供应商未按上述要求密封，其投标文件将被</w:t>
      </w:r>
      <w:r>
        <w:rPr>
          <w:rFonts w:hint="eastAsia" w:cs="宋体"/>
          <w:b/>
          <w:bCs/>
          <w:color w:val="auto"/>
          <w:highlight w:val="none"/>
        </w:rPr>
        <w:t>拒绝接收</w:t>
      </w:r>
      <w:r>
        <w:rPr>
          <w:rFonts w:hint="eastAsia" w:cs="宋体"/>
          <w:color w:val="auto"/>
          <w:highlight w:val="none"/>
        </w:rPr>
        <w:t>。</w:t>
      </w:r>
    </w:p>
    <w:p>
      <w:pPr>
        <w:adjustRightInd w:val="0"/>
        <w:snapToGrid w:val="0"/>
        <w:rPr>
          <w:rFonts w:cs="宋体"/>
          <w:color w:val="auto"/>
          <w:highlight w:val="none"/>
        </w:rPr>
      </w:pPr>
      <w:r>
        <w:rPr>
          <w:rFonts w:hint="eastAsia" w:cs="宋体"/>
          <w:color w:val="auto"/>
          <w:highlight w:val="none"/>
        </w:rPr>
        <w:t>17.2 所有包装封皮上均应：</w:t>
      </w:r>
    </w:p>
    <w:p>
      <w:pPr>
        <w:adjustRightInd w:val="0"/>
        <w:snapToGrid w:val="0"/>
        <w:rPr>
          <w:rFonts w:cs="宋体"/>
          <w:color w:val="auto"/>
          <w:highlight w:val="none"/>
        </w:rPr>
      </w:pPr>
      <w:r>
        <w:rPr>
          <w:rFonts w:hint="eastAsia" w:cs="宋体"/>
          <w:color w:val="auto"/>
          <w:highlight w:val="none"/>
        </w:rPr>
        <w:t>（1）注明项目名称、项目编号、包号、供应商名称和“在（开标时间）之前不得启封”的字样。</w:t>
      </w:r>
    </w:p>
    <w:p>
      <w:pPr>
        <w:adjustRightInd w:val="0"/>
        <w:snapToGrid w:val="0"/>
        <w:rPr>
          <w:rFonts w:cs="宋体"/>
          <w:color w:val="auto"/>
          <w:sz w:val="24"/>
          <w:highlight w:val="none"/>
        </w:rPr>
      </w:pPr>
      <w:r>
        <w:rPr>
          <w:rFonts w:hint="eastAsia" w:cs="宋体"/>
          <w:color w:val="auto"/>
          <w:highlight w:val="none"/>
        </w:rPr>
        <w:t>（2）在封口处加盖供应商单位公章。</w:t>
      </w:r>
    </w:p>
    <w:p>
      <w:pPr>
        <w:pStyle w:val="5"/>
        <w:jc w:val="left"/>
        <w:rPr>
          <w:color w:val="auto"/>
          <w:highlight w:val="none"/>
        </w:rPr>
      </w:pPr>
      <w:r>
        <w:rPr>
          <w:rFonts w:hint="eastAsia"/>
          <w:color w:val="auto"/>
          <w:highlight w:val="none"/>
        </w:rPr>
        <w:t>★18.投标截止</w:t>
      </w:r>
    </w:p>
    <w:p>
      <w:pPr>
        <w:adjustRightInd w:val="0"/>
        <w:snapToGrid w:val="0"/>
        <w:rPr>
          <w:rFonts w:cs="宋体"/>
          <w:color w:val="auto"/>
          <w:highlight w:val="none"/>
        </w:rPr>
      </w:pPr>
      <w:r>
        <w:rPr>
          <w:rFonts w:hint="eastAsia" w:cs="宋体"/>
          <w:color w:val="auto"/>
          <w:highlight w:val="none"/>
        </w:rPr>
        <w:t>18.1 供应商应在供应商须知表18.1中规定的递交投标文件截止时间前，将投标文件递交到供应商须知表18.1款中规定的地点。</w:t>
      </w:r>
    </w:p>
    <w:p>
      <w:pPr>
        <w:pStyle w:val="5"/>
        <w:jc w:val="left"/>
        <w:rPr>
          <w:rFonts w:eastAsia="宋体" w:cs="宋体"/>
          <w:color w:val="auto"/>
          <w:sz w:val="21"/>
          <w:szCs w:val="21"/>
          <w:highlight w:val="none"/>
        </w:rPr>
      </w:pPr>
      <w:r>
        <w:rPr>
          <w:rFonts w:hint="eastAsia" w:eastAsia="宋体" w:cs="宋体"/>
          <w:color w:val="auto"/>
          <w:sz w:val="21"/>
          <w:szCs w:val="21"/>
          <w:highlight w:val="none"/>
        </w:rPr>
        <w:t>18.2 采购人和采购代理机构有权按本须知的规定，延迟投标截止时间。在此情况下，采购人、采购代理机构和供应商受投标截止时间制约的所有权利和义务均应延长至新的截止时间。</w:t>
      </w:r>
    </w:p>
    <w:p>
      <w:pPr>
        <w:pStyle w:val="5"/>
        <w:jc w:val="left"/>
        <w:rPr>
          <w:color w:val="auto"/>
          <w:highlight w:val="none"/>
        </w:rPr>
      </w:pPr>
      <w:r>
        <w:rPr>
          <w:rFonts w:hint="eastAsia"/>
          <w:color w:val="auto"/>
          <w:highlight w:val="none"/>
        </w:rPr>
        <w:t>★19. 投标文件的接收、修改与撤回</w:t>
      </w:r>
    </w:p>
    <w:p>
      <w:pPr>
        <w:adjustRightInd w:val="0"/>
        <w:snapToGrid w:val="0"/>
        <w:rPr>
          <w:rFonts w:cs="宋体"/>
          <w:color w:val="auto"/>
          <w:highlight w:val="none"/>
        </w:rPr>
      </w:pPr>
      <w:r>
        <w:rPr>
          <w:rFonts w:hint="eastAsia" w:cs="宋体"/>
          <w:color w:val="auto"/>
          <w:highlight w:val="none"/>
        </w:rPr>
        <w:t>19.1 在投标截止时间后送达的投标文件，采购人和采购代理机构将</w:t>
      </w:r>
      <w:r>
        <w:rPr>
          <w:rFonts w:hint="eastAsia" w:cs="宋体"/>
          <w:b/>
          <w:bCs/>
          <w:color w:val="auto"/>
          <w:highlight w:val="none"/>
        </w:rPr>
        <w:t>拒绝接收</w:t>
      </w:r>
      <w:r>
        <w:rPr>
          <w:rFonts w:hint="eastAsia" w:cs="宋体"/>
          <w:color w:val="auto"/>
          <w:highlight w:val="none"/>
        </w:rPr>
        <w:t>。</w:t>
      </w:r>
    </w:p>
    <w:p>
      <w:pPr>
        <w:adjustRightInd w:val="0"/>
        <w:snapToGrid w:val="0"/>
        <w:rPr>
          <w:rFonts w:cs="宋体"/>
          <w:color w:val="auto"/>
          <w:highlight w:val="none"/>
        </w:rPr>
      </w:pPr>
      <w:r>
        <w:rPr>
          <w:rFonts w:hint="eastAsia" w:cs="宋体"/>
          <w:color w:val="auto"/>
          <w:highlight w:val="none"/>
        </w:rPr>
        <w:t>19.2 采购人或者采购代理机构收到投标文件后，应当如实记载投标文件的送达时间和密封情况。</w:t>
      </w:r>
    </w:p>
    <w:p>
      <w:pPr>
        <w:adjustRightInd w:val="0"/>
        <w:snapToGrid w:val="0"/>
        <w:rPr>
          <w:rFonts w:cs="宋体"/>
          <w:color w:val="auto"/>
          <w:highlight w:val="none"/>
        </w:rPr>
      </w:pPr>
      <w:r>
        <w:rPr>
          <w:rFonts w:hint="eastAsia" w:cs="宋体"/>
          <w:color w:val="auto"/>
          <w:highlight w:val="none"/>
        </w:rPr>
        <w:t>19.3 递交投标文件以后，如果供应商要进行修改或撤回投标，须提出书面申请并在投标截止时间前送达开标地点，供应商对投标文件的修改或撤回通知应按本须知规定编制、密封、标记。采购人和采购代理机构将予以接收，并视为投标文件的组成部分。否则，修改后的投标文件或撤回行为无效。</w:t>
      </w:r>
    </w:p>
    <w:p>
      <w:pPr>
        <w:adjustRightInd w:val="0"/>
        <w:snapToGrid w:val="0"/>
        <w:rPr>
          <w:rFonts w:cs="宋体"/>
          <w:color w:val="auto"/>
          <w:highlight w:val="none"/>
        </w:rPr>
      </w:pPr>
      <w:r>
        <w:rPr>
          <w:rFonts w:hint="eastAsia" w:cs="宋体"/>
          <w:color w:val="auto"/>
          <w:highlight w:val="none"/>
        </w:rPr>
        <w:t>19.4 在投标截止时间之后，供应商不得对其投标文件做任何修改。</w:t>
      </w:r>
    </w:p>
    <w:p>
      <w:pPr>
        <w:adjustRightInd w:val="0"/>
        <w:snapToGrid w:val="0"/>
        <w:rPr>
          <w:rFonts w:cs="宋体"/>
          <w:color w:val="auto"/>
          <w:highlight w:val="none"/>
        </w:rPr>
      </w:pPr>
      <w:r>
        <w:rPr>
          <w:rFonts w:hint="eastAsia" w:cs="宋体"/>
          <w:color w:val="auto"/>
          <w:highlight w:val="none"/>
        </w:rPr>
        <w:t>19.5 采购人和采购代理机构对所接收并当众宣读投标内容的投标文件概不退回。</w:t>
      </w:r>
    </w:p>
    <w:p>
      <w:pPr>
        <w:pStyle w:val="5"/>
        <w:rPr>
          <w:color w:val="auto"/>
          <w:highlight w:val="none"/>
        </w:rPr>
      </w:pPr>
      <w:bookmarkStart w:id="57" w:name="_Toc988_WPSOffice_Level2"/>
      <w:r>
        <w:rPr>
          <w:rFonts w:hint="eastAsia"/>
          <w:color w:val="auto"/>
          <w:highlight w:val="none"/>
        </w:rPr>
        <w:t>六 开标及评标</w:t>
      </w:r>
      <w:bookmarkEnd w:id="57"/>
    </w:p>
    <w:p>
      <w:pPr>
        <w:pStyle w:val="5"/>
        <w:jc w:val="left"/>
        <w:rPr>
          <w:color w:val="auto"/>
          <w:highlight w:val="none"/>
        </w:rPr>
      </w:pPr>
      <w:r>
        <w:rPr>
          <w:rFonts w:hint="eastAsia"/>
          <w:color w:val="auto"/>
          <w:highlight w:val="none"/>
        </w:rPr>
        <w:t>20.开标</w:t>
      </w:r>
    </w:p>
    <w:p>
      <w:pPr>
        <w:adjustRightInd w:val="0"/>
        <w:snapToGrid w:val="0"/>
        <w:rPr>
          <w:rFonts w:cs="宋体"/>
          <w:color w:val="auto"/>
          <w:highlight w:val="none"/>
        </w:rPr>
      </w:pPr>
      <w:r>
        <w:rPr>
          <w:rFonts w:hint="eastAsia" w:cs="宋体"/>
          <w:color w:val="auto"/>
          <w:highlight w:val="none"/>
        </w:rPr>
        <w:t>20.1 采购人和采购代理机构将按供应商须知表20.1款中规定的开标时间和地点组织公开开标并邀请所有供应商代表参加。</w:t>
      </w:r>
    </w:p>
    <w:p>
      <w:pPr>
        <w:adjustRightInd w:val="0"/>
        <w:snapToGrid w:val="0"/>
        <w:ind w:firstLine="420" w:firstLineChars="200"/>
        <w:rPr>
          <w:rFonts w:cs="宋体"/>
          <w:color w:val="auto"/>
          <w:highlight w:val="none"/>
        </w:rPr>
      </w:pPr>
      <w:r>
        <w:rPr>
          <w:rFonts w:hint="eastAsia" w:cs="宋体"/>
          <w:color w:val="auto"/>
          <w:highlight w:val="none"/>
        </w:rPr>
        <w:t>供应商不足3家的，不得开标。评标委员会成员不得参加开标活动。</w:t>
      </w:r>
    </w:p>
    <w:p>
      <w:pPr>
        <w:adjustRightInd w:val="0"/>
        <w:snapToGrid w:val="0"/>
        <w:rPr>
          <w:rFonts w:cs="宋体"/>
          <w:color w:val="auto"/>
          <w:highlight w:val="none"/>
        </w:rPr>
      </w:pPr>
      <w:r>
        <w:rPr>
          <w:rFonts w:hint="eastAsia" w:cs="宋体"/>
          <w:color w:val="auto"/>
          <w:highlight w:val="none"/>
        </w:rPr>
        <w:t>20.2 开标时，由供应商或其推选的代表检查投标文件的密封情况，经记录后，由采购人或采购代理机构当众拆封投标文件，宣读供应商名称、投标价格及招标文件规定的内容。对于供应商在投标截止时间前递交的投标声明，在开标时当众宣读，评标时有效。</w:t>
      </w:r>
    </w:p>
    <w:p>
      <w:pPr>
        <w:adjustRightInd w:val="0"/>
        <w:snapToGrid w:val="0"/>
        <w:ind w:firstLine="420" w:firstLineChars="200"/>
        <w:rPr>
          <w:rFonts w:cs="宋体"/>
          <w:color w:val="auto"/>
          <w:highlight w:val="none"/>
        </w:rPr>
      </w:pPr>
      <w:r>
        <w:rPr>
          <w:rFonts w:hint="eastAsia" w:cs="宋体"/>
          <w:color w:val="auto"/>
          <w:highlight w:val="none"/>
        </w:rPr>
        <w:t>未宣读投标价格、价格折扣等实质内容，评标时不予承认。</w:t>
      </w:r>
    </w:p>
    <w:p>
      <w:pPr>
        <w:adjustRightInd w:val="0"/>
        <w:snapToGrid w:val="0"/>
        <w:rPr>
          <w:rFonts w:cs="宋体"/>
          <w:color w:val="auto"/>
          <w:highlight w:val="none"/>
        </w:rPr>
      </w:pPr>
      <w:r>
        <w:rPr>
          <w:rFonts w:hint="eastAsia" w:cs="宋体"/>
          <w:color w:val="auto"/>
          <w:highlight w:val="none"/>
        </w:rPr>
        <w:t>20.3 采购人或采购代理机构将对开标过程进行记录，由参加开标的各供应商代表和相关工作人员签字确认，并存档备查。供应商未参加开标或未签字确认的，视同认可开标结果。</w:t>
      </w:r>
    </w:p>
    <w:p>
      <w:pPr>
        <w:adjustRightInd w:val="0"/>
        <w:snapToGrid w:val="0"/>
        <w:rPr>
          <w:rFonts w:cs="宋体"/>
          <w:color w:val="auto"/>
          <w:highlight w:val="none"/>
        </w:rPr>
      </w:pPr>
      <w:r>
        <w:rPr>
          <w:rFonts w:hint="eastAsia" w:cs="宋体"/>
          <w:color w:val="auto"/>
          <w:highlight w:val="none"/>
        </w:rPr>
        <w:t>20.4 供应商代表对开标过程和开标记录有疑义，以及认为采购人、采购代理机构相关工作人员有需要回避的情形的，应当场提出询问或者回避申请。</w:t>
      </w:r>
    </w:p>
    <w:p>
      <w:pPr>
        <w:pStyle w:val="5"/>
        <w:jc w:val="left"/>
        <w:rPr>
          <w:color w:val="auto"/>
          <w:highlight w:val="none"/>
        </w:rPr>
      </w:pPr>
      <w:r>
        <w:rPr>
          <w:rFonts w:hint="eastAsia"/>
          <w:color w:val="auto"/>
          <w:highlight w:val="none"/>
        </w:rPr>
        <w:t>21. 组建评标委员会</w:t>
      </w:r>
    </w:p>
    <w:p>
      <w:pPr>
        <w:adjustRightInd w:val="0"/>
        <w:snapToGrid w:val="0"/>
        <w:ind w:firstLine="420" w:firstLineChars="200"/>
        <w:rPr>
          <w:rFonts w:cs="宋体"/>
          <w:color w:val="auto"/>
          <w:highlight w:val="none"/>
        </w:rPr>
      </w:pPr>
      <w:r>
        <w:rPr>
          <w:rFonts w:hint="eastAsia" w:cs="宋体"/>
          <w:color w:val="auto"/>
          <w:highlight w:val="none"/>
        </w:rPr>
        <w:t>按照《中华人民共和国政府采购法》、《中华人民共和国政府采购法实施条例》有关规定依法组建评标委员会，负责本项目评标工作。本项目评标委员会组成详见供应商须知表21款。</w:t>
      </w:r>
      <w:bookmarkStart w:id="58" w:name="_Hlk77063627"/>
      <w:r>
        <w:rPr>
          <w:rFonts w:hint="eastAsia" w:cs="宋体"/>
          <w:color w:val="auto"/>
          <w:highlight w:val="none"/>
        </w:rPr>
        <w:t>评标委员会组建后，</w:t>
      </w:r>
      <w:bookmarkEnd w:id="58"/>
      <w:r>
        <w:rPr>
          <w:rFonts w:hint="eastAsia" w:cs="宋体"/>
          <w:color w:val="auto"/>
          <w:highlight w:val="none"/>
        </w:rPr>
        <w:t>评标委员会成员共同推选组长，组长负责组织评标工作，采购人代表不得担任组长。</w:t>
      </w:r>
    </w:p>
    <w:p>
      <w:pPr>
        <w:pStyle w:val="5"/>
        <w:jc w:val="left"/>
        <w:rPr>
          <w:color w:val="auto"/>
          <w:highlight w:val="none"/>
        </w:rPr>
      </w:pPr>
      <w:r>
        <w:rPr>
          <w:rFonts w:hint="eastAsia"/>
          <w:color w:val="auto"/>
          <w:highlight w:val="none"/>
        </w:rPr>
        <w:t>★22. 资格审查</w:t>
      </w:r>
    </w:p>
    <w:p>
      <w:pPr>
        <w:adjustRightInd w:val="0"/>
        <w:snapToGrid w:val="0"/>
        <w:rPr>
          <w:rFonts w:cs="宋体"/>
          <w:color w:val="auto"/>
          <w:highlight w:val="none"/>
        </w:rPr>
      </w:pPr>
      <w:r>
        <w:rPr>
          <w:rFonts w:hint="eastAsia" w:cs="宋体"/>
          <w:color w:val="auto"/>
          <w:highlight w:val="none"/>
        </w:rPr>
        <w:t>22.1 采购人或采购代理机构依据法律法规和招标文件中规定的内容，对供应商的资格进行审查，供应商应按照第二章《投标文件内容及格式》中的相应要求提交资格证明材料。未通过资格审查的供应商不能进入评标，其投标将被认定为</w:t>
      </w:r>
      <w:r>
        <w:rPr>
          <w:rFonts w:hint="eastAsia" w:cs="宋体"/>
          <w:b/>
          <w:bCs/>
          <w:color w:val="auto"/>
          <w:highlight w:val="none"/>
        </w:rPr>
        <w:t>投标无效</w:t>
      </w:r>
      <w:r>
        <w:rPr>
          <w:rFonts w:hint="eastAsia" w:cs="宋体"/>
          <w:color w:val="auto"/>
          <w:highlight w:val="none"/>
        </w:rPr>
        <w:t>；通过资格审查的供应商不足3家的，不得评标。</w:t>
      </w:r>
    </w:p>
    <w:p>
      <w:pPr>
        <w:adjustRightInd w:val="0"/>
        <w:snapToGrid w:val="0"/>
        <w:rPr>
          <w:rFonts w:cs="宋体"/>
          <w:color w:val="auto"/>
          <w:highlight w:val="none"/>
        </w:rPr>
      </w:pPr>
      <w:r>
        <w:rPr>
          <w:rFonts w:hint="eastAsia" w:cs="宋体"/>
          <w:color w:val="auto"/>
          <w:highlight w:val="none"/>
        </w:rPr>
        <w:t>22.2 采购人或采购代理机构将</w:t>
      </w:r>
      <w:r>
        <w:rPr>
          <w:rFonts w:cs="宋体"/>
          <w:color w:val="auto"/>
          <w:highlight w:val="none"/>
        </w:rPr>
        <w:t>评审当日</w:t>
      </w:r>
      <w:r>
        <w:rPr>
          <w:rFonts w:hint="eastAsia" w:cs="宋体"/>
          <w:color w:val="auto"/>
          <w:highlight w:val="none"/>
        </w:rPr>
        <w:t>查询供应商的信用记录。供应商存在不良信用记录的，其投标将被认定为</w:t>
      </w:r>
      <w:r>
        <w:rPr>
          <w:rFonts w:hint="eastAsia" w:cs="宋体"/>
          <w:b/>
          <w:bCs/>
          <w:color w:val="auto"/>
          <w:highlight w:val="none"/>
        </w:rPr>
        <w:t>投标无效</w:t>
      </w:r>
      <w:r>
        <w:rPr>
          <w:rFonts w:hint="eastAsia" w:cs="宋体"/>
          <w:color w:val="auto"/>
          <w:highlight w:val="none"/>
        </w:rPr>
        <w:t>。</w:t>
      </w:r>
    </w:p>
    <w:p>
      <w:pPr>
        <w:adjustRightInd w:val="0"/>
        <w:snapToGrid w:val="0"/>
        <w:rPr>
          <w:rFonts w:cs="宋体"/>
          <w:color w:val="auto"/>
          <w:highlight w:val="none"/>
        </w:rPr>
      </w:pPr>
      <w:r>
        <w:rPr>
          <w:rFonts w:hint="eastAsia" w:cs="宋体"/>
          <w:color w:val="auto"/>
          <w:highlight w:val="none"/>
        </w:rPr>
        <w:t>22.2.1 不良信用记录指：供应商在中国政府采购网（www.ccgp.gov.cn）被列入政府采购严重违法失信行为记录名单，或在“信用中国”网站（www.creditchina.gov.cn）被列入失信被执行人、重大税收违法案件当事人名单，以及存在《中华人民共和国政府采购法实施条例》第十九条规定的行政处罚记录。</w:t>
      </w:r>
    </w:p>
    <w:p>
      <w:pPr>
        <w:adjustRightInd w:val="0"/>
        <w:snapToGrid w:val="0"/>
        <w:ind w:firstLine="420" w:firstLineChars="200"/>
        <w:rPr>
          <w:rFonts w:cs="宋体"/>
          <w:color w:val="auto"/>
          <w:highlight w:val="none"/>
        </w:rPr>
      </w:pPr>
      <w:r>
        <w:rPr>
          <w:rFonts w:hint="eastAsia" w:cs="宋体"/>
          <w:color w:val="auto"/>
          <w:highlight w:val="none"/>
        </w:rPr>
        <w:t>以联合体形式参加投标的，联合体任何成员存在以上不良信用记录的，联合体投标将被认定为</w:t>
      </w:r>
      <w:r>
        <w:rPr>
          <w:rFonts w:hint="eastAsia" w:cs="宋体"/>
          <w:b/>
          <w:bCs/>
          <w:color w:val="auto"/>
          <w:highlight w:val="none"/>
        </w:rPr>
        <w:t>投标无效</w:t>
      </w:r>
      <w:r>
        <w:rPr>
          <w:rFonts w:hint="eastAsia" w:cs="宋体"/>
          <w:color w:val="auto"/>
          <w:highlight w:val="none"/>
        </w:rPr>
        <w:t>。</w:t>
      </w:r>
    </w:p>
    <w:p>
      <w:pPr>
        <w:adjustRightInd w:val="0"/>
        <w:snapToGrid w:val="0"/>
        <w:rPr>
          <w:rFonts w:cs="宋体"/>
          <w:color w:val="auto"/>
          <w:highlight w:val="none"/>
        </w:rPr>
      </w:pPr>
      <w:r>
        <w:rPr>
          <w:rFonts w:hint="eastAsia" w:cs="宋体"/>
          <w:color w:val="auto"/>
          <w:highlight w:val="none"/>
        </w:rPr>
        <w:t>22.2.2 查询及记录方式：采购人或采购代理机构经办人将查询网页打印并存档备查。供应商不良信用记录以采购人或采购代理机构查询结果为准。</w:t>
      </w:r>
    </w:p>
    <w:p>
      <w:pPr>
        <w:adjustRightInd w:val="0"/>
        <w:snapToGrid w:val="0"/>
        <w:ind w:firstLine="420" w:firstLineChars="200"/>
        <w:rPr>
          <w:rFonts w:cs="宋体"/>
          <w:color w:val="auto"/>
          <w:highlight w:val="none"/>
        </w:rPr>
      </w:pPr>
      <w:r>
        <w:rPr>
          <w:rFonts w:hint="eastAsia" w:cs="宋体"/>
          <w:color w:val="auto"/>
          <w:highlight w:val="none"/>
        </w:rPr>
        <w:t>在本招标文件规定的查询时间之后，网站信息发生的任何变更均不再作为评标依据。</w:t>
      </w:r>
    </w:p>
    <w:p>
      <w:pPr>
        <w:adjustRightInd w:val="0"/>
        <w:snapToGrid w:val="0"/>
        <w:ind w:firstLine="420" w:firstLineChars="200"/>
        <w:rPr>
          <w:rFonts w:cs="宋体"/>
          <w:color w:val="auto"/>
          <w:highlight w:val="none"/>
        </w:rPr>
      </w:pPr>
      <w:r>
        <w:rPr>
          <w:rFonts w:hint="eastAsia" w:cs="宋体"/>
          <w:color w:val="auto"/>
          <w:highlight w:val="none"/>
        </w:rPr>
        <w:t>供应商自行提供的与网站信息不一致的其他证明材料亦不作为资格审查依据。</w:t>
      </w:r>
    </w:p>
    <w:p>
      <w:pPr>
        <w:pStyle w:val="5"/>
        <w:jc w:val="left"/>
        <w:rPr>
          <w:color w:val="auto"/>
          <w:highlight w:val="none"/>
        </w:rPr>
      </w:pPr>
      <w:r>
        <w:rPr>
          <w:rFonts w:hint="eastAsia"/>
          <w:color w:val="auto"/>
          <w:highlight w:val="none"/>
        </w:rPr>
        <w:t>★23.符合性审查</w:t>
      </w:r>
    </w:p>
    <w:p>
      <w:pPr>
        <w:adjustRightInd w:val="0"/>
        <w:snapToGrid w:val="0"/>
        <w:ind w:firstLine="420" w:firstLineChars="200"/>
        <w:rPr>
          <w:rFonts w:cs="宋体"/>
          <w:color w:val="auto"/>
          <w:sz w:val="24"/>
          <w:highlight w:val="none"/>
        </w:rPr>
      </w:pPr>
      <w:r>
        <w:rPr>
          <w:rFonts w:hint="eastAsia" w:cs="宋体"/>
          <w:color w:val="auto"/>
          <w:highlight w:val="none"/>
        </w:rPr>
        <w:t>符合性检查是指依据招标文件的规定，从投标文件的有效性和完整性对招标文件的响应程度进行审查，以确定是否对招标文件的实质性要求做出响应。供应商应按照第二章《投标文件内容及格式》中的相应要求，提交符合性证明材料。未通过符合性审查的供应商不能进入下一阶段评审，其投标将被认定为</w:t>
      </w:r>
      <w:r>
        <w:rPr>
          <w:rFonts w:hint="eastAsia" w:cs="宋体"/>
          <w:b/>
          <w:bCs/>
          <w:color w:val="auto"/>
          <w:highlight w:val="none"/>
        </w:rPr>
        <w:t>投标无效</w:t>
      </w:r>
      <w:r>
        <w:rPr>
          <w:rFonts w:hint="eastAsia" w:cs="宋体"/>
          <w:color w:val="auto"/>
          <w:highlight w:val="none"/>
        </w:rPr>
        <w:t>；通过符合性审查的供应商数量不足3家的，不得作进一步的比较和评价。</w:t>
      </w:r>
    </w:p>
    <w:p>
      <w:pPr>
        <w:pStyle w:val="5"/>
        <w:jc w:val="left"/>
        <w:rPr>
          <w:color w:val="auto"/>
          <w:highlight w:val="none"/>
        </w:rPr>
      </w:pPr>
      <w:r>
        <w:rPr>
          <w:rFonts w:hint="eastAsia"/>
          <w:color w:val="auto"/>
          <w:highlight w:val="none"/>
        </w:rPr>
        <w:t>★24 投标文件的澄清</w:t>
      </w:r>
    </w:p>
    <w:p>
      <w:pPr>
        <w:adjustRightInd w:val="0"/>
        <w:snapToGrid w:val="0"/>
        <w:rPr>
          <w:rFonts w:cs="宋体"/>
          <w:color w:val="auto"/>
          <w:highlight w:val="none"/>
        </w:rPr>
      </w:pPr>
      <w:r>
        <w:rPr>
          <w:rFonts w:hint="eastAsia" w:cs="宋体"/>
          <w:color w:val="auto"/>
          <w:highlight w:val="none"/>
        </w:rPr>
        <w:t>24.1 在评标期间，评标委员会将以书面方式要求供应商对其投标文件中含义不明确、对同类问题表述不一致或者有明显文字和计算错误的内容作必要的澄清、说明或补正。供应商的澄清、说明或补正应在评标委员会规定的时间内以书面方式进行，并不得超出投标文件范围或者改变投标文件的实质性内容。供应商拒不进行澄清、说明、补正的，或者不能在规定时间内作出书面澄清、说明、补正的，其投标将被作为无效投标处理。</w:t>
      </w:r>
    </w:p>
    <w:p>
      <w:pPr>
        <w:adjustRightInd w:val="0"/>
        <w:snapToGrid w:val="0"/>
        <w:rPr>
          <w:rFonts w:cs="宋体"/>
          <w:color w:val="auto"/>
          <w:highlight w:val="none"/>
        </w:rPr>
      </w:pPr>
      <w:r>
        <w:rPr>
          <w:rFonts w:hint="eastAsia" w:cs="宋体"/>
          <w:color w:val="auto"/>
          <w:highlight w:val="none"/>
        </w:rPr>
        <w:t>24.2 供应商的澄清、说明或补正将作为投标文件的一部分。</w:t>
      </w:r>
    </w:p>
    <w:p>
      <w:pPr>
        <w:adjustRightInd w:val="0"/>
        <w:snapToGrid w:val="0"/>
        <w:rPr>
          <w:rFonts w:cs="宋体"/>
          <w:color w:val="auto"/>
          <w:highlight w:val="none"/>
        </w:rPr>
      </w:pPr>
      <w:r>
        <w:rPr>
          <w:rFonts w:hint="eastAsia" w:cs="宋体"/>
          <w:color w:val="auto"/>
          <w:highlight w:val="none"/>
        </w:rPr>
        <w:t>24.3 投标文件报价出现前后不一致的，按照下列规定修正：</w:t>
      </w:r>
    </w:p>
    <w:p>
      <w:pPr>
        <w:adjustRightInd w:val="0"/>
        <w:snapToGrid w:val="0"/>
        <w:rPr>
          <w:rFonts w:cs="宋体"/>
          <w:color w:val="auto"/>
          <w:highlight w:val="none"/>
        </w:rPr>
      </w:pPr>
      <w:r>
        <w:rPr>
          <w:rFonts w:hint="eastAsia" w:cs="宋体"/>
          <w:color w:val="auto"/>
          <w:highlight w:val="none"/>
        </w:rPr>
        <w:t>（1）投标文件中开标一览表内容与投标文件中相应内容不一致的，以开标一览表为准；</w:t>
      </w:r>
    </w:p>
    <w:p>
      <w:pPr>
        <w:adjustRightInd w:val="0"/>
        <w:snapToGrid w:val="0"/>
        <w:rPr>
          <w:rFonts w:cs="宋体"/>
          <w:color w:val="auto"/>
          <w:highlight w:val="none"/>
        </w:rPr>
      </w:pPr>
      <w:r>
        <w:rPr>
          <w:rFonts w:hint="eastAsia" w:cs="宋体"/>
          <w:color w:val="auto"/>
          <w:highlight w:val="none"/>
        </w:rPr>
        <w:t>（2）大写金额和小写金额不一致的，以大写金额为准；</w:t>
      </w:r>
    </w:p>
    <w:p>
      <w:pPr>
        <w:adjustRightInd w:val="0"/>
        <w:snapToGrid w:val="0"/>
        <w:rPr>
          <w:rFonts w:cs="宋体"/>
          <w:color w:val="auto"/>
          <w:highlight w:val="none"/>
        </w:rPr>
      </w:pPr>
      <w:r>
        <w:rPr>
          <w:rFonts w:hint="eastAsia" w:cs="宋体"/>
          <w:color w:val="auto"/>
          <w:highlight w:val="none"/>
        </w:rPr>
        <w:t>（3）单价金额小数点或者百分比有明显错位的，以开标一览表的总价为准，并修改单价；</w:t>
      </w:r>
    </w:p>
    <w:p>
      <w:pPr>
        <w:adjustRightInd w:val="0"/>
        <w:snapToGrid w:val="0"/>
        <w:rPr>
          <w:rFonts w:cs="宋体"/>
          <w:color w:val="auto"/>
          <w:highlight w:val="none"/>
        </w:rPr>
      </w:pPr>
      <w:r>
        <w:rPr>
          <w:rFonts w:hint="eastAsia" w:cs="宋体"/>
          <w:color w:val="auto"/>
          <w:highlight w:val="none"/>
        </w:rPr>
        <w:t>（4）总价金额与按单价汇总金额不一致的，以单价金额计算结果为准。</w:t>
      </w:r>
    </w:p>
    <w:p>
      <w:pPr>
        <w:adjustRightInd w:val="0"/>
        <w:snapToGrid w:val="0"/>
        <w:ind w:firstLine="420" w:firstLineChars="200"/>
        <w:rPr>
          <w:rFonts w:cs="宋体"/>
          <w:color w:val="auto"/>
          <w:highlight w:val="none"/>
        </w:rPr>
      </w:pPr>
      <w:r>
        <w:rPr>
          <w:rFonts w:hint="eastAsia" w:cs="宋体"/>
          <w:color w:val="auto"/>
          <w:highlight w:val="none"/>
        </w:rPr>
        <w:t>同时出现两种以上不一致的，按照前款规定的顺序修正。修正后的报价经供应商确认后产生约束力，供应商不确认的，其投标将被认定为</w:t>
      </w:r>
      <w:r>
        <w:rPr>
          <w:rFonts w:hint="eastAsia" w:cs="宋体"/>
          <w:b/>
          <w:bCs/>
          <w:color w:val="auto"/>
          <w:highlight w:val="none"/>
        </w:rPr>
        <w:t>投标无效</w:t>
      </w:r>
      <w:r>
        <w:rPr>
          <w:rFonts w:hint="eastAsia" w:cs="宋体"/>
          <w:color w:val="auto"/>
          <w:highlight w:val="none"/>
        </w:rPr>
        <w:t>。</w:t>
      </w:r>
    </w:p>
    <w:p>
      <w:pPr>
        <w:adjustRightInd w:val="0"/>
        <w:snapToGrid w:val="0"/>
        <w:rPr>
          <w:rFonts w:cs="宋体"/>
          <w:color w:val="auto"/>
          <w:sz w:val="24"/>
          <w:highlight w:val="none"/>
        </w:rPr>
      </w:pPr>
      <w:r>
        <w:rPr>
          <w:rFonts w:hint="eastAsia" w:cs="宋体"/>
          <w:color w:val="auto"/>
          <w:highlight w:val="none"/>
        </w:rPr>
        <w:t>24.4</w:t>
      </w:r>
      <w:r>
        <w:rPr>
          <w:rFonts w:hint="eastAsia" w:cs="宋体"/>
          <w:b/>
          <w:bCs/>
          <w:color w:val="auto"/>
          <w:highlight w:val="none"/>
        </w:rPr>
        <w:t>评标委员会认为</w:t>
      </w:r>
      <w:r>
        <w:rPr>
          <w:rFonts w:hint="eastAsia" w:cs="宋体"/>
          <w:color w:val="auto"/>
          <w:highlight w:val="none"/>
        </w:rPr>
        <w:t>供应商的报价明显低于其他通过符合性审查供应商的报价，有可能影响产品质量或者不能诚信履约的，应当要求其在评标现场合理的时间内提供书面说明，必要时提交相关证明材料；供应商在不能证明其报价合理性的，评标委员会应当将其作为</w:t>
      </w:r>
      <w:r>
        <w:rPr>
          <w:rFonts w:hint="eastAsia" w:cs="宋体"/>
          <w:b/>
          <w:bCs/>
          <w:color w:val="auto"/>
          <w:highlight w:val="none"/>
        </w:rPr>
        <w:t>无效投标</w:t>
      </w:r>
      <w:r>
        <w:rPr>
          <w:rFonts w:hint="eastAsia" w:cs="宋体"/>
          <w:color w:val="auto"/>
          <w:highlight w:val="none"/>
        </w:rPr>
        <w:t>处理。提交证明材料的合理时间按第四章 评标方法规定执行。</w:t>
      </w:r>
    </w:p>
    <w:p>
      <w:pPr>
        <w:pStyle w:val="5"/>
        <w:jc w:val="left"/>
        <w:rPr>
          <w:color w:val="auto"/>
          <w:highlight w:val="none"/>
        </w:rPr>
      </w:pPr>
      <w:r>
        <w:rPr>
          <w:rFonts w:hint="eastAsia"/>
          <w:color w:val="auto"/>
          <w:highlight w:val="none"/>
        </w:rPr>
        <w:t>25演示</w:t>
      </w:r>
    </w:p>
    <w:p>
      <w:pPr>
        <w:adjustRightInd w:val="0"/>
        <w:snapToGrid w:val="0"/>
        <w:rPr>
          <w:rFonts w:cs="宋体"/>
          <w:color w:val="auto"/>
          <w:highlight w:val="none"/>
        </w:rPr>
      </w:pPr>
      <w:r>
        <w:rPr>
          <w:rFonts w:hint="eastAsia" w:cs="宋体"/>
          <w:color w:val="auto"/>
          <w:highlight w:val="none"/>
        </w:rPr>
        <w:t>演示的评审方法以及评审标准具体内容见供应商须知表25.1款。</w:t>
      </w:r>
    </w:p>
    <w:p>
      <w:pPr>
        <w:pStyle w:val="5"/>
        <w:jc w:val="left"/>
        <w:rPr>
          <w:color w:val="auto"/>
          <w:highlight w:val="none"/>
        </w:rPr>
      </w:pPr>
      <w:r>
        <w:rPr>
          <w:rFonts w:hint="eastAsia"/>
          <w:color w:val="auto"/>
          <w:highlight w:val="none"/>
        </w:rPr>
        <w:t>★26.投标无效</w:t>
      </w:r>
    </w:p>
    <w:p>
      <w:pPr>
        <w:adjustRightInd w:val="0"/>
        <w:snapToGrid w:val="0"/>
        <w:rPr>
          <w:rFonts w:cs="宋体"/>
          <w:color w:val="auto"/>
          <w:highlight w:val="none"/>
        </w:rPr>
      </w:pPr>
      <w:r>
        <w:rPr>
          <w:rFonts w:hint="eastAsia" w:cs="宋体"/>
          <w:color w:val="auto"/>
          <w:highlight w:val="none"/>
        </w:rPr>
        <w:t>26.1 在比较与评价之前，根据本须知的规定，评标委员会将审查每份投标文件是否实质上响应了招标文件的要求。</w:t>
      </w:r>
    </w:p>
    <w:p>
      <w:pPr>
        <w:adjustRightInd w:val="0"/>
        <w:snapToGrid w:val="0"/>
        <w:ind w:firstLine="420" w:firstLineChars="200"/>
        <w:rPr>
          <w:rFonts w:cs="宋体"/>
          <w:color w:val="auto"/>
          <w:kern w:val="0"/>
          <w:highlight w:val="none"/>
        </w:rPr>
      </w:pPr>
      <w:r>
        <w:rPr>
          <w:rFonts w:hint="eastAsia" w:cs="宋体"/>
          <w:color w:val="auto"/>
          <w:kern w:val="0"/>
          <w:highlight w:val="none"/>
        </w:rPr>
        <w:t>实质性要求是指招标文件中带有★号标识内容（包括本级及其下级编号中所有内容）等文字说明的要求。</w:t>
      </w:r>
    </w:p>
    <w:p>
      <w:pPr>
        <w:adjustRightInd w:val="0"/>
        <w:snapToGrid w:val="0"/>
        <w:ind w:firstLine="420" w:firstLineChars="200"/>
        <w:rPr>
          <w:rFonts w:cs="宋体"/>
          <w:color w:val="auto"/>
          <w:highlight w:val="none"/>
        </w:rPr>
      </w:pPr>
      <w:r>
        <w:rPr>
          <w:rFonts w:hint="eastAsia" w:cs="宋体"/>
          <w:color w:val="auto"/>
          <w:kern w:val="0"/>
          <w:highlight w:val="none"/>
        </w:rPr>
        <w:t>对招标文件的实质性要求进行响应是指与招标文件中带有★号标识内容的文字说明、条款、条件和规格等要求相符。</w:t>
      </w:r>
    </w:p>
    <w:p>
      <w:pPr>
        <w:adjustRightInd w:val="0"/>
        <w:snapToGrid w:val="0"/>
        <w:ind w:firstLine="420" w:firstLineChars="200"/>
        <w:rPr>
          <w:rFonts w:cs="宋体"/>
          <w:color w:val="auto"/>
          <w:highlight w:val="none"/>
        </w:rPr>
      </w:pPr>
      <w:r>
        <w:rPr>
          <w:rFonts w:hint="eastAsia" w:cs="宋体"/>
          <w:color w:val="auto"/>
          <w:highlight w:val="none"/>
        </w:rPr>
        <w:t>如果投标文件没有对招标文件的实质性要求进行响应，将作为</w:t>
      </w:r>
      <w:r>
        <w:rPr>
          <w:rFonts w:hint="eastAsia" w:cs="宋体"/>
          <w:b/>
          <w:bCs/>
          <w:color w:val="auto"/>
          <w:highlight w:val="none"/>
        </w:rPr>
        <w:t>无效投标</w:t>
      </w:r>
      <w:r>
        <w:rPr>
          <w:rFonts w:hint="eastAsia" w:cs="宋体"/>
          <w:color w:val="auto"/>
          <w:highlight w:val="none"/>
        </w:rPr>
        <w:t>处理，供应商不得再对投标文件进行任何修正从而使其投标成为实质上响应的投标。</w:t>
      </w:r>
    </w:p>
    <w:p>
      <w:pPr>
        <w:adjustRightInd w:val="0"/>
        <w:snapToGrid w:val="0"/>
        <w:ind w:firstLine="420" w:firstLineChars="200"/>
        <w:rPr>
          <w:rFonts w:cs="宋体"/>
          <w:color w:val="auto"/>
          <w:highlight w:val="none"/>
        </w:rPr>
      </w:pPr>
      <w:r>
        <w:rPr>
          <w:rFonts w:hint="eastAsia" w:cs="宋体"/>
          <w:color w:val="auto"/>
          <w:highlight w:val="none"/>
        </w:rPr>
        <w:t>评标委员会决定投标的响应性只根据招标文件要求、投标文件内容及财政主管部门指定媒体发布的相关信息。</w:t>
      </w:r>
    </w:p>
    <w:p>
      <w:pPr>
        <w:adjustRightInd w:val="0"/>
        <w:snapToGrid w:val="0"/>
        <w:rPr>
          <w:rFonts w:cs="宋体"/>
          <w:color w:val="auto"/>
          <w:highlight w:val="none"/>
        </w:rPr>
      </w:pPr>
      <w:r>
        <w:rPr>
          <w:rFonts w:hint="eastAsia" w:cs="宋体"/>
          <w:color w:val="auto"/>
          <w:highlight w:val="none"/>
        </w:rPr>
        <w:t>26.2 如发现下列情况之一的，其投标将被认定为</w:t>
      </w:r>
      <w:r>
        <w:rPr>
          <w:rFonts w:hint="eastAsia" w:cs="宋体"/>
          <w:b/>
          <w:bCs/>
          <w:color w:val="auto"/>
          <w:highlight w:val="none"/>
        </w:rPr>
        <w:t>投标无效</w:t>
      </w:r>
      <w:r>
        <w:rPr>
          <w:rFonts w:hint="eastAsia" w:cs="宋体"/>
          <w:color w:val="auto"/>
          <w:highlight w:val="none"/>
        </w:rPr>
        <w:t>：</w:t>
      </w:r>
    </w:p>
    <w:p>
      <w:pPr>
        <w:adjustRightInd w:val="0"/>
        <w:snapToGrid w:val="0"/>
        <w:rPr>
          <w:rFonts w:cs="宋体"/>
          <w:color w:val="auto"/>
          <w:highlight w:val="none"/>
        </w:rPr>
      </w:pPr>
      <w:r>
        <w:rPr>
          <w:rFonts w:hint="eastAsia" w:cs="宋体"/>
          <w:color w:val="auto"/>
          <w:highlight w:val="none"/>
        </w:rPr>
        <w:t>（1）未按招标文件的规定提交投标保证金的；</w:t>
      </w:r>
    </w:p>
    <w:p>
      <w:pPr>
        <w:adjustRightInd w:val="0"/>
        <w:snapToGrid w:val="0"/>
        <w:rPr>
          <w:rFonts w:cs="宋体"/>
          <w:color w:val="auto"/>
          <w:highlight w:val="none"/>
        </w:rPr>
      </w:pPr>
      <w:r>
        <w:rPr>
          <w:rFonts w:hint="eastAsia" w:cs="宋体"/>
          <w:color w:val="auto"/>
          <w:highlight w:val="none"/>
        </w:rPr>
        <w:t>（2）未按照招标文件规定要求签署、盖章的；</w:t>
      </w:r>
    </w:p>
    <w:p>
      <w:pPr>
        <w:adjustRightInd w:val="0"/>
        <w:snapToGrid w:val="0"/>
        <w:rPr>
          <w:rFonts w:cs="宋体"/>
          <w:color w:val="auto"/>
          <w:highlight w:val="none"/>
        </w:rPr>
      </w:pPr>
      <w:r>
        <w:rPr>
          <w:rFonts w:hint="eastAsia" w:cs="宋体"/>
          <w:color w:val="auto"/>
          <w:highlight w:val="none"/>
        </w:rPr>
        <w:t>（3）供应商的报价超过了招标文件中规定的预算金额或者最高限价的；</w:t>
      </w:r>
    </w:p>
    <w:p>
      <w:pPr>
        <w:adjustRightInd w:val="0"/>
        <w:snapToGrid w:val="0"/>
        <w:rPr>
          <w:rFonts w:cs="宋体"/>
          <w:color w:val="auto"/>
          <w:highlight w:val="none"/>
        </w:rPr>
      </w:pPr>
      <w:r>
        <w:rPr>
          <w:rFonts w:hint="eastAsia" w:cs="宋体"/>
          <w:color w:val="auto"/>
          <w:highlight w:val="none"/>
        </w:rPr>
        <w:t>（4）不具备招标文件中规定的资格要求的；</w:t>
      </w:r>
    </w:p>
    <w:p>
      <w:pPr>
        <w:adjustRightInd w:val="0"/>
        <w:snapToGrid w:val="0"/>
        <w:rPr>
          <w:rFonts w:cs="宋体"/>
          <w:color w:val="auto"/>
          <w:highlight w:val="none"/>
        </w:rPr>
      </w:pPr>
      <w:r>
        <w:rPr>
          <w:rFonts w:hint="eastAsia" w:cs="宋体"/>
          <w:color w:val="auto"/>
          <w:highlight w:val="none"/>
        </w:rPr>
        <w:t>（5）不符合法规和招标文件中规定的其他实质性要求的。</w:t>
      </w:r>
    </w:p>
    <w:p>
      <w:pPr>
        <w:adjustRightInd w:val="0"/>
        <w:snapToGrid w:val="0"/>
        <w:rPr>
          <w:rFonts w:cs="宋体"/>
          <w:color w:val="auto"/>
          <w:highlight w:val="none"/>
        </w:rPr>
      </w:pPr>
      <w:r>
        <w:rPr>
          <w:rFonts w:hint="eastAsia" w:cs="宋体"/>
          <w:color w:val="auto"/>
          <w:highlight w:val="none"/>
        </w:rPr>
        <w:t>（6）与其他供应商串通投标，或者与采购人串通投标；</w:t>
      </w:r>
    </w:p>
    <w:p>
      <w:pPr>
        <w:adjustRightInd w:val="0"/>
        <w:snapToGrid w:val="0"/>
        <w:rPr>
          <w:rFonts w:cs="宋体"/>
          <w:color w:val="auto"/>
          <w:highlight w:val="none"/>
        </w:rPr>
      </w:pPr>
      <w:r>
        <w:rPr>
          <w:rFonts w:hint="eastAsia" w:cs="宋体"/>
          <w:color w:val="auto"/>
          <w:highlight w:val="none"/>
        </w:rPr>
        <w:t>（7）评标委员会认为供应商的报价明显低于其他通过符合性检查供应商的报价，有可能影响履约的，且供应商未按照规定证明其报价合理性的；</w:t>
      </w:r>
    </w:p>
    <w:p>
      <w:pPr>
        <w:adjustRightInd w:val="0"/>
        <w:snapToGrid w:val="0"/>
        <w:rPr>
          <w:rFonts w:cs="宋体"/>
          <w:color w:val="auto"/>
          <w:highlight w:val="none"/>
        </w:rPr>
      </w:pPr>
      <w:r>
        <w:rPr>
          <w:rFonts w:hint="eastAsia" w:cs="宋体"/>
          <w:color w:val="auto"/>
          <w:highlight w:val="none"/>
        </w:rPr>
        <w:t>（8）投标文件含有采购人不能接受的附加条件的；</w:t>
      </w:r>
    </w:p>
    <w:p>
      <w:pPr>
        <w:pStyle w:val="2"/>
        <w:spacing w:line="360" w:lineRule="auto"/>
        <w:jc w:val="both"/>
        <w:rPr>
          <w:color w:val="auto"/>
          <w:sz w:val="20"/>
          <w:highlight w:val="none"/>
        </w:rPr>
      </w:pPr>
      <w:r>
        <w:rPr>
          <w:rFonts w:hint="eastAsia"/>
          <w:color w:val="auto"/>
          <w:sz w:val="20"/>
          <w:highlight w:val="none"/>
        </w:rPr>
        <w:t>（9） 所投产品中如要求安装软件，应提供正版软件，否则投标无效；台式计算机、便携式计算机必须预装正版操作系统，该系统须有唯一的正版序列号与之对应，一个正版序列号只能对应一台计算机，否则投标无效；</w:t>
      </w:r>
    </w:p>
    <w:p>
      <w:pPr>
        <w:pStyle w:val="2"/>
        <w:spacing w:line="360" w:lineRule="auto"/>
        <w:jc w:val="both"/>
        <w:rPr>
          <w:color w:val="auto"/>
          <w:sz w:val="20"/>
          <w:highlight w:val="none"/>
        </w:rPr>
      </w:pPr>
      <w:r>
        <w:rPr>
          <w:rFonts w:hint="eastAsia"/>
          <w:color w:val="auto"/>
          <w:sz w:val="20"/>
          <w:highlight w:val="none"/>
        </w:rPr>
        <w:t>（10） 政府采购执行节能产品政府强制采购和优先采购政策。如采购人所采购产品为政府强制采购的节能产品，供应商所投产品的品牌及型号必须为清单中有效期内产品并提供证明文件，否则投标无效；</w:t>
      </w:r>
    </w:p>
    <w:p>
      <w:pPr>
        <w:pStyle w:val="2"/>
        <w:spacing w:line="360" w:lineRule="auto"/>
        <w:jc w:val="both"/>
        <w:rPr>
          <w:color w:val="auto"/>
          <w:sz w:val="20"/>
          <w:highlight w:val="none"/>
        </w:rPr>
      </w:pPr>
      <w:r>
        <w:rPr>
          <w:rFonts w:hint="eastAsia"/>
          <w:color w:val="auto"/>
          <w:sz w:val="20"/>
          <w:highlight w:val="none"/>
        </w:rPr>
        <w:t>（11） 所投产品应为经国家认证的信息安全产品，并提供由中国信息安全认证中心按国家标准认证颁发的有效认证证书，否则投标无效；</w:t>
      </w:r>
    </w:p>
    <w:p>
      <w:pPr>
        <w:adjustRightInd w:val="0"/>
        <w:snapToGrid w:val="0"/>
        <w:rPr>
          <w:rFonts w:cs="宋体"/>
          <w:color w:val="auto"/>
          <w:highlight w:val="none"/>
        </w:rPr>
      </w:pPr>
      <w:r>
        <w:rPr>
          <w:rFonts w:hint="eastAsia"/>
          <w:color w:val="auto"/>
          <w:highlight w:val="none"/>
        </w:rPr>
        <w:t>（12） 属于法律、法规和招标文件规定的其他投标无效情形；</w:t>
      </w:r>
    </w:p>
    <w:p>
      <w:pPr>
        <w:pStyle w:val="5"/>
        <w:jc w:val="left"/>
        <w:rPr>
          <w:color w:val="auto"/>
          <w:highlight w:val="none"/>
        </w:rPr>
      </w:pPr>
      <w:r>
        <w:rPr>
          <w:rFonts w:hint="eastAsia"/>
          <w:color w:val="auto"/>
          <w:highlight w:val="none"/>
        </w:rPr>
        <w:t>27.比较与评价</w:t>
      </w:r>
    </w:p>
    <w:p>
      <w:pPr>
        <w:adjustRightInd w:val="0"/>
        <w:snapToGrid w:val="0"/>
        <w:rPr>
          <w:rFonts w:cs="宋体"/>
          <w:color w:val="auto"/>
          <w:highlight w:val="none"/>
        </w:rPr>
      </w:pPr>
      <w:r>
        <w:rPr>
          <w:rFonts w:hint="eastAsia" w:cs="宋体"/>
          <w:color w:val="auto"/>
          <w:highlight w:val="none"/>
        </w:rPr>
        <w:t>27.1 经符合性审查合格的投标文件，评标委员会将根据招标文件确定的评标方法和标准，对其技术部分和商务部分作进一步的比较和评价。</w:t>
      </w:r>
    </w:p>
    <w:p>
      <w:pPr>
        <w:adjustRightInd w:val="0"/>
        <w:snapToGrid w:val="0"/>
        <w:rPr>
          <w:rFonts w:cs="宋体"/>
          <w:color w:val="auto"/>
          <w:highlight w:val="none"/>
        </w:rPr>
      </w:pPr>
      <w:r>
        <w:rPr>
          <w:rFonts w:hint="eastAsia" w:cs="宋体"/>
          <w:color w:val="auto"/>
          <w:highlight w:val="none"/>
        </w:rPr>
        <w:t>27.2 评标严格按照招标文件的要求和条件进行。根据实际情况，在供应商须知表27.2款中规定采用下列一种评标方法，详细评标标准见第四章 评标方法。</w:t>
      </w:r>
    </w:p>
    <w:p>
      <w:pPr>
        <w:adjustRightInd w:val="0"/>
        <w:snapToGrid w:val="0"/>
        <w:rPr>
          <w:rFonts w:cs="宋体"/>
          <w:color w:val="auto"/>
          <w:highlight w:val="none"/>
        </w:rPr>
      </w:pPr>
      <w:r>
        <w:rPr>
          <w:rFonts w:hint="eastAsia" w:cs="宋体"/>
          <w:color w:val="auto"/>
          <w:highlight w:val="none"/>
        </w:rPr>
        <w:t>（1） 最低评标价法，是指投标文件满足招标文件全部实质性要求，且投标报价最低的供应商为中标候选人的评标方法。</w:t>
      </w:r>
    </w:p>
    <w:p>
      <w:pPr>
        <w:adjustRightInd w:val="0"/>
        <w:snapToGrid w:val="0"/>
        <w:rPr>
          <w:rFonts w:cs="宋体"/>
          <w:color w:val="auto"/>
          <w:highlight w:val="none"/>
        </w:rPr>
      </w:pPr>
      <w:r>
        <w:rPr>
          <w:rFonts w:hint="eastAsia" w:cs="宋体"/>
          <w:color w:val="auto"/>
          <w:highlight w:val="none"/>
        </w:rPr>
        <w:t>（2） 综合评分法，是指投标文件满足招标文件全部实质性要求，且按照评审因素的量化指标评审得分最高的供应商为中标候选人的评标方法。</w:t>
      </w:r>
    </w:p>
    <w:p>
      <w:pPr>
        <w:ind w:firstLine="435"/>
        <w:rPr>
          <w:color w:val="auto"/>
          <w:highlight w:val="none"/>
        </w:rPr>
      </w:pPr>
      <w:r>
        <w:rPr>
          <w:rFonts w:hint="eastAsia" w:cs="宋体"/>
          <w:color w:val="auto"/>
          <w:highlight w:val="none"/>
        </w:rPr>
        <w:t>27.3根据《政府采购促进中小企业发展管理办法》（财库〔2020〕46号）、《财政部 司法部关于政府采购支持监狱企业发展有关问题的通知》（财库〔2014〕68 号）和《三部门联合发布关于促进残疾人就业政府采购政策的通知》（财库〔2017〕141 号）</w:t>
      </w:r>
      <w:r>
        <w:rPr>
          <w:rFonts w:hint="eastAsia"/>
          <w:color w:val="auto"/>
          <w:highlight w:val="none"/>
        </w:rPr>
        <w:t>、《财政部 关于进一步加大政府采购支持中小企业力度的通知》（财库〔2022〕19号）的规定，对于非专门面向中小企业的项目，在满足价格扣除条件且在投标文件中提交了《中小企业声明函》，或省级以上监狱管理局、戒毒管理局（含新疆生产建设兵团）出具的属于监狱企业的证明文件的供应商，其投标报价按照供应商须知表中规定的标准扣除后的价格参与评审。对于同时属于小微企业、监狱企业或残疾人福利性单位的，不重复进行投标报价扣除。</w:t>
      </w:r>
    </w:p>
    <w:p>
      <w:pPr>
        <w:ind w:firstLine="435"/>
        <w:rPr>
          <w:color w:val="auto"/>
          <w:highlight w:val="none"/>
        </w:rPr>
      </w:pPr>
      <w:r>
        <w:rPr>
          <w:rFonts w:hint="eastAsia"/>
          <w:color w:val="auto"/>
          <w:highlight w:val="none"/>
        </w:rPr>
        <w:t>接受大中型企业与小微企业组成联合体或者允许大中型企业向一家或者多家小微企业分包的，对于联合协议或者分包意向协议约定小微企业的合同份额占到合同总金额30%以上的，可给予联合体或者大中型企业的投标报价按照供应商须知表中规定的标准扣除后的价格参与评审。组成联合体或者接受分包的小微企业与联合体内其他企业、分包企业之间存在直接控股、管理关系的，不享受价格扣除优惠政策。</w:t>
      </w:r>
    </w:p>
    <w:p>
      <w:pPr>
        <w:ind w:firstLine="435"/>
        <w:rPr>
          <w:color w:val="auto"/>
          <w:highlight w:val="none"/>
        </w:rPr>
      </w:pPr>
      <w:r>
        <w:rPr>
          <w:rFonts w:hint="eastAsia"/>
          <w:color w:val="auto"/>
          <w:highlight w:val="none"/>
        </w:rPr>
        <w:t>以联合体形式参加政府采购活动，联合体各方均为中小企业的，联合体视同中小企业。其中，联合体各方均为小微企业的，联合体视同小微企业。</w:t>
      </w:r>
    </w:p>
    <w:p>
      <w:pPr>
        <w:adjustRightInd w:val="0"/>
        <w:snapToGrid w:val="0"/>
        <w:rPr>
          <w:rFonts w:cs="宋体"/>
          <w:color w:val="auto"/>
          <w:highlight w:val="none"/>
        </w:rPr>
      </w:pPr>
      <w:r>
        <w:rPr>
          <w:rFonts w:hint="eastAsia" w:cs="宋体"/>
          <w:color w:val="auto"/>
          <w:highlight w:val="none"/>
        </w:rPr>
        <w:t>27.4 依据财政部、发展改革委、生态环境部等部门发布的品目清单和国家确定的认证机构出具的、处于有效期之内的节能产品、环境标志产品认证证书实施政府优先采购。具体优先采购办法见招标文件第四章 评标方法。</w:t>
      </w:r>
    </w:p>
    <w:p>
      <w:pPr>
        <w:pStyle w:val="5"/>
        <w:jc w:val="left"/>
        <w:rPr>
          <w:color w:val="auto"/>
          <w:highlight w:val="none"/>
        </w:rPr>
      </w:pPr>
      <w:r>
        <w:rPr>
          <w:rFonts w:hint="eastAsia"/>
          <w:color w:val="auto"/>
          <w:highlight w:val="none"/>
        </w:rPr>
        <w:t>★28.废标</w:t>
      </w:r>
    </w:p>
    <w:p>
      <w:pPr>
        <w:adjustRightInd w:val="0"/>
        <w:snapToGrid w:val="0"/>
        <w:ind w:firstLine="420" w:firstLineChars="200"/>
        <w:rPr>
          <w:rFonts w:cs="宋体"/>
          <w:color w:val="auto"/>
          <w:highlight w:val="none"/>
        </w:rPr>
      </w:pPr>
      <w:r>
        <w:rPr>
          <w:rFonts w:hint="eastAsia" w:cs="宋体"/>
          <w:color w:val="auto"/>
          <w:highlight w:val="none"/>
        </w:rPr>
        <w:t>出现下列情形之一，将导致项目</w:t>
      </w:r>
      <w:r>
        <w:rPr>
          <w:rFonts w:hint="eastAsia" w:cs="宋体"/>
          <w:b/>
          <w:bCs/>
          <w:color w:val="auto"/>
          <w:highlight w:val="none"/>
        </w:rPr>
        <w:t>废标</w:t>
      </w:r>
      <w:r>
        <w:rPr>
          <w:rFonts w:hint="eastAsia" w:cs="宋体"/>
          <w:color w:val="auto"/>
          <w:highlight w:val="none"/>
        </w:rPr>
        <w:t>：</w:t>
      </w:r>
    </w:p>
    <w:p>
      <w:pPr>
        <w:adjustRightInd w:val="0"/>
        <w:snapToGrid w:val="0"/>
        <w:rPr>
          <w:rFonts w:cs="宋体"/>
          <w:color w:val="auto"/>
          <w:highlight w:val="none"/>
        </w:rPr>
      </w:pPr>
      <w:r>
        <w:rPr>
          <w:rFonts w:hint="eastAsia" w:cs="宋体"/>
          <w:color w:val="auto"/>
          <w:highlight w:val="none"/>
        </w:rPr>
        <w:t>（1）符合专业条件的供应商或者对招标文件做实质性响应的供应商不足3家；</w:t>
      </w:r>
    </w:p>
    <w:p>
      <w:pPr>
        <w:adjustRightInd w:val="0"/>
        <w:snapToGrid w:val="0"/>
        <w:rPr>
          <w:rFonts w:cs="宋体"/>
          <w:color w:val="auto"/>
          <w:highlight w:val="none"/>
        </w:rPr>
      </w:pPr>
      <w:r>
        <w:rPr>
          <w:rFonts w:hint="eastAsia" w:cs="宋体"/>
          <w:color w:val="auto"/>
          <w:highlight w:val="none"/>
        </w:rPr>
        <w:t>（2）出现影响采购公正的违法、违规行为的；</w:t>
      </w:r>
    </w:p>
    <w:p>
      <w:pPr>
        <w:adjustRightInd w:val="0"/>
        <w:snapToGrid w:val="0"/>
        <w:rPr>
          <w:rFonts w:cs="宋体"/>
          <w:color w:val="auto"/>
          <w:highlight w:val="none"/>
        </w:rPr>
      </w:pPr>
      <w:r>
        <w:rPr>
          <w:rFonts w:hint="eastAsia" w:cs="宋体"/>
          <w:color w:val="auto"/>
          <w:highlight w:val="none"/>
        </w:rPr>
        <w:t>（3）供应商的报价均超过了采购预算或最高限价，采购人不能支付的；</w:t>
      </w:r>
    </w:p>
    <w:p>
      <w:pPr>
        <w:adjustRightInd w:val="0"/>
        <w:snapToGrid w:val="0"/>
        <w:rPr>
          <w:rFonts w:cs="宋体"/>
          <w:color w:val="auto"/>
          <w:highlight w:val="none"/>
        </w:rPr>
      </w:pPr>
      <w:r>
        <w:rPr>
          <w:rFonts w:hint="eastAsia" w:cs="宋体"/>
          <w:color w:val="auto"/>
          <w:highlight w:val="none"/>
        </w:rPr>
        <w:t>（4）因重大变故，采购任务取消的。</w:t>
      </w:r>
    </w:p>
    <w:p>
      <w:pPr>
        <w:pStyle w:val="5"/>
        <w:jc w:val="left"/>
        <w:rPr>
          <w:color w:val="auto"/>
          <w:highlight w:val="none"/>
        </w:rPr>
      </w:pPr>
      <w:r>
        <w:rPr>
          <w:rFonts w:hint="eastAsia"/>
          <w:color w:val="auto"/>
          <w:highlight w:val="none"/>
        </w:rPr>
        <w:t>29.中标候选人的推荐原则及标准</w:t>
      </w:r>
    </w:p>
    <w:p>
      <w:pPr>
        <w:adjustRightInd w:val="0"/>
        <w:snapToGrid w:val="0"/>
        <w:rPr>
          <w:rFonts w:cs="宋体"/>
          <w:color w:val="auto"/>
          <w:highlight w:val="none"/>
        </w:rPr>
      </w:pPr>
      <w:r>
        <w:rPr>
          <w:rFonts w:hint="eastAsia" w:cs="宋体"/>
          <w:color w:val="auto"/>
          <w:highlight w:val="none"/>
        </w:rPr>
        <w:t>29.1除第32条规定外，评标委员会将根据评标标准，对实质上响应招标文件的供应商按下列方法进行排序，推荐中标候选人：</w:t>
      </w:r>
    </w:p>
    <w:p>
      <w:pPr>
        <w:adjustRightInd w:val="0"/>
        <w:snapToGrid w:val="0"/>
        <w:ind w:firstLine="210" w:firstLineChars="100"/>
        <w:rPr>
          <w:rFonts w:cs="宋体"/>
          <w:color w:val="auto"/>
          <w:highlight w:val="none"/>
        </w:rPr>
      </w:pPr>
      <w:r>
        <w:rPr>
          <w:rFonts w:hint="eastAsia" w:cs="宋体"/>
          <w:color w:val="auto"/>
          <w:highlight w:val="none"/>
        </w:rPr>
        <w:t>（1）采用最低评标价法的，除了算数修正和落实政府采购政策需进行的价格扣除外，不对供应商的投标价格进行任何调整。评标结果按修正和扣除后的投标报价由低到高顺序排列。报价相同的，按第四章评标办法规定执行。</w:t>
      </w:r>
    </w:p>
    <w:p>
      <w:pPr>
        <w:adjustRightInd w:val="0"/>
        <w:snapToGrid w:val="0"/>
        <w:ind w:firstLine="210" w:firstLineChars="100"/>
        <w:rPr>
          <w:rFonts w:cs="宋体"/>
          <w:color w:val="auto"/>
          <w:highlight w:val="none"/>
        </w:rPr>
      </w:pPr>
      <w:r>
        <w:rPr>
          <w:rFonts w:hint="eastAsia" w:cs="宋体"/>
          <w:color w:val="auto"/>
          <w:highlight w:val="none"/>
        </w:rPr>
        <w:t>（2）采用综合评分法的，评标结果按评审后得分由高到低顺序排列。得分相同的，按第四章评标办法规定执行。</w:t>
      </w:r>
    </w:p>
    <w:p>
      <w:pPr>
        <w:adjustRightInd w:val="0"/>
        <w:snapToGrid w:val="0"/>
        <w:rPr>
          <w:rFonts w:cs="宋体"/>
          <w:color w:val="auto"/>
          <w:highlight w:val="none"/>
        </w:rPr>
      </w:pPr>
      <w:r>
        <w:rPr>
          <w:rFonts w:hint="eastAsia" w:cs="宋体"/>
          <w:color w:val="auto"/>
          <w:highlight w:val="none"/>
        </w:rPr>
        <w:t>29.2评标委员会将根据评标标准，按供应商须知表29.2款中规定的数量推荐中标候选人。</w:t>
      </w:r>
    </w:p>
    <w:p>
      <w:pPr>
        <w:adjustRightInd w:val="0"/>
        <w:snapToGrid w:val="0"/>
        <w:rPr>
          <w:rFonts w:cs="宋体"/>
          <w:color w:val="auto"/>
          <w:highlight w:val="none"/>
        </w:rPr>
      </w:pPr>
      <w:r>
        <w:rPr>
          <w:rFonts w:hint="eastAsia" w:cs="宋体"/>
          <w:color w:val="auto"/>
          <w:highlight w:val="none"/>
        </w:rPr>
        <w:t>29.3因推荐中标候选人名单产生其他问题，由评标委员会集体研究处理。</w:t>
      </w:r>
    </w:p>
    <w:p>
      <w:pPr>
        <w:pStyle w:val="5"/>
        <w:jc w:val="left"/>
        <w:rPr>
          <w:color w:val="auto"/>
          <w:highlight w:val="none"/>
        </w:rPr>
      </w:pPr>
      <w:r>
        <w:rPr>
          <w:rFonts w:hint="eastAsia"/>
          <w:color w:val="auto"/>
          <w:highlight w:val="none"/>
        </w:rPr>
        <w:t>★30.保密原则</w:t>
      </w:r>
    </w:p>
    <w:p>
      <w:pPr>
        <w:adjustRightInd w:val="0"/>
        <w:snapToGrid w:val="0"/>
        <w:rPr>
          <w:rFonts w:cs="宋体"/>
          <w:color w:val="auto"/>
          <w:highlight w:val="none"/>
        </w:rPr>
      </w:pPr>
      <w:r>
        <w:rPr>
          <w:rFonts w:hint="eastAsia" w:cs="宋体"/>
          <w:color w:val="auto"/>
          <w:highlight w:val="none"/>
        </w:rPr>
        <w:t>30.1 评标将在严格保密的情况下进行。</w:t>
      </w:r>
    </w:p>
    <w:p>
      <w:pPr>
        <w:adjustRightInd w:val="0"/>
        <w:snapToGrid w:val="0"/>
        <w:rPr>
          <w:rFonts w:cs="宋体"/>
          <w:color w:val="auto"/>
          <w:highlight w:val="none"/>
        </w:rPr>
      </w:pPr>
      <w:r>
        <w:rPr>
          <w:rFonts w:hint="eastAsia" w:cs="宋体"/>
          <w:color w:val="auto"/>
          <w:highlight w:val="none"/>
        </w:rPr>
        <w:t>30.2 有关人员应当遵守评标工作纪律，不得泄露评审文件、评标情况和评标过程中获悉的国家秘密、商业秘密。</w:t>
      </w:r>
    </w:p>
    <w:p>
      <w:pPr>
        <w:pStyle w:val="5"/>
        <w:rPr>
          <w:rFonts w:eastAsia="宋体" w:cs="宋体"/>
          <w:color w:val="auto"/>
          <w:highlight w:val="none"/>
        </w:rPr>
      </w:pPr>
      <w:bookmarkStart w:id="59" w:name="_Toc4544_WPSOffice_Level2"/>
      <w:r>
        <w:rPr>
          <w:rFonts w:hint="eastAsia"/>
          <w:color w:val="auto"/>
          <w:highlight w:val="none"/>
        </w:rPr>
        <w:t>七 确定中标</w:t>
      </w:r>
      <w:bookmarkEnd w:id="59"/>
    </w:p>
    <w:p>
      <w:pPr>
        <w:pStyle w:val="5"/>
        <w:jc w:val="left"/>
        <w:rPr>
          <w:color w:val="auto"/>
          <w:highlight w:val="none"/>
        </w:rPr>
      </w:pPr>
      <w:r>
        <w:rPr>
          <w:rFonts w:hint="eastAsia"/>
          <w:color w:val="auto"/>
          <w:highlight w:val="none"/>
        </w:rPr>
        <w:t>31.确定中标人</w:t>
      </w:r>
    </w:p>
    <w:p>
      <w:pPr>
        <w:adjustRightInd w:val="0"/>
        <w:snapToGrid w:val="0"/>
        <w:ind w:firstLine="420" w:firstLineChars="200"/>
        <w:rPr>
          <w:rFonts w:cs="宋体"/>
          <w:color w:val="auto"/>
          <w:highlight w:val="none"/>
        </w:rPr>
      </w:pPr>
      <w:r>
        <w:rPr>
          <w:rFonts w:hint="eastAsia" w:cs="宋体"/>
          <w:color w:val="auto"/>
          <w:highlight w:val="none"/>
        </w:rPr>
        <w:t>由采购人或者采购人委托评标委员会按照供应商须知表31中规定的方式确定中标人。</w:t>
      </w:r>
    </w:p>
    <w:p>
      <w:pPr>
        <w:adjustRightInd w:val="0"/>
        <w:snapToGrid w:val="0"/>
        <w:ind w:firstLine="420" w:firstLineChars="200"/>
        <w:rPr>
          <w:rFonts w:cs="宋体"/>
          <w:color w:val="auto"/>
          <w:highlight w:val="none"/>
        </w:rPr>
      </w:pPr>
      <w:r>
        <w:rPr>
          <w:rFonts w:hint="eastAsia" w:cs="宋体"/>
          <w:color w:val="auto"/>
          <w:highlight w:val="none"/>
        </w:rPr>
        <w:t>采购人在收到评标报告5个工作日内未按评标报告推荐的中标候选人顺序确定中标人，又不能说明合法理由的，视同按评标报告推荐的顺序确定排名第一的中标候选人为中标人。</w:t>
      </w:r>
    </w:p>
    <w:p>
      <w:pPr>
        <w:pStyle w:val="5"/>
        <w:jc w:val="left"/>
        <w:rPr>
          <w:color w:val="auto"/>
          <w:highlight w:val="none"/>
        </w:rPr>
      </w:pPr>
      <w:r>
        <w:rPr>
          <w:rFonts w:hint="eastAsia"/>
          <w:color w:val="auto"/>
          <w:highlight w:val="none"/>
        </w:rPr>
        <w:t xml:space="preserve">★32.采购任务取消        </w:t>
      </w:r>
    </w:p>
    <w:p>
      <w:pPr>
        <w:adjustRightInd w:val="0"/>
        <w:snapToGrid w:val="0"/>
        <w:ind w:firstLine="420" w:firstLineChars="200"/>
        <w:rPr>
          <w:rFonts w:cs="宋体"/>
          <w:color w:val="auto"/>
          <w:highlight w:val="none"/>
        </w:rPr>
      </w:pPr>
      <w:r>
        <w:rPr>
          <w:rFonts w:hint="eastAsia" w:cs="宋体"/>
          <w:color w:val="auto"/>
          <w:highlight w:val="none"/>
        </w:rPr>
        <w:t>因重大变故采购任务取消时，采购人有权拒绝任何供应商中标，且对受影响的供应商不承担任何责任。</w:t>
      </w:r>
    </w:p>
    <w:p>
      <w:pPr>
        <w:pStyle w:val="5"/>
        <w:jc w:val="left"/>
        <w:rPr>
          <w:color w:val="auto"/>
          <w:highlight w:val="none"/>
        </w:rPr>
      </w:pPr>
      <w:r>
        <w:rPr>
          <w:rFonts w:hint="eastAsia"/>
          <w:color w:val="auto"/>
          <w:highlight w:val="none"/>
        </w:rPr>
        <w:t>33.中标通知书</w:t>
      </w:r>
    </w:p>
    <w:p>
      <w:pPr>
        <w:adjustRightInd w:val="0"/>
        <w:snapToGrid w:val="0"/>
        <w:rPr>
          <w:rFonts w:cs="宋体"/>
          <w:color w:val="auto"/>
          <w:highlight w:val="none"/>
        </w:rPr>
      </w:pPr>
      <w:r>
        <w:rPr>
          <w:rFonts w:hint="eastAsia" w:cs="宋体"/>
          <w:color w:val="auto"/>
          <w:highlight w:val="none"/>
        </w:rPr>
        <w:t>33.1 采购人或者采购代理机构应当自中标人确定之日起2个工作日内，在省级以上财政部门指定的媒体上公告中标结果。同时向中标人发出中标通知书。</w:t>
      </w:r>
    </w:p>
    <w:p>
      <w:pPr>
        <w:adjustRightInd w:val="0"/>
        <w:snapToGrid w:val="0"/>
        <w:rPr>
          <w:rFonts w:cs="宋体"/>
          <w:color w:val="auto"/>
          <w:sz w:val="24"/>
          <w:highlight w:val="none"/>
        </w:rPr>
      </w:pPr>
      <w:r>
        <w:rPr>
          <w:rFonts w:hint="eastAsia" w:cs="宋体"/>
          <w:color w:val="auto"/>
          <w:highlight w:val="none"/>
        </w:rPr>
        <w:t>33.2 中标通知书是合同的组成部分。</w:t>
      </w:r>
    </w:p>
    <w:p>
      <w:pPr>
        <w:pStyle w:val="5"/>
        <w:jc w:val="left"/>
        <w:rPr>
          <w:color w:val="auto"/>
          <w:highlight w:val="none"/>
        </w:rPr>
      </w:pPr>
      <w:r>
        <w:rPr>
          <w:rFonts w:hint="eastAsia"/>
          <w:color w:val="auto"/>
          <w:highlight w:val="none"/>
        </w:rPr>
        <w:t>★34.签订合同</w:t>
      </w:r>
    </w:p>
    <w:p>
      <w:pPr>
        <w:adjustRightInd w:val="0"/>
        <w:snapToGrid w:val="0"/>
        <w:rPr>
          <w:rFonts w:cs="宋体"/>
          <w:color w:val="auto"/>
          <w:highlight w:val="none"/>
        </w:rPr>
      </w:pPr>
      <w:r>
        <w:rPr>
          <w:rFonts w:hint="eastAsia" w:cs="宋体"/>
          <w:color w:val="auto"/>
          <w:highlight w:val="none"/>
        </w:rPr>
        <w:t>34.1 中标人应当自发出中标通知书之日起 30 日内，与采购人签订书面合同。</w:t>
      </w:r>
    </w:p>
    <w:p>
      <w:pPr>
        <w:adjustRightInd w:val="0"/>
        <w:snapToGrid w:val="0"/>
        <w:rPr>
          <w:rFonts w:cs="宋体"/>
          <w:color w:val="auto"/>
          <w:highlight w:val="none"/>
        </w:rPr>
      </w:pPr>
      <w:r>
        <w:rPr>
          <w:rFonts w:hint="eastAsia" w:cs="宋体"/>
          <w:color w:val="auto"/>
          <w:highlight w:val="none"/>
        </w:rPr>
        <w:t>34.2 招标文件、中标人的投标文件及其澄清文件等，均为签订合同的依据。所签订的合同不得对招标文件确定的事项和中标人投标文件作实质性修改。采购人不得向中标人提出任何不合理的要求，作为签订合同的条件。</w:t>
      </w:r>
    </w:p>
    <w:p>
      <w:pPr>
        <w:adjustRightInd w:val="0"/>
        <w:snapToGrid w:val="0"/>
        <w:rPr>
          <w:rFonts w:cs="宋体"/>
          <w:color w:val="auto"/>
          <w:highlight w:val="none"/>
        </w:rPr>
      </w:pPr>
      <w:r>
        <w:rPr>
          <w:rFonts w:hint="eastAsia" w:cs="宋体"/>
          <w:color w:val="auto"/>
          <w:highlight w:val="none"/>
        </w:rPr>
        <w:t>34.3 中标人拒绝与采购人签订合同的，采购人可以按照评审报告推荐的中标候选人名单排序，确定下一中标候选人为中标人，也可以重新开展政府采购活动。</w:t>
      </w:r>
    </w:p>
    <w:p>
      <w:pPr>
        <w:pStyle w:val="5"/>
        <w:jc w:val="left"/>
        <w:rPr>
          <w:color w:val="auto"/>
          <w:highlight w:val="none"/>
        </w:rPr>
      </w:pPr>
      <w:r>
        <w:rPr>
          <w:rFonts w:hint="eastAsia"/>
          <w:color w:val="auto"/>
          <w:highlight w:val="none"/>
        </w:rPr>
        <w:t>★35.履约保证金</w:t>
      </w:r>
    </w:p>
    <w:p>
      <w:pPr>
        <w:adjustRightInd w:val="0"/>
        <w:snapToGrid w:val="0"/>
        <w:rPr>
          <w:rFonts w:cs="宋体"/>
          <w:color w:val="auto"/>
          <w:highlight w:val="none"/>
        </w:rPr>
      </w:pPr>
      <w:r>
        <w:rPr>
          <w:rFonts w:hint="eastAsia" w:cs="宋体"/>
          <w:color w:val="auto"/>
          <w:highlight w:val="none"/>
        </w:rPr>
        <w:t>35.1 中标人应按照供应商须知表35.1款规定向采购人缴纳履约保证金。</w:t>
      </w:r>
    </w:p>
    <w:p>
      <w:pPr>
        <w:adjustRightInd w:val="0"/>
        <w:snapToGrid w:val="0"/>
        <w:rPr>
          <w:rFonts w:cs="宋体"/>
          <w:color w:val="auto"/>
          <w:highlight w:val="none"/>
        </w:rPr>
      </w:pPr>
      <w:r>
        <w:rPr>
          <w:rFonts w:hint="eastAsia" w:cs="宋体"/>
          <w:color w:val="auto"/>
          <w:highlight w:val="none"/>
        </w:rPr>
        <w:t>35.2 如果中标人没有按照上述履约保证金的规定执行，将视为拒绝签订放弃中标资格，中标人的投标保证金将不予退还。在此情况下，采购人可确定下一中标候选人为中标人，也可以重新开展采购活动。</w:t>
      </w:r>
    </w:p>
    <w:p>
      <w:pPr>
        <w:pStyle w:val="5"/>
        <w:jc w:val="left"/>
        <w:rPr>
          <w:color w:val="auto"/>
          <w:highlight w:val="none"/>
        </w:rPr>
      </w:pPr>
      <w:r>
        <w:rPr>
          <w:rFonts w:hint="eastAsia"/>
          <w:color w:val="auto"/>
          <w:highlight w:val="none"/>
        </w:rPr>
        <w:t>★36.采购代理服务费</w:t>
      </w:r>
    </w:p>
    <w:p>
      <w:pPr>
        <w:ind w:firstLine="420" w:firstLineChars="200"/>
        <w:rPr>
          <w:rFonts w:cs="宋体"/>
          <w:color w:val="auto"/>
          <w:highlight w:val="none"/>
        </w:rPr>
      </w:pPr>
      <w:r>
        <w:rPr>
          <w:rFonts w:hint="eastAsia"/>
          <w:color w:val="auto"/>
          <w:highlight w:val="none"/>
        </w:rPr>
        <w:t>中标人须按照投标须知表36款规定，向采购代理机构支付招标代理服务费。</w:t>
      </w:r>
    </w:p>
    <w:p>
      <w:pPr>
        <w:pStyle w:val="5"/>
        <w:jc w:val="left"/>
        <w:rPr>
          <w:color w:val="auto"/>
          <w:highlight w:val="none"/>
        </w:rPr>
      </w:pPr>
      <w:r>
        <w:rPr>
          <w:rFonts w:hint="eastAsia"/>
          <w:color w:val="auto"/>
          <w:highlight w:val="none"/>
        </w:rPr>
        <w:t>37.廉洁自律规定</w:t>
      </w:r>
    </w:p>
    <w:p>
      <w:pPr>
        <w:adjustRightInd w:val="0"/>
        <w:snapToGrid w:val="0"/>
        <w:rPr>
          <w:rFonts w:cs="宋体"/>
          <w:color w:val="auto"/>
          <w:highlight w:val="none"/>
        </w:rPr>
      </w:pPr>
      <w:r>
        <w:rPr>
          <w:rFonts w:hint="eastAsia" w:cs="宋体"/>
          <w:color w:val="auto"/>
          <w:highlight w:val="none"/>
        </w:rPr>
        <w:t>37.1 采购代理机构工作人员不得以不正当手段获取政府采购代理业务，不得与采购人、供应商恶意串通操纵政府采购活动。</w:t>
      </w:r>
    </w:p>
    <w:p>
      <w:pPr>
        <w:adjustRightInd w:val="0"/>
        <w:snapToGrid w:val="0"/>
        <w:rPr>
          <w:rFonts w:cs="宋体"/>
          <w:color w:val="auto"/>
          <w:highlight w:val="none"/>
        </w:rPr>
      </w:pPr>
      <w:r>
        <w:rPr>
          <w:rFonts w:hint="eastAsia" w:cs="宋体"/>
          <w:color w:val="auto"/>
          <w:highlight w:val="none"/>
        </w:rPr>
        <w:t>37.2 采购代理机构工作人员不得接受采购人或者供应商组织的宴请、旅游、娱乐，不得收受礼品、现金、有价证券等，不得向采购人或者供应商报销应当由个人承担的费用。</w:t>
      </w:r>
    </w:p>
    <w:p>
      <w:pPr>
        <w:pStyle w:val="5"/>
        <w:jc w:val="left"/>
        <w:rPr>
          <w:color w:val="auto"/>
          <w:highlight w:val="none"/>
        </w:rPr>
      </w:pPr>
      <w:r>
        <w:rPr>
          <w:rFonts w:hint="eastAsia"/>
          <w:color w:val="auto"/>
          <w:highlight w:val="none"/>
        </w:rPr>
        <w:t>38.人员回避</w:t>
      </w:r>
    </w:p>
    <w:p>
      <w:pPr>
        <w:adjustRightInd w:val="0"/>
        <w:snapToGrid w:val="0"/>
        <w:ind w:firstLine="420" w:firstLineChars="200"/>
        <w:rPr>
          <w:rFonts w:cs="宋体"/>
          <w:color w:val="auto"/>
          <w:sz w:val="24"/>
          <w:highlight w:val="none"/>
        </w:rPr>
      </w:pPr>
      <w:r>
        <w:rPr>
          <w:rFonts w:hint="eastAsia" w:cs="宋体"/>
          <w:color w:val="auto"/>
          <w:highlight w:val="none"/>
        </w:rPr>
        <w:t>供应商认为采购人及其相关人员有法律法规所列与其他供应商有利害关系的，可以向采购人或采购代理机构书面提出回避申请，并说明理由。</w:t>
      </w:r>
    </w:p>
    <w:p>
      <w:pPr>
        <w:pStyle w:val="5"/>
        <w:jc w:val="left"/>
        <w:rPr>
          <w:color w:val="auto"/>
          <w:highlight w:val="none"/>
        </w:rPr>
      </w:pPr>
      <w:r>
        <w:rPr>
          <w:rFonts w:hint="eastAsia"/>
          <w:color w:val="auto"/>
          <w:highlight w:val="none"/>
        </w:rPr>
        <w:t>39.质疑与接收</w:t>
      </w:r>
    </w:p>
    <w:p>
      <w:pPr>
        <w:adjustRightInd w:val="0"/>
        <w:snapToGrid w:val="0"/>
        <w:rPr>
          <w:rFonts w:cs="宋体"/>
          <w:color w:val="auto"/>
          <w:highlight w:val="none"/>
        </w:rPr>
      </w:pPr>
      <w:r>
        <w:rPr>
          <w:rFonts w:hint="eastAsia" w:cs="宋体"/>
          <w:color w:val="auto"/>
          <w:highlight w:val="none"/>
        </w:rPr>
        <w:t>39.1 供应商认为招标文件、招标过程和中标结果使自己的权益受到损害的，可以根据《中华人民共和国政府采购法》、《中华人民共和国政府采购法实施条例》和《政府采购质疑和投诉办法》的有关规定，依法向采购人或其委托的采购代理机构提出质疑。</w:t>
      </w:r>
    </w:p>
    <w:p>
      <w:pPr>
        <w:adjustRightInd w:val="0"/>
        <w:snapToGrid w:val="0"/>
        <w:rPr>
          <w:rFonts w:cs="宋体"/>
          <w:color w:val="auto"/>
          <w:highlight w:val="none"/>
        </w:rPr>
      </w:pPr>
      <w:r>
        <w:rPr>
          <w:rFonts w:hint="eastAsia" w:cs="宋体"/>
          <w:color w:val="auto"/>
          <w:highlight w:val="none"/>
        </w:rPr>
        <w:t>39.2 质疑供应商应按照财政部门制定的《政府采购质疑函范本》格式（</w:t>
      </w:r>
      <w:bookmarkStart w:id="60" w:name="_Hlk77150539"/>
      <w:r>
        <w:rPr>
          <w:rFonts w:hint="eastAsia" w:cs="宋体"/>
          <w:color w:val="auto"/>
          <w:highlight w:val="none"/>
        </w:rPr>
        <w:t>详见中国政府采购网或</w:t>
      </w:r>
      <w:bookmarkEnd w:id="60"/>
      <w:r>
        <w:rPr>
          <w:rFonts w:hint="eastAsia" w:cs="宋体"/>
          <w:color w:val="auto"/>
          <w:highlight w:val="none"/>
        </w:rPr>
        <w:t>黑龙江省政府采购网）和《政府采购质疑和投诉办法》的要求，在法定质疑期内以纸质形式提出质疑，针对同一采购程序环节的质疑应一次性提出。</w:t>
      </w:r>
    </w:p>
    <w:p>
      <w:pPr>
        <w:adjustRightInd w:val="0"/>
        <w:snapToGrid w:val="0"/>
        <w:ind w:firstLine="420" w:firstLineChars="200"/>
        <w:rPr>
          <w:rFonts w:cs="宋体"/>
          <w:color w:val="auto"/>
          <w:highlight w:val="none"/>
        </w:rPr>
      </w:pPr>
      <w:r>
        <w:rPr>
          <w:rFonts w:hint="eastAsia" w:cs="宋体"/>
          <w:color w:val="auto"/>
          <w:highlight w:val="none"/>
        </w:rPr>
        <w:t>超出法定质疑期的、重复提出的、分次提出的或内容、形式不符合《政府采购质疑和投诉办法》的，质疑供应商将依法承担不利后果。</w:t>
      </w:r>
    </w:p>
    <w:p>
      <w:pPr>
        <w:adjustRightInd w:val="0"/>
        <w:snapToGrid w:val="0"/>
        <w:rPr>
          <w:rFonts w:cs="宋体"/>
          <w:color w:val="auto"/>
          <w:highlight w:val="none"/>
        </w:rPr>
      </w:pPr>
      <w:r>
        <w:rPr>
          <w:rFonts w:hint="eastAsia" w:cs="宋体"/>
          <w:color w:val="auto"/>
          <w:highlight w:val="none"/>
        </w:rPr>
        <w:t>39.3 采购代理机构质疑函接收部门、联系电话和通讯地址, 见供应商须知表39.3款。</w:t>
      </w:r>
    </w:p>
    <w:p>
      <w:pPr>
        <w:pStyle w:val="5"/>
        <w:jc w:val="left"/>
        <w:rPr>
          <w:color w:val="auto"/>
          <w:highlight w:val="none"/>
        </w:rPr>
      </w:pPr>
      <w:r>
        <w:rPr>
          <w:rFonts w:hint="eastAsia"/>
          <w:color w:val="auto"/>
          <w:highlight w:val="none"/>
        </w:rPr>
        <w:t>40.履约验收</w:t>
      </w:r>
    </w:p>
    <w:p>
      <w:pPr>
        <w:adjustRightInd w:val="0"/>
        <w:snapToGrid w:val="0"/>
        <w:ind w:firstLine="420"/>
        <w:rPr>
          <w:rFonts w:cs="宋体"/>
          <w:b/>
          <w:color w:val="auto"/>
          <w:highlight w:val="none"/>
        </w:rPr>
        <w:sectPr>
          <w:footerReference r:id="rId5" w:type="default"/>
          <w:pgSz w:w="11906" w:h="16838"/>
          <w:pgMar w:top="1440" w:right="1803" w:bottom="1440" w:left="1803" w:header="851" w:footer="992" w:gutter="0"/>
          <w:cols w:space="720" w:num="1"/>
          <w:docGrid w:linePitch="312" w:charSpace="0"/>
        </w:sectPr>
      </w:pPr>
      <w:r>
        <w:rPr>
          <w:rFonts w:hint="eastAsia" w:cs="宋体"/>
          <w:color w:val="auto"/>
          <w:highlight w:val="none"/>
        </w:rPr>
        <w:t>本项目采购人及其委托的采购代理机构将严格按照政府采购相关法律法规以及</w:t>
      </w:r>
      <w:r>
        <w:rPr>
          <w:rFonts w:hint="eastAsia" w:cs="宋体"/>
          <w:color w:val="auto"/>
          <w:highlight w:val="none"/>
          <w:u w:val="single"/>
        </w:rPr>
        <w:t>《黑龙江省政府采购履约验收管理办法》</w:t>
      </w:r>
      <w:r>
        <w:rPr>
          <w:rFonts w:hint="eastAsia" w:cs="宋体"/>
          <w:color w:val="auto"/>
          <w:highlight w:val="none"/>
        </w:rPr>
        <w:t>要求进行验收。</w:t>
      </w:r>
    </w:p>
    <w:p>
      <w:pPr>
        <w:pStyle w:val="4"/>
        <w:rPr>
          <w:color w:val="auto"/>
          <w:highlight w:val="none"/>
        </w:rPr>
      </w:pPr>
      <w:bookmarkStart w:id="61" w:name="_Toc78902192"/>
      <w:bookmarkStart w:id="62" w:name="_Toc29813"/>
      <w:bookmarkStart w:id="63" w:name="_Toc17725_WPSOffice_Level1"/>
      <w:r>
        <w:rPr>
          <w:rFonts w:hint="eastAsia"/>
          <w:color w:val="auto"/>
          <w:highlight w:val="none"/>
        </w:rPr>
        <w:t>第二章 投标文件内容及格式</w:t>
      </w:r>
      <w:bookmarkEnd w:id="61"/>
      <w:bookmarkEnd w:id="62"/>
      <w:bookmarkEnd w:id="63"/>
    </w:p>
    <w:p>
      <w:pPr>
        <w:pStyle w:val="6"/>
        <w:rPr>
          <w:color w:val="auto"/>
          <w:highlight w:val="none"/>
        </w:rPr>
      </w:pPr>
      <w:bookmarkStart w:id="64" w:name="sys_投标文件内容及格式：Block"/>
      <w:bookmarkEnd w:id="64"/>
      <w:bookmarkStart w:id="65" w:name="投标文件内容及格式：Block"/>
      <w:bookmarkEnd w:id="65"/>
      <w:bookmarkStart w:id="66" w:name="_Toc1538_WPSOffice_Level2"/>
      <w:bookmarkStart w:id="67" w:name="_Toc2481_WPSOffice_Level2"/>
      <w:r>
        <w:rPr>
          <w:rFonts w:hint="eastAsia"/>
          <w:color w:val="auto"/>
          <w:highlight w:val="none"/>
        </w:rPr>
        <w:t>一、投标文件、电子文档的外封面、封口、封皮及目录</w:t>
      </w:r>
      <w:bookmarkEnd w:id="66"/>
      <w:bookmarkEnd w:id="67"/>
    </w:p>
    <w:tbl>
      <w:tblPr>
        <w:tblStyle w:val="23"/>
        <w:tblW w:w="9286"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0"/>
        <w:gridCol w:w="7553"/>
        <w:gridCol w:w="98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0" w:hRule="atLeast"/>
          <w:jc w:val="center"/>
        </w:trPr>
        <w:tc>
          <w:tcPr>
            <w:tcW w:w="750" w:type="dxa"/>
            <w:vAlign w:val="center"/>
          </w:tcPr>
          <w:p>
            <w:pPr>
              <w:spacing w:line="300" w:lineRule="exact"/>
              <w:jc w:val="center"/>
              <w:rPr>
                <w:color w:val="auto"/>
                <w:highlight w:val="none"/>
              </w:rPr>
            </w:pPr>
            <w:r>
              <w:rPr>
                <w:rFonts w:hint="eastAsia"/>
                <w:color w:val="auto"/>
                <w:highlight w:val="none"/>
              </w:rPr>
              <w:t>序号</w:t>
            </w:r>
          </w:p>
        </w:tc>
        <w:tc>
          <w:tcPr>
            <w:tcW w:w="7553" w:type="dxa"/>
            <w:vAlign w:val="center"/>
          </w:tcPr>
          <w:p>
            <w:pPr>
              <w:spacing w:line="300" w:lineRule="exact"/>
              <w:jc w:val="center"/>
              <w:rPr>
                <w:color w:val="auto"/>
                <w:highlight w:val="none"/>
              </w:rPr>
            </w:pPr>
            <w:r>
              <w:rPr>
                <w:rFonts w:hint="eastAsia"/>
                <w:color w:val="auto"/>
                <w:highlight w:val="none"/>
              </w:rPr>
              <w:t>内容</w:t>
            </w:r>
          </w:p>
        </w:tc>
        <w:tc>
          <w:tcPr>
            <w:tcW w:w="983" w:type="dxa"/>
            <w:vAlign w:val="center"/>
          </w:tcPr>
          <w:p>
            <w:pPr>
              <w:spacing w:line="300" w:lineRule="exact"/>
              <w:jc w:val="center"/>
              <w:rPr>
                <w:color w:val="auto"/>
                <w:highlight w:val="none"/>
              </w:rPr>
            </w:pPr>
            <w:r>
              <w:rPr>
                <w:rFonts w:hint="eastAsia"/>
                <w:color w:val="auto"/>
                <w:highlight w:val="none"/>
              </w:rPr>
              <w:t>格式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5" w:hRule="atLeast"/>
          <w:jc w:val="center"/>
        </w:trPr>
        <w:tc>
          <w:tcPr>
            <w:tcW w:w="750" w:type="dxa"/>
            <w:vAlign w:val="center"/>
          </w:tcPr>
          <w:p>
            <w:pPr>
              <w:spacing w:line="300" w:lineRule="exact"/>
              <w:jc w:val="center"/>
              <w:rPr>
                <w:color w:val="auto"/>
                <w:highlight w:val="none"/>
              </w:rPr>
            </w:pPr>
            <w:r>
              <w:rPr>
                <w:rFonts w:hint="eastAsia"/>
                <w:color w:val="auto"/>
                <w:highlight w:val="none"/>
              </w:rPr>
              <w:t>1</w:t>
            </w:r>
          </w:p>
        </w:tc>
        <w:tc>
          <w:tcPr>
            <w:tcW w:w="7553" w:type="dxa"/>
            <w:vAlign w:val="center"/>
          </w:tcPr>
          <w:p>
            <w:pPr>
              <w:spacing w:line="300" w:lineRule="exact"/>
              <w:rPr>
                <w:color w:val="auto"/>
                <w:highlight w:val="none"/>
              </w:rPr>
            </w:pPr>
            <w:r>
              <w:rPr>
                <w:rFonts w:hint="eastAsia"/>
                <w:color w:val="auto"/>
                <w:highlight w:val="none"/>
              </w:rPr>
              <w:t>投标文件、电子文档的外封面及封口</w:t>
            </w:r>
          </w:p>
        </w:tc>
        <w:tc>
          <w:tcPr>
            <w:tcW w:w="983" w:type="dxa"/>
            <w:vAlign w:val="center"/>
          </w:tcPr>
          <w:p>
            <w:pPr>
              <w:spacing w:line="300" w:lineRule="exact"/>
              <w:jc w:val="center"/>
              <w:rPr>
                <w:color w:val="auto"/>
                <w:highlight w:val="none"/>
              </w:rPr>
            </w:pPr>
            <w:r>
              <w:rPr>
                <w:rFonts w:hint="eastAsia"/>
                <w:color w:val="auto"/>
                <w:highlight w:val="none"/>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4" w:hRule="atLeast"/>
          <w:jc w:val="center"/>
        </w:trPr>
        <w:tc>
          <w:tcPr>
            <w:tcW w:w="750" w:type="dxa"/>
            <w:vAlign w:val="center"/>
          </w:tcPr>
          <w:p>
            <w:pPr>
              <w:spacing w:line="300" w:lineRule="exact"/>
              <w:jc w:val="center"/>
              <w:rPr>
                <w:color w:val="auto"/>
                <w:highlight w:val="none"/>
              </w:rPr>
            </w:pPr>
            <w:r>
              <w:rPr>
                <w:rFonts w:hint="eastAsia"/>
                <w:color w:val="auto"/>
                <w:highlight w:val="none"/>
              </w:rPr>
              <w:t>2</w:t>
            </w:r>
          </w:p>
        </w:tc>
        <w:tc>
          <w:tcPr>
            <w:tcW w:w="7553" w:type="dxa"/>
            <w:vAlign w:val="center"/>
          </w:tcPr>
          <w:p>
            <w:pPr>
              <w:spacing w:line="300" w:lineRule="exact"/>
              <w:rPr>
                <w:color w:val="auto"/>
                <w:highlight w:val="none"/>
              </w:rPr>
            </w:pPr>
            <w:r>
              <w:rPr>
                <w:rFonts w:hint="eastAsia"/>
                <w:color w:val="auto"/>
                <w:highlight w:val="none"/>
              </w:rPr>
              <w:t>投标文件的封皮</w:t>
            </w:r>
          </w:p>
        </w:tc>
        <w:tc>
          <w:tcPr>
            <w:tcW w:w="983" w:type="dxa"/>
            <w:vAlign w:val="center"/>
          </w:tcPr>
          <w:p>
            <w:pPr>
              <w:spacing w:line="300" w:lineRule="exact"/>
              <w:jc w:val="center"/>
              <w:rPr>
                <w:color w:val="auto"/>
                <w:highlight w:val="none"/>
              </w:rPr>
            </w:pPr>
            <w:r>
              <w:rPr>
                <w:rFonts w:hint="eastAsia"/>
                <w:color w:val="auto"/>
                <w:highlight w:val="none"/>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4" w:hRule="atLeast"/>
          <w:jc w:val="center"/>
        </w:trPr>
        <w:tc>
          <w:tcPr>
            <w:tcW w:w="750" w:type="dxa"/>
            <w:vAlign w:val="center"/>
          </w:tcPr>
          <w:p>
            <w:pPr>
              <w:spacing w:line="300" w:lineRule="exact"/>
              <w:jc w:val="center"/>
              <w:rPr>
                <w:color w:val="auto"/>
                <w:highlight w:val="none"/>
              </w:rPr>
            </w:pPr>
            <w:r>
              <w:rPr>
                <w:rFonts w:hint="eastAsia"/>
                <w:color w:val="auto"/>
                <w:highlight w:val="none"/>
              </w:rPr>
              <w:t>3</w:t>
            </w:r>
          </w:p>
        </w:tc>
        <w:tc>
          <w:tcPr>
            <w:tcW w:w="7553" w:type="dxa"/>
            <w:vAlign w:val="center"/>
          </w:tcPr>
          <w:p>
            <w:pPr>
              <w:spacing w:line="300" w:lineRule="exact"/>
              <w:rPr>
                <w:color w:val="auto"/>
                <w:highlight w:val="none"/>
              </w:rPr>
            </w:pPr>
            <w:r>
              <w:rPr>
                <w:rFonts w:hint="eastAsia"/>
                <w:color w:val="auto"/>
                <w:highlight w:val="none"/>
              </w:rPr>
              <w:t>投标文件的目录</w:t>
            </w:r>
          </w:p>
        </w:tc>
        <w:tc>
          <w:tcPr>
            <w:tcW w:w="983" w:type="dxa"/>
            <w:vAlign w:val="center"/>
          </w:tcPr>
          <w:p>
            <w:pPr>
              <w:spacing w:line="300" w:lineRule="exact"/>
              <w:jc w:val="center"/>
              <w:rPr>
                <w:color w:val="auto"/>
                <w:highlight w:val="none"/>
              </w:rPr>
            </w:pPr>
            <w:r>
              <w:rPr>
                <w:rFonts w:hint="eastAsia"/>
                <w:color w:val="auto"/>
                <w:highlight w:val="none"/>
              </w:rPr>
              <w:t>3</w:t>
            </w:r>
          </w:p>
        </w:tc>
      </w:tr>
    </w:tbl>
    <w:p>
      <w:pPr>
        <w:pStyle w:val="6"/>
        <w:rPr>
          <w:rFonts w:eastAsia="宋体" w:cs="宋体"/>
          <w:b/>
          <w:color w:val="auto"/>
          <w:highlight w:val="none"/>
        </w:rPr>
      </w:pPr>
      <w:bookmarkStart w:id="68" w:name="_Toc31052_WPSOffice_Level2"/>
      <w:bookmarkStart w:id="69" w:name="_Toc1266_WPSOffice_Level2"/>
      <w:r>
        <w:rPr>
          <w:rFonts w:hint="eastAsia"/>
          <w:color w:val="auto"/>
          <w:highlight w:val="none"/>
        </w:rPr>
        <w:t>二、资格证明材料</w:t>
      </w:r>
      <w:bookmarkEnd w:id="68"/>
      <w:bookmarkEnd w:id="69"/>
      <w:r>
        <w:rPr>
          <w:rFonts w:hint="eastAsia"/>
          <w:color w:val="auto"/>
          <w:highlight w:val="none"/>
        </w:rPr>
        <w:t>（有一项不符合要求，不能进入下一阶段评审）</w:t>
      </w:r>
    </w:p>
    <w:tbl>
      <w:tblPr>
        <w:tblStyle w:val="23"/>
        <w:tblW w:w="9282" w:type="dxa"/>
        <w:jc w:val="center"/>
        <w:tblInd w:w="0" w:type="dxa"/>
        <w:tblLayout w:type="fixed"/>
        <w:tblCellMar>
          <w:top w:w="0" w:type="dxa"/>
          <w:left w:w="0" w:type="dxa"/>
          <w:bottom w:w="0" w:type="dxa"/>
          <w:right w:w="0" w:type="dxa"/>
        </w:tblCellMar>
      </w:tblPr>
      <w:tblGrid>
        <w:gridCol w:w="737"/>
        <w:gridCol w:w="7711"/>
        <w:gridCol w:w="834"/>
      </w:tblGrid>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bookmarkStart w:id="70" w:name="资格性证明材料：Document"/>
            <w:bookmarkStart w:id="71" w:name="sys_资格性证明材料：Document"/>
            <w:r>
              <w:rPr>
                <w:rFonts w:hint="eastAsia"/>
                <w:color w:val="auto"/>
                <w:highlight w:val="none"/>
              </w:rPr>
              <w:t>序号</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r>
              <w:rPr>
                <w:rFonts w:hint="eastAsia"/>
                <w:color w:val="auto"/>
                <w:highlight w:val="none"/>
              </w:rPr>
              <w:t>资格证明材料</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r>
              <w:rPr>
                <w:rFonts w:hint="eastAsia"/>
                <w:color w:val="auto"/>
                <w:highlight w:val="none"/>
              </w:rPr>
              <w:t>格式</w:t>
            </w:r>
          </w:p>
        </w:tc>
      </w:tr>
      <w:tr>
        <w:tblPrEx>
          <w:tblLayout w:type="fixed"/>
          <w:tblCellMar>
            <w:top w:w="0" w:type="dxa"/>
            <w:left w:w="0" w:type="dxa"/>
            <w:bottom w:w="0" w:type="dxa"/>
            <w:right w:w="0" w:type="dxa"/>
          </w:tblCellMar>
        </w:tblPrEx>
        <w:trPr>
          <w:trHeight w:val="1130"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r>
              <w:rPr>
                <w:rFonts w:hint="eastAsia"/>
                <w:color w:val="auto"/>
                <w:highlight w:val="none"/>
              </w:rPr>
              <w:t>1</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color w:val="auto"/>
                <w:highlight w:val="none"/>
              </w:rPr>
            </w:pPr>
            <w:r>
              <w:rPr>
                <w:rFonts w:hint="eastAsia"/>
                <w:color w:val="auto"/>
                <w:highlight w:val="none"/>
              </w:rPr>
              <w:t>营业执照：</w:t>
            </w:r>
          </w:p>
          <w:p>
            <w:pPr>
              <w:spacing w:line="300" w:lineRule="exact"/>
              <w:rPr>
                <w:color w:val="auto"/>
                <w:highlight w:val="none"/>
              </w:rPr>
            </w:pPr>
            <w:r>
              <w:rPr>
                <w:rFonts w:hint="eastAsia"/>
                <w:color w:val="auto"/>
                <w:highlight w:val="none"/>
              </w:rPr>
              <w:t>1若为企业法人：提供“统一社会信用代码营业执照”；</w:t>
            </w:r>
          </w:p>
          <w:p>
            <w:pPr>
              <w:spacing w:line="300" w:lineRule="exact"/>
              <w:rPr>
                <w:color w:val="auto"/>
                <w:highlight w:val="none"/>
              </w:rPr>
            </w:pPr>
            <w:r>
              <w:rPr>
                <w:rFonts w:hint="eastAsia"/>
                <w:color w:val="auto"/>
                <w:highlight w:val="none"/>
              </w:rPr>
              <w:t>2若为事业法人：提供“事业单位法人证书”；</w:t>
            </w:r>
          </w:p>
          <w:p>
            <w:pPr>
              <w:spacing w:line="300" w:lineRule="exact"/>
              <w:rPr>
                <w:color w:val="auto"/>
                <w:highlight w:val="none"/>
              </w:rPr>
            </w:pPr>
            <w:r>
              <w:rPr>
                <w:rFonts w:hint="eastAsia"/>
                <w:color w:val="auto"/>
                <w:highlight w:val="none"/>
              </w:rPr>
              <w:t>3若为其他组织：提供“对应主管部门颁发的准许执业证明文件或营业执照”；</w:t>
            </w:r>
          </w:p>
          <w:p>
            <w:pPr>
              <w:spacing w:line="300" w:lineRule="exact"/>
              <w:rPr>
                <w:color w:val="auto"/>
                <w:highlight w:val="none"/>
              </w:rPr>
            </w:pPr>
            <w:r>
              <w:rPr>
                <w:rFonts w:hint="eastAsia"/>
                <w:color w:val="auto"/>
                <w:highlight w:val="none"/>
              </w:rPr>
              <w:t>4若为个体工商户：提交“统一社会信用代码的营业执照”；</w:t>
            </w:r>
          </w:p>
          <w:p>
            <w:pPr>
              <w:spacing w:line="300" w:lineRule="exact"/>
              <w:rPr>
                <w:color w:val="auto"/>
                <w:highlight w:val="none"/>
              </w:rPr>
            </w:pPr>
            <w:r>
              <w:rPr>
                <w:rFonts w:hint="eastAsia"/>
                <w:color w:val="auto"/>
                <w:highlight w:val="none"/>
              </w:rPr>
              <w:t>5若为自然人：提供“身份证明材料”。以上均提供复印件联合体各方均需提供上述证明（如适用）</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r>
              <w:rPr>
                <w:rFonts w:hint="eastAsia"/>
                <w:color w:val="auto"/>
                <w:highlight w:val="none"/>
              </w:rPr>
              <w:t>2</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color w:val="auto"/>
                <w:highlight w:val="none"/>
              </w:rPr>
            </w:pPr>
            <w:r>
              <w:rPr>
                <w:rFonts w:hint="eastAsia"/>
                <w:color w:val="auto"/>
                <w:highlight w:val="none"/>
              </w:rPr>
              <w:t>法定代表人（单位负责人）身份证的复印件及授权代表身份证的复印件。</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r>
              <w:rPr>
                <w:color w:val="auto"/>
                <w:highlight w:val="none"/>
              </w:rPr>
              <w:t>4</w:t>
            </w: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r>
              <w:rPr>
                <w:rFonts w:hint="eastAsia"/>
                <w:color w:val="auto"/>
                <w:highlight w:val="none"/>
              </w:rPr>
              <w:t>3</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color w:val="auto"/>
                <w:highlight w:val="none"/>
              </w:rPr>
            </w:pPr>
            <w:r>
              <w:rPr>
                <w:rFonts w:hint="eastAsia"/>
                <w:color w:val="auto"/>
                <w:highlight w:val="none"/>
              </w:rPr>
              <w:t>供应商为法人单位时提供“法定代表人授权书”，供应商为其他组织时提供“单位负责人授权书”，供应商为自然人时提供“自然人身份证明材料”</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r>
              <w:rPr>
                <w:rFonts w:hint="eastAsia"/>
                <w:color w:val="auto"/>
                <w:highlight w:val="none"/>
              </w:rPr>
              <w:t>5</w:t>
            </w: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r>
              <w:rPr>
                <w:rFonts w:hint="eastAsia"/>
                <w:color w:val="auto"/>
                <w:highlight w:val="none"/>
              </w:rPr>
              <w:t>4</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color w:val="auto"/>
                <w:highlight w:val="none"/>
              </w:rPr>
            </w:pPr>
            <w:r>
              <w:rPr>
                <w:rFonts w:hint="eastAsia"/>
                <w:color w:val="auto"/>
                <w:highlight w:val="none"/>
              </w:rPr>
              <w:t>具有良好的商业信誉和健全的财务会计制度的证明文件：提供202</w:t>
            </w:r>
            <w:r>
              <w:rPr>
                <w:rFonts w:hint="eastAsia"/>
                <w:color w:val="auto"/>
                <w:highlight w:val="none"/>
                <w:lang w:val="en-US" w:eastAsia="zh-CN"/>
              </w:rPr>
              <w:t>2</w:t>
            </w:r>
            <w:r>
              <w:rPr>
                <w:rFonts w:hint="eastAsia"/>
                <w:color w:val="auto"/>
                <w:highlight w:val="none"/>
              </w:rPr>
              <w:t>年经审计的财务审计报告复印件或者本项目递交投标文件截止时间前30日内供应商基本开户银行出具的资信证明复印件；</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r>
              <w:rPr>
                <w:rFonts w:hint="eastAsia"/>
                <w:color w:val="auto"/>
                <w:highlight w:val="none"/>
              </w:rPr>
              <w:t>5</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color w:val="auto"/>
                <w:highlight w:val="none"/>
              </w:rPr>
            </w:pPr>
            <w:r>
              <w:rPr>
                <w:rFonts w:hint="eastAsia"/>
                <w:color w:val="auto"/>
                <w:highlight w:val="none"/>
              </w:rPr>
              <w:t>评标当日之前一年内任一个月的依法缴纳税收的缴款凭据复印件</w:t>
            </w:r>
          </w:p>
          <w:p>
            <w:pPr>
              <w:spacing w:line="300" w:lineRule="exact"/>
              <w:rPr>
                <w:color w:val="auto"/>
                <w:highlight w:val="none"/>
              </w:rPr>
            </w:pPr>
            <w:r>
              <w:rPr>
                <w:rFonts w:hint="eastAsia"/>
                <w:color w:val="auto"/>
                <w:highlight w:val="none"/>
              </w:rPr>
              <w:t>（注：依法免税的供应商，应提供相关证明材料，包括相关法规要求原文及加盖公章的情况说明）</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r>
              <w:rPr>
                <w:rFonts w:hint="eastAsia"/>
                <w:color w:val="auto"/>
                <w:highlight w:val="none"/>
              </w:rPr>
              <w:t>6</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color w:val="auto"/>
                <w:highlight w:val="none"/>
              </w:rPr>
            </w:pPr>
            <w:r>
              <w:rPr>
                <w:rFonts w:hint="eastAsia"/>
                <w:color w:val="auto"/>
                <w:highlight w:val="none"/>
              </w:rPr>
              <w:t>评标当日之前一年内任一个月的依法缴纳社会保障资金</w:t>
            </w:r>
            <w:r>
              <w:rPr>
                <w:color w:val="auto"/>
                <w:highlight w:val="none"/>
              </w:rPr>
              <w:t>的</w:t>
            </w:r>
            <w:r>
              <w:rPr>
                <w:rFonts w:hint="eastAsia"/>
                <w:color w:val="auto"/>
                <w:highlight w:val="none"/>
              </w:rPr>
              <w:t>缴款凭据复印件</w:t>
            </w:r>
          </w:p>
          <w:p>
            <w:pPr>
              <w:spacing w:line="300" w:lineRule="exact"/>
              <w:rPr>
                <w:color w:val="auto"/>
                <w:highlight w:val="none"/>
              </w:rPr>
            </w:pPr>
            <w:r>
              <w:rPr>
                <w:rFonts w:hint="eastAsia"/>
                <w:color w:val="auto"/>
                <w:highlight w:val="none"/>
              </w:rPr>
              <w:t>（注：依法不需要缴纳社会保障资金的供应商，应提供相关证明材料，包括相关法规要求原文及加盖公章的情况说明）</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r>
              <w:rPr>
                <w:rFonts w:hint="eastAsia"/>
                <w:color w:val="auto"/>
                <w:highlight w:val="none"/>
              </w:rPr>
              <w:t>7</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color w:val="auto"/>
                <w:highlight w:val="none"/>
              </w:rPr>
            </w:pPr>
            <w:r>
              <w:rPr>
                <w:rFonts w:hint="eastAsia"/>
                <w:color w:val="auto"/>
                <w:highlight w:val="none"/>
              </w:rPr>
              <w:t>具备履行合同所必需的设备和专业技术能力声明函</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r>
              <w:rPr>
                <w:rFonts w:hint="eastAsia"/>
                <w:color w:val="auto"/>
                <w:highlight w:val="none"/>
              </w:rPr>
              <w:t>6</w:t>
            </w: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r>
              <w:rPr>
                <w:rFonts w:hint="eastAsia"/>
                <w:color w:val="auto"/>
                <w:highlight w:val="none"/>
              </w:rPr>
              <w:t>8</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color w:val="auto"/>
                <w:highlight w:val="none"/>
              </w:rPr>
            </w:pPr>
            <w:r>
              <w:rPr>
                <w:rFonts w:hint="eastAsia"/>
                <w:color w:val="auto"/>
                <w:highlight w:val="none"/>
              </w:rPr>
              <w:t>参加政府采购活动前3年内在经营活动中没有重大违法记录的书面声明</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r>
              <w:rPr>
                <w:rFonts w:hint="eastAsia"/>
                <w:color w:val="auto"/>
                <w:highlight w:val="none"/>
              </w:rPr>
              <w:t>7</w:t>
            </w: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r>
              <w:rPr>
                <w:rFonts w:hint="eastAsia"/>
                <w:color w:val="auto"/>
                <w:highlight w:val="none"/>
              </w:rPr>
              <w:t>9</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color w:val="auto"/>
                <w:highlight w:val="none"/>
              </w:rPr>
            </w:pPr>
            <w:r>
              <w:rPr>
                <w:rFonts w:hint="eastAsia"/>
                <w:color w:val="auto"/>
                <w:highlight w:val="none"/>
              </w:rPr>
              <w:t>联合体协议书（如适用）</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r>
              <w:rPr>
                <w:rFonts w:hint="eastAsia"/>
                <w:color w:val="auto"/>
                <w:highlight w:val="none"/>
              </w:rPr>
              <w:t>8</w:t>
            </w:r>
          </w:p>
        </w:tc>
      </w:tr>
      <w:tr>
        <w:tblPrEx>
          <w:tblLayout w:type="fixed"/>
          <w:tblCellMar>
            <w:top w:w="0" w:type="dxa"/>
            <w:left w:w="0" w:type="dxa"/>
            <w:bottom w:w="0" w:type="dxa"/>
            <w:right w:w="0" w:type="dxa"/>
          </w:tblCellMar>
        </w:tblPrEx>
        <w:trPr>
          <w:trHeight w:val="90"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r>
              <w:rPr>
                <w:rFonts w:hint="eastAsia"/>
                <w:color w:val="auto"/>
                <w:highlight w:val="none"/>
              </w:rPr>
              <w:t>10</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default" w:eastAsia="宋体"/>
                <w:color w:val="auto"/>
                <w:highlight w:val="none"/>
                <w:lang w:val="en-US" w:eastAsia="zh-CN"/>
              </w:rPr>
            </w:pPr>
            <w:r>
              <w:rPr>
                <w:rFonts w:hint="eastAsia"/>
                <w:color w:val="auto"/>
                <w:highlight w:val="none"/>
              </w:rPr>
              <w:t>其它资格证明文件（如适用，按供应商须知表1.3.4要求描述）</w:t>
            </w:r>
            <w:r>
              <w:rPr>
                <w:rFonts w:hint="eastAsia"/>
                <w:color w:val="auto"/>
                <w:highlight w:val="none"/>
                <w:lang w:eastAsia="zh-CN"/>
              </w:rPr>
              <w:t>：</w:t>
            </w:r>
            <w:r>
              <w:rPr>
                <w:rFonts w:hint="eastAsia"/>
                <w:color w:val="auto"/>
                <w:highlight w:val="none"/>
                <w:lang w:val="en-US" w:eastAsia="zh-CN"/>
              </w:rPr>
              <w:t>中小企业声明函格式详见格式15</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p>
        </w:tc>
      </w:tr>
      <w:tr>
        <w:tblPrEx>
          <w:tblLayout w:type="fixed"/>
          <w:tblCellMar>
            <w:top w:w="0" w:type="dxa"/>
            <w:left w:w="0" w:type="dxa"/>
            <w:bottom w:w="0" w:type="dxa"/>
            <w:right w:w="0" w:type="dxa"/>
          </w:tblCellMar>
        </w:tblPrEx>
        <w:trPr>
          <w:trHeight w:val="699"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r>
              <w:rPr>
                <w:rFonts w:hint="eastAsia"/>
                <w:color w:val="auto"/>
                <w:highlight w:val="none"/>
              </w:rPr>
              <w:t>7</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color w:val="auto"/>
                <w:highlight w:val="none"/>
              </w:rPr>
            </w:pPr>
            <w:r>
              <w:rPr>
                <w:rFonts w:hint="eastAsia"/>
                <w:color w:val="auto"/>
                <w:highlight w:val="none"/>
              </w:rPr>
              <w:t>联合体的其它资格证明文件（如适用，按供应商须知表1.4.8要求描述）</w:t>
            </w:r>
          </w:p>
          <w:p>
            <w:pPr>
              <w:spacing w:line="300" w:lineRule="exact"/>
              <w:rPr>
                <w:color w:val="auto"/>
                <w:highlight w:val="none"/>
              </w:rPr>
            </w:pPr>
            <w:r>
              <w:rPr>
                <w:rFonts w:hint="eastAsia"/>
                <w:color w:val="auto"/>
                <w:highlight w:val="none"/>
              </w:rPr>
              <w:t>联合体各方均需提供上述证明（如适用）</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p>
        </w:tc>
      </w:tr>
    </w:tbl>
    <w:p>
      <w:pPr>
        <w:pStyle w:val="6"/>
        <w:rPr>
          <w:rFonts w:eastAsia="宋体" w:cs="宋体"/>
          <w:b/>
          <w:color w:val="auto"/>
          <w:highlight w:val="none"/>
        </w:rPr>
      </w:pPr>
      <w:bookmarkStart w:id="72" w:name="_Toc25206_WPSOffice_Level2"/>
      <w:bookmarkStart w:id="73" w:name="_Toc22359_WPSOffice_Level2"/>
      <w:r>
        <w:rPr>
          <w:rFonts w:hint="eastAsia"/>
          <w:color w:val="auto"/>
          <w:highlight w:val="none"/>
        </w:rPr>
        <w:t>三、符合性证明材料</w:t>
      </w:r>
      <w:bookmarkEnd w:id="72"/>
      <w:bookmarkEnd w:id="73"/>
      <w:r>
        <w:rPr>
          <w:rFonts w:hint="eastAsia"/>
          <w:color w:val="auto"/>
          <w:highlight w:val="none"/>
        </w:rPr>
        <w:t>（有一项不符合要求，不能进入下一阶段评审）</w:t>
      </w:r>
    </w:p>
    <w:bookmarkEnd w:id="70"/>
    <w:bookmarkEnd w:id="71"/>
    <w:tbl>
      <w:tblPr>
        <w:tblStyle w:val="23"/>
        <w:tblW w:w="924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76"/>
        <w:gridCol w:w="6864"/>
        <w:gridCol w:w="11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65" w:hRule="atLeast"/>
          <w:jc w:val="center"/>
        </w:trPr>
        <w:tc>
          <w:tcPr>
            <w:tcW w:w="1276" w:type="dxa"/>
            <w:vAlign w:val="center"/>
          </w:tcPr>
          <w:p>
            <w:pPr>
              <w:spacing w:line="300" w:lineRule="exact"/>
              <w:jc w:val="center"/>
              <w:rPr>
                <w:color w:val="auto"/>
                <w:highlight w:val="none"/>
              </w:rPr>
            </w:pPr>
            <w:r>
              <w:rPr>
                <w:rFonts w:hint="eastAsia"/>
                <w:color w:val="auto"/>
                <w:highlight w:val="none"/>
              </w:rPr>
              <w:t>序号</w:t>
            </w:r>
          </w:p>
        </w:tc>
        <w:tc>
          <w:tcPr>
            <w:tcW w:w="6864" w:type="dxa"/>
            <w:vAlign w:val="center"/>
          </w:tcPr>
          <w:p>
            <w:pPr>
              <w:spacing w:line="300" w:lineRule="exact"/>
              <w:jc w:val="center"/>
              <w:rPr>
                <w:color w:val="auto"/>
                <w:highlight w:val="none"/>
              </w:rPr>
            </w:pPr>
            <w:r>
              <w:rPr>
                <w:rFonts w:hint="eastAsia"/>
                <w:color w:val="auto"/>
                <w:highlight w:val="none"/>
              </w:rPr>
              <w:t>符合性证明材料</w:t>
            </w:r>
          </w:p>
        </w:tc>
        <w:tc>
          <w:tcPr>
            <w:tcW w:w="1100" w:type="dxa"/>
            <w:vAlign w:val="center"/>
          </w:tcPr>
          <w:p>
            <w:pPr>
              <w:spacing w:line="300" w:lineRule="exact"/>
              <w:jc w:val="center"/>
              <w:rPr>
                <w:color w:val="auto"/>
                <w:highlight w:val="none"/>
              </w:rPr>
            </w:pPr>
            <w:r>
              <w:rPr>
                <w:rFonts w:hint="eastAsia"/>
                <w:color w:val="auto"/>
                <w:highlight w:val="none"/>
              </w:rPr>
              <w:t>格式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color w:val="auto"/>
                <w:highlight w:val="none"/>
              </w:rPr>
            </w:pPr>
            <w:r>
              <w:rPr>
                <w:rFonts w:hint="eastAsia"/>
                <w:color w:val="auto"/>
                <w:highlight w:val="none"/>
              </w:rPr>
              <w:t>1</w:t>
            </w:r>
          </w:p>
        </w:tc>
        <w:tc>
          <w:tcPr>
            <w:tcW w:w="6864" w:type="dxa"/>
            <w:vAlign w:val="center"/>
          </w:tcPr>
          <w:p>
            <w:pPr>
              <w:spacing w:line="300" w:lineRule="exact"/>
              <w:rPr>
                <w:color w:val="auto"/>
                <w:highlight w:val="none"/>
              </w:rPr>
            </w:pPr>
            <w:r>
              <w:rPr>
                <w:rFonts w:hint="eastAsia"/>
                <w:color w:val="auto"/>
                <w:highlight w:val="none"/>
              </w:rPr>
              <w:t>投标函</w:t>
            </w:r>
          </w:p>
        </w:tc>
        <w:tc>
          <w:tcPr>
            <w:tcW w:w="1100" w:type="dxa"/>
            <w:vAlign w:val="center"/>
          </w:tcPr>
          <w:p>
            <w:pPr>
              <w:spacing w:line="300" w:lineRule="exact"/>
              <w:jc w:val="center"/>
              <w:rPr>
                <w:color w:val="auto"/>
                <w:highlight w:val="none"/>
              </w:rPr>
            </w:pPr>
            <w:r>
              <w:rPr>
                <w:rFonts w:hint="eastAsia"/>
                <w:color w:val="auto"/>
                <w:highlight w:val="none"/>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color w:val="auto"/>
                <w:highlight w:val="none"/>
              </w:rPr>
            </w:pPr>
            <w:r>
              <w:rPr>
                <w:rFonts w:hint="eastAsia"/>
                <w:color w:val="auto"/>
                <w:highlight w:val="none"/>
              </w:rPr>
              <w:t>2</w:t>
            </w:r>
          </w:p>
        </w:tc>
        <w:tc>
          <w:tcPr>
            <w:tcW w:w="6864" w:type="dxa"/>
            <w:vAlign w:val="center"/>
          </w:tcPr>
          <w:p>
            <w:pPr>
              <w:spacing w:line="300" w:lineRule="exact"/>
              <w:rPr>
                <w:color w:val="auto"/>
                <w:highlight w:val="none"/>
              </w:rPr>
            </w:pPr>
            <w:r>
              <w:rPr>
                <w:rFonts w:hint="eastAsia"/>
                <w:color w:val="auto"/>
                <w:highlight w:val="none"/>
              </w:rPr>
              <w:t>递交投标保证金证明材料复印件（以保函形式递交的保证金，正本应放入保函原件）</w:t>
            </w:r>
          </w:p>
        </w:tc>
        <w:tc>
          <w:tcPr>
            <w:tcW w:w="1100" w:type="dxa"/>
            <w:vAlign w:val="center"/>
          </w:tcPr>
          <w:p>
            <w:pPr>
              <w:spacing w:line="300" w:lineRule="exact"/>
              <w:jc w:val="center"/>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color w:val="auto"/>
                <w:highlight w:val="none"/>
              </w:rPr>
            </w:pPr>
            <w:r>
              <w:rPr>
                <w:rFonts w:hint="eastAsia"/>
                <w:color w:val="auto"/>
                <w:highlight w:val="none"/>
              </w:rPr>
              <w:t>3</w:t>
            </w:r>
          </w:p>
        </w:tc>
        <w:tc>
          <w:tcPr>
            <w:tcW w:w="6864" w:type="dxa"/>
            <w:vAlign w:val="center"/>
          </w:tcPr>
          <w:p>
            <w:pPr>
              <w:spacing w:line="300" w:lineRule="exact"/>
              <w:rPr>
                <w:color w:val="auto"/>
                <w:highlight w:val="none"/>
              </w:rPr>
            </w:pPr>
            <w:r>
              <w:rPr>
                <w:rFonts w:hint="eastAsia"/>
                <w:color w:val="auto"/>
                <w:highlight w:val="none"/>
              </w:rPr>
              <w:t>开标一览表</w:t>
            </w:r>
          </w:p>
        </w:tc>
        <w:tc>
          <w:tcPr>
            <w:tcW w:w="1100" w:type="dxa"/>
            <w:vAlign w:val="center"/>
          </w:tcPr>
          <w:p>
            <w:pPr>
              <w:spacing w:line="300" w:lineRule="exact"/>
              <w:jc w:val="center"/>
              <w:rPr>
                <w:color w:val="auto"/>
                <w:highlight w:val="none"/>
              </w:rPr>
            </w:pPr>
            <w:r>
              <w:rPr>
                <w:rFonts w:hint="eastAsia"/>
                <w:color w:val="auto"/>
                <w:kern w:val="0"/>
                <w:highlight w:val="none"/>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color w:val="auto"/>
                <w:highlight w:val="none"/>
              </w:rPr>
            </w:pPr>
            <w:r>
              <w:rPr>
                <w:rFonts w:hint="eastAsia"/>
                <w:color w:val="auto"/>
                <w:highlight w:val="none"/>
              </w:rPr>
              <w:t>4</w:t>
            </w:r>
          </w:p>
        </w:tc>
        <w:tc>
          <w:tcPr>
            <w:tcW w:w="6864" w:type="dxa"/>
            <w:vAlign w:val="center"/>
          </w:tcPr>
          <w:p>
            <w:pPr>
              <w:spacing w:line="300" w:lineRule="exact"/>
              <w:rPr>
                <w:color w:val="auto"/>
                <w:highlight w:val="none"/>
              </w:rPr>
            </w:pPr>
            <w:r>
              <w:rPr>
                <w:rFonts w:hint="eastAsia"/>
                <w:color w:val="auto"/>
                <w:highlight w:val="none"/>
              </w:rPr>
              <w:t>服务价格明细表</w:t>
            </w:r>
          </w:p>
        </w:tc>
        <w:tc>
          <w:tcPr>
            <w:tcW w:w="1100" w:type="dxa"/>
            <w:vAlign w:val="center"/>
          </w:tcPr>
          <w:p>
            <w:pPr>
              <w:spacing w:line="300" w:lineRule="exact"/>
              <w:jc w:val="center"/>
              <w:rPr>
                <w:color w:val="auto"/>
                <w:highlight w:val="none"/>
              </w:rPr>
            </w:pPr>
            <w:r>
              <w:rPr>
                <w:rFonts w:hint="eastAsia"/>
                <w:color w:val="auto"/>
                <w:highlight w:val="none"/>
              </w:rPr>
              <w:t>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color w:val="auto"/>
                <w:highlight w:val="none"/>
              </w:rPr>
            </w:pPr>
            <w:r>
              <w:rPr>
                <w:rFonts w:hint="eastAsia"/>
                <w:color w:val="auto"/>
                <w:highlight w:val="none"/>
              </w:rPr>
              <w:t>5</w:t>
            </w:r>
          </w:p>
        </w:tc>
        <w:tc>
          <w:tcPr>
            <w:tcW w:w="6864" w:type="dxa"/>
            <w:vAlign w:val="center"/>
          </w:tcPr>
          <w:p>
            <w:pPr>
              <w:spacing w:line="300" w:lineRule="exact"/>
              <w:rPr>
                <w:color w:val="auto"/>
                <w:highlight w:val="none"/>
              </w:rPr>
            </w:pPr>
            <w:r>
              <w:rPr>
                <w:rFonts w:hint="eastAsia"/>
                <w:color w:val="auto"/>
                <w:highlight w:val="none"/>
              </w:rPr>
              <w:t>服务需求响应表</w:t>
            </w:r>
          </w:p>
        </w:tc>
        <w:tc>
          <w:tcPr>
            <w:tcW w:w="1100" w:type="dxa"/>
            <w:vAlign w:val="center"/>
          </w:tcPr>
          <w:p>
            <w:pPr>
              <w:spacing w:line="300" w:lineRule="exact"/>
              <w:jc w:val="center"/>
              <w:rPr>
                <w:color w:val="auto"/>
                <w:highlight w:val="none"/>
              </w:rPr>
            </w:pPr>
            <w:r>
              <w:rPr>
                <w:color w:val="auto"/>
                <w:highlight w:val="none"/>
              </w:rPr>
              <w:t>1</w:t>
            </w:r>
            <w:r>
              <w:rPr>
                <w:rFonts w:hint="eastAsia"/>
                <w:color w:val="auto"/>
                <w:highlight w:val="none"/>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color w:val="auto"/>
                <w:highlight w:val="none"/>
              </w:rPr>
            </w:pPr>
            <w:r>
              <w:rPr>
                <w:rFonts w:hint="eastAsia"/>
                <w:color w:val="auto"/>
                <w:highlight w:val="none"/>
              </w:rPr>
              <w:t>6</w:t>
            </w:r>
          </w:p>
        </w:tc>
        <w:tc>
          <w:tcPr>
            <w:tcW w:w="6864" w:type="dxa"/>
            <w:vAlign w:val="center"/>
          </w:tcPr>
          <w:p>
            <w:pPr>
              <w:spacing w:line="300" w:lineRule="exact"/>
              <w:rPr>
                <w:color w:val="auto"/>
                <w:highlight w:val="none"/>
              </w:rPr>
            </w:pPr>
            <w:r>
              <w:rPr>
                <w:rFonts w:hint="eastAsia"/>
                <w:color w:val="auto"/>
                <w:highlight w:val="none"/>
              </w:rPr>
              <w:t>商务条款偏离表</w:t>
            </w:r>
          </w:p>
        </w:tc>
        <w:tc>
          <w:tcPr>
            <w:tcW w:w="1100" w:type="dxa"/>
            <w:vAlign w:val="center"/>
          </w:tcPr>
          <w:p>
            <w:pPr>
              <w:spacing w:line="300" w:lineRule="exact"/>
              <w:jc w:val="center"/>
              <w:rPr>
                <w:color w:val="auto"/>
                <w:highlight w:val="none"/>
              </w:rPr>
            </w:pPr>
            <w:r>
              <w:rPr>
                <w:color w:val="auto"/>
                <w:highlight w:val="none"/>
              </w:rPr>
              <w:t>1</w:t>
            </w:r>
            <w:r>
              <w:rPr>
                <w:rFonts w:hint="eastAsia"/>
                <w:color w:val="auto"/>
                <w:highlight w:val="none"/>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color w:val="auto"/>
                <w:highlight w:val="none"/>
              </w:rPr>
            </w:pPr>
            <w:bookmarkStart w:id="74" w:name="_Toc24432_WPSOffice_Level2"/>
            <w:bookmarkStart w:id="75" w:name="_Toc27769_WPSOffice_Level2"/>
            <w:r>
              <w:rPr>
                <w:rFonts w:hint="eastAsia"/>
                <w:color w:val="auto"/>
                <w:highlight w:val="none"/>
              </w:rPr>
              <w:t>7</w:t>
            </w:r>
          </w:p>
        </w:tc>
        <w:tc>
          <w:tcPr>
            <w:tcW w:w="6864" w:type="dxa"/>
            <w:vAlign w:val="center"/>
          </w:tcPr>
          <w:p>
            <w:pPr>
              <w:spacing w:line="300" w:lineRule="exact"/>
              <w:rPr>
                <w:color w:val="auto"/>
                <w:highlight w:val="none"/>
              </w:rPr>
            </w:pPr>
            <w:r>
              <w:rPr>
                <w:rFonts w:hint="eastAsia"/>
                <w:color w:val="auto"/>
                <w:highlight w:val="none"/>
              </w:rPr>
              <w:t>供应商关联单位说明</w:t>
            </w:r>
          </w:p>
        </w:tc>
        <w:tc>
          <w:tcPr>
            <w:tcW w:w="1100" w:type="dxa"/>
            <w:vAlign w:val="center"/>
          </w:tcPr>
          <w:p>
            <w:pPr>
              <w:spacing w:line="300" w:lineRule="exact"/>
              <w:jc w:val="center"/>
              <w:rPr>
                <w:color w:val="auto"/>
                <w:highlight w:val="none"/>
              </w:rPr>
            </w:pPr>
            <w:r>
              <w:rPr>
                <w:color w:val="auto"/>
                <w:highlight w:val="none"/>
              </w:rPr>
              <w:t>1</w:t>
            </w:r>
            <w:r>
              <w:rPr>
                <w:rFonts w:hint="eastAsia"/>
                <w:color w:val="auto"/>
                <w:highlight w:val="none"/>
              </w:rPr>
              <w:t>4</w:t>
            </w:r>
          </w:p>
        </w:tc>
      </w:tr>
    </w:tbl>
    <w:p>
      <w:pPr>
        <w:pStyle w:val="6"/>
        <w:rPr>
          <w:color w:val="auto"/>
          <w:highlight w:val="none"/>
        </w:rPr>
      </w:pPr>
      <w:r>
        <w:rPr>
          <w:rFonts w:hint="eastAsia"/>
          <w:color w:val="auto"/>
          <w:highlight w:val="none"/>
        </w:rPr>
        <w:t>四、其他材料</w:t>
      </w:r>
      <w:bookmarkEnd w:id="74"/>
      <w:bookmarkEnd w:id="75"/>
    </w:p>
    <w:tbl>
      <w:tblPr>
        <w:tblStyle w:val="23"/>
        <w:tblW w:w="9284"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0"/>
        <w:gridCol w:w="7587"/>
        <w:gridCol w:w="9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71" w:hRule="atLeast"/>
          <w:jc w:val="center"/>
        </w:trPr>
        <w:tc>
          <w:tcPr>
            <w:tcW w:w="700" w:type="dxa"/>
            <w:vAlign w:val="center"/>
          </w:tcPr>
          <w:p>
            <w:pPr>
              <w:spacing w:line="300" w:lineRule="exact"/>
              <w:jc w:val="center"/>
              <w:rPr>
                <w:color w:val="auto"/>
                <w:highlight w:val="none"/>
              </w:rPr>
            </w:pPr>
            <w:r>
              <w:rPr>
                <w:rFonts w:hint="eastAsia"/>
                <w:color w:val="auto"/>
                <w:highlight w:val="none"/>
              </w:rPr>
              <w:t>序号</w:t>
            </w:r>
          </w:p>
        </w:tc>
        <w:tc>
          <w:tcPr>
            <w:tcW w:w="7587" w:type="dxa"/>
            <w:vAlign w:val="center"/>
          </w:tcPr>
          <w:p>
            <w:pPr>
              <w:spacing w:line="300" w:lineRule="exact"/>
              <w:jc w:val="center"/>
              <w:rPr>
                <w:color w:val="auto"/>
                <w:highlight w:val="none"/>
              </w:rPr>
            </w:pPr>
            <w:r>
              <w:rPr>
                <w:rFonts w:hint="eastAsia"/>
                <w:color w:val="auto"/>
                <w:highlight w:val="none"/>
              </w:rPr>
              <w:t>其他材料</w:t>
            </w:r>
          </w:p>
        </w:tc>
        <w:tc>
          <w:tcPr>
            <w:tcW w:w="997" w:type="dxa"/>
            <w:vAlign w:val="center"/>
          </w:tcPr>
          <w:p>
            <w:pPr>
              <w:spacing w:line="300" w:lineRule="exact"/>
              <w:jc w:val="center"/>
              <w:rPr>
                <w:color w:val="auto"/>
                <w:highlight w:val="none"/>
              </w:rPr>
            </w:pPr>
            <w:r>
              <w:rPr>
                <w:rFonts w:hint="eastAsia"/>
                <w:color w:val="auto"/>
                <w:highlight w:val="none"/>
              </w:rPr>
              <w:t>格式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1" w:hRule="atLeast"/>
          <w:jc w:val="center"/>
        </w:trPr>
        <w:tc>
          <w:tcPr>
            <w:tcW w:w="700" w:type="dxa"/>
            <w:vAlign w:val="center"/>
          </w:tcPr>
          <w:p>
            <w:pPr>
              <w:spacing w:line="300" w:lineRule="exact"/>
              <w:jc w:val="center"/>
              <w:rPr>
                <w:color w:val="auto"/>
                <w:highlight w:val="none"/>
              </w:rPr>
            </w:pPr>
            <w:r>
              <w:rPr>
                <w:rFonts w:hint="eastAsia"/>
                <w:color w:val="auto"/>
                <w:highlight w:val="none"/>
              </w:rPr>
              <w:t>1</w:t>
            </w:r>
          </w:p>
        </w:tc>
        <w:tc>
          <w:tcPr>
            <w:tcW w:w="7587" w:type="dxa"/>
            <w:vAlign w:val="center"/>
          </w:tcPr>
          <w:p>
            <w:pPr>
              <w:spacing w:line="300" w:lineRule="exact"/>
              <w:rPr>
                <w:color w:val="auto"/>
                <w:highlight w:val="none"/>
              </w:rPr>
            </w:pPr>
            <w:r>
              <w:rPr>
                <w:rFonts w:hint="eastAsia"/>
                <w:color w:val="auto"/>
                <w:highlight w:val="none"/>
              </w:rPr>
              <w:t>《中小企业声明函》</w:t>
            </w:r>
          </w:p>
        </w:tc>
        <w:tc>
          <w:tcPr>
            <w:tcW w:w="997" w:type="dxa"/>
            <w:vAlign w:val="center"/>
          </w:tcPr>
          <w:p>
            <w:pPr>
              <w:spacing w:line="300" w:lineRule="exact"/>
              <w:jc w:val="center"/>
              <w:rPr>
                <w:color w:val="auto"/>
                <w:highlight w:val="none"/>
              </w:rPr>
            </w:pPr>
            <w:r>
              <w:rPr>
                <w:color w:val="auto"/>
                <w:highlight w:val="none"/>
              </w:rPr>
              <w:t>1</w:t>
            </w:r>
            <w:r>
              <w:rPr>
                <w:rFonts w:hint="eastAsia"/>
                <w:color w:val="auto"/>
                <w:highlight w:val="none"/>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1" w:hRule="atLeast"/>
          <w:jc w:val="center"/>
        </w:trPr>
        <w:tc>
          <w:tcPr>
            <w:tcW w:w="700" w:type="dxa"/>
            <w:vAlign w:val="center"/>
          </w:tcPr>
          <w:p>
            <w:pPr>
              <w:spacing w:line="300" w:lineRule="exact"/>
              <w:jc w:val="center"/>
              <w:rPr>
                <w:color w:val="auto"/>
                <w:highlight w:val="none"/>
              </w:rPr>
            </w:pPr>
            <w:r>
              <w:rPr>
                <w:rFonts w:hint="eastAsia"/>
                <w:color w:val="auto"/>
                <w:highlight w:val="none"/>
              </w:rPr>
              <w:t>2</w:t>
            </w:r>
          </w:p>
        </w:tc>
        <w:tc>
          <w:tcPr>
            <w:tcW w:w="7587" w:type="dxa"/>
            <w:vAlign w:val="center"/>
          </w:tcPr>
          <w:p>
            <w:pPr>
              <w:spacing w:line="300" w:lineRule="exact"/>
              <w:rPr>
                <w:rFonts w:hint="eastAsia" w:eastAsia="宋体"/>
                <w:color w:val="auto"/>
                <w:highlight w:val="none"/>
                <w:lang w:eastAsia="zh-CN"/>
              </w:rPr>
            </w:pPr>
            <w:r>
              <w:rPr>
                <w:rFonts w:hint="eastAsia"/>
                <w:color w:val="auto"/>
                <w:highlight w:val="none"/>
              </w:rPr>
              <w:t>残疾人福利性单位声明函</w:t>
            </w:r>
            <w:r>
              <w:rPr>
                <w:rFonts w:hint="eastAsia"/>
                <w:color w:val="auto"/>
                <w:highlight w:val="none"/>
                <w:lang w:eastAsia="zh-CN"/>
              </w:rPr>
              <w:t>（</w:t>
            </w:r>
            <w:r>
              <w:rPr>
                <w:rFonts w:hint="eastAsia"/>
                <w:color w:val="auto"/>
                <w:highlight w:val="none"/>
                <w:lang w:val="en-US" w:eastAsia="zh-CN"/>
              </w:rPr>
              <w:t>不适用</w:t>
            </w:r>
            <w:r>
              <w:rPr>
                <w:rFonts w:hint="eastAsia"/>
                <w:color w:val="auto"/>
                <w:highlight w:val="none"/>
                <w:lang w:eastAsia="zh-CN"/>
              </w:rPr>
              <w:t>）</w:t>
            </w:r>
          </w:p>
        </w:tc>
        <w:tc>
          <w:tcPr>
            <w:tcW w:w="997" w:type="dxa"/>
            <w:vAlign w:val="center"/>
          </w:tcPr>
          <w:p>
            <w:pPr>
              <w:spacing w:line="300" w:lineRule="exact"/>
              <w:jc w:val="center"/>
              <w:rPr>
                <w:color w:val="auto"/>
                <w:highlight w:val="none"/>
              </w:rPr>
            </w:pPr>
            <w:r>
              <w:rPr>
                <w:color w:val="auto"/>
                <w:highlight w:val="none"/>
              </w:rPr>
              <w:t>1</w:t>
            </w:r>
            <w:r>
              <w:rPr>
                <w:rFonts w:hint="eastAsia"/>
                <w:color w:val="auto"/>
                <w:highlight w:val="none"/>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1" w:hRule="atLeast"/>
          <w:jc w:val="center"/>
        </w:trPr>
        <w:tc>
          <w:tcPr>
            <w:tcW w:w="700" w:type="dxa"/>
            <w:vAlign w:val="center"/>
          </w:tcPr>
          <w:p>
            <w:pPr>
              <w:spacing w:line="300" w:lineRule="exact"/>
              <w:jc w:val="center"/>
              <w:rPr>
                <w:color w:val="auto"/>
                <w:highlight w:val="none"/>
              </w:rPr>
            </w:pPr>
            <w:r>
              <w:rPr>
                <w:rFonts w:hint="eastAsia"/>
                <w:color w:val="auto"/>
                <w:highlight w:val="none"/>
              </w:rPr>
              <w:t>3</w:t>
            </w:r>
          </w:p>
        </w:tc>
        <w:tc>
          <w:tcPr>
            <w:tcW w:w="7587" w:type="dxa"/>
            <w:vAlign w:val="center"/>
          </w:tcPr>
          <w:p>
            <w:pPr>
              <w:spacing w:line="300" w:lineRule="exact"/>
              <w:rPr>
                <w:color w:val="auto"/>
                <w:highlight w:val="none"/>
              </w:rPr>
            </w:pPr>
            <w:r>
              <w:rPr>
                <w:rFonts w:hint="eastAsia"/>
                <w:color w:val="auto"/>
                <w:highlight w:val="none"/>
              </w:rPr>
              <w:t>监狱企业证明文件</w:t>
            </w:r>
            <w:r>
              <w:rPr>
                <w:rFonts w:hint="eastAsia"/>
                <w:color w:val="auto"/>
                <w:highlight w:val="none"/>
                <w:lang w:eastAsia="zh-CN"/>
              </w:rPr>
              <w:t>（</w:t>
            </w:r>
            <w:r>
              <w:rPr>
                <w:rFonts w:hint="eastAsia"/>
                <w:color w:val="auto"/>
                <w:highlight w:val="none"/>
                <w:lang w:val="en-US" w:eastAsia="zh-CN"/>
              </w:rPr>
              <w:t>不适用</w:t>
            </w:r>
            <w:r>
              <w:rPr>
                <w:rFonts w:hint="eastAsia"/>
                <w:color w:val="auto"/>
                <w:highlight w:val="none"/>
                <w:lang w:eastAsia="zh-CN"/>
              </w:rPr>
              <w:t>）</w:t>
            </w:r>
          </w:p>
        </w:tc>
        <w:tc>
          <w:tcPr>
            <w:tcW w:w="997" w:type="dxa"/>
            <w:vAlign w:val="center"/>
          </w:tcPr>
          <w:p>
            <w:pPr>
              <w:spacing w:line="300" w:lineRule="exact"/>
              <w:jc w:val="center"/>
              <w:rPr>
                <w:color w:val="auto"/>
                <w:highlight w:val="none"/>
              </w:rPr>
            </w:pPr>
            <w:r>
              <w:rPr>
                <w:color w:val="auto"/>
                <w:kern w:val="0"/>
                <w:highlight w:val="none"/>
              </w:rPr>
              <w:t>1</w:t>
            </w:r>
            <w:r>
              <w:rPr>
                <w:rFonts w:hint="eastAsia"/>
                <w:color w:val="auto"/>
                <w:kern w:val="0"/>
                <w:highlight w:val="none"/>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1" w:hRule="atLeast"/>
          <w:jc w:val="center"/>
        </w:trPr>
        <w:tc>
          <w:tcPr>
            <w:tcW w:w="700" w:type="dxa"/>
            <w:vAlign w:val="center"/>
          </w:tcPr>
          <w:p>
            <w:pPr>
              <w:spacing w:line="300" w:lineRule="exact"/>
              <w:jc w:val="center"/>
              <w:rPr>
                <w:color w:val="auto"/>
                <w:highlight w:val="none"/>
              </w:rPr>
            </w:pPr>
          </w:p>
        </w:tc>
        <w:tc>
          <w:tcPr>
            <w:tcW w:w="7587" w:type="dxa"/>
            <w:vAlign w:val="center"/>
          </w:tcPr>
          <w:p>
            <w:pPr>
              <w:spacing w:line="300" w:lineRule="exact"/>
              <w:rPr>
                <w:color w:val="auto"/>
                <w:highlight w:val="none"/>
              </w:rPr>
            </w:pPr>
            <w:r>
              <w:rPr>
                <w:rFonts w:hint="eastAsia"/>
                <w:color w:val="auto"/>
                <w:highlight w:val="none"/>
              </w:rPr>
              <w:t>......</w:t>
            </w:r>
          </w:p>
        </w:tc>
        <w:tc>
          <w:tcPr>
            <w:tcW w:w="997" w:type="dxa"/>
            <w:vAlign w:val="center"/>
          </w:tcPr>
          <w:p>
            <w:pPr>
              <w:spacing w:line="300" w:lineRule="exact"/>
              <w:jc w:val="center"/>
              <w:rPr>
                <w:color w:val="auto"/>
                <w:highlight w:val="none"/>
              </w:rPr>
            </w:pPr>
          </w:p>
        </w:tc>
      </w:tr>
    </w:tbl>
    <w:p>
      <w:pPr>
        <w:rPr>
          <w:rFonts w:cs="宋体"/>
          <w:b/>
          <w:color w:val="auto"/>
          <w:highlight w:val="none"/>
        </w:rPr>
      </w:pPr>
      <w:bookmarkStart w:id="76" w:name="_Toc23127_WPSOffice_Level2"/>
      <w:bookmarkStart w:id="77" w:name="_Toc24011_WPSOffice_Level2"/>
      <w:r>
        <w:rPr>
          <w:rFonts w:hint="eastAsia" w:cs="宋体"/>
          <w:b/>
          <w:color w:val="auto"/>
          <w:highlight w:val="none"/>
        </w:rPr>
        <w:t>重要提示：</w:t>
      </w:r>
      <w:bookmarkEnd w:id="76"/>
      <w:bookmarkEnd w:id="77"/>
    </w:p>
    <w:p>
      <w:pPr>
        <w:snapToGrid w:val="0"/>
        <w:ind w:firstLine="420" w:firstLineChars="200"/>
        <w:jc w:val="left"/>
        <w:rPr>
          <w:rFonts w:cs="宋体"/>
          <w:color w:val="auto"/>
          <w:highlight w:val="none"/>
        </w:rPr>
      </w:pPr>
      <w:r>
        <w:rPr>
          <w:rFonts w:hint="eastAsia" w:cs="宋体"/>
          <w:color w:val="auto"/>
          <w:highlight w:val="none"/>
        </w:rPr>
        <w:t>1、供应商提供的证明材料，除需要供应商填报或有特殊说明外，均须按要求提供。</w:t>
      </w:r>
      <w:r>
        <w:rPr>
          <w:rFonts w:hint="eastAsia" w:cs="宋体"/>
          <w:b/>
          <w:bCs/>
          <w:color w:val="auto"/>
          <w:highlight w:val="none"/>
        </w:rPr>
        <w:t xml:space="preserve"> </w:t>
      </w:r>
    </w:p>
    <w:p>
      <w:pPr>
        <w:snapToGrid w:val="0"/>
        <w:ind w:firstLine="420" w:firstLineChars="200"/>
        <w:jc w:val="left"/>
        <w:rPr>
          <w:rFonts w:cs="宋体"/>
          <w:color w:val="auto"/>
          <w:highlight w:val="none"/>
        </w:rPr>
      </w:pPr>
      <w:r>
        <w:rPr>
          <w:rFonts w:hint="eastAsia" w:cs="宋体"/>
          <w:color w:val="auto"/>
          <w:highlight w:val="none"/>
        </w:rPr>
        <w:t>2、供应商在编制投标文件时，对于给定格式的文件内容，必须按照给定的标准格式进行填报；对于没有给定标准格式的文件内容，可以由供应商自行设计。供应商在装订投标文件时,应严格按照本表中“投标文件装订顺序”进行装订。</w:t>
      </w:r>
    </w:p>
    <w:p>
      <w:pPr>
        <w:snapToGrid w:val="0"/>
        <w:ind w:firstLine="420" w:firstLineChars="200"/>
        <w:jc w:val="left"/>
        <w:rPr>
          <w:rFonts w:cs="宋体"/>
          <w:color w:val="auto"/>
          <w:highlight w:val="none"/>
        </w:rPr>
      </w:pPr>
      <w:r>
        <w:rPr>
          <w:rFonts w:hint="eastAsia" w:cs="宋体"/>
          <w:color w:val="auto"/>
          <w:highlight w:val="none"/>
        </w:rPr>
        <w:t>3、投标文件应用中文书写。投标文件中所附或所引用的材料不是中文时，应附中文译本，并加盖公章。</w:t>
      </w:r>
    </w:p>
    <w:p>
      <w:pPr>
        <w:ind w:firstLine="420" w:firstLineChars="200"/>
        <w:rPr>
          <w:rFonts w:cs="宋体"/>
          <w:color w:val="auto"/>
          <w:highlight w:val="none"/>
        </w:rPr>
      </w:pPr>
      <w:r>
        <w:rPr>
          <w:rFonts w:hint="eastAsia" w:cs="宋体"/>
          <w:color w:val="auto"/>
          <w:highlight w:val="none"/>
        </w:rPr>
        <w:t>4、</w:t>
      </w:r>
      <w:r>
        <w:rPr>
          <w:rFonts w:hint="eastAsia" w:cs="宋体"/>
          <w:b/>
          <w:bCs/>
          <w:color w:val="auto"/>
          <w:highlight w:val="none"/>
        </w:rPr>
        <w:t>“资格性证明材料”</w:t>
      </w:r>
      <w:r>
        <w:rPr>
          <w:rFonts w:hint="eastAsia" w:cs="宋体"/>
          <w:color w:val="auto"/>
          <w:highlight w:val="none"/>
        </w:rPr>
        <w:t>所列内容即为采购项目的资格审查条件，有一项不符合要求，不能进入下一阶段评审。</w:t>
      </w:r>
    </w:p>
    <w:p>
      <w:pPr>
        <w:ind w:firstLine="420" w:firstLineChars="200"/>
        <w:rPr>
          <w:rFonts w:cs="宋体"/>
          <w:color w:val="auto"/>
          <w:highlight w:val="none"/>
        </w:rPr>
      </w:pPr>
      <w:r>
        <w:rPr>
          <w:rFonts w:hint="eastAsia" w:cs="宋体"/>
          <w:color w:val="auto"/>
          <w:highlight w:val="none"/>
        </w:rPr>
        <w:t>5、</w:t>
      </w:r>
      <w:r>
        <w:rPr>
          <w:rFonts w:hint="eastAsia" w:cs="宋体"/>
          <w:b/>
          <w:bCs/>
          <w:color w:val="auto"/>
          <w:highlight w:val="none"/>
        </w:rPr>
        <w:t>“符合性证明材料”</w:t>
      </w:r>
      <w:r>
        <w:rPr>
          <w:rFonts w:hint="eastAsia" w:cs="宋体"/>
          <w:color w:val="auto"/>
          <w:highlight w:val="none"/>
        </w:rPr>
        <w:t>所列内容即为采购项目的符合性审查条件，有一项不符合要求，不能进入下一阶段评审。</w:t>
      </w:r>
    </w:p>
    <w:p>
      <w:pPr>
        <w:ind w:firstLine="420" w:firstLineChars="200"/>
        <w:rPr>
          <w:rFonts w:cs="宋体"/>
          <w:color w:val="auto"/>
          <w:highlight w:val="none"/>
        </w:rPr>
      </w:pPr>
      <w:r>
        <w:rPr>
          <w:rFonts w:hint="eastAsia" w:cs="宋体"/>
          <w:color w:val="auto"/>
          <w:highlight w:val="none"/>
        </w:rPr>
        <w:t>6、“其他材料”</w:t>
      </w:r>
    </w:p>
    <w:p>
      <w:pPr>
        <w:ind w:firstLine="420" w:firstLineChars="200"/>
        <w:rPr>
          <w:rFonts w:cs="宋体"/>
          <w:color w:val="auto"/>
          <w:kern w:val="0"/>
          <w:highlight w:val="none"/>
        </w:rPr>
      </w:pPr>
      <w:r>
        <w:rPr>
          <w:rFonts w:hint="eastAsia" w:cs="宋体"/>
          <w:color w:val="auto"/>
          <w:highlight w:val="none"/>
        </w:rPr>
        <w:t>（1）</w:t>
      </w:r>
      <w:r>
        <w:rPr>
          <w:rFonts w:hint="eastAsia" w:cs="宋体"/>
          <w:color w:val="auto"/>
          <w:kern w:val="0"/>
          <w:highlight w:val="none"/>
        </w:rPr>
        <w:t>综合评分法：</w:t>
      </w:r>
      <w:r>
        <w:rPr>
          <w:rFonts w:hint="eastAsia" w:cs="宋体"/>
          <w:color w:val="auto"/>
          <w:highlight w:val="none"/>
        </w:rPr>
        <w:t>供应商可就</w:t>
      </w:r>
      <w:r>
        <w:rPr>
          <w:rFonts w:hint="eastAsia" w:cs="宋体"/>
          <w:color w:val="auto"/>
          <w:kern w:val="0"/>
          <w:highlight w:val="none"/>
        </w:rPr>
        <w:t>招标文件要求以及评分细则中各项要求提供相应材料。</w:t>
      </w:r>
    </w:p>
    <w:p>
      <w:pPr>
        <w:ind w:firstLine="420" w:firstLineChars="200"/>
        <w:rPr>
          <w:rFonts w:cs="宋体"/>
          <w:color w:val="auto"/>
          <w:kern w:val="0"/>
          <w:sz w:val="24"/>
          <w:highlight w:val="none"/>
        </w:rPr>
      </w:pPr>
      <w:r>
        <w:rPr>
          <w:rFonts w:hint="eastAsia" w:cs="宋体"/>
          <w:color w:val="auto"/>
          <w:highlight w:val="none"/>
        </w:rPr>
        <w:t>（2）</w:t>
      </w:r>
      <w:r>
        <w:rPr>
          <w:rFonts w:hint="eastAsia" w:cs="宋体"/>
          <w:color w:val="auto"/>
          <w:kern w:val="0"/>
          <w:highlight w:val="none"/>
        </w:rPr>
        <w:t>最低评标价法：</w:t>
      </w:r>
      <w:r>
        <w:rPr>
          <w:rFonts w:hint="eastAsia" w:cs="宋体"/>
          <w:color w:val="auto"/>
          <w:highlight w:val="none"/>
        </w:rPr>
        <w:t>供应商可就</w:t>
      </w:r>
      <w:r>
        <w:rPr>
          <w:rFonts w:hint="eastAsia" w:cs="宋体"/>
          <w:color w:val="auto"/>
          <w:kern w:val="0"/>
          <w:highlight w:val="none"/>
        </w:rPr>
        <w:t>招标文件要求提供相应材料。</w:t>
      </w:r>
    </w:p>
    <w:p>
      <w:pPr>
        <w:rPr>
          <w:rStyle w:val="36"/>
          <w:color w:val="auto"/>
          <w:highlight w:val="none"/>
        </w:rPr>
      </w:pPr>
      <w:r>
        <w:rPr>
          <w:rFonts w:hint="eastAsia" w:cs="宋体"/>
          <w:color w:val="auto"/>
          <w:highlight w:val="none"/>
        </w:rPr>
        <w:br w:type="page"/>
      </w:r>
      <w:r>
        <w:rPr>
          <w:rStyle w:val="36"/>
          <w:rFonts w:hint="eastAsia"/>
          <w:bCs/>
          <w:color w:val="auto"/>
          <w:highlight w:val="none"/>
        </w:rPr>
        <w:t>格式1</w:t>
      </w:r>
    </w:p>
    <w:p>
      <w:pPr>
        <w:pStyle w:val="5"/>
        <w:spacing w:before="0" w:after="0"/>
        <w:rPr>
          <w:rFonts w:eastAsia="宋体" w:cs="宋体"/>
          <w:b/>
          <w:bCs/>
          <w:color w:val="auto"/>
          <w:highlight w:val="none"/>
        </w:rPr>
      </w:pPr>
      <w:bookmarkStart w:id="78" w:name="_Toc26322_WPSOffice_Level2"/>
      <w:bookmarkStart w:id="79" w:name="_Toc21090_WPSOffice_Level2"/>
      <w:r>
        <w:rPr>
          <w:rFonts w:hint="eastAsia"/>
          <w:color w:val="auto"/>
          <w:highlight w:val="none"/>
        </w:rPr>
        <w:t>投标文件、电子文档外封面、封口格式</w:t>
      </w:r>
      <w:bookmarkEnd w:id="78"/>
      <w:bookmarkEnd w:id="79"/>
    </w:p>
    <w:p>
      <w:pPr>
        <w:rPr>
          <w:rFonts w:cs="宋体"/>
          <w:color w:val="auto"/>
          <w:sz w:val="28"/>
          <w:szCs w:val="28"/>
          <w:highlight w:val="none"/>
        </w:rPr>
      </w:pPr>
      <w:r>
        <w:rPr>
          <w:rFonts w:hint="eastAsia" w:cs="宋体"/>
          <w:color w:val="auto"/>
          <w:sz w:val="28"/>
          <w:szCs w:val="28"/>
          <w:highlight w:val="none"/>
        </w:rPr>
        <w:t>封面格式：</w:t>
      </w:r>
    </w:p>
    <w:tbl>
      <w:tblPr>
        <w:tblStyle w:val="23"/>
        <w:tblW w:w="5960"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960"/>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8090" w:hRule="atLeast"/>
          <w:jc w:val="center"/>
        </w:trPr>
        <w:tc>
          <w:tcPr>
            <w:tcW w:w="5960" w:type="dxa"/>
            <w:tcBorders>
              <w:top w:val="single" w:color="auto" w:sz="12" w:space="0"/>
              <w:left w:val="single" w:color="auto" w:sz="12" w:space="0"/>
              <w:bottom w:val="single" w:color="auto" w:sz="12" w:space="0"/>
              <w:right w:val="single" w:color="auto" w:sz="12" w:space="0"/>
            </w:tcBorders>
          </w:tcPr>
          <w:p>
            <w:pPr>
              <w:jc w:val="center"/>
              <w:rPr>
                <w:color w:val="auto"/>
                <w:highlight w:val="none"/>
              </w:rPr>
            </w:pPr>
          </w:p>
          <w:p>
            <w:pPr>
              <w:jc w:val="center"/>
              <w:rPr>
                <w:color w:val="auto"/>
                <w:highlight w:val="none"/>
              </w:rPr>
            </w:pPr>
          </w:p>
          <w:p>
            <w:pPr>
              <w:jc w:val="center"/>
              <w:rPr>
                <w:color w:val="auto"/>
                <w:highlight w:val="none"/>
              </w:rPr>
            </w:pPr>
          </w:p>
          <w:p>
            <w:pPr>
              <w:jc w:val="center"/>
              <w:rPr>
                <w:color w:val="auto"/>
                <w:highlight w:val="none"/>
              </w:rPr>
            </w:pPr>
          </w:p>
          <w:p>
            <w:pPr>
              <w:jc w:val="center"/>
              <w:rPr>
                <w:color w:val="auto"/>
                <w:highlight w:val="none"/>
              </w:rPr>
            </w:pPr>
          </w:p>
          <w:p>
            <w:pPr>
              <w:jc w:val="center"/>
              <w:rPr>
                <w:color w:val="auto"/>
                <w:highlight w:val="none"/>
              </w:rPr>
            </w:pPr>
            <w:r>
              <w:rPr>
                <w:rFonts w:hint="eastAsia"/>
                <w:color w:val="auto"/>
                <w:highlight w:val="none"/>
              </w:rPr>
              <w:t>投标文件/电子文档</w:t>
            </w:r>
          </w:p>
          <w:p>
            <w:pPr>
              <w:jc w:val="left"/>
              <w:rPr>
                <w:color w:val="auto"/>
                <w:highlight w:val="none"/>
              </w:rPr>
            </w:pPr>
          </w:p>
          <w:p>
            <w:pPr>
              <w:jc w:val="left"/>
              <w:rPr>
                <w:color w:val="auto"/>
                <w:highlight w:val="none"/>
              </w:rPr>
            </w:pPr>
          </w:p>
          <w:p>
            <w:pPr>
              <w:jc w:val="left"/>
              <w:rPr>
                <w:color w:val="auto"/>
                <w:highlight w:val="none"/>
              </w:rPr>
            </w:pPr>
          </w:p>
          <w:p>
            <w:pPr>
              <w:jc w:val="left"/>
              <w:rPr>
                <w:color w:val="auto"/>
                <w:highlight w:val="none"/>
              </w:rPr>
            </w:pPr>
          </w:p>
          <w:p>
            <w:pPr>
              <w:jc w:val="left"/>
              <w:rPr>
                <w:color w:val="auto"/>
                <w:highlight w:val="none"/>
              </w:rPr>
            </w:pPr>
          </w:p>
          <w:p>
            <w:pPr>
              <w:jc w:val="left"/>
              <w:rPr>
                <w:color w:val="auto"/>
                <w:highlight w:val="none"/>
              </w:rPr>
            </w:pPr>
          </w:p>
          <w:p>
            <w:pPr>
              <w:jc w:val="left"/>
              <w:rPr>
                <w:color w:val="auto"/>
                <w:highlight w:val="none"/>
              </w:rPr>
            </w:pPr>
          </w:p>
          <w:p>
            <w:pPr>
              <w:jc w:val="left"/>
              <w:rPr>
                <w:color w:val="auto"/>
                <w:highlight w:val="none"/>
              </w:rPr>
            </w:pPr>
            <w:r>
              <w:rPr>
                <w:rFonts w:hint="eastAsia"/>
                <w:color w:val="auto"/>
                <w:highlight w:val="none"/>
              </w:rPr>
              <w:t>所响应包号：第  包</w:t>
            </w:r>
          </w:p>
          <w:p>
            <w:pPr>
              <w:jc w:val="left"/>
              <w:rPr>
                <w:color w:val="auto"/>
                <w:highlight w:val="none"/>
              </w:rPr>
            </w:pPr>
          </w:p>
          <w:p>
            <w:pPr>
              <w:jc w:val="left"/>
              <w:rPr>
                <w:color w:val="auto"/>
                <w:highlight w:val="none"/>
              </w:rPr>
            </w:pPr>
            <w:r>
              <w:rPr>
                <w:rFonts w:hint="eastAsia"/>
                <w:color w:val="auto"/>
                <w:highlight w:val="none"/>
              </w:rPr>
              <w:t>项目名称：</w:t>
            </w:r>
          </w:p>
          <w:p>
            <w:pPr>
              <w:jc w:val="left"/>
              <w:rPr>
                <w:color w:val="auto"/>
                <w:highlight w:val="none"/>
              </w:rPr>
            </w:pPr>
          </w:p>
          <w:p>
            <w:pPr>
              <w:jc w:val="left"/>
              <w:rPr>
                <w:color w:val="auto"/>
                <w:highlight w:val="none"/>
              </w:rPr>
            </w:pPr>
            <w:r>
              <w:rPr>
                <w:rFonts w:hint="eastAsia"/>
                <w:color w:val="auto"/>
                <w:highlight w:val="none"/>
              </w:rPr>
              <w:t>项目编号：</w:t>
            </w:r>
          </w:p>
          <w:p>
            <w:pPr>
              <w:jc w:val="center"/>
              <w:rPr>
                <w:color w:val="auto"/>
                <w:highlight w:val="none"/>
              </w:rPr>
            </w:pPr>
          </w:p>
          <w:p>
            <w:pPr>
              <w:jc w:val="center"/>
              <w:rPr>
                <w:color w:val="auto"/>
                <w:highlight w:val="none"/>
              </w:rPr>
            </w:pPr>
          </w:p>
          <w:p>
            <w:pPr>
              <w:jc w:val="left"/>
              <w:rPr>
                <w:color w:val="auto"/>
                <w:highlight w:val="none"/>
              </w:rPr>
            </w:pPr>
            <w:r>
              <w:rPr>
                <w:rFonts w:hint="eastAsia"/>
                <w:color w:val="auto"/>
                <w:highlight w:val="none"/>
              </w:rPr>
              <w:t>供应商名称（公章）</w:t>
            </w:r>
          </w:p>
          <w:p>
            <w:pPr>
              <w:pStyle w:val="31"/>
              <w:ind w:firstLine="420"/>
              <w:rPr>
                <w:rFonts w:ascii="宋体" w:hAnsi="宋体" w:cs="仿宋_GB2312"/>
                <w:color w:val="auto"/>
                <w:highlight w:val="none"/>
              </w:rPr>
            </w:pPr>
          </w:p>
          <w:p>
            <w:pPr>
              <w:pStyle w:val="31"/>
              <w:ind w:firstLine="420"/>
              <w:rPr>
                <w:rFonts w:ascii="宋体" w:hAnsi="宋体" w:cs="仿宋_GB2312"/>
                <w:color w:val="auto"/>
                <w:highlight w:val="none"/>
              </w:rPr>
            </w:pPr>
          </w:p>
        </w:tc>
      </w:tr>
    </w:tbl>
    <w:p>
      <w:pPr>
        <w:rPr>
          <w:rFonts w:cs="宋体"/>
          <w:color w:val="auto"/>
          <w:highlight w:val="none"/>
        </w:rPr>
      </w:pPr>
    </w:p>
    <w:p>
      <w:pPr>
        <w:rPr>
          <w:rFonts w:cs="宋体"/>
          <w:color w:val="auto"/>
          <w:highlight w:val="none"/>
        </w:rPr>
      </w:pPr>
    </w:p>
    <w:p>
      <w:pPr>
        <w:rPr>
          <w:rFonts w:cs="宋体"/>
          <w:color w:val="auto"/>
          <w:highlight w:val="none"/>
        </w:rPr>
      </w:pPr>
      <w:r>
        <w:rPr>
          <w:rFonts w:hint="eastAsia" w:cs="宋体"/>
          <w:color w:val="auto"/>
          <w:sz w:val="24"/>
          <w:szCs w:val="32"/>
          <w:highlight w:val="none"/>
        </w:rPr>
        <w:t>封口格式：</w:t>
      </w:r>
    </w:p>
    <w:tbl>
      <w:tblPr>
        <w:tblStyle w:val="23"/>
        <w:tblW w:w="878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41" w:hRule="atLeast"/>
          <w:jc w:val="center"/>
        </w:trPr>
        <w:tc>
          <w:tcPr>
            <w:tcW w:w="8789" w:type="dxa"/>
            <w:tcBorders>
              <w:top w:val="single" w:color="auto" w:sz="4" w:space="0"/>
              <w:left w:val="single" w:color="auto" w:sz="4" w:space="0"/>
              <w:bottom w:val="single" w:color="auto" w:sz="4" w:space="0"/>
              <w:right w:val="single" w:color="auto" w:sz="4" w:space="0"/>
            </w:tcBorders>
            <w:vAlign w:val="center"/>
          </w:tcPr>
          <w:p>
            <w:pPr>
              <w:jc w:val="center"/>
              <w:rPr>
                <w:rFonts w:cs="宋体"/>
                <w:color w:val="auto"/>
                <w:highlight w:val="none"/>
              </w:rPr>
            </w:pPr>
            <w:r>
              <w:rPr>
                <w:rFonts w:hint="eastAsia" w:cs="宋体"/>
                <w:color w:val="auto"/>
                <w:highlight w:val="none"/>
              </w:rPr>
              <w:t>——于  年  月  日  时之前不准启封（公章）——</w:t>
            </w:r>
          </w:p>
        </w:tc>
      </w:tr>
    </w:tbl>
    <w:p>
      <w:pPr>
        <w:rPr>
          <w:rFonts w:cs="宋体"/>
          <w:color w:val="auto"/>
          <w:highlight w:val="none"/>
        </w:rPr>
      </w:pPr>
    </w:p>
    <w:p>
      <w:pPr>
        <w:rPr>
          <w:rFonts w:cs="宋体"/>
          <w:color w:val="auto"/>
          <w:highlight w:val="none"/>
        </w:rPr>
      </w:pPr>
    </w:p>
    <w:p>
      <w:pPr>
        <w:rPr>
          <w:rStyle w:val="36"/>
          <w:color w:val="auto"/>
          <w:highlight w:val="none"/>
        </w:rPr>
      </w:pPr>
      <w:r>
        <w:rPr>
          <w:rFonts w:hint="eastAsia" w:cs="宋体"/>
          <w:b/>
          <w:color w:val="auto"/>
          <w:sz w:val="28"/>
          <w:szCs w:val="28"/>
          <w:highlight w:val="none"/>
        </w:rPr>
        <w:br w:type="page"/>
      </w:r>
      <w:r>
        <w:rPr>
          <w:rStyle w:val="36"/>
          <w:rFonts w:hint="eastAsia"/>
          <w:color w:val="auto"/>
          <w:highlight w:val="none"/>
        </w:rPr>
        <w:t>格式2</w:t>
      </w:r>
    </w:p>
    <w:p>
      <w:pPr>
        <w:pStyle w:val="5"/>
        <w:rPr>
          <w:rFonts w:eastAsia="宋体" w:cs="宋体"/>
          <w:b/>
          <w:bCs/>
          <w:color w:val="auto"/>
          <w:highlight w:val="none"/>
        </w:rPr>
      </w:pPr>
      <w:r>
        <w:rPr>
          <w:color w:val="auto"/>
          <w:highlight w:val="none"/>
        </w:rPr>
        <mc:AlternateContent>
          <mc:Choice Requires="wps">
            <w:drawing>
              <wp:anchor distT="0" distB="0" distL="114300" distR="114300" simplePos="0" relativeHeight="251659264" behindDoc="0" locked="0" layoutInCell="1" allowOverlap="1">
                <wp:simplePos x="0" y="0"/>
                <wp:positionH relativeFrom="column">
                  <wp:posOffset>3878580</wp:posOffset>
                </wp:positionH>
                <wp:positionV relativeFrom="paragraph">
                  <wp:posOffset>361315</wp:posOffset>
                </wp:positionV>
                <wp:extent cx="1253490" cy="563245"/>
                <wp:effectExtent l="5080" t="4445" r="17780" b="22860"/>
                <wp:wrapNone/>
                <wp:docPr id="3" name="矩形 3"/>
                <wp:cNvGraphicFramePr/>
                <a:graphic xmlns:a="http://schemas.openxmlformats.org/drawingml/2006/main">
                  <a:graphicData uri="http://schemas.microsoft.com/office/word/2010/wordprocessingShape">
                    <wps:wsp>
                      <wps:cNvSpPr/>
                      <wps:spPr>
                        <a:xfrm>
                          <a:off x="0" y="0"/>
                          <a:ext cx="1253490" cy="56324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pPr>
                              <w:rPr>
                                <w:rFonts w:ascii="仿宋_GB2312" w:eastAsia="仿宋_GB2312" w:cs="仿宋_GB2312"/>
                                <w:sz w:val="32"/>
                                <w:szCs w:val="32"/>
                              </w:rPr>
                            </w:pPr>
                            <w:r>
                              <w:rPr>
                                <w:rFonts w:hint="eastAsia" w:ascii="仿宋_GB2312" w:eastAsia="仿宋_GB2312" w:cs="仿宋_GB2312"/>
                                <w:sz w:val="32"/>
                                <w:szCs w:val="32"/>
                              </w:rPr>
                              <w:t>正本/副本</w:t>
                            </w:r>
                          </w:p>
                        </w:txbxContent>
                      </wps:txbx>
                      <wps:bodyPr upright="1"/>
                    </wps:wsp>
                  </a:graphicData>
                </a:graphic>
              </wp:anchor>
            </w:drawing>
          </mc:Choice>
          <mc:Fallback>
            <w:pict>
              <v:rect id="_x0000_s1026" o:spid="_x0000_s1026" o:spt="1" style="position:absolute;left:0pt;margin-left:305.4pt;margin-top:28.45pt;height:44.35pt;width:98.7pt;z-index:251659264;mso-width-relative:page;mso-height-relative:page;" fillcolor="#FFFFFF" filled="t" stroked="t" coordsize="21600,21600" o:gfxdata="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DJ&#10;nZ152AAAAAoBAAAPAAAAAAAAAAEAIAAAACIAAABkcnMvZG93bnJldi54bWxQSwECFAAUAAAACACH&#10;TuJAPLe0fOsBAADpAwAADgAAAAAAAAABACAAAAAnAQAAZHJzL2Uyb0RvYy54bWxQSwUGAAAAAAYA&#10;BgBZAQAAhAUAAAAA&#10;">
                <v:fill on="t" focussize="0,0"/>
                <v:stroke color="#000000" joinstyle="miter"/>
                <v:imagedata o:title=""/>
                <o:lock v:ext="edit" aspectratio="f"/>
                <v:textbox>
                  <w:txbxContent>
                    <w:p>
                      <w:pPr>
                        <w:rPr>
                          <w:rFonts w:ascii="仿宋_GB2312" w:eastAsia="仿宋_GB2312" w:cs="仿宋_GB2312"/>
                          <w:sz w:val="32"/>
                          <w:szCs w:val="32"/>
                        </w:rPr>
                      </w:pPr>
                      <w:r>
                        <w:rPr>
                          <w:rFonts w:hint="eastAsia" w:ascii="仿宋_GB2312" w:eastAsia="仿宋_GB2312" w:cs="仿宋_GB2312"/>
                          <w:sz w:val="32"/>
                          <w:szCs w:val="32"/>
                        </w:rPr>
                        <w:t>正本/副本</w:t>
                      </w:r>
                    </w:p>
                  </w:txbxContent>
                </v:textbox>
              </v:rect>
            </w:pict>
          </mc:Fallback>
        </mc:AlternateContent>
      </w:r>
      <w:r>
        <w:rPr>
          <w:rFonts w:hint="eastAsia"/>
          <w:color w:val="auto"/>
          <w:highlight w:val="none"/>
        </w:rPr>
        <w:t>投标文件的封皮</w:t>
      </w:r>
    </w:p>
    <w:p>
      <w:pPr>
        <w:rPr>
          <w:rFonts w:cs="宋体"/>
          <w:color w:val="auto"/>
          <w:highlight w:val="none"/>
        </w:rPr>
      </w:pPr>
    </w:p>
    <w:p>
      <w:pPr>
        <w:rPr>
          <w:rFonts w:cs="宋体"/>
          <w:color w:val="auto"/>
          <w:highlight w:val="none"/>
        </w:rPr>
      </w:pPr>
    </w:p>
    <w:p>
      <w:pPr>
        <w:rPr>
          <w:rFonts w:cs="宋体"/>
          <w:color w:val="auto"/>
          <w:highlight w:val="none"/>
        </w:rPr>
      </w:pPr>
    </w:p>
    <w:p>
      <w:pPr>
        <w:rPr>
          <w:rFonts w:cs="宋体"/>
          <w:color w:val="auto"/>
          <w:highlight w:val="none"/>
        </w:rPr>
      </w:pPr>
    </w:p>
    <w:p>
      <w:pPr>
        <w:rPr>
          <w:rFonts w:cs="宋体"/>
          <w:color w:val="auto"/>
          <w:highlight w:val="none"/>
        </w:rPr>
      </w:pPr>
    </w:p>
    <w:p>
      <w:pPr>
        <w:rPr>
          <w:rFonts w:cs="宋体"/>
          <w:color w:val="auto"/>
          <w:highlight w:val="none"/>
        </w:rPr>
      </w:pPr>
    </w:p>
    <w:p>
      <w:pPr>
        <w:jc w:val="center"/>
        <w:rPr>
          <w:rFonts w:ascii="黑体" w:hAnsi="黑体" w:eastAsia="黑体" w:cs="仿宋_GB2312"/>
          <w:color w:val="auto"/>
          <w:sz w:val="100"/>
          <w:szCs w:val="100"/>
          <w:highlight w:val="none"/>
        </w:rPr>
      </w:pPr>
      <w:r>
        <w:rPr>
          <w:rFonts w:hint="eastAsia" w:ascii="黑体" w:hAnsi="黑体" w:eastAsia="黑体" w:cs="仿宋_GB2312"/>
          <w:color w:val="auto"/>
          <w:sz w:val="100"/>
          <w:szCs w:val="100"/>
          <w:highlight w:val="none"/>
        </w:rPr>
        <w:t>投  标  文  件</w:t>
      </w:r>
    </w:p>
    <w:p>
      <w:pPr>
        <w:rPr>
          <w:rFonts w:ascii="宋体" w:hAnsi="宋体" w:cs="仿宋_GB2312"/>
          <w:color w:val="auto"/>
          <w:highlight w:val="none"/>
        </w:rPr>
      </w:pPr>
      <w:r>
        <w:rPr>
          <w:rFonts w:hint="eastAsia" w:ascii="宋体" w:hAnsi="宋体" w:cs="仿宋_GB2312"/>
          <w:color w:val="auto"/>
          <w:highlight w:val="none"/>
        </w:rPr>
        <w:t xml:space="preserve"> </w:t>
      </w:r>
    </w:p>
    <w:p>
      <w:pPr>
        <w:rPr>
          <w:rFonts w:ascii="宋体" w:hAnsi="宋体" w:cs="仿宋_GB2312"/>
          <w:color w:val="auto"/>
          <w:highlight w:val="none"/>
        </w:rPr>
      </w:pPr>
      <w:r>
        <w:rPr>
          <w:rFonts w:hint="eastAsia" w:ascii="宋体" w:hAnsi="宋体" w:cs="仿宋_GB2312"/>
          <w:color w:val="auto"/>
          <w:highlight w:val="none"/>
        </w:rPr>
        <w:t xml:space="preserve"> </w:t>
      </w:r>
    </w:p>
    <w:p>
      <w:pPr>
        <w:rPr>
          <w:rFonts w:ascii="宋体" w:hAnsi="宋体" w:cs="仿宋_GB2312"/>
          <w:color w:val="auto"/>
          <w:highlight w:val="none"/>
        </w:rPr>
      </w:pPr>
      <w:r>
        <w:rPr>
          <w:rFonts w:hint="eastAsia" w:ascii="宋体" w:hAnsi="宋体" w:cs="仿宋_GB2312"/>
          <w:color w:val="auto"/>
          <w:highlight w:val="none"/>
        </w:rPr>
        <w:t xml:space="preserve"> </w:t>
      </w:r>
    </w:p>
    <w:p>
      <w:pPr>
        <w:rPr>
          <w:rFonts w:ascii="宋体" w:hAnsi="宋体" w:cs="仿宋_GB2312"/>
          <w:color w:val="auto"/>
          <w:sz w:val="28"/>
          <w:szCs w:val="28"/>
          <w:highlight w:val="none"/>
        </w:rPr>
      </w:pPr>
      <w:r>
        <w:rPr>
          <w:rFonts w:hint="eastAsia" w:ascii="宋体" w:hAnsi="宋体" w:cs="仿宋_GB2312"/>
          <w:color w:val="auto"/>
          <w:sz w:val="28"/>
          <w:szCs w:val="28"/>
          <w:highlight w:val="none"/>
        </w:rPr>
        <w:t xml:space="preserve"> </w:t>
      </w:r>
    </w:p>
    <w:p>
      <w:pPr>
        <w:rPr>
          <w:rFonts w:ascii="Bookman Old Style" w:hAnsi="Bookman Old Style" w:eastAsia="仿宋_GB2312"/>
          <w:color w:val="auto"/>
          <w:sz w:val="28"/>
          <w:szCs w:val="28"/>
          <w:highlight w:val="none"/>
        </w:rPr>
      </w:pPr>
      <w:r>
        <w:rPr>
          <w:rFonts w:hint="eastAsia" w:ascii="宋体" w:hAnsi="宋体" w:cs="仿宋_GB2312"/>
          <w:color w:val="auto"/>
          <w:sz w:val="28"/>
          <w:szCs w:val="28"/>
          <w:highlight w:val="none"/>
        </w:rPr>
        <w:t xml:space="preserve"> </w:t>
      </w:r>
    </w:p>
    <w:p>
      <w:pPr>
        <w:pStyle w:val="31"/>
        <w:ind w:firstLine="560"/>
        <w:rPr>
          <w:rFonts w:ascii="Bookman Old Style" w:hAnsi="Bookman Old Style" w:eastAsia="仿宋_GB2312"/>
          <w:color w:val="auto"/>
          <w:sz w:val="28"/>
          <w:szCs w:val="28"/>
          <w:highlight w:val="none"/>
        </w:rPr>
      </w:pPr>
      <w:r>
        <w:rPr>
          <w:rFonts w:ascii="Bookman Old Style" w:hAnsi="Bookman Old Style" w:eastAsia="仿宋_GB2312"/>
          <w:color w:val="auto"/>
          <w:sz w:val="28"/>
          <w:szCs w:val="28"/>
          <w:highlight w:val="none"/>
        </w:rPr>
        <w:t xml:space="preserve"> </w:t>
      </w:r>
    </w:p>
    <w:p>
      <w:pPr>
        <w:pStyle w:val="31"/>
        <w:ind w:firstLine="560"/>
        <w:rPr>
          <w:rFonts w:ascii="Bookman Old Style" w:hAnsi="Bookman Old Style" w:eastAsia="仿宋_GB2312"/>
          <w:color w:val="auto"/>
          <w:sz w:val="28"/>
          <w:szCs w:val="28"/>
          <w:highlight w:val="none"/>
        </w:rPr>
      </w:pPr>
      <w:r>
        <w:rPr>
          <w:rFonts w:ascii="Bookman Old Style" w:hAnsi="Bookman Old Style" w:eastAsia="仿宋_GB2312"/>
          <w:color w:val="auto"/>
          <w:sz w:val="28"/>
          <w:szCs w:val="28"/>
          <w:highlight w:val="none"/>
        </w:rPr>
        <w:t xml:space="preserve"> </w:t>
      </w:r>
    </w:p>
    <w:p>
      <w:pPr>
        <w:pStyle w:val="31"/>
        <w:ind w:firstLine="560"/>
        <w:rPr>
          <w:rFonts w:ascii="Bookman Old Style" w:hAnsi="Bookman Old Style" w:eastAsia="仿宋_GB2312"/>
          <w:color w:val="auto"/>
          <w:sz w:val="28"/>
          <w:szCs w:val="28"/>
          <w:highlight w:val="none"/>
        </w:rPr>
      </w:pPr>
    </w:p>
    <w:p>
      <w:pPr>
        <w:ind w:firstLine="560" w:firstLineChars="200"/>
        <w:rPr>
          <w:rFonts w:ascii="黑体" w:hAnsi="黑体" w:eastAsia="黑体" w:cs="仿宋_GB2312"/>
          <w:color w:val="auto"/>
          <w:sz w:val="28"/>
          <w:szCs w:val="28"/>
          <w:highlight w:val="none"/>
        </w:rPr>
      </w:pPr>
      <w:r>
        <w:rPr>
          <w:rFonts w:hint="eastAsia" w:ascii="黑体" w:hAnsi="黑体" w:eastAsia="黑体" w:cs="仿宋_GB2312"/>
          <w:color w:val="auto"/>
          <w:sz w:val="28"/>
          <w:szCs w:val="28"/>
          <w:highlight w:val="none"/>
        </w:rPr>
        <w:t>所响应包号：第</w:t>
      </w:r>
      <w:r>
        <w:rPr>
          <w:rFonts w:hint="eastAsia" w:ascii="黑体" w:hAnsi="黑体" w:eastAsia="黑体" w:cs="仿宋_GB2312"/>
          <w:color w:val="auto"/>
          <w:sz w:val="28"/>
          <w:szCs w:val="28"/>
          <w:highlight w:val="none"/>
          <w:u w:val="single"/>
        </w:rPr>
        <w:t xml:space="preserve">                     </w:t>
      </w:r>
      <w:r>
        <w:rPr>
          <w:rFonts w:hint="eastAsia" w:ascii="黑体" w:hAnsi="黑体" w:eastAsia="黑体" w:cs="仿宋_GB2312"/>
          <w:color w:val="auto"/>
          <w:sz w:val="28"/>
          <w:szCs w:val="28"/>
          <w:highlight w:val="none"/>
        </w:rPr>
        <w:t>包</w:t>
      </w:r>
    </w:p>
    <w:p>
      <w:pPr>
        <w:ind w:firstLine="560" w:firstLineChars="200"/>
        <w:rPr>
          <w:rFonts w:ascii="黑体" w:hAnsi="黑体" w:eastAsia="黑体" w:cs="仿宋_GB2312"/>
          <w:color w:val="auto"/>
          <w:sz w:val="28"/>
          <w:szCs w:val="28"/>
          <w:highlight w:val="none"/>
          <w:u w:val="single"/>
        </w:rPr>
      </w:pPr>
      <w:r>
        <w:rPr>
          <w:rFonts w:hint="eastAsia" w:ascii="黑体" w:hAnsi="黑体" w:eastAsia="黑体" w:cs="仿宋_GB2312"/>
          <w:color w:val="auto"/>
          <w:sz w:val="28"/>
          <w:szCs w:val="28"/>
          <w:highlight w:val="none"/>
        </w:rPr>
        <w:t>项目名称：</w:t>
      </w:r>
      <w:r>
        <w:rPr>
          <w:rFonts w:hint="eastAsia" w:ascii="黑体" w:hAnsi="黑体" w:eastAsia="黑体" w:cs="仿宋_GB2312"/>
          <w:color w:val="auto"/>
          <w:sz w:val="28"/>
          <w:szCs w:val="28"/>
          <w:highlight w:val="none"/>
          <w:u w:val="single"/>
        </w:rPr>
        <w:t xml:space="preserve">                                             </w:t>
      </w:r>
    </w:p>
    <w:p>
      <w:pPr>
        <w:ind w:firstLine="560" w:firstLineChars="200"/>
        <w:rPr>
          <w:rFonts w:ascii="黑体" w:hAnsi="黑体" w:eastAsia="黑体" w:cs="仿宋_GB2312"/>
          <w:color w:val="auto"/>
          <w:sz w:val="28"/>
          <w:szCs w:val="28"/>
          <w:highlight w:val="none"/>
          <w:u w:val="single"/>
        </w:rPr>
      </w:pPr>
      <w:r>
        <w:rPr>
          <w:rFonts w:hint="eastAsia" w:ascii="黑体" w:hAnsi="黑体" w:eastAsia="黑体" w:cs="仿宋_GB2312"/>
          <w:color w:val="auto"/>
          <w:sz w:val="28"/>
          <w:szCs w:val="28"/>
          <w:highlight w:val="none"/>
        </w:rPr>
        <w:t>项目编号：</w:t>
      </w:r>
      <w:r>
        <w:rPr>
          <w:rFonts w:hint="eastAsia" w:ascii="黑体" w:hAnsi="黑体" w:eastAsia="黑体" w:cs="仿宋_GB2312"/>
          <w:color w:val="auto"/>
          <w:sz w:val="28"/>
          <w:szCs w:val="28"/>
          <w:highlight w:val="none"/>
          <w:u w:val="single"/>
        </w:rPr>
        <w:t xml:space="preserve">                                             </w:t>
      </w:r>
    </w:p>
    <w:p>
      <w:pPr>
        <w:ind w:firstLine="560" w:firstLineChars="200"/>
        <w:rPr>
          <w:rFonts w:ascii="黑体" w:hAnsi="黑体" w:eastAsia="黑体" w:cs="仿宋_GB2312"/>
          <w:color w:val="auto"/>
          <w:sz w:val="28"/>
          <w:szCs w:val="28"/>
          <w:highlight w:val="none"/>
          <w:u w:val="single"/>
        </w:rPr>
      </w:pPr>
      <w:r>
        <w:rPr>
          <w:rFonts w:hint="eastAsia" w:ascii="黑体" w:hAnsi="黑体" w:eastAsia="黑体" w:cs="仿宋_GB2312"/>
          <w:color w:val="auto"/>
          <w:sz w:val="28"/>
          <w:szCs w:val="28"/>
          <w:highlight w:val="none"/>
        </w:rPr>
        <w:t>供应商名称：</w:t>
      </w:r>
      <w:r>
        <w:rPr>
          <w:rFonts w:hint="eastAsia" w:ascii="黑体" w:hAnsi="黑体" w:eastAsia="黑体" w:cs="仿宋_GB2312"/>
          <w:color w:val="auto"/>
          <w:sz w:val="28"/>
          <w:szCs w:val="28"/>
          <w:highlight w:val="none"/>
          <w:u w:val="single"/>
        </w:rPr>
        <w:t xml:space="preserve">                                           </w:t>
      </w:r>
    </w:p>
    <w:p>
      <w:pPr>
        <w:rPr>
          <w:rStyle w:val="36"/>
          <w:color w:val="auto"/>
          <w:highlight w:val="none"/>
        </w:rPr>
      </w:pPr>
      <w:r>
        <w:rPr>
          <w:rFonts w:hint="eastAsia" w:cs="宋体"/>
          <w:color w:val="auto"/>
          <w:sz w:val="28"/>
          <w:szCs w:val="28"/>
          <w:highlight w:val="none"/>
        </w:rPr>
        <w:br w:type="page"/>
      </w:r>
      <w:r>
        <w:rPr>
          <w:rStyle w:val="36"/>
          <w:rFonts w:hint="eastAsia"/>
          <w:color w:val="auto"/>
          <w:highlight w:val="none"/>
        </w:rPr>
        <w:t>格式3</w:t>
      </w:r>
    </w:p>
    <w:p>
      <w:pPr>
        <w:jc w:val="center"/>
        <w:rPr>
          <w:rFonts w:ascii="黑体" w:hAnsi="黑体" w:eastAsia="黑体" w:cs="黑体"/>
          <w:color w:val="auto"/>
          <w:sz w:val="32"/>
          <w:szCs w:val="32"/>
          <w:highlight w:val="none"/>
        </w:rPr>
      </w:pPr>
      <w:bookmarkStart w:id="80" w:name="_Toc2304_WPSOffice_Level2"/>
      <w:bookmarkStart w:id="81" w:name="_Toc21414_WPSOffice_Level2"/>
      <w:r>
        <w:rPr>
          <w:rFonts w:hint="eastAsia" w:ascii="黑体" w:hAnsi="黑体" w:eastAsia="黑体" w:cs="黑体"/>
          <w:color w:val="auto"/>
          <w:sz w:val="32"/>
          <w:szCs w:val="32"/>
          <w:highlight w:val="none"/>
        </w:rPr>
        <w:t>目  录</w:t>
      </w:r>
      <w:bookmarkEnd w:id="80"/>
      <w:bookmarkEnd w:id="81"/>
    </w:p>
    <w:p>
      <w:pPr>
        <w:rPr>
          <w:color w:val="auto"/>
          <w:highlight w:val="none"/>
        </w:rPr>
      </w:pPr>
      <w:r>
        <w:rPr>
          <w:rFonts w:hint="eastAsia"/>
          <w:color w:val="auto"/>
          <w:highlight w:val="none"/>
        </w:rPr>
        <w:t>一、资格证明材料</w:t>
      </w:r>
    </w:p>
    <w:p>
      <w:pPr>
        <w:rPr>
          <w:color w:val="auto"/>
          <w:highlight w:val="none"/>
        </w:rPr>
      </w:pPr>
      <w:r>
        <w:rPr>
          <w:rFonts w:hint="eastAsia"/>
          <w:color w:val="auto"/>
          <w:highlight w:val="none"/>
        </w:rPr>
        <w:t>……</w:t>
      </w:r>
    </w:p>
    <w:p>
      <w:pPr>
        <w:rPr>
          <w:color w:val="auto"/>
          <w:highlight w:val="none"/>
        </w:rPr>
      </w:pPr>
      <w:r>
        <w:rPr>
          <w:rFonts w:hint="eastAsia"/>
          <w:color w:val="auto"/>
          <w:highlight w:val="none"/>
        </w:rPr>
        <w:t>二、符合性证明材料</w:t>
      </w:r>
    </w:p>
    <w:p>
      <w:pPr>
        <w:rPr>
          <w:color w:val="auto"/>
          <w:highlight w:val="none"/>
        </w:rPr>
      </w:pPr>
      <w:r>
        <w:rPr>
          <w:rFonts w:hint="eastAsia"/>
          <w:color w:val="auto"/>
          <w:highlight w:val="none"/>
        </w:rPr>
        <w:t>……</w:t>
      </w:r>
    </w:p>
    <w:p>
      <w:pPr>
        <w:rPr>
          <w:color w:val="auto"/>
          <w:highlight w:val="none"/>
        </w:rPr>
      </w:pPr>
      <w:r>
        <w:rPr>
          <w:rFonts w:hint="eastAsia"/>
          <w:color w:val="auto"/>
          <w:highlight w:val="none"/>
        </w:rPr>
        <w:t>三、其它材料</w:t>
      </w:r>
    </w:p>
    <w:p>
      <w:pPr>
        <w:rPr>
          <w:color w:val="auto"/>
          <w:highlight w:val="none"/>
        </w:rPr>
      </w:pPr>
      <w:r>
        <w:rPr>
          <w:rFonts w:hint="eastAsia"/>
          <w:color w:val="auto"/>
          <w:highlight w:val="none"/>
        </w:rPr>
        <w:t>……</w:t>
      </w:r>
    </w:p>
    <w:p>
      <w:pPr>
        <w:rPr>
          <w:rFonts w:cs="宋体"/>
          <w:color w:val="auto"/>
          <w:sz w:val="24"/>
          <w:highlight w:val="none"/>
        </w:rPr>
      </w:pPr>
    </w:p>
    <w:p>
      <w:pPr>
        <w:rPr>
          <w:rFonts w:cs="宋体"/>
          <w:color w:val="auto"/>
          <w:sz w:val="24"/>
          <w:highlight w:val="none"/>
        </w:rPr>
      </w:pPr>
    </w:p>
    <w:p>
      <w:pPr>
        <w:rPr>
          <w:rFonts w:cs="宋体"/>
          <w:color w:val="auto"/>
          <w:sz w:val="24"/>
          <w:highlight w:val="none"/>
        </w:rPr>
      </w:pPr>
    </w:p>
    <w:p>
      <w:pPr>
        <w:ind w:firstLine="420" w:firstLineChars="200"/>
        <w:rPr>
          <w:color w:val="auto"/>
          <w:highlight w:val="none"/>
        </w:rPr>
      </w:pPr>
      <w:r>
        <w:rPr>
          <w:rFonts w:hint="eastAsia"/>
          <w:color w:val="auto"/>
          <w:highlight w:val="none"/>
        </w:rPr>
        <w:t>我单位的投标文件由资格证明材料、符合性证明材料和其它材料三部分组成，在此加盖公章并由法定代表人（或非法人组织负责人）或其授权代表人签字，保证投标文件中所有材料真实、有效。</w:t>
      </w:r>
    </w:p>
    <w:p>
      <w:pPr>
        <w:rPr>
          <w:color w:val="auto"/>
          <w:highlight w:val="none"/>
        </w:rPr>
      </w:pPr>
    </w:p>
    <w:p>
      <w:pPr>
        <w:rPr>
          <w:rFonts w:eastAsia="仿宋_GB2312"/>
          <w:color w:val="auto"/>
          <w:sz w:val="28"/>
          <w:szCs w:val="28"/>
          <w:highlight w:val="none"/>
        </w:rPr>
      </w:pPr>
    </w:p>
    <w:p>
      <w:pPr>
        <w:rPr>
          <w:color w:val="auto"/>
          <w:highlight w:val="none"/>
        </w:rPr>
      </w:pPr>
    </w:p>
    <w:p>
      <w:pPr>
        <w:rPr>
          <w:color w:val="auto"/>
          <w:highlight w:val="none"/>
        </w:rPr>
      </w:pPr>
    </w:p>
    <w:p>
      <w:pPr>
        <w:rPr>
          <w:color w:val="auto"/>
          <w:highlight w:val="none"/>
        </w:rPr>
      </w:pPr>
      <w:r>
        <w:rPr>
          <w:rFonts w:hint="eastAsia"/>
          <w:color w:val="auto"/>
          <w:highlight w:val="none"/>
        </w:rPr>
        <w:t xml:space="preserve">供应商名称：（加盖公章）           </w:t>
      </w:r>
    </w:p>
    <w:p>
      <w:pPr>
        <w:rPr>
          <w:color w:val="auto"/>
          <w:highlight w:val="none"/>
        </w:rPr>
      </w:pPr>
    </w:p>
    <w:p>
      <w:pPr>
        <w:rPr>
          <w:color w:val="auto"/>
          <w:highlight w:val="none"/>
        </w:rPr>
      </w:pPr>
    </w:p>
    <w:p>
      <w:pPr>
        <w:rPr>
          <w:color w:val="auto"/>
          <w:highlight w:val="none"/>
        </w:rPr>
      </w:pPr>
    </w:p>
    <w:p>
      <w:pPr>
        <w:rPr>
          <w:color w:val="auto"/>
          <w:highlight w:val="none"/>
        </w:rPr>
      </w:pPr>
    </w:p>
    <w:p>
      <w:pPr>
        <w:rPr>
          <w:color w:val="auto"/>
          <w:highlight w:val="none"/>
        </w:rPr>
      </w:pPr>
      <w:r>
        <w:rPr>
          <w:rFonts w:hint="eastAsia"/>
          <w:color w:val="auto"/>
          <w:highlight w:val="none"/>
        </w:rPr>
        <w:t xml:space="preserve">法定代表人（或非法人组织负责人）或其授权代表人：           (签字或盖章) </w:t>
      </w:r>
    </w:p>
    <w:p>
      <w:pPr>
        <w:rPr>
          <w:color w:val="auto"/>
          <w:highlight w:val="none"/>
        </w:rPr>
      </w:pPr>
    </w:p>
    <w:p>
      <w:pPr>
        <w:rPr>
          <w:color w:val="auto"/>
          <w:highlight w:val="none"/>
        </w:rPr>
      </w:pPr>
    </w:p>
    <w:p>
      <w:pPr>
        <w:rPr>
          <w:color w:val="auto"/>
          <w:highlight w:val="none"/>
        </w:rPr>
      </w:pPr>
    </w:p>
    <w:p>
      <w:pPr>
        <w:rPr>
          <w:color w:val="auto"/>
          <w:highlight w:val="none"/>
        </w:rPr>
      </w:pPr>
    </w:p>
    <w:p>
      <w:pPr>
        <w:rPr>
          <w:color w:val="auto"/>
          <w:highlight w:val="none"/>
        </w:rPr>
      </w:pPr>
    </w:p>
    <w:p>
      <w:pPr>
        <w:rPr>
          <w:color w:val="auto"/>
          <w:highlight w:val="none"/>
        </w:rPr>
      </w:pPr>
      <w:r>
        <w:rPr>
          <w:rFonts w:hint="eastAsia"/>
          <w:color w:val="auto"/>
          <w:highlight w:val="none"/>
        </w:rPr>
        <w:t>签署日期：      年      月      日</w:t>
      </w:r>
    </w:p>
    <w:p>
      <w:pPr>
        <w:pStyle w:val="5"/>
        <w:adjustRightInd w:val="0"/>
        <w:snapToGrid w:val="0"/>
        <w:spacing w:before="0" w:after="0"/>
        <w:jc w:val="left"/>
        <w:rPr>
          <w:rFonts w:eastAsia="宋体" w:cs="宋体"/>
          <w:b/>
          <w:bCs/>
          <w:color w:val="auto"/>
          <w:highlight w:val="none"/>
        </w:rPr>
      </w:pPr>
      <w:r>
        <w:rPr>
          <w:rFonts w:hint="eastAsia" w:eastAsia="宋体" w:cs="宋体"/>
          <w:color w:val="auto"/>
          <w:highlight w:val="none"/>
        </w:rPr>
        <w:br w:type="page"/>
      </w:r>
      <w:r>
        <w:rPr>
          <w:rStyle w:val="36"/>
          <w:rFonts w:hint="eastAsia"/>
          <w:color w:val="auto"/>
          <w:highlight w:val="none"/>
        </w:rPr>
        <w:t>格式4</w:t>
      </w:r>
      <w:bookmarkStart w:id="82" w:name="_Toc16924_WPSOffice_Level2"/>
      <w:bookmarkStart w:id="83" w:name="_Toc3401_WPSOffice_Level2"/>
    </w:p>
    <w:p>
      <w:pPr>
        <w:pStyle w:val="5"/>
        <w:rPr>
          <w:rFonts w:eastAsia="宋体" w:cs="宋体"/>
          <w:b/>
          <w:bCs/>
          <w:color w:val="auto"/>
          <w:highlight w:val="none"/>
        </w:rPr>
      </w:pPr>
      <w:r>
        <w:rPr>
          <w:rFonts w:hint="eastAsia"/>
          <w:color w:val="auto"/>
          <w:highlight w:val="none"/>
        </w:rPr>
        <w:t>法定代表人（或非法人组织负责人）身份证明书</w:t>
      </w:r>
      <w:bookmarkEnd w:id="82"/>
      <w:bookmarkEnd w:id="83"/>
    </w:p>
    <w:p>
      <w:pPr>
        <w:ind w:firstLine="420" w:firstLineChars="200"/>
        <w:rPr>
          <w:rFonts w:cs="宋体"/>
          <w:color w:val="auto"/>
          <w:highlight w:val="none"/>
          <w:u w:val="single"/>
        </w:rPr>
      </w:pPr>
    </w:p>
    <w:p>
      <w:pPr>
        <w:ind w:firstLine="420" w:firstLineChars="200"/>
        <w:rPr>
          <w:rFonts w:cs="宋体"/>
          <w:color w:val="auto"/>
          <w:highlight w:val="none"/>
        </w:rPr>
      </w:pPr>
      <w:r>
        <w:rPr>
          <w:rFonts w:hint="eastAsia" w:cs="宋体"/>
          <w:color w:val="auto"/>
          <w:highlight w:val="none"/>
        </w:rPr>
        <w:t>姓名：</w:t>
      </w:r>
      <w:r>
        <w:rPr>
          <w:rFonts w:hint="eastAsia" w:cs="宋体"/>
          <w:color w:val="auto"/>
          <w:highlight w:val="none"/>
          <w:u w:val="single"/>
        </w:rPr>
        <w:t xml:space="preserve">        </w:t>
      </w:r>
      <w:r>
        <w:rPr>
          <w:rFonts w:hint="eastAsia" w:cs="宋体"/>
          <w:color w:val="auto"/>
          <w:highlight w:val="none"/>
        </w:rPr>
        <w:t>，性别：</w:t>
      </w:r>
      <w:r>
        <w:rPr>
          <w:rFonts w:hint="eastAsia" w:cs="宋体"/>
          <w:color w:val="auto"/>
          <w:highlight w:val="none"/>
          <w:u w:val="single"/>
        </w:rPr>
        <w:t xml:space="preserve">        </w:t>
      </w:r>
      <w:r>
        <w:rPr>
          <w:rFonts w:hint="eastAsia" w:cs="宋体"/>
          <w:color w:val="auto"/>
          <w:highlight w:val="none"/>
        </w:rPr>
        <w:t>，出生日期：</w:t>
      </w:r>
      <w:r>
        <w:rPr>
          <w:rFonts w:hint="eastAsia" w:cs="宋体"/>
          <w:color w:val="auto"/>
          <w:highlight w:val="none"/>
          <w:u w:val="single"/>
        </w:rPr>
        <w:t xml:space="preserve">         </w:t>
      </w:r>
      <w:r>
        <w:rPr>
          <w:rFonts w:hint="eastAsia" w:cs="宋体"/>
          <w:color w:val="auto"/>
          <w:highlight w:val="none"/>
        </w:rPr>
        <w:t>，现任职务：</w:t>
      </w:r>
      <w:r>
        <w:rPr>
          <w:rFonts w:hint="eastAsia" w:cs="宋体"/>
          <w:color w:val="auto"/>
          <w:highlight w:val="none"/>
          <w:u w:val="single"/>
        </w:rPr>
        <w:t xml:space="preserve">       </w:t>
      </w:r>
      <w:r>
        <w:rPr>
          <w:rFonts w:hint="eastAsia" w:cs="宋体"/>
          <w:color w:val="auto"/>
          <w:highlight w:val="none"/>
        </w:rPr>
        <w:t>，系</w:t>
      </w:r>
      <w:r>
        <w:rPr>
          <w:rFonts w:hint="eastAsia" w:cs="宋体"/>
          <w:color w:val="auto"/>
          <w:highlight w:val="none"/>
          <w:u w:val="single"/>
        </w:rPr>
        <w:t xml:space="preserve">            （供应商名称）</w:t>
      </w:r>
      <w:r>
        <w:rPr>
          <w:rFonts w:hint="eastAsia" w:cs="宋体"/>
          <w:color w:val="auto"/>
          <w:highlight w:val="none"/>
        </w:rPr>
        <w:t>的法定代表人（或非法人组织负责人）。</w:t>
      </w:r>
    </w:p>
    <w:p>
      <w:pPr>
        <w:ind w:firstLine="420" w:firstLineChars="200"/>
        <w:rPr>
          <w:rFonts w:cs="宋体"/>
          <w:color w:val="auto"/>
          <w:highlight w:val="none"/>
        </w:rPr>
      </w:pPr>
      <w:r>
        <w:rPr>
          <w:rFonts w:hint="eastAsia" w:cs="宋体"/>
          <w:color w:val="auto"/>
          <w:highlight w:val="none"/>
        </w:rPr>
        <w:t xml:space="preserve">            </w:t>
      </w:r>
    </w:p>
    <w:p>
      <w:pPr>
        <w:ind w:firstLine="420" w:firstLineChars="200"/>
        <w:rPr>
          <w:rFonts w:cs="宋体"/>
          <w:color w:val="auto"/>
          <w:highlight w:val="none"/>
        </w:rPr>
      </w:pPr>
      <w:r>
        <w:rPr>
          <w:rFonts w:hint="eastAsia" w:cs="宋体"/>
          <w:color w:val="auto"/>
          <w:highlight w:val="none"/>
        </w:rPr>
        <w:t>特此证明。</w:t>
      </w:r>
    </w:p>
    <w:p>
      <w:pPr>
        <w:rPr>
          <w:rFonts w:cs="宋体"/>
          <w:color w:val="auto"/>
          <w:sz w:val="24"/>
          <w:highlight w:val="none"/>
        </w:rPr>
      </w:pPr>
    </w:p>
    <w:p>
      <w:pPr>
        <w:rPr>
          <w:rFonts w:cs="宋体"/>
          <w:color w:val="auto"/>
          <w:sz w:val="24"/>
          <w:highlight w:val="none"/>
        </w:rPr>
      </w:pPr>
    </w:p>
    <w:p>
      <w:pPr>
        <w:rPr>
          <w:rFonts w:cs="宋体"/>
          <w:color w:val="auto"/>
          <w:sz w:val="24"/>
          <w:highlight w:val="none"/>
        </w:rPr>
      </w:pPr>
    </w:p>
    <w:tbl>
      <w:tblPr>
        <w:tblStyle w:val="23"/>
        <w:tblW w:w="9288"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20" w:hRule="atLeast"/>
          <w:jc w:val="center"/>
        </w:trPr>
        <w:tc>
          <w:tcPr>
            <w:tcW w:w="9288" w:type="dxa"/>
          </w:tcPr>
          <w:p>
            <w:pPr>
              <w:jc w:val="center"/>
              <w:rPr>
                <w:rFonts w:cs="宋体"/>
                <w:color w:val="auto"/>
                <w:highlight w:val="none"/>
              </w:rPr>
            </w:pPr>
            <w:r>
              <w:rPr>
                <w:rFonts w:hint="eastAsia"/>
                <w:color w:val="auto"/>
                <w:highlight w:val="none"/>
              </w:rPr>
              <w:t>（※法定代表人（或非法人组织负责人）身份证正、反面复印件※）</w:t>
            </w:r>
          </w:p>
        </w:tc>
      </w:tr>
    </w:tbl>
    <w:p>
      <w:pPr>
        <w:rPr>
          <w:rFonts w:cs="宋体"/>
          <w:color w:val="auto"/>
          <w:sz w:val="24"/>
          <w:highlight w:val="none"/>
        </w:rPr>
      </w:pPr>
    </w:p>
    <w:p>
      <w:pPr>
        <w:rPr>
          <w:rFonts w:cs="宋体"/>
          <w:color w:val="auto"/>
          <w:sz w:val="24"/>
          <w:highlight w:val="none"/>
        </w:rPr>
      </w:pPr>
    </w:p>
    <w:p>
      <w:pPr>
        <w:rPr>
          <w:rFonts w:cs="宋体"/>
          <w:color w:val="auto"/>
          <w:sz w:val="24"/>
          <w:highlight w:val="none"/>
        </w:rPr>
      </w:pPr>
    </w:p>
    <w:p>
      <w:pPr>
        <w:rPr>
          <w:rFonts w:cs="宋体"/>
          <w:color w:val="auto"/>
          <w:sz w:val="24"/>
          <w:highlight w:val="none"/>
        </w:rPr>
      </w:pPr>
    </w:p>
    <w:p>
      <w:pPr>
        <w:rPr>
          <w:rFonts w:cs="宋体"/>
          <w:color w:val="auto"/>
          <w:sz w:val="24"/>
          <w:highlight w:val="none"/>
        </w:rPr>
      </w:pPr>
    </w:p>
    <w:p>
      <w:pPr>
        <w:rPr>
          <w:rFonts w:cs="宋体"/>
          <w:color w:val="auto"/>
          <w:sz w:val="24"/>
          <w:highlight w:val="none"/>
        </w:rPr>
      </w:pPr>
    </w:p>
    <w:p>
      <w:pPr>
        <w:rPr>
          <w:rFonts w:cs="宋体"/>
          <w:color w:val="auto"/>
          <w:sz w:val="24"/>
          <w:highlight w:val="none"/>
        </w:rPr>
      </w:pPr>
    </w:p>
    <w:p>
      <w:pPr>
        <w:rPr>
          <w:rFonts w:cs="宋体"/>
          <w:color w:val="auto"/>
          <w:sz w:val="24"/>
          <w:highlight w:val="none"/>
        </w:rPr>
      </w:pPr>
    </w:p>
    <w:p>
      <w:pPr>
        <w:jc w:val="right"/>
        <w:rPr>
          <w:rFonts w:cs="宋体"/>
          <w:color w:val="auto"/>
          <w:highlight w:val="none"/>
        </w:rPr>
      </w:pPr>
      <w:r>
        <w:rPr>
          <w:rFonts w:hint="eastAsia" w:cs="宋体"/>
          <w:color w:val="auto"/>
          <w:sz w:val="24"/>
          <w:highlight w:val="none"/>
        </w:rPr>
        <w:t xml:space="preserve">                                          </w:t>
      </w:r>
      <w:r>
        <w:rPr>
          <w:rFonts w:hint="eastAsia" w:cs="宋体"/>
          <w:color w:val="auto"/>
          <w:highlight w:val="none"/>
        </w:rPr>
        <w:t xml:space="preserve"> 供应商名称：（加盖公章）  </w:t>
      </w:r>
    </w:p>
    <w:p>
      <w:pPr>
        <w:jc w:val="right"/>
        <w:rPr>
          <w:rFonts w:cs="宋体"/>
          <w:color w:val="auto"/>
          <w:highlight w:val="none"/>
        </w:rPr>
      </w:pPr>
      <w:r>
        <w:rPr>
          <w:rFonts w:hint="eastAsia" w:cs="宋体"/>
          <w:color w:val="auto"/>
          <w:highlight w:val="none"/>
        </w:rPr>
        <w:t xml:space="preserve">    </w:t>
      </w:r>
    </w:p>
    <w:p>
      <w:pPr>
        <w:jc w:val="right"/>
        <w:rPr>
          <w:rFonts w:cs="宋体"/>
          <w:color w:val="auto"/>
          <w:highlight w:val="none"/>
        </w:rPr>
      </w:pPr>
      <w:r>
        <w:rPr>
          <w:rFonts w:hint="eastAsia" w:cs="宋体"/>
          <w:color w:val="auto"/>
          <w:highlight w:val="none"/>
        </w:rPr>
        <w:t xml:space="preserve">年   月   日 </w:t>
      </w:r>
      <w:r>
        <w:rPr>
          <w:rFonts w:hint="eastAsia" w:cs="宋体"/>
          <w:color w:val="auto"/>
          <w:sz w:val="24"/>
          <w:highlight w:val="none"/>
        </w:rPr>
        <w:t xml:space="preserve">      </w:t>
      </w:r>
      <w:r>
        <w:rPr>
          <w:rFonts w:hint="eastAsia" w:cs="宋体"/>
          <w:color w:val="auto"/>
          <w:highlight w:val="none"/>
        </w:rPr>
        <w:t xml:space="preserve">            </w:t>
      </w:r>
    </w:p>
    <w:p>
      <w:pPr>
        <w:rPr>
          <w:rFonts w:cs="宋体"/>
          <w:b/>
          <w:bCs/>
          <w:color w:val="auto"/>
          <w:sz w:val="32"/>
          <w:szCs w:val="32"/>
          <w:highlight w:val="none"/>
        </w:rPr>
      </w:pPr>
      <w:r>
        <w:rPr>
          <w:rFonts w:hint="eastAsia" w:cs="宋体"/>
          <w:color w:val="auto"/>
          <w:highlight w:val="none"/>
        </w:rPr>
        <w:br w:type="page"/>
      </w:r>
      <w:r>
        <w:rPr>
          <w:rStyle w:val="36"/>
          <w:rFonts w:hint="eastAsia"/>
          <w:color w:val="auto"/>
          <w:highlight w:val="none"/>
        </w:rPr>
        <w:t>格式5</w:t>
      </w:r>
      <w:bookmarkStart w:id="84" w:name="_Toc122_WPSOffice_Level2"/>
      <w:bookmarkStart w:id="85" w:name="_Toc21833_WPSOffice_Level2"/>
    </w:p>
    <w:p>
      <w:pPr>
        <w:pStyle w:val="5"/>
        <w:rPr>
          <w:rFonts w:eastAsia="宋体" w:cs="宋体"/>
          <w:b/>
          <w:bCs/>
          <w:color w:val="auto"/>
          <w:highlight w:val="none"/>
        </w:rPr>
      </w:pPr>
      <w:r>
        <w:rPr>
          <w:rFonts w:hint="eastAsia"/>
          <w:color w:val="auto"/>
          <w:highlight w:val="none"/>
        </w:rPr>
        <w:t>法定代表人（或非法人组织负责人）授权委托书</w:t>
      </w:r>
      <w:bookmarkEnd w:id="84"/>
      <w:bookmarkEnd w:id="85"/>
    </w:p>
    <w:p>
      <w:pPr>
        <w:ind w:firstLine="420" w:firstLineChars="200"/>
        <w:rPr>
          <w:rFonts w:cs="宋体"/>
          <w:color w:val="auto"/>
          <w:highlight w:val="none"/>
        </w:rPr>
      </w:pPr>
    </w:p>
    <w:p>
      <w:pPr>
        <w:ind w:firstLine="420" w:firstLineChars="200"/>
        <w:rPr>
          <w:color w:val="auto"/>
          <w:highlight w:val="none"/>
          <w:u w:val="single"/>
        </w:rPr>
      </w:pPr>
      <w:r>
        <w:rPr>
          <w:rFonts w:hint="eastAsia"/>
          <w:color w:val="auto"/>
          <w:highlight w:val="none"/>
        </w:rPr>
        <w:t>委托人名称：</w:t>
      </w:r>
      <w:r>
        <w:rPr>
          <w:rFonts w:hint="eastAsia"/>
          <w:color w:val="auto"/>
          <w:highlight w:val="none"/>
          <w:u w:val="single"/>
        </w:rPr>
        <w:t xml:space="preserve">                                     </w:t>
      </w:r>
    </w:p>
    <w:p>
      <w:pPr>
        <w:ind w:firstLine="420" w:firstLineChars="200"/>
        <w:rPr>
          <w:color w:val="auto"/>
          <w:highlight w:val="none"/>
          <w:u w:val="single"/>
        </w:rPr>
      </w:pPr>
      <w:r>
        <w:rPr>
          <w:rFonts w:hint="eastAsia"/>
          <w:color w:val="auto"/>
          <w:highlight w:val="none"/>
        </w:rPr>
        <w:t>法定代表人（或非法人组织负责人）姓名：</w:t>
      </w:r>
      <w:r>
        <w:rPr>
          <w:rFonts w:hint="eastAsia"/>
          <w:color w:val="auto"/>
          <w:highlight w:val="none"/>
          <w:u w:val="single"/>
        </w:rPr>
        <w:t xml:space="preserve">         </w:t>
      </w:r>
      <w:r>
        <w:rPr>
          <w:rFonts w:hint="eastAsia"/>
          <w:color w:val="auto"/>
          <w:highlight w:val="none"/>
        </w:rPr>
        <w:t>身份证号码：</w:t>
      </w:r>
      <w:r>
        <w:rPr>
          <w:rFonts w:hint="eastAsia"/>
          <w:color w:val="auto"/>
          <w:highlight w:val="none"/>
          <w:u w:val="single"/>
        </w:rPr>
        <w:t xml:space="preserve">         </w:t>
      </w:r>
    </w:p>
    <w:p>
      <w:pPr>
        <w:ind w:firstLine="420" w:firstLineChars="200"/>
        <w:rPr>
          <w:color w:val="auto"/>
          <w:highlight w:val="none"/>
          <w:u w:val="single"/>
        </w:rPr>
      </w:pPr>
      <w:r>
        <w:rPr>
          <w:rFonts w:hint="eastAsia"/>
          <w:color w:val="auto"/>
          <w:highlight w:val="none"/>
        </w:rPr>
        <w:t>住所地：</w:t>
      </w:r>
      <w:r>
        <w:rPr>
          <w:rFonts w:hint="eastAsia"/>
          <w:color w:val="auto"/>
          <w:highlight w:val="none"/>
          <w:u w:val="single"/>
        </w:rPr>
        <w:t xml:space="preserve">                                         </w:t>
      </w:r>
    </w:p>
    <w:p>
      <w:pPr>
        <w:ind w:firstLine="420" w:firstLineChars="200"/>
        <w:rPr>
          <w:color w:val="auto"/>
          <w:highlight w:val="none"/>
        </w:rPr>
      </w:pPr>
      <w:r>
        <w:rPr>
          <w:rFonts w:hint="eastAsia"/>
          <w:color w:val="auto"/>
          <w:highlight w:val="none"/>
        </w:rPr>
        <w:t>受托人名称：</w:t>
      </w:r>
      <w:r>
        <w:rPr>
          <w:rFonts w:hint="eastAsia"/>
          <w:color w:val="auto"/>
          <w:highlight w:val="none"/>
          <w:u w:val="single"/>
        </w:rPr>
        <w:t xml:space="preserve">                           </w:t>
      </w:r>
      <w:r>
        <w:rPr>
          <w:rFonts w:hint="eastAsia"/>
          <w:color w:val="auto"/>
          <w:highlight w:val="none"/>
        </w:rPr>
        <w:t xml:space="preserve">        身份证号码：</w:t>
      </w:r>
      <w:r>
        <w:rPr>
          <w:rFonts w:hint="eastAsia"/>
          <w:color w:val="auto"/>
          <w:highlight w:val="none"/>
          <w:u w:val="single"/>
        </w:rPr>
        <w:t xml:space="preserve">         </w:t>
      </w:r>
      <w:r>
        <w:rPr>
          <w:rFonts w:hint="eastAsia"/>
          <w:color w:val="auto"/>
          <w:highlight w:val="none"/>
        </w:rPr>
        <w:t xml:space="preserve">         </w:t>
      </w:r>
    </w:p>
    <w:p>
      <w:pPr>
        <w:ind w:firstLine="420" w:firstLineChars="200"/>
        <w:rPr>
          <w:color w:val="auto"/>
          <w:highlight w:val="none"/>
          <w:u w:val="single"/>
        </w:rPr>
      </w:pPr>
      <w:r>
        <w:rPr>
          <w:rFonts w:hint="eastAsia"/>
          <w:color w:val="auto"/>
          <w:highlight w:val="none"/>
        </w:rPr>
        <w:t>工作单位：</w:t>
      </w:r>
      <w:r>
        <w:rPr>
          <w:rFonts w:hint="eastAsia"/>
          <w:color w:val="auto"/>
          <w:highlight w:val="none"/>
          <w:u w:val="single"/>
        </w:rPr>
        <w:t xml:space="preserve">                             </w:t>
      </w:r>
    </w:p>
    <w:p>
      <w:pPr>
        <w:ind w:firstLine="420" w:firstLineChars="200"/>
        <w:rPr>
          <w:color w:val="auto"/>
          <w:highlight w:val="none"/>
          <w:u w:val="single"/>
        </w:rPr>
      </w:pPr>
      <w:r>
        <w:rPr>
          <w:rFonts w:hint="eastAsia"/>
          <w:color w:val="auto"/>
          <w:highlight w:val="none"/>
        </w:rPr>
        <w:t>住址：</w:t>
      </w:r>
      <w:r>
        <w:rPr>
          <w:rFonts w:hint="eastAsia"/>
          <w:color w:val="auto"/>
          <w:highlight w:val="none"/>
          <w:u w:val="single"/>
        </w:rPr>
        <w:t xml:space="preserve">                      </w:t>
      </w:r>
      <w:r>
        <w:rPr>
          <w:rFonts w:hint="eastAsia"/>
          <w:color w:val="auto"/>
          <w:highlight w:val="none"/>
        </w:rPr>
        <w:t xml:space="preserve">        电话：</w:t>
      </w:r>
      <w:r>
        <w:rPr>
          <w:rFonts w:hint="eastAsia"/>
          <w:color w:val="auto"/>
          <w:highlight w:val="none"/>
          <w:u w:val="single"/>
        </w:rPr>
        <w:t xml:space="preserve">       </w:t>
      </w:r>
      <w:r>
        <w:rPr>
          <w:color w:val="auto"/>
          <w:highlight w:val="none"/>
          <w:u w:val="single"/>
        </w:rPr>
        <w:t xml:space="preserve">       </w:t>
      </w:r>
    </w:p>
    <w:p>
      <w:pPr>
        <w:ind w:firstLine="420" w:firstLineChars="200"/>
        <w:rPr>
          <w:color w:val="auto"/>
          <w:highlight w:val="none"/>
        </w:rPr>
      </w:pPr>
      <w:r>
        <w:rPr>
          <w:rFonts w:hint="eastAsia"/>
          <w:color w:val="auto"/>
          <w:highlight w:val="none"/>
        </w:rPr>
        <w:t>现委托</w:t>
      </w:r>
      <w:r>
        <w:rPr>
          <w:rFonts w:hint="eastAsia"/>
          <w:color w:val="auto"/>
          <w:highlight w:val="none"/>
          <w:u w:val="single"/>
        </w:rPr>
        <w:t xml:space="preserve">           </w:t>
      </w:r>
      <w:r>
        <w:rPr>
          <w:rFonts w:hint="eastAsia"/>
          <w:color w:val="auto"/>
          <w:highlight w:val="none"/>
        </w:rPr>
        <w:t>在委托人就</w:t>
      </w:r>
      <w:r>
        <w:rPr>
          <w:rFonts w:hint="eastAsia"/>
          <w:color w:val="auto"/>
          <w:highlight w:val="none"/>
          <w:u w:val="single"/>
        </w:rPr>
        <w:t>（项目编号、项目名称、包号）</w:t>
      </w:r>
      <w:r>
        <w:rPr>
          <w:rFonts w:hint="eastAsia"/>
          <w:color w:val="auto"/>
          <w:highlight w:val="none"/>
        </w:rPr>
        <w:t>投标中，以我单位名义处理一切与之有关的事务。</w:t>
      </w:r>
    </w:p>
    <w:p>
      <w:pPr>
        <w:ind w:firstLine="420" w:firstLineChars="200"/>
        <w:rPr>
          <w:color w:val="auto"/>
          <w:highlight w:val="none"/>
        </w:rPr>
      </w:pPr>
      <w:r>
        <w:rPr>
          <w:rFonts w:hint="eastAsia"/>
          <w:color w:val="auto"/>
          <w:highlight w:val="none"/>
        </w:rPr>
        <w:t>本授权书于</w:t>
      </w:r>
      <w:r>
        <w:rPr>
          <w:rFonts w:hint="eastAsia"/>
          <w:color w:val="auto"/>
          <w:highlight w:val="none"/>
          <w:u w:val="single"/>
        </w:rPr>
        <w:t xml:space="preserve">    </w:t>
      </w:r>
      <w:r>
        <w:rPr>
          <w:rFonts w:hint="eastAsia"/>
          <w:color w:val="auto"/>
          <w:highlight w:val="none"/>
        </w:rPr>
        <w:t>年</w:t>
      </w:r>
      <w:r>
        <w:rPr>
          <w:rFonts w:hint="eastAsia"/>
          <w:color w:val="auto"/>
          <w:highlight w:val="none"/>
          <w:u w:val="single"/>
        </w:rPr>
        <w:t xml:space="preserve">    </w:t>
      </w:r>
      <w:r>
        <w:rPr>
          <w:rFonts w:hint="eastAsia"/>
          <w:color w:val="auto"/>
          <w:highlight w:val="none"/>
        </w:rPr>
        <w:t>月</w:t>
      </w:r>
      <w:r>
        <w:rPr>
          <w:rFonts w:hint="eastAsia"/>
          <w:color w:val="auto"/>
          <w:highlight w:val="none"/>
          <w:u w:val="single"/>
        </w:rPr>
        <w:t xml:space="preserve">    </w:t>
      </w:r>
      <w:r>
        <w:rPr>
          <w:rFonts w:hint="eastAsia"/>
          <w:color w:val="auto"/>
          <w:highlight w:val="none"/>
        </w:rPr>
        <w:t>日签字或盖章生效,</w:t>
      </w:r>
      <w:r>
        <w:rPr>
          <w:rFonts w:hint="eastAsia"/>
          <w:b/>
          <w:bCs/>
          <w:color w:val="auto"/>
          <w:highlight w:val="none"/>
        </w:rPr>
        <w:t>无转委托</w:t>
      </w:r>
      <w:r>
        <w:rPr>
          <w:rFonts w:hint="eastAsia"/>
          <w:color w:val="auto"/>
          <w:highlight w:val="none"/>
        </w:rPr>
        <w:t>，特此声明。</w:t>
      </w:r>
    </w:p>
    <w:p>
      <w:pPr>
        <w:rPr>
          <w:rFonts w:cs="宋体"/>
          <w:color w:val="auto"/>
          <w:sz w:val="24"/>
          <w:highlight w:val="none"/>
        </w:rPr>
      </w:pPr>
    </w:p>
    <w:tbl>
      <w:tblPr>
        <w:tblStyle w:val="23"/>
        <w:tblW w:w="9288"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20" w:hRule="atLeast"/>
          <w:jc w:val="center"/>
        </w:trPr>
        <w:tc>
          <w:tcPr>
            <w:tcW w:w="9288" w:type="dxa"/>
          </w:tcPr>
          <w:p>
            <w:pPr>
              <w:jc w:val="center"/>
              <w:rPr>
                <w:rFonts w:cs="宋体"/>
                <w:color w:val="auto"/>
                <w:highlight w:val="none"/>
              </w:rPr>
            </w:pPr>
            <w:r>
              <w:rPr>
                <w:rFonts w:hint="eastAsia"/>
                <w:color w:val="auto"/>
                <w:highlight w:val="none"/>
              </w:rPr>
              <w:t>（※受托人身份证正、反面复印件※）</w:t>
            </w:r>
          </w:p>
        </w:tc>
      </w:tr>
    </w:tbl>
    <w:p>
      <w:pPr>
        <w:rPr>
          <w:rFonts w:cs="宋体"/>
          <w:color w:val="auto"/>
          <w:highlight w:val="none"/>
        </w:rPr>
      </w:pPr>
    </w:p>
    <w:p>
      <w:pPr>
        <w:ind w:firstLine="420" w:firstLineChars="200"/>
        <w:rPr>
          <w:rFonts w:cs="Lucida Sans Unicode"/>
          <w:color w:val="auto"/>
          <w:highlight w:val="none"/>
        </w:rPr>
      </w:pPr>
      <w:r>
        <w:rPr>
          <w:rFonts w:hint="eastAsia" w:cs="Lucida Sans Unicode"/>
          <w:color w:val="auto"/>
          <w:highlight w:val="none"/>
        </w:rPr>
        <w:t>委托人（单位公章）：</w:t>
      </w:r>
    </w:p>
    <w:p>
      <w:pPr>
        <w:ind w:firstLine="420" w:firstLineChars="200"/>
        <w:rPr>
          <w:rFonts w:cs="Lucida Sans Unicode"/>
          <w:color w:val="auto"/>
          <w:highlight w:val="none"/>
        </w:rPr>
      </w:pPr>
      <w:r>
        <w:rPr>
          <w:rFonts w:hint="eastAsia" w:cs="Lucida Sans Unicode"/>
          <w:color w:val="auto"/>
          <w:highlight w:val="none"/>
        </w:rPr>
        <w:t xml:space="preserve">法定代表人（或非法人组织负责人）：（签字或盖章） </w:t>
      </w:r>
    </w:p>
    <w:p>
      <w:pPr>
        <w:ind w:firstLine="420" w:firstLineChars="200"/>
        <w:rPr>
          <w:rFonts w:cs="Lucida Sans Unicode"/>
          <w:color w:val="auto"/>
          <w:highlight w:val="none"/>
        </w:rPr>
      </w:pPr>
      <w:r>
        <w:rPr>
          <w:rFonts w:hint="eastAsia" w:cs="Lucida Sans Unicode"/>
          <w:color w:val="auto"/>
          <w:highlight w:val="none"/>
        </w:rPr>
        <w:t>受托人：（签字或盖章）</w:t>
      </w:r>
    </w:p>
    <w:p>
      <w:pPr>
        <w:ind w:firstLine="420" w:firstLineChars="200"/>
        <w:rPr>
          <w:rFonts w:cs="Lucida Sans Unicode"/>
          <w:color w:val="auto"/>
          <w:highlight w:val="none"/>
        </w:rPr>
      </w:pPr>
      <w:r>
        <w:rPr>
          <w:rFonts w:hint="eastAsia" w:cs="Lucida Sans Unicode"/>
          <w:color w:val="auto"/>
          <w:highlight w:val="none"/>
        </w:rPr>
        <w:t>详细通讯地址：</w:t>
      </w:r>
      <w:r>
        <w:rPr>
          <w:rFonts w:hint="eastAsia" w:cs="Lucida Sans Unicode"/>
          <w:color w:val="auto"/>
          <w:highlight w:val="none"/>
          <w:u w:val="single"/>
        </w:rPr>
        <w:t xml:space="preserve">              </w:t>
      </w:r>
      <w:r>
        <w:rPr>
          <w:rFonts w:hint="eastAsia" w:cs="Lucida Sans Unicode"/>
          <w:color w:val="auto"/>
          <w:highlight w:val="none"/>
        </w:rPr>
        <w:t xml:space="preserve">      邮 政 编 码 ：</w:t>
      </w:r>
      <w:r>
        <w:rPr>
          <w:rFonts w:hint="eastAsia" w:cs="Lucida Sans Unicode"/>
          <w:color w:val="auto"/>
          <w:highlight w:val="none"/>
          <w:u w:val="single"/>
        </w:rPr>
        <w:t xml:space="preserve">              </w:t>
      </w:r>
    </w:p>
    <w:p>
      <w:pPr>
        <w:ind w:firstLine="420" w:firstLineChars="200"/>
        <w:rPr>
          <w:rFonts w:cs="Lucida Sans Unicode"/>
          <w:color w:val="auto"/>
          <w:highlight w:val="none"/>
          <w:u w:val="single"/>
        </w:rPr>
      </w:pPr>
      <w:r>
        <w:rPr>
          <w:rFonts w:hint="eastAsia" w:cs="Lucida Sans Unicode"/>
          <w:color w:val="auto"/>
          <w:highlight w:val="none"/>
        </w:rPr>
        <w:t>传        真：</w:t>
      </w:r>
      <w:r>
        <w:rPr>
          <w:rFonts w:hint="eastAsia" w:cs="Lucida Sans Unicode"/>
          <w:color w:val="auto"/>
          <w:highlight w:val="none"/>
          <w:u w:val="single"/>
        </w:rPr>
        <w:t xml:space="preserve">              </w:t>
      </w:r>
      <w:r>
        <w:rPr>
          <w:rFonts w:hint="eastAsia" w:cs="Lucida Sans Unicode"/>
          <w:color w:val="auto"/>
          <w:highlight w:val="none"/>
        </w:rPr>
        <w:t xml:space="preserve">      电        话：</w:t>
      </w:r>
      <w:r>
        <w:rPr>
          <w:rFonts w:hint="eastAsia" w:cs="Lucida Sans Unicode"/>
          <w:color w:val="auto"/>
          <w:highlight w:val="none"/>
          <w:u w:val="single"/>
        </w:rPr>
        <w:t xml:space="preserve">              </w:t>
      </w:r>
    </w:p>
    <w:p>
      <w:pPr>
        <w:rPr>
          <w:rFonts w:cs="宋体"/>
          <w:color w:val="auto"/>
          <w:szCs w:val="28"/>
          <w:highlight w:val="none"/>
        </w:rPr>
      </w:pPr>
      <w:r>
        <w:rPr>
          <w:rFonts w:hint="eastAsia" w:cs="Lucida Sans Unicode"/>
          <w:color w:val="auto"/>
          <w:sz w:val="24"/>
          <w:highlight w:val="none"/>
          <w:u w:val="single"/>
        </w:rPr>
        <w:br w:type="page"/>
      </w:r>
      <w:r>
        <w:rPr>
          <w:rStyle w:val="36"/>
          <w:rFonts w:hint="eastAsia"/>
          <w:color w:val="auto"/>
          <w:highlight w:val="none"/>
        </w:rPr>
        <w:t>格式6</w:t>
      </w:r>
    </w:p>
    <w:p>
      <w:pPr>
        <w:pStyle w:val="6"/>
        <w:jc w:val="center"/>
        <w:rPr>
          <w:color w:val="auto"/>
          <w:highlight w:val="none"/>
        </w:rPr>
      </w:pPr>
      <w:bookmarkStart w:id="86" w:name="_Toc23728_WPSOffice_Level2"/>
      <w:bookmarkStart w:id="87" w:name="_Toc12037_WPSOffice_Level2"/>
      <w:r>
        <w:rPr>
          <w:rFonts w:hint="eastAsia"/>
          <w:color w:val="auto"/>
          <w:highlight w:val="none"/>
        </w:rPr>
        <w:t>具备履行合同所必需的设备和专业技术能力声明函</w:t>
      </w:r>
    </w:p>
    <w:p>
      <w:pPr>
        <w:pStyle w:val="20"/>
        <w:spacing w:before="0" w:beforeAutospacing="0" w:after="360" w:afterAutospacing="0"/>
        <w:ind w:firstLine="540"/>
        <w:textAlignment w:val="baseline"/>
        <w:rPr>
          <w:rFonts w:ascii="Times New Roman" w:cs="Times New Roman"/>
          <w:color w:val="auto"/>
          <w:kern w:val="2"/>
          <w:sz w:val="21"/>
          <w:szCs w:val="24"/>
          <w:highlight w:val="none"/>
        </w:rPr>
      </w:pPr>
      <w:r>
        <w:rPr>
          <w:rFonts w:ascii="Times New Roman" w:cs="Times New Roman"/>
          <w:color w:val="auto"/>
          <w:kern w:val="2"/>
          <w:sz w:val="21"/>
          <w:szCs w:val="24"/>
          <w:highlight w:val="none"/>
        </w:rPr>
        <w:t>我</w:t>
      </w:r>
      <w:r>
        <w:rPr>
          <w:rFonts w:hint="eastAsia" w:ascii="Times New Roman" w:cs="Times New Roman"/>
          <w:color w:val="auto"/>
          <w:kern w:val="2"/>
          <w:sz w:val="21"/>
          <w:szCs w:val="24"/>
          <w:highlight w:val="none"/>
        </w:rPr>
        <w:t>单位</w:t>
      </w:r>
      <w:r>
        <w:rPr>
          <w:rFonts w:ascii="Times New Roman" w:cs="Times New Roman"/>
          <w:color w:val="auto"/>
          <w:kern w:val="2"/>
          <w:sz w:val="21"/>
          <w:szCs w:val="24"/>
          <w:highlight w:val="none"/>
        </w:rPr>
        <w:t>完全理解本</w:t>
      </w:r>
      <w:r>
        <w:rPr>
          <w:rFonts w:hint="eastAsia" w:ascii="Times New Roman" w:cs="Times New Roman"/>
          <w:color w:val="auto"/>
          <w:kern w:val="2"/>
          <w:sz w:val="21"/>
          <w:szCs w:val="24"/>
          <w:highlight w:val="none"/>
        </w:rPr>
        <w:t>次政府采购活动的采购需求</w:t>
      </w:r>
      <w:r>
        <w:rPr>
          <w:rFonts w:ascii="Times New Roman" w:cs="Times New Roman"/>
          <w:color w:val="auto"/>
          <w:kern w:val="2"/>
          <w:sz w:val="21"/>
          <w:szCs w:val="24"/>
          <w:highlight w:val="none"/>
        </w:rPr>
        <w:t>、商务条款及其他内容</w:t>
      </w:r>
      <w:r>
        <w:rPr>
          <w:rFonts w:hint="eastAsia" w:ascii="Times New Roman" w:cs="Times New Roman"/>
          <w:color w:val="auto"/>
          <w:kern w:val="2"/>
          <w:sz w:val="21"/>
          <w:szCs w:val="24"/>
          <w:highlight w:val="none"/>
        </w:rPr>
        <w:t>，</w:t>
      </w:r>
      <w:r>
        <w:rPr>
          <w:rFonts w:ascii="Times New Roman" w:cs="Times New Roman"/>
          <w:color w:val="auto"/>
          <w:kern w:val="2"/>
          <w:sz w:val="21"/>
          <w:szCs w:val="24"/>
          <w:highlight w:val="none"/>
        </w:rPr>
        <w:t>并承诺我</w:t>
      </w:r>
      <w:r>
        <w:rPr>
          <w:rFonts w:hint="eastAsia" w:ascii="Times New Roman" w:cs="Times New Roman"/>
          <w:color w:val="auto"/>
          <w:kern w:val="2"/>
          <w:sz w:val="21"/>
          <w:szCs w:val="24"/>
          <w:highlight w:val="none"/>
        </w:rPr>
        <w:t>单位</w:t>
      </w:r>
      <w:r>
        <w:rPr>
          <w:rFonts w:ascii="Times New Roman" w:cs="Times New Roman"/>
          <w:color w:val="auto"/>
          <w:kern w:val="2"/>
          <w:sz w:val="21"/>
          <w:szCs w:val="24"/>
          <w:highlight w:val="none"/>
        </w:rPr>
        <w:t>将提供足够的设备和专业技术能力保证本合同履行。</w:t>
      </w:r>
    </w:p>
    <w:p>
      <w:pPr>
        <w:pStyle w:val="20"/>
        <w:spacing w:before="0" w:beforeAutospacing="0" w:after="360" w:afterAutospacing="0"/>
        <w:ind w:firstLine="540"/>
        <w:textAlignment w:val="baseline"/>
        <w:rPr>
          <w:rFonts w:ascii="Times New Roman" w:cs="Times New Roman"/>
          <w:color w:val="auto"/>
          <w:kern w:val="2"/>
          <w:sz w:val="21"/>
          <w:szCs w:val="24"/>
          <w:highlight w:val="none"/>
        </w:rPr>
      </w:pPr>
      <w:r>
        <w:rPr>
          <w:rFonts w:ascii="Times New Roman" w:cs="Times New Roman"/>
          <w:color w:val="auto"/>
          <w:kern w:val="2"/>
          <w:sz w:val="21"/>
          <w:szCs w:val="24"/>
          <w:highlight w:val="none"/>
        </w:rPr>
        <w:t>我</w:t>
      </w:r>
      <w:r>
        <w:rPr>
          <w:rFonts w:hint="eastAsia" w:ascii="Times New Roman" w:cs="Times New Roman"/>
          <w:color w:val="auto"/>
          <w:kern w:val="2"/>
          <w:sz w:val="21"/>
          <w:szCs w:val="24"/>
          <w:highlight w:val="none"/>
        </w:rPr>
        <w:t>单位</w:t>
      </w:r>
      <w:r>
        <w:rPr>
          <w:rFonts w:ascii="Times New Roman" w:cs="Times New Roman"/>
          <w:color w:val="auto"/>
          <w:kern w:val="2"/>
          <w:sz w:val="21"/>
          <w:szCs w:val="24"/>
          <w:highlight w:val="none"/>
        </w:rPr>
        <w:t>对上述承诺的真实性负责。如有虚假,我</w:t>
      </w:r>
      <w:r>
        <w:rPr>
          <w:rFonts w:hint="eastAsia" w:ascii="Times New Roman" w:cs="Times New Roman"/>
          <w:color w:val="auto"/>
          <w:kern w:val="2"/>
          <w:sz w:val="21"/>
          <w:szCs w:val="24"/>
          <w:highlight w:val="none"/>
        </w:rPr>
        <w:t>单位</w:t>
      </w:r>
      <w:r>
        <w:rPr>
          <w:rFonts w:ascii="Times New Roman" w:cs="Times New Roman"/>
          <w:color w:val="auto"/>
          <w:kern w:val="2"/>
          <w:sz w:val="21"/>
          <w:szCs w:val="24"/>
          <w:highlight w:val="none"/>
        </w:rPr>
        <w:t>同意按合同违约处理,并依法承担相应法律责任。</w:t>
      </w:r>
    </w:p>
    <w:p>
      <w:pPr>
        <w:rPr>
          <w:color w:val="auto"/>
          <w:highlight w:val="none"/>
        </w:rPr>
      </w:pPr>
    </w:p>
    <w:p>
      <w:pPr>
        <w:rPr>
          <w:color w:val="auto"/>
          <w:highlight w:val="none"/>
        </w:rPr>
      </w:pPr>
      <w:r>
        <w:rPr>
          <w:rFonts w:hint="eastAsia"/>
          <w:color w:val="auto"/>
          <w:highlight w:val="none"/>
        </w:rPr>
        <w:t xml:space="preserve"> </w:t>
      </w:r>
    </w:p>
    <w:p>
      <w:pPr>
        <w:jc w:val="right"/>
        <w:rPr>
          <w:rFonts w:ascii="宋体" w:cs="宋体"/>
          <w:color w:val="auto"/>
          <w:highlight w:val="none"/>
        </w:rPr>
      </w:pPr>
      <w:r>
        <w:rPr>
          <w:rFonts w:hint="eastAsia" w:ascii="宋体" w:cs="宋体"/>
          <w:color w:val="auto"/>
          <w:highlight w:val="none"/>
        </w:rPr>
        <w:t>供应商：               （盖单位章）</w:t>
      </w:r>
    </w:p>
    <w:p>
      <w:pPr>
        <w:jc w:val="right"/>
        <w:rPr>
          <w:rFonts w:ascii="宋体" w:cs="宋体"/>
          <w:color w:val="auto"/>
          <w:highlight w:val="none"/>
        </w:rPr>
      </w:pPr>
      <w:r>
        <w:rPr>
          <w:rFonts w:hint="eastAsia" w:ascii="宋体" w:cs="宋体"/>
          <w:color w:val="auto"/>
          <w:highlight w:val="none"/>
        </w:rPr>
        <w:t>法定代表人（或非法人组织负责人）或其授权代表人：         （签字或盖章）</w:t>
      </w:r>
    </w:p>
    <w:p>
      <w:pPr>
        <w:adjustRightInd w:val="0"/>
        <w:snapToGrid w:val="0"/>
        <w:ind w:right="105" w:rightChars="50" w:firstLine="544" w:firstLineChars="227"/>
        <w:jc w:val="right"/>
        <w:rPr>
          <w:rFonts w:cs="仿宋_GB2312"/>
          <w:color w:val="auto"/>
          <w:sz w:val="24"/>
          <w:highlight w:val="none"/>
        </w:rPr>
      </w:pPr>
    </w:p>
    <w:p>
      <w:pPr>
        <w:adjustRightInd w:val="0"/>
        <w:snapToGrid w:val="0"/>
        <w:ind w:right="105" w:rightChars="50" w:firstLine="476" w:firstLineChars="227"/>
        <w:jc w:val="right"/>
        <w:rPr>
          <w:rFonts w:cs="仿宋_GB2312"/>
          <w:color w:val="auto"/>
          <w:sz w:val="24"/>
          <w:highlight w:val="none"/>
        </w:rPr>
      </w:pPr>
      <w:r>
        <w:rPr>
          <w:rFonts w:hint="eastAsia" w:ascii="宋体" w:cs="宋体"/>
          <w:color w:val="auto"/>
          <w:highlight w:val="none"/>
          <w:u w:val="single"/>
        </w:rPr>
        <w:t xml:space="preserve">         </w:t>
      </w:r>
      <w:r>
        <w:rPr>
          <w:rFonts w:hint="eastAsia" w:ascii="宋体" w:cs="宋体"/>
          <w:color w:val="auto"/>
          <w:highlight w:val="none"/>
        </w:rPr>
        <w:t>年</w:t>
      </w:r>
      <w:r>
        <w:rPr>
          <w:rFonts w:hint="eastAsia" w:ascii="宋体" w:cs="宋体"/>
          <w:color w:val="auto"/>
          <w:highlight w:val="none"/>
          <w:u w:val="single"/>
        </w:rPr>
        <w:t xml:space="preserve">       </w:t>
      </w:r>
      <w:r>
        <w:rPr>
          <w:rFonts w:hint="eastAsia" w:ascii="宋体" w:cs="宋体"/>
          <w:color w:val="auto"/>
          <w:highlight w:val="none"/>
        </w:rPr>
        <w:t>月</w:t>
      </w:r>
      <w:r>
        <w:rPr>
          <w:rFonts w:hint="eastAsia" w:ascii="宋体" w:cs="宋体"/>
          <w:color w:val="auto"/>
          <w:highlight w:val="none"/>
          <w:u w:val="single"/>
        </w:rPr>
        <w:t xml:space="preserve">         </w:t>
      </w:r>
      <w:r>
        <w:rPr>
          <w:rFonts w:hint="eastAsia" w:ascii="宋体" w:cs="宋体"/>
          <w:color w:val="auto"/>
          <w:highlight w:val="none"/>
        </w:rPr>
        <w:t>日</w:t>
      </w:r>
    </w:p>
    <w:p>
      <w:pPr>
        <w:ind w:firstLine="420" w:firstLineChars="200"/>
        <w:rPr>
          <w:color w:val="auto"/>
          <w:highlight w:val="none"/>
        </w:rPr>
      </w:pPr>
    </w:p>
    <w:p>
      <w:pPr>
        <w:ind w:firstLine="420" w:firstLineChars="200"/>
        <w:rPr>
          <w:color w:val="auto"/>
          <w:highlight w:val="none"/>
        </w:rPr>
        <w:sectPr>
          <w:pgSz w:w="11907" w:h="16840"/>
          <w:pgMar w:top="1418" w:right="1134" w:bottom="1418" w:left="1701" w:header="851" w:footer="851" w:gutter="0"/>
          <w:cols w:space="720" w:num="1"/>
          <w:docGrid w:linePitch="462" w:charSpace="0"/>
        </w:sectPr>
      </w:pPr>
    </w:p>
    <w:bookmarkEnd w:id="86"/>
    <w:bookmarkEnd w:id="87"/>
    <w:p>
      <w:pPr>
        <w:pStyle w:val="6"/>
        <w:spacing w:before="0" w:after="0"/>
        <w:rPr>
          <w:color w:val="auto"/>
          <w:highlight w:val="none"/>
        </w:rPr>
      </w:pPr>
      <w:r>
        <w:rPr>
          <w:rFonts w:hint="eastAsia"/>
          <w:color w:val="auto"/>
          <w:highlight w:val="none"/>
        </w:rPr>
        <w:t>格式7</w:t>
      </w:r>
    </w:p>
    <w:p>
      <w:pPr>
        <w:pStyle w:val="5"/>
        <w:rPr>
          <w:color w:val="auto"/>
          <w:highlight w:val="none"/>
        </w:rPr>
      </w:pPr>
      <w:bookmarkStart w:id="88" w:name="_Toc11967_WPSOffice_Level2"/>
      <w:bookmarkStart w:id="89" w:name="_Toc7498_WPSOffice_Level2"/>
      <w:r>
        <w:rPr>
          <w:rFonts w:hint="eastAsia"/>
          <w:color w:val="auto"/>
          <w:highlight w:val="none"/>
        </w:rPr>
        <w:t>参加政府采购活动前3年内在经营活动中没有重大违法记录的书面声明</w:t>
      </w:r>
      <w:bookmarkEnd w:id="88"/>
      <w:bookmarkEnd w:id="89"/>
    </w:p>
    <w:p>
      <w:pPr>
        <w:rPr>
          <w:color w:val="auto"/>
          <w:highlight w:val="none"/>
        </w:rPr>
      </w:pPr>
    </w:p>
    <w:p>
      <w:pPr>
        <w:rPr>
          <w:color w:val="auto"/>
          <w:highlight w:val="none"/>
        </w:rPr>
      </w:pPr>
      <w:r>
        <w:rPr>
          <w:rFonts w:hint="eastAsia"/>
          <w:b/>
          <w:bCs/>
          <w:color w:val="auto"/>
          <w:highlight w:val="none"/>
          <w:u w:val="single"/>
        </w:rPr>
        <w:t>（采购人名称）</w:t>
      </w:r>
      <w:r>
        <w:rPr>
          <w:rFonts w:hint="eastAsia"/>
          <w:color w:val="auto"/>
          <w:highlight w:val="none"/>
        </w:rPr>
        <w:t>：</w:t>
      </w:r>
    </w:p>
    <w:p>
      <w:pPr>
        <w:ind w:firstLine="422" w:firstLineChars="200"/>
        <w:rPr>
          <w:color w:val="auto"/>
          <w:highlight w:val="none"/>
        </w:rPr>
      </w:pPr>
      <w:r>
        <w:rPr>
          <w:rFonts w:hint="eastAsia"/>
          <w:b/>
          <w:bCs/>
          <w:color w:val="auto"/>
          <w:highlight w:val="none"/>
        </w:rPr>
        <w:t>在本项目投标文件截止时间前</w:t>
      </w:r>
      <w:r>
        <w:rPr>
          <w:rFonts w:hint="eastAsia"/>
          <w:color w:val="auto"/>
          <w:highlight w:val="none"/>
        </w:rPr>
        <w:t>，我单位参加本次政府采购活动前3年内在经营活动中没有因违法经营受到刑事处罚或者责令停产停业、吊销许可证或者执照、较大数额罚款等行政处罚的重大违法记录；通过“信用中国”(网站：www.creditchina.gov.cn/)、“中国政府采购网”（网站www.ccgp.gov.cn）等渠道查询，我单位未被列入失信被执行人、重大税收违法案件当事人名单、政府采购严重违法失信行为记录名单。</w:t>
      </w:r>
    </w:p>
    <w:p>
      <w:pPr>
        <w:ind w:firstLine="420" w:firstLineChars="200"/>
        <w:rPr>
          <w:color w:val="auto"/>
          <w:highlight w:val="none"/>
        </w:rPr>
      </w:pPr>
      <w:r>
        <w:rPr>
          <w:rFonts w:hint="eastAsia"/>
          <w:color w:val="auto"/>
          <w:highlight w:val="none"/>
        </w:rPr>
        <w:t>如发现我单位提供的声明函不实时，我单位将按照《政府采购法》有关提供虚假材料的规定，接受处罚。</w:t>
      </w:r>
    </w:p>
    <w:p>
      <w:pPr>
        <w:ind w:firstLine="420" w:firstLineChars="200"/>
        <w:rPr>
          <w:color w:val="auto"/>
          <w:highlight w:val="none"/>
        </w:rPr>
      </w:pPr>
      <w:r>
        <w:rPr>
          <w:rFonts w:hint="eastAsia"/>
          <w:color w:val="auto"/>
          <w:highlight w:val="none"/>
        </w:rPr>
        <w:t>特此声明。</w:t>
      </w:r>
    </w:p>
    <w:p>
      <w:pPr>
        <w:spacing w:line="500" w:lineRule="exact"/>
        <w:ind w:right="1050" w:rightChars="500" w:firstLine="420" w:firstLineChars="200"/>
        <w:rPr>
          <w:rFonts w:cs="宋体"/>
          <w:color w:val="auto"/>
          <w:highlight w:val="none"/>
        </w:rPr>
      </w:pPr>
    </w:p>
    <w:p>
      <w:pPr>
        <w:spacing w:line="360" w:lineRule="exact"/>
        <w:ind w:left="1050" w:leftChars="500" w:right="1050" w:rightChars="500" w:firstLine="420" w:firstLineChars="200"/>
        <w:rPr>
          <w:rFonts w:cs="宋体"/>
          <w:color w:val="auto"/>
          <w:highlight w:val="none"/>
        </w:rPr>
      </w:pPr>
    </w:p>
    <w:p>
      <w:pPr>
        <w:spacing w:line="360" w:lineRule="exact"/>
        <w:ind w:left="1050" w:leftChars="500" w:right="1050" w:rightChars="500" w:firstLine="420" w:firstLineChars="200"/>
        <w:rPr>
          <w:rFonts w:cs="宋体"/>
          <w:color w:val="auto"/>
          <w:highlight w:val="none"/>
        </w:rPr>
      </w:pPr>
    </w:p>
    <w:p>
      <w:pPr>
        <w:ind w:right="1050" w:rightChars="500"/>
        <w:jc w:val="left"/>
        <w:rPr>
          <w:rFonts w:cs="宋体"/>
          <w:color w:val="auto"/>
          <w:highlight w:val="none"/>
          <w:u w:val="single"/>
        </w:rPr>
      </w:pPr>
      <w:r>
        <w:rPr>
          <w:rFonts w:hint="eastAsia" w:cs="宋体"/>
          <w:color w:val="auto"/>
          <w:highlight w:val="none"/>
        </w:rPr>
        <w:t>供应商：</w:t>
      </w:r>
      <w:r>
        <w:rPr>
          <w:rFonts w:hint="eastAsia" w:cs="宋体"/>
          <w:color w:val="auto"/>
          <w:highlight w:val="none"/>
          <w:u w:val="single"/>
        </w:rPr>
        <w:t xml:space="preserve">       （加盖公章）   </w:t>
      </w:r>
    </w:p>
    <w:p>
      <w:pPr>
        <w:spacing w:line="360" w:lineRule="exact"/>
        <w:ind w:right="1050" w:rightChars="500"/>
        <w:jc w:val="left"/>
        <w:rPr>
          <w:rFonts w:cs="宋体"/>
          <w:color w:val="auto"/>
          <w:sz w:val="24"/>
          <w:highlight w:val="none"/>
        </w:rPr>
      </w:pPr>
      <w:r>
        <w:rPr>
          <w:rFonts w:hint="eastAsia" w:cs="宋体"/>
          <w:color w:val="auto"/>
          <w:sz w:val="24"/>
          <w:highlight w:val="none"/>
        </w:rPr>
        <w:t xml:space="preserve">  </w:t>
      </w:r>
    </w:p>
    <w:p>
      <w:pPr>
        <w:rPr>
          <w:color w:val="auto"/>
          <w:highlight w:val="none"/>
        </w:rPr>
      </w:pPr>
      <w:r>
        <w:rPr>
          <w:rFonts w:hint="eastAsia"/>
          <w:color w:val="auto"/>
          <w:highlight w:val="none"/>
        </w:rPr>
        <w:t>法定代表人（或非法人组织负责人）或其授权代表人：(签字或盖章)</w:t>
      </w:r>
    </w:p>
    <w:p>
      <w:pPr>
        <w:ind w:left="2270" w:hanging="2270" w:hangingChars="1081"/>
        <w:jc w:val="left"/>
        <w:rPr>
          <w:rFonts w:ascii="宋体" w:hAnsi="宋体" w:cs="宋体"/>
          <w:color w:val="auto"/>
          <w:highlight w:val="none"/>
          <w:u w:val="single"/>
        </w:rPr>
      </w:pPr>
    </w:p>
    <w:p>
      <w:pPr>
        <w:ind w:left="2270" w:hanging="2270" w:hangingChars="1081"/>
        <w:jc w:val="left"/>
        <w:rPr>
          <w:rFonts w:ascii="宋体" w:hAnsi="宋体" w:cs="宋体"/>
          <w:color w:val="auto"/>
          <w:highlight w:val="none"/>
          <w:u w:val="single"/>
        </w:rPr>
      </w:pPr>
    </w:p>
    <w:p>
      <w:pPr>
        <w:rPr>
          <w:rFonts w:cs="宋体"/>
          <w:color w:val="auto"/>
          <w:highlight w:val="none"/>
          <w:u w:val="single"/>
        </w:rPr>
      </w:pPr>
      <w:r>
        <w:rPr>
          <w:rFonts w:hint="eastAsia"/>
          <w:color w:val="auto"/>
          <w:highlight w:val="none"/>
        </w:rPr>
        <w:t xml:space="preserve">日期：       年     月     日  </w:t>
      </w:r>
    </w:p>
    <w:p>
      <w:pPr>
        <w:spacing w:beforeLines="50" w:afterLines="50" w:line="400" w:lineRule="exact"/>
        <w:ind w:left="1155" w:leftChars="550" w:right="1050" w:rightChars="500" w:firstLine="480" w:firstLineChars="200"/>
        <w:rPr>
          <w:rFonts w:cs="宋体"/>
          <w:color w:val="auto"/>
          <w:sz w:val="24"/>
          <w:highlight w:val="none"/>
        </w:rPr>
      </w:pPr>
    </w:p>
    <w:p>
      <w:pPr>
        <w:jc w:val="left"/>
        <w:rPr>
          <w:color w:val="auto"/>
          <w:highlight w:val="none"/>
        </w:rPr>
      </w:pPr>
      <w:r>
        <w:rPr>
          <w:rFonts w:hint="eastAsia"/>
          <w:color w:val="auto"/>
          <w:highlight w:val="none"/>
        </w:rPr>
        <w:t>注：自然人投标的无需盖章，需要签字。</w:t>
      </w:r>
    </w:p>
    <w:p>
      <w:pPr>
        <w:rPr>
          <w:color w:val="auto"/>
          <w:highlight w:val="none"/>
        </w:rPr>
      </w:pPr>
      <w:r>
        <w:rPr>
          <w:rFonts w:hint="eastAsia"/>
          <w:color w:val="auto"/>
          <w:highlight w:val="none"/>
        </w:rPr>
        <w:br w:type="page"/>
      </w:r>
    </w:p>
    <w:p>
      <w:pPr>
        <w:pStyle w:val="6"/>
        <w:spacing w:before="0" w:after="0"/>
        <w:rPr>
          <w:color w:val="auto"/>
          <w:highlight w:val="none"/>
        </w:rPr>
      </w:pPr>
      <w:r>
        <w:rPr>
          <w:rFonts w:hint="eastAsia"/>
          <w:color w:val="auto"/>
          <w:highlight w:val="none"/>
        </w:rPr>
        <w:t>格式8</w:t>
      </w:r>
    </w:p>
    <w:p>
      <w:pPr>
        <w:pStyle w:val="5"/>
        <w:rPr>
          <w:color w:val="auto"/>
          <w:highlight w:val="none"/>
        </w:rPr>
      </w:pPr>
      <w:bookmarkStart w:id="90" w:name="_Toc30548_WPSOffice_Level2"/>
      <w:bookmarkStart w:id="91" w:name="_Toc16873_WPSOffice_Level2"/>
      <w:r>
        <w:rPr>
          <w:rFonts w:hint="eastAsia"/>
          <w:color w:val="auto"/>
          <w:highlight w:val="none"/>
        </w:rPr>
        <w:t>联合体协议书</w:t>
      </w:r>
      <w:bookmarkEnd w:id="90"/>
      <w:bookmarkEnd w:id="91"/>
    </w:p>
    <w:p>
      <w:pPr>
        <w:pStyle w:val="11"/>
        <w:rPr>
          <w:rFonts w:ascii="Times New Roman" w:hAnsi="Times New Roman" w:cs="宋体"/>
          <w:color w:val="auto"/>
          <w:highlight w:val="none"/>
        </w:rPr>
      </w:pPr>
      <w:r>
        <w:rPr>
          <w:rFonts w:hint="eastAsia" w:ascii="Times New Roman" w:hAnsi="Times New Roman" w:cs="宋体"/>
          <w:color w:val="auto"/>
          <w:highlight w:val="none"/>
        </w:rPr>
        <w:t>致</w:t>
      </w:r>
      <w:r>
        <w:rPr>
          <w:rFonts w:hint="eastAsia" w:ascii="Times New Roman" w:hAnsi="Times New Roman" w:cs="宋体"/>
          <w:color w:val="auto"/>
          <w:highlight w:val="none"/>
          <w:u w:val="single"/>
        </w:rPr>
        <w:t>(采购人或采购代理机构)</w:t>
      </w:r>
      <w:r>
        <w:rPr>
          <w:rFonts w:hint="eastAsia" w:ascii="Times New Roman" w:hAnsi="Times New Roman" w:cs="宋体"/>
          <w:color w:val="auto"/>
          <w:highlight w:val="none"/>
        </w:rPr>
        <w:t>：</w:t>
      </w:r>
    </w:p>
    <w:p>
      <w:pPr>
        <w:pStyle w:val="11"/>
        <w:ind w:firstLine="420" w:firstLineChars="200"/>
        <w:rPr>
          <w:rFonts w:ascii="Times New Roman" w:hAnsi="Times New Roman" w:cs="宋体"/>
          <w:color w:val="auto"/>
          <w:highlight w:val="none"/>
        </w:rPr>
      </w:pPr>
      <w:r>
        <w:rPr>
          <w:rFonts w:hint="eastAsia" w:ascii="Times New Roman" w:hAnsi="Times New Roman" w:cs="宋体"/>
          <w:color w:val="auto"/>
          <w:highlight w:val="none"/>
        </w:rPr>
        <w:t>经研究，我方决定自愿组成联合体共同参加</w:t>
      </w:r>
      <w:r>
        <w:rPr>
          <w:rFonts w:hint="eastAsia" w:ascii="Times New Roman" w:hAnsi="Times New Roman" w:cs="宋体"/>
          <w:color w:val="auto"/>
          <w:highlight w:val="none"/>
          <w:u w:val="single"/>
        </w:rPr>
        <w:t>(项目名称、项目编号、包号)</w:t>
      </w:r>
      <w:r>
        <w:rPr>
          <w:rFonts w:hint="eastAsia" w:ascii="Times New Roman" w:hAnsi="Times New Roman" w:cs="宋体"/>
          <w:color w:val="auto"/>
          <w:highlight w:val="none"/>
        </w:rPr>
        <w:t>项目的投标。现就联合体询价事宜订立如下协议：</w:t>
      </w:r>
    </w:p>
    <w:p>
      <w:pPr>
        <w:pStyle w:val="11"/>
        <w:ind w:firstLine="420" w:firstLineChars="200"/>
        <w:rPr>
          <w:rFonts w:ascii="Times New Roman" w:hAnsi="Times New Roman" w:cs="宋体"/>
          <w:color w:val="auto"/>
          <w:highlight w:val="none"/>
        </w:rPr>
      </w:pPr>
      <w:r>
        <w:rPr>
          <w:rFonts w:hint="eastAsia" w:ascii="Times New Roman" w:hAnsi="Times New Roman" w:cs="宋体"/>
          <w:color w:val="auto"/>
          <w:highlight w:val="none"/>
        </w:rPr>
        <w:t>一、联合体成员：</w:t>
      </w:r>
    </w:p>
    <w:p>
      <w:pPr>
        <w:pStyle w:val="11"/>
        <w:ind w:firstLine="420" w:firstLineChars="200"/>
        <w:rPr>
          <w:rFonts w:ascii="Times New Roman" w:hAnsi="Times New Roman" w:cs="宋体"/>
          <w:color w:val="auto"/>
          <w:highlight w:val="none"/>
          <w:u w:val="single"/>
        </w:rPr>
      </w:pPr>
      <w:bookmarkStart w:id="92" w:name="_Toc15561_WPSOffice_Level2"/>
      <w:bookmarkStart w:id="93" w:name="_Toc23749_WPSOffice_Level2"/>
      <w:r>
        <w:rPr>
          <w:rFonts w:hint="eastAsia" w:ascii="Times New Roman" w:hAnsi="Times New Roman" w:cs="宋体"/>
          <w:color w:val="auto"/>
          <w:highlight w:val="none"/>
        </w:rPr>
        <w:t>1.</w:t>
      </w:r>
      <w:bookmarkEnd w:id="92"/>
      <w:bookmarkEnd w:id="93"/>
      <w:r>
        <w:rPr>
          <w:rFonts w:hint="eastAsia" w:ascii="Times New Roman" w:hAnsi="Times New Roman" w:cs="宋体"/>
          <w:color w:val="auto"/>
          <w:highlight w:val="none"/>
          <w:u w:val="single"/>
        </w:rPr>
        <w:t xml:space="preserve">                  </w:t>
      </w:r>
    </w:p>
    <w:p>
      <w:pPr>
        <w:pStyle w:val="11"/>
        <w:ind w:firstLine="420" w:firstLineChars="200"/>
        <w:rPr>
          <w:rFonts w:ascii="Times New Roman" w:hAnsi="Times New Roman" w:cs="宋体"/>
          <w:color w:val="auto"/>
          <w:highlight w:val="none"/>
        </w:rPr>
      </w:pPr>
      <w:bookmarkStart w:id="94" w:name="_Toc405_WPSOffice_Level2"/>
      <w:bookmarkStart w:id="95" w:name="_Toc22173_WPSOffice_Level2"/>
      <w:r>
        <w:rPr>
          <w:rFonts w:hint="eastAsia" w:ascii="Times New Roman" w:hAnsi="Times New Roman" w:cs="宋体"/>
          <w:color w:val="auto"/>
          <w:highlight w:val="none"/>
        </w:rPr>
        <w:t>2.</w:t>
      </w:r>
      <w:bookmarkEnd w:id="94"/>
      <w:bookmarkEnd w:id="95"/>
      <w:r>
        <w:rPr>
          <w:rFonts w:hint="eastAsia" w:ascii="Times New Roman" w:hAnsi="Times New Roman" w:cs="宋体"/>
          <w:color w:val="auto"/>
          <w:highlight w:val="none"/>
          <w:u w:val="single"/>
        </w:rPr>
        <w:t xml:space="preserve">                  </w:t>
      </w:r>
    </w:p>
    <w:p>
      <w:pPr>
        <w:pStyle w:val="11"/>
        <w:ind w:firstLine="420" w:firstLineChars="200"/>
        <w:rPr>
          <w:rFonts w:ascii="Times New Roman" w:hAnsi="Times New Roman" w:cs="宋体"/>
          <w:color w:val="auto"/>
          <w:highlight w:val="none"/>
        </w:rPr>
      </w:pPr>
      <w:bookmarkStart w:id="96" w:name="_Toc7084_WPSOffice_Level2"/>
      <w:bookmarkStart w:id="97" w:name="_Toc23482_WPSOffice_Level2"/>
      <w:r>
        <w:rPr>
          <w:rFonts w:hint="eastAsia" w:ascii="Times New Roman" w:hAnsi="Times New Roman" w:cs="宋体"/>
          <w:color w:val="auto"/>
          <w:highlight w:val="none"/>
        </w:rPr>
        <w:t>3.</w:t>
      </w:r>
      <w:bookmarkEnd w:id="96"/>
      <w:bookmarkEnd w:id="97"/>
      <w:r>
        <w:rPr>
          <w:rFonts w:hint="eastAsia" w:ascii="Times New Roman" w:hAnsi="Times New Roman" w:cs="宋体"/>
          <w:color w:val="auto"/>
          <w:highlight w:val="none"/>
          <w:u w:val="single"/>
        </w:rPr>
        <w:t xml:space="preserve">                  </w:t>
      </w:r>
    </w:p>
    <w:p>
      <w:pPr>
        <w:pStyle w:val="11"/>
        <w:ind w:firstLine="420" w:firstLineChars="200"/>
        <w:rPr>
          <w:rFonts w:ascii="Times New Roman" w:hAnsi="Times New Roman" w:cs="宋体"/>
          <w:color w:val="auto"/>
          <w:highlight w:val="none"/>
        </w:rPr>
      </w:pPr>
      <w:r>
        <w:rPr>
          <w:rFonts w:hint="eastAsia" w:ascii="Times New Roman" w:hAnsi="Times New Roman" w:cs="宋体"/>
          <w:color w:val="auto"/>
          <w:highlight w:val="none"/>
        </w:rPr>
        <w:t>二、</w:t>
      </w:r>
      <w:r>
        <w:rPr>
          <w:rFonts w:hint="eastAsia" w:ascii="Times New Roman" w:hAnsi="Times New Roman" w:cs="宋体"/>
          <w:color w:val="auto"/>
          <w:highlight w:val="none"/>
          <w:u w:val="single"/>
        </w:rPr>
        <w:t>(某成员单位名称)</w:t>
      </w:r>
      <w:r>
        <w:rPr>
          <w:rFonts w:hint="eastAsia" w:ascii="Times New Roman" w:hAnsi="Times New Roman" w:cs="宋体"/>
          <w:color w:val="auto"/>
          <w:highlight w:val="none"/>
        </w:rPr>
        <w:t>为(联合体名称)牵头人。</w:t>
      </w:r>
    </w:p>
    <w:p>
      <w:pPr>
        <w:pStyle w:val="11"/>
        <w:ind w:firstLine="420" w:firstLineChars="200"/>
        <w:rPr>
          <w:rFonts w:ascii="Times New Roman" w:hAnsi="Times New Roman" w:cs="宋体"/>
          <w:color w:val="auto"/>
          <w:highlight w:val="none"/>
        </w:rPr>
      </w:pPr>
      <w:r>
        <w:rPr>
          <w:rFonts w:hint="eastAsia" w:ascii="Times New Roman" w:hAnsi="Times New Roman" w:cs="宋体"/>
          <w:color w:val="auto"/>
          <w:highlight w:val="none"/>
        </w:rPr>
        <w:t>三、联合体牵头人合法代表联合体各成员负责本项目投标文件编制活动，代表联合体提交和接收相关的资料、信息及指示，并处理与投标或成交有关的一切事务；联合体成交后，联合体牵头人负责合同订立和合同实施阶段的主办、组织和协调工作。</w:t>
      </w:r>
    </w:p>
    <w:p>
      <w:pPr>
        <w:pStyle w:val="11"/>
        <w:ind w:firstLine="420" w:firstLineChars="200"/>
        <w:rPr>
          <w:rFonts w:ascii="Times New Roman" w:hAnsi="Times New Roman" w:cs="宋体"/>
          <w:color w:val="auto"/>
          <w:highlight w:val="none"/>
        </w:rPr>
      </w:pPr>
      <w:r>
        <w:rPr>
          <w:rFonts w:hint="eastAsia" w:ascii="Times New Roman" w:hAnsi="Times New Roman" w:cs="宋体"/>
          <w:color w:val="auto"/>
          <w:highlight w:val="none"/>
        </w:rPr>
        <w:t>四、联合体将严格按照招标文件的各项要求，递交投标文件，参加投标，履行中标义务和中标后的合同，并向采购人承担连带责任。</w:t>
      </w:r>
    </w:p>
    <w:p>
      <w:pPr>
        <w:pStyle w:val="11"/>
        <w:ind w:firstLine="420" w:firstLineChars="200"/>
        <w:rPr>
          <w:rFonts w:ascii="Times New Roman" w:hAnsi="Times New Roman" w:cs="宋体"/>
          <w:color w:val="auto"/>
          <w:highlight w:val="none"/>
        </w:rPr>
      </w:pPr>
      <w:r>
        <w:rPr>
          <w:rFonts w:hint="eastAsia" w:ascii="Times New Roman" w:hAnsi="Times New Roman" w:cs="宋体"/>
          <w:color w:val="auto"/>
          <w:highlight w:val="none"/>
        </w:rPr>
        <w:t>五、联合体各成员单位内部的职责分工如下：</w:t>
      </w:r>
      <w:r>
        <w:rPr>
          <w:rFonts w:hint="eastAsia" w:ascii="Times New Roman" w:hAnsi="Times New Roman" w:cs="宋体"/>
          <w:color w:val="auto"/>
          <w:highlight w:val="none"/>
          <w:u w:val="single"/>
        </w:rPr>
        <w:t xml:space="preserve">                  </w:t>
      </w:r>
      <w:r>
        <w:rPr>
          <w:rFonts w:hint="eastAsia" w:ascii="Times New Roman" w:hAnsi="Times New Roman" w:cs="宋体"/>
          <w:color w:val="auto"/>
          <w:highlight w:val="none"/>
        </w:rPr>
        <w:t>。按照本条上述分工，联合体成员单位各自所承担的合同工作量比例如下：</w:t>
      </w:r>
      <w:r>
        <w:rPr>
          <w:rFonts w:hint="eastAsia" w:ascii="Times New Roman" w:hAnsi="Times New Roman" w:cs="宋体"/>
          <w:color w:val="auto"/>
          <w:highlight w:val="none"/>
          <w:u w:val="single"/>
        </w:rPr>
        <w:t xml:space="preserve">                  </w:t>
      </w:r>
      <w:r>
        <w:rPr>
          <w:rFonts w:hint="eastAsia" w:ascii="Times New Roman" w:hAnsi="Times New Roman" w:cs="宋体"/>
          <w:color w:val="auto"/>
          <w:highlight w:val="none"/>
        </w:rPr>
        <w:t>。</w:t>
      </w:r>
    </w:p>
    <w:p>
      <w:pPr>
        <w:pStyle w:val="11"/>
        <w:ind w:firstLine="420" w:firstLineChars="200"/>
        <w:rPr>
          <w:rFonts w:ascii="Times New Roman" w:hAnsi="Times New Roman" w:cs="宋体"/>
          <w:color w:val="auto"/>
          <w:highlight w:val="none"/>
        </w:rPr>
      </w:pPr>
      <w:r>
        <w:rPr>
          <w:rFonts w:hint="eastAsia" w:ascii="Times New Roman" w:hAnsi="Times New Roman" w:cs="宋体"/>
          <w:color w:val="auto"/>
          <w:highlight w:val="none"/>
        </w:rPr>
        <w:t>六、本协议书自签署之日起生效，合同履行完毕后自动失效。</w:t>
      </w:r>
    </w:p>
    <w:p>
      <w:pPr>
        <w:pStyle w:val="11"/>
        <w:ind w:firstLine="420" w:firstLineChars="200"/>
        <w:rPr>
          <w:rFonts w:ascii="Times New Roman" w:hAnsi="Times New Roman" w:cs="宋体"/>
          <w:color w:val="auto"/>
          <w:highlight w:val="none"/>
        </w:rPr>
      </w:pPr>
      <w:r>
        <w:rPr>
          <w:rFonts w:hint="eastAsia" w:ascii="Times New Roman" w:hAnsi="Times New Roman" w:cs="宋体"/>
          <w:color w:val="auto"/>
          <w:highlight w:val="none"/>
        </w:rPr>
        <w:t>七、本协议书一式份，联合体成员和采购人各执一份。</w:t>
      </w:r>
    </w:p>
    <w:p>
      <w:pPr>
        <w:pStyle w:val="11"/>
        <w:ind w:firstLine="420" w:firstLineChars="200"/>
        <w:rPr>
          <w:rFonts w:ascii="Times New Roman" w:hAnsi="Times New Roman" w:cs="宋体"/>
          <w:color w:val="auto"/>
          <w:highlight w:val="none"/>
        </w:rPr>
      </w:pPr>
    </w:p>
    <w:p>
      <w:pPr>
        <w:pStyle w:val="11"/>
        <w:ind w:firstLine="420" w:firstLineChars="200"/>
        <w:rPr>
          <w:rFonts w:ascii="Times New Roman" w:hAnsi="Times New Roman" w:cs="宋体"/>
          <w:color w:val="auto"/>
          <w:highlight w:val="none"/>
        </w:rPr>
      </w:pPr>
      <w:r>
        <w:rPr>
          <w:rFonts w:hint="eastAsia" w:ascii="Times New Roman" w:hAnsi="Times New Roman" w:cs="宋体"/>
          <w:color w:val="auto"/>
          <w:highlight w:val="none"/>
        </w:rPr>
        <w:t>牵头人名称(公章)：</w:t>
      </w:r>
    </w:p>
    <w:p>
      <w:pPr>
        <w:pStyle w:val="11"/>
        <w:ind w:firstLine="420" w:firstLineChars="200"/>
        <w:rPr>
          <w:rFonts w:ascii="Times New Roman" w:hAnsi="Times New Roman" w:cs="宋体"/>
          <w:color w:val="auto"/>
          <w:highlight w:val="none"/>
        </w:rPr>
      </w:pPr>
      <w:r>
        <w:rPr>
          <w:rFonts w:hint="eastAsia" w:ascii="Times New Roman" w:hAnsi="Times New Roman" w:cs="宋体"/>
          <w:color w:val="auto"/>
          <w:highlight w:val="none"/>
        </w:rPr>
        <w:t>法定代表人或其授权代表(签字或盖章)：</w:t>
      </w:r>
    </w:p>
    <w:p>
      <w:pPr>
        <w:adjustRightInd w:val="0"/>
        <w:snapToGrid w:val="0"/>
        <w:ind w:firstLine="420" w:firstLineChars="200"/>
        <w:rPr>
          <w:rFonts w:ascii="宋体" w:hAnsi="宋体" w:cs="宋体"/>
          <w:color w:val="auto"/>
          <w:highlight w:val="none"/>
        </w:rPr>
      </w:pPr>
    </w:p>
    <w:p>
      <w:pPr>
        <w:pStyle w:val="31"/>
        <w:ind w:firstLine="560"/>
        <w:rPr>
          <w:rFonts w:ascii="Bookman Old Style" w:hAnsi="Bookman Old Style" w:eastAsia="仿宋_GB2312"/>
          <w:color w:val="auto"/>
          <w:sz w:val="28"/>
          <w:szCs w:val="28"/>
          <w:highlight w:val="none"/>
        </w:rPr>
      </w:pPr>
    </w:p>
    <w:p>
      <w:pPr>
        <w:pStyle w:val="11"/>
        <w:ind w:firstLine="420" w:firstLineChars="200"/>
        <w:rPr>
          <w:rFonts w:ascii="Times New Roman" w:hAnsi="Times New Roman" w:cs="宋体"/>
          <w:color w:val="auto"/>
          <w:highlight w:val="none"/>
          <w:u w:val="single"/>
        </w:rPr>
      </w:pPr>
      <w:r>
        <w:rPr>
          <w:rFonts w:hint="eastAsia" w:ascii="Times New Roman" w:hAnsi="Times New Roman" w:cs="宋体"/>
          <w:color w:val="auto"/>
          <w:highlight w:val="none"/>
        </w:rPr>
        <w:t>成员名称(公章)：</w:t>
      </w:r>
    </w:p>
    <w:p>
      <w:pPr>
        <w:pStyle w:val="11"/>
        <w:ind w:firstLine="420" w:firstLineChars="200"/>
        <w:rPr>
          <w:rFonts w:ascii="Times New Roman" w:hAnsi="Times New Roman" w:cs="宋体"/>
          <w:color w:val="auto"/>
          <w:highlight w:val="none"/>
          <w:u w:val="single"/>
        </w:rPr>
      </w:pPr>
      <w:r>
        <w:rPr>
          <w:rFonts w:hint="eastAsia" w:ascii="Times New Roman" w:hAnsi="Times New Roman" w:cs="宋体"/>
          <w:color w:val="auto"/>
          <w:highlight w:val="none"/>
        </w:rPr>
        <w:t>法定代表人或其授权代表(签字或盖章)：</w:t>
      </w:r>
    </w:p>
    <w:p>
      <w:pPr>
        <w:pStyle w:val="11"/>
        <w:ind w:firstLine="420" w:firstLineChars="200"/>
        <w:rPr>
          <w:rFonts w:ascii="Times New Roman" w:hAnsi="Times New Roman" w:cs="宋体"/>
          <w:color w:val="auto"/>
          <w:highlight w:val="none"/>
        </w:rPr>
        <w:sectPr>
          <w:footerReference r:id="rId6" w:type="default"/>
          <w:pgSz w:w="11906" w:h="16838"/>
          <w:pgMar w:top="1440" w:right="1803" w:bottom="1440" w:left="1803" w:header="851" w:footer="992" w:gutter="0"/>
          <w:cols w:space="720" w:num="1"/>
          <w:docGrid w:linePitch="319" w:charSpace="0"/>
        </w:sectPr>
      </w:pPr>
      <w:r>
        <w:rPr>
          <w:rFonts w:hint="eastAsia" w:ascii="Times New Roman" w:hAnsi="Times New Roman" w:cs="宋体"/>
          <w:color w:val="auto"/>
          <w:highlight w:val="none"/>
        </w:rPr>
        <w:t>日期：</w:t>
      </w:r>
      <w:r>
        <w:rPr>
          <w:rFonts w:hint="eastAsia" w:ascii="Times New Roman" w:hAnsi="Times New Roman" w:cs="宋体"/>
          <w:color w:val="auto"/>
          <w:highlight w:val="none"/>
          <w:u w:val="single"/>
        </w:rPr>
        <w:t xml:space="preserve">   </w:t>
      </w:r>
      <w:r>
        <w:rPr>
          <w:rFonts w:hint="eastAsia" w:ascii="Times New Roman" w:hAnsi="Times New Roman" w:cs="宋体"/>
          <w:color w:val="auto"/>
          <w:highlight w:val="none"/>
        </w:rPr>
        <w:t>年</w:t>
      </w:r>
      <w:r>
        <w:rPr>
          <w:rFonts w:hint="eastAsia" w:ascii="Times New Roman" w:hAnsi="Times New Roman" w:cs="宋体"/>
          <w:color w:val="auto"/>
          <w:highlight w:val="none"/>
          <w:u w:val="single"/>
        </w:rPr>
        <w:t xml:space="preserve">   </w:t>
      </w:r>
      <w:r>
        <w:rPr>
          <w:rFonts w:hint="eastAsia" w:ascii="Times New Roman" w:hAnsi="Times New Roman" w:cs="宋体"/>
          <w:color w:val="auto"/>
          <w:highlight w:val="none"/>
        </w:rPr>
        <w:t>月</w:t>
      </w:r>
      <w:r>
        <w:rPr>
          <w:rFonts w:hint="eastAsia" w:ascii="Times New Roman" w:hAnsi="Times New Roman" w:cs="宋体"/>
          <w:color w:val="auto"/>
          <w:highlight w:val="none"/>
          <w:u w:val="single"/>
        </w:rPr>
        <w:t xml:space="preserve">   </w:t>
      </w:r>
      <w:r>
        <w:rPr>
          <w:rFonts w:hint="eastAsia" w:ascii="Times New Roman" w:hAnsi="Times New Roman" w:cs="宋体"/>
          <w:color w:val="auto"/>
          <w:highlight w:val="none"/>
        </w:rPr>
        <w:t>日</w:t>
      </w:r>
    </w:p>
    <w:p>
      <w:pPr>
        <w:pStyle w:val="6"/>
        <w:spacing w:before="0" w:after="0"/>
        <w:rPr>
          <w:color w:val="auto"/>
          <w:highlight w:val="none"/>
        </w:rPr>
      </w:pPr>
      <w:r>
        <w:rPr>
          <w:rFonts w:hint="eastAsia"/>
          <w:color w:val="auto"/>
          <w:highlight w:val="none"/>
        </w:rPr>
        <w:t>格式9</w:t>
      </w:r>
    </w:p>
    <w:p>
      <w:pPr>
        <w:pStyle w:val="5"/>
        <w:rPr>
          <w:color w:val="auto"/>
          <w:highlight w:val="none"/>
        </w:rPr>
      </w:pPr>
      <w:bookmarkStart w:id="98" w:name="_Toc24841_WPSOffice_Level2"/>
      <w:bookmarkStart w:id="99" w:name="_Toc14782_WPSOffice_Level2"/>
      <w:r>
        <w:rPr>
          <w:rFonts w:hint="eastAsia"/>
          <w:color w:val="auto"/>
          <w:highlight w:val="none"/>
        </w:rPr>
        <w:t>投标函</w:t>
      </w:r>
      <w:bookmarkEnd w:id="98"/>
      <w:bookmarkEnd w:id="99"/>
    </w:p>
    <w:p>
      <w:pPr>
        <w:adjustRightInd w:val="0"/>
        <w:snapToGrid w:val="0"/>
        <w:ind w:right="630" w:rightChars="300"/>
        <w:rPr>
          <w:rFonts w:cs="宋体"/>
          <w:color w:val="auto"/>
          <w:highlight w:val="none"/>
          <w:u w:val="single"/>
        </w:rPr>
      </w:pPr>
      <w:r>
        <w:rPr>
          <w:rFonts w:hint="eastAsia" w:cs="宋体"/>
          <w:color w:val="auto"/>
          <w:highlight w:val="none"/>
          <w:u w:val="single"/>
        </w:rPr>
        <w:t>（采购人或采购代理机构）：</w:t>
      </w:r>
    </w:p>
    <w:p>
      <w:pPr>
        <w:adjustRightInd w:val="0"/>
        <w:snapToGrid w:val="0"/>
        <w:ind w:firstLine="420" w:firstLineChars="200"/>
        <w:rPr>
          <w:rFonts w:cs="宋体"/>
          <w:color w:val="auto"/>
          <w:highlight w:val="none"/>
        </w:rPr>
      </w:pPr>
      <w:r>
        <w:rPr>
          <w:rFonts w:hint="eastAsia" w:cs="宋体"/>
          <w:color w:val="auto"/>
          <w:highlight w:val="none"/>
        </w:rPr>
        <w:t>根据贵方</w:t>
      </w:r>
      <w:r>
        <w:rPr>
          <w:rFonts w:hint="eastAsia"/>
          <w:color w:val="auto"/>
          <w:highlight w:val="none"/>
          <w:u w:val="single"/>
        </w:rPr>
        <w:t xml:space="preserve"> </w:t>
      </w:r>
      <w:r>
        <w:rPr>
          <w:color w:val="auto"/>
          <w:highlight w:val="none"/>
          <w:u w:val="single"/>
        </w:rPr>
        <w:t xml:space="preserve"> </w:t>
      </w:r>
      <w:r>
        <w:rPr>
          <w:rFonts w:hint="eastAsia" w:ascii="宋体" w:hAnsi="宋体"/>
          <w:color w:val="auto"/>
          <w:highlight w:val="none"/>
          <w:u w:val="single"/>
        </w:rPr>
        <w:t>(项目名称)</w:t>
      </w:r>
      <w:r>
        <w:rPr>
          <w:rFonts w:ascii="宋体" w:hAnsi="宋体"/>
          <w:color w:val="auto"/>
          <w:highlight w:val="none"/>
          <w:u w:val="single"/>
        </w:rPr>
        <w:t xml:space="preserve">   </w:t>
      </w:r>
      <w:r>
        <w:rPr>
          <w:rFonts w:hint="eastAsia" w:cs="宋体"/>
          <w:color w:val="auto"/>
          <w:highlight w:val="none"/>
        </w:rPr>
        <w:t>项目的招标公告</w:t>
      </w:r>
      <w:r>
        <w:rPr>
          <w:rFonts w:hint="eastAsia"/>
          <w:color w:val="auto"/>
          <w:highlight w:val="none"/>
          <w:u w:val="single"/>
        </w:rPr>
        <w:t xml:space="preserve"> </w:t>
      </w:r>
      <w:r>
        <w:rPr>
          <w:color w:val="auto"/>
          <w:highlight w:val="none"/>
          <w:u w:val="single"/>
        </w:rPr>
        <w:t xml:space="preserve"> </w:t>
      </w:r>
      <w:r>
        <w:rPr>
          <w:rFonts w:hint="eastAsia" w:ascii="宋体" w:hAnsi="宋体"/>
          <w:color w:val="auto"/>
          <w:highlight w:val="none"/>
          <w:u w:val="single"/>
        </w:rPr>
        <w:t>(项目编号)</w:t>
      </w:r>
      <w:r>
        <w:rPr>
          <w:rFonts w:ascii="宋体" w:hAnsi="宋体"/>
          <w:color w:val="auto"/>
          <w:highlight w:val="none"/>
          <w:u w:val="single"/>
        </w:rPr>
        <w:t xml:space="preserve">   </w:t>
      </w:r>
      <w:r>
        <w:rPr>
          <w:rFonts w:hint="eastAsia" w:ascii="宋体" w:hAnsi="宋体"/>
          <w:color w:val="auto"/>
          <w:highlight w:val="none"/>
        </w:rPr>
        <w:t>，</w:t>
      </w:r>
      <w:r>
        <w:rPr>
          <w:rFonts w:hint="eastAsia" w:cs="宋体"/>
          <w:color w:val="auto"/>
          <w:highlight w:val="none"/>
        </w:rPr>
        <w:t>签字代表</w:t>
      </w:r>
      <w:r>
        <w:rPr>
          <w:rFonts w:hint="eastAsia"/>
          <w:color w:val="auto"/>
          <w:highlight w:val="none"/>
          <w:u w:val="single"/>
        </w:rPr>
        <w:t xml:space="preserve"> </w:t>
      </w:r>
      <w:r>
        <w:rPr>
          <w:color w:val="auto"/>
          <w:highlight w:val="none"/>
          <w:u w:val="single"/>
        </w:rPr>
        <w:t xml:space="preserve"> </w:t>
      </w:r>
      <w:r>
        <w:rPr>
          <w:rFonts w:hint="eastAsia" w:ascii="宋体" w:hAnsi="宋体"/>
          <w:color w:val="auto"/>
          <w:highlight w:val="none"/>
          <w:u w:val="single"/>
        </w:rPr>
        <w:t>(</w:t>
      </w:r>
      <w:r>
        <w:rPr>
          <w:rFonts w:hint="eastAsia" w:ascii="宋体" w:hAnsi="宋体" w:cs="宋体"/>
          <w:color w:val="auto"/>
          <w:highlight w:val="none"/>
          <w:u w:val="single"/>
        </w:rPr>
        <w:t>姓名、职务</w:t>
      </w:r>
      <w:r>
        <w:rPr>
          <w:rFonts w:hint="eastAsia" w:ascii="宋体" w:hAnsi="宋体"/>
          <w:color w:val="auto"/>
          <w:highlight w:val="none"/>
          <w:u w:val="single"/>
        </w:rPr>
        <w:t>)</w:t>
      </w:r>
      <w:r>
        <w:rPr>
          <w:rFonts w:hint="eastAsia" w:cs="宋体"/>
          <w:color w:val="auto"/>
          <w:highlight w:val="none"/>
        </w:rPr>
        <w:t>经正式授权并代表供应商</w:t>
      </w:r>
      <w:r>
        <w:rPr>
          <w:rFonts w:hint="eastAsia"/>
          <w:color w:val="auto"/>
          <w:highlight w:val="none"/>
          <w:u w:val="single"/>
        </w:rPr>
        <w:t xml:space="preserve"> </w:t>
      </w:r>
      <w:r>
        <w:rPr>
          <w:color w:val="auto"/>
          <w:highlight w:val="none"/>
          <w:u w:val="single"/>
        </w:rPr>
        <w:t xml:space="preserve"> </w:t>
      </w:r>
      <w:r>
        <w:rPr>
          <w:rFonts w:hint="eastAsia"/>
          <w:color w:val="auto"/>
          <w:highlight w:val="none"/>
          <w:u w:val="single"/>
        </w:rPr>
        <w:t xml:space="preserve">（名称、地址） </w:t>
      </w:r>
      <w:r>
        <w:rPr>
          <w:color w:val="auto"/>
          <w:highlight w:val="none"/>
          <w:u w:val="single"/>
        </w:rPr>
        <w:t xml:space="preserve"> </w:t>
      </w:r>
      <w:r>
        <w:rPr>
          <w:rFonts w:hint="eastAsia" w:cs="宋体"/>
          <w:color w:val="auto"/>
          <w:highlight w:val="none"/>
        </w:rPr>
        <w:t>提交下述文件正本</w:t>
      </w:r>
      <w:r>
        <w:rPr>
          <w:rFonts w:hint="eastAsia" w:cs="宋体"/>
          <w:color w:val="auto"/>
          <w:highlight w:val="none"/>
          <w:u w:val="single"/>
        </w:rPr>
        <w:t xml:space="preserve">    </w:t>
      </w:r>
      <w:r>
        <w:rPr>
          <w:rFonts w:hint="eastAsia" w:cs="宋体"/>
          <w:color w:val="auto"/>
          <w:highlight w:val="none"/>
        </w:rPr>
        <w:t>份、副本</w:t>
      </w:r>
      <w:r>
        <w:rPr>
          <w:rFonts w:hint="eastAsia" w:cs="宋体"/>
          <w:color w:val="auto"/>
          <w:highlight w:val="none"/>
          <w:u w:val="single"/>
        </w:rPr>
        <w:t xml:space="preserve">     </w:t>
      </w:r>
      <w:r>
        <w:rPr>
          <w:rFonts w:hint="eastAsia" w:cs="宋体"/>
          <w:color w:val="auto"/>
          <w:highlight w:val="none"/>
        </w:rPr>
        <w:t>份及电子文档</w:t>
      </w:r>
      <w:r>
        <w:rPr>
          <w:rFonts w:hint="eastAsia" w:cs="宋体"/>
          <w:color w:val="auto"/>
          <w:highlight w:val="none"/>
          <w:u w:val="single"/>
        </w:rPr>
        <w:t xml:space="preserve">    </w:t>
      </w:r>
      <w:r>
        <w:rPr>
          <w:rFonts w:hint="eastAsia" w:cs="宋体"/>
          <w:color w:val="auto"/>
          <w:highlight w:val="none"/>
        </w:rPr>
        <w:t>份，并以</w:t>
      </w:r>
      <w:r>
        <w:rPr>
          <w:rFonts w:hint="eastAsia" w:cs="宋体"/>
          <w:color w:val="auto"/>
          <w:highlight w:val="none"/>
          <w:u w:val="single"/>
        </w:rPr>
        <w:t xml:space="preserve">     </w:t>
      </w:r>
      <w:r>
        <w:rPr>
          <w:rFonts w:hint="eastAsia" w:cs="宋体"/>
          <w:color w:val="auto"/>
          <w:highlight w:val="none"/>
        </w:rPr>
        <w:t>形式出具的金额为人民币</w:t>
      </w:r>
      <w:r>
        <w:rPr>
          <w:rFonts w:hint="eastAsia" w:cs="宋体"/>
          <w:color w:val="auto"/>
          <w:highlight w:val="none"/>
          <w:u w:val="single"/>
        </w:rPr>
        <w:t xml:space="preserve">     </w:t>
      </w:r>
      <w:r>
        <w:rPr>
          <w:rFonts w:hint="eastAsia" w:cs="宋体"/>
          <w:color w:val="auto"/>
          <w:highlight w:val="none"/>
        </w:rPr>
        <w:t>元的投标保证金。</w:t>
      </w:r>
    </w:p>
    <w:p>
      <w:pPr>
        <w:adjustRightInd w:val="0"/>
        <w:snapToGrid w:val="0"/>
        <w:ind w:right="-21" w:rightChars="-10" w:firstLine="420" w:firstLineChars="200"/>
        <w:rPr>
          <w:rFonts w:cs="宋体"/>
          <w:color w:val="auto"/>
          <w:highlight w:val="none"/>
        </w:rPr>
      </w:pPr>
      <w:r>
        <w:rPr>
          <w:rFonts w:hint="eastAsia" w:cs="宋体"/>
          <w:color w:val="auto"/>
          <w:highlight w:val="none"/>
        </w:rPr>
        <w:t>据此，签字代表宣布同意如下：</w:t>
      </w:r>
    </w:p>
    <w:p>
      <w:pPr>
        <w:numPr>
          <w:ilvl w:val="0"/>
          <w:numId w:val="4"/>
        </w:numPr>
        <w:adjustRightInd w:val="0"/>
        <w:snapToGrid w:val="0"/>
        <w:ind w:right="-21" w:rightChars="-10" w:firstLine="420" w:firstLineChars="200"/>
        <w:rPr>
          <w:rFonts w:cs="宋体"/>
          <w:color w:val="auto"/>
          <w:highlight w:val="none"/>
        </w:rPr>
      </w:pPr>
      <w:r>
        <w:rPr>
          <w:rFonts w:hint="eastAsia" w:cs="宋体"/>
          <w:color w:val="auto"/>
          <w:highlight w:val="none"/>
        </w:rPr>
        <w:t>本项目投标总价详见开标一览表。</w:t>
      </w:r>
    </w:p>
    <w:p>
      <w:pPr>
        <w:numPr>
          <w:ilvl w:val="0"/>
          <w:numId w:val="4"/>
        </w:numPr>
        <w:adjustRightInd w:val="0"/>
        <w:snapToGrid w:val="0"/>
        <w:ind w:right="-21" w:rightChars="-10" w:firstLine="420" w:firstLineChars="200"/>
        <w:rPr>
          <w:rFonts w:cs="宋体"/>
          <w:color w:val="auto"/>
          <w:highlight w:val="none"/>
        </w:rPr>
      </w:pPr>
      <w:r>
        <w:rPr>
          <w:rFonts w:hint="eastAsia" w:cs="宋体"/>
          <w:color w:val="auto"/>
          <w:highlight w:val="none"/>
        </w:rPr>
        <w:t>本投标有效期为自投标截止之日起</w:t>
      </w:r>
      <w:r>
        <w:rPr>
          <w:rFonts w:hint="eastAsia" w:cs="宋体"/>
          <w:color w:val="auto"/>
          <w:highlight w:val="none"/>
          <w:u w:val="single"/>
        </w:rPr>
        <w:t xml:space="preserve">     </w:t>
      </w:r>
      <w:r>
        <w:rPr>
          <w:rFonts w:hint="eastAsia" w:cs="宋体"/>
          <w:color w:val="auto"/>
          <w:highlight w:val="none"/>
        </w:rPr>
        <w:t>个日历日。</w:t>
      </w:r>
    </w:p>
    <w:p>
      <w:pPr>
        <w:adjustRightInd w:val="0"/>
        <w:snapToGrid w:val="0"/>
        <w:ind w:right="-21" w:rightChars="-10" w:firstLine="420" w:firstLineChars="200"/>
        <w:rPr>
          <w:rFonts w:cs="宋体"/>
          <w:color w:val="auto"/>
          <w:highlight w:val="none"/>
        </w:rPr>
      </w:pPr>
      <w:r>
        <w:rPr>
          <w:rFonts w:hint="eastAsia" w:cs="宋体"/>
          <w:color w:val="auto"/>
          <w:highlight w:val="none"/>
        </w:rPr>
        <w:t>（3）已详细审查全部招标文件，包括所有补充通知（如果有的话）。</w:t>
      </w:r>
    </w:p>
    <w:p>
      <w:pPr>
        <w:adjustRightInd w:val="0"/>
        <w:snapToGrid w:val="0"/>
        <w:ind w:right="-21" w:rightChars="-10" w:firstLine="420" w:firstLineChars="200"/>
        <w:rPr>
          <w:rFonts w:cs="宋体"/>
          <w:color w:val="auto"/>
          <w:highlight w:val="none"/>
        </w:rPr>
      </w:pPr>
      <w:r>
        <w:rPr>
          <w:rFonts w:hint="eastAsia" w:cs="宋体"/>
          <w:color w:val="auto"/>
          <w:highlight w:val="none"/>
        </w:rPr>
        <w:t>（4）遵守招标文件中有关保证金的规定。</w:t>
      </w:r>
    </w:p>
    <w:p>
      <w:pPr>
        <w:adjustRightInd w:val="0"/>
        <w:snapToGrid w:val="0"/>
        <w:ind w:right="-21" w:rightChars="-10" w:firstLine="420" w:firstLineChars="200"/>
        <w:rPr>
          <w:rFonts w:cs="宋体"/>
          <w:color w:val="auto"/>
          <w:highlight w:val="none"/>
        </w:rPr>
      </w:pPr>
      <w:r>
        <w:rPr>
          <w:rFonts w:hint="eastAsia" w:cs="宋体"/>
          <w:color w:val="auto"/>
          <w:highlight w:val="none"/>
        </w:rPr>
        <w:t>（5）我方不是为本项目提供整体设计、规范编制或者项目管理、监理、检测等服务的供应商，我方不是采购代理机构的附属机构。</w:t>
      </w:r>
    </w:p>
    <w:p>
      <w:pPr>
        <w:adjustRightInd w:val="0"/>
        <w:snapToGrid w:val="0"/>
        <w:ind w:right="-21" w:rightChars="-10" w:firstLine="420" w:firstLineChars="200"/>
        <w:rPr>
          <w:rFonts w:cs="宋体"/>
          <w:color w:val="auto"/>
          <w:highlight w:val="none"/>
        </w:rPr>
      </w:pPr>
      <w:r>
        <w:rPr>
          <w:rFonts w:hint="eastAsia" w:cs="宋体"/>
          <w:color w:val="auto"/>
          <w:highlight w:val="none"/>
        </w:rPr>
        <w:t>（6）在领取中标通知书的同时按招标文件规定的形式，向贵方一次性支付招标代理服务费。</w:t>
      </w:r>
    </w:p>
    <w:p>
      <w:pPr>
        <w:adjustRightInd w:val="0"/>
        <w:snapToGrid w:val="0"/>
        <w:ind w:right="-21" w:rightChars="-10" w:firstLine="420" w:firstLineChars="200"/>
        <w:rPr>
          <w:rFonts w:cs="宋体"/>
          <w:color w:val="auto"/>
          <w:highlight w:val="none"/>
        </w:rPr>
      </w:pPr>
      <w:r>
        <w:rPr>
          <w:rFonts w:hint="eastAsia" w:cs="宋体"/>
          <w:color w:val="auto"/>
          <w:highlight w:val="none"/>
        </w:rPr>
        <w:t>（7）按照贵方可能要求，提供与其投标有关的一切数据或资料，完全理解贵方不一定接受最低价的投标或收到的任何投标。</w:t>
      </w:r>
    </w:p>
    <w:p>
      <w:pPr>
        <w:adjustRightInd w:val="0"/>
        <w:snapToGrid w:val="0"/>
        <w:ind w:right="-21" w:rightChars="-10" w:firstLine="420" w:firstLineChars="200"/>
        <w:rPr>
          <w:rFonts w:cs="宋体"/>
          <w:color w:val="auto"/>
          <w:highlight w:val="none"/>
        </w:rPr>
      </w:pPr>
      <w:r>
        <w:rPr>
          <w:rFonts w:hint="eastAsia" w:cs="宋体"/>
          <w:color w:val="auto"/>
          <w:highlight w:val="none"/>
        </w:rPr>
        <w:t>（8）按照招标文件的规定履行合同责任和义务。</w:t>
      </w:r>
    </w:p>
    <w:p>
      <w:pPr>
        <w:adjustRightInd w:val="0"/>
        <w:snapToGrid w:val="0"/>
        <w:ind w:right="-21" w:rightChars="-10" w:firstLine="420" w:firstLineChars="200"/>
        <w:rPr>
          <w:rFonts w:cs="宋体"/>
          <w:color w:val="auto"/>
          <w:highlight w:val="none"/>
        </w:rPr>
      </w:pPr>
      <w:r>
        <w:rPr>
          <w:rFonts w:hint="eastAsia" w:cs="宋体"/>
          <w:color w:val="auto"/>
          <w:highlight w:val="none"/>
        </w:rPr>
        <w:t>（9）我方承诺投标文件中的证明材料真实、合法、有效。</w:t>
      </w:r>
    </w:p>
    <w:p>
      <w:pPr>
        <w:adjustRightInd w:val="0"/>
        <w:snapToGrid w:val="0"/>
        <w:ind w:right="-21" w:rightChars="-10" w:firstLine="420" w:firstLineChars="200"/>
        <w:rPr>
          <w:rFonts w:cs="宋体"/>
          <w:color w:val="auto"/>
          <w:highlight w:val="none"/>
        </w:rPr>
      </w:pPr>
      <w:r>
        <w:rPr>
          <w:rFonts w:hint="eastAsia" w:cs="宋体"/>
          <w:color w:val="auto"/>
          <w:highlight w:val="none"/>
        </w:rPr>
        <w:t>其他事项：</w:t>
      </w:r>
      <w:r>
        <w:rPr>
          <w:rFonts w:hint="eastAsia" w:cs="宋体"/>
          <w:color w:val="auto"/>
          <w:highlight w:val="none"/>
          <w:u w:val="single"/>
        </w:rPr>
        <w:t>如我方在多个包中标，优先选择的顺序为第 包→第 包</w:t>
      </w:r>
      <w:r>
        <w:rPr>
          <w:rFonts w:hint="eastAsia" w:cs="宋体"/>
          <w:color w:val="auto"/>
          <w:highlight w:val="none"/>
        </w:rPr>
        <w:t>。</w:t>
      </w:r>
    </w:p>
    <w:p>
      <w:pPr>
        <w:tabs>
          <w:tab w:val="left" w:pos="10467"/>
        </w:tabs>
        <w:adjustRightInd w:val="0"/>
        <w:snapToGrid w:val="0"/>
        <w:ind w:right="1050" w:rightChars="500" w:firstLine="420" w:firstLineChars="200"/>
        <w:rPr>
          <w:rFonts w:cs="宋体"/>
          <w:color w:val="auto"/>
          <w:highlight w:val="none"/>
        </w:rPr>
      </w:pPr>
      <w:r>
        <w:rPr>
          <w:rFonts w:hint="eastAsia" w:cs="宋体"/>
          <w:color w:val="auto"/>
          <w:highlight w:val="none"/>
        </w:rPr>
        <w:t>与本投标有关的一切往来通讯请寄：</w:t>
      </w:r>
    </w:p>
    <w:p>
      <w:pPr>
        <w:pStyle w:val="31"/>
        <w:ind w:firstLine="420"/>
        <w:rPr>
          <w:ins w:id="0" w:author="admin" w:date="2018-10-27T14:59:00Z"/>
          <w:color w:val="auto"/>
          <w:highlight w:val="none"/>
        </w:rPr>
      </w:pPr>
    </w:p>
    <w:p>
      <w:pPr>
        <w:tabs>
          <w:tab w:val="left" w:pos="10467"/>
        </w:tabs>
        <w:adjustRightInd w:val="0"/>
        <w:snapToGrid w:val="0"/>
        <w:ind w:right="-21" w:rightChars="-10" w:firstLine="420" w:firstLineChars="200"/>
        <w:rPr>
          <w:rFonts w:cs="宋体"/>
          <w:color w:val="auto"/>
          <w:highlight w:val="none"/>
          <w:u w:val="single"/>
        </w:rPr>
      </w:pPr>
      <w:r>
        <w:rPr>
          <w:rFonts w:hint="eastAsia" w:cs="宋体"/>
          <w:color w:val="auto"/>
          <w:highlight w:val="none"/>
        </w:rPr>
        <w:t>地    址：</w:t>
      </w:r>
      <w:r>
        <w:rPr>
          <w:rFonts w:hint="eastAsia" w:cs="宋体"/>
          <w:color w:val="auto"/>
          <w:highlight w:val="none"/>
          <w:u w:val="single"/>
        </w:rPr>
        <w:t xml:space="preserve">                     </w:t>
      </w:r>
      <w:r>
        <w:rPr>
          <w:rFonts w:hint="eastAsia" w:cs="宋体"/>
          <w:color w:val="auto"/>
          <w:highlight w:val="none"/>
        </w:rPr>
        <w:t xml:space="preserve">     传    真：</w:t>
      </w:r>
      <w:r>
        <w:rPr>
          <w:rFonts w:hint="eastAsia" w:cs="宋体"/>
          <w:color w:val="auto"/>
          <w:highlight w:val="none"/>
          <w:u w:val="single"/>
        </w:rPr>
        <w:t xml:space="preserve">                     </w:t>
      </w:r>
    </w:p>
    <w:p>
      <w:pPr>
        <w:tabs>
          <w:tab w:val="left" w:pos="10467"/>
        </w:tabs>
        <w:adjustRightInd w:val="0"/>
        <w:snapToGrid w:val="0"/>
        <w:ind w:right="-21" w:rightChars="-10" w:firstLine="420" w:firstLineChars="200"/>
        <w:rPr>
          <w:rFonts w:cs="宋体"/>
          <w:color w:val="auto"/>
          <w:highlight w:val="none"/>
        </w:rPr>
      </w:pPr>
      <w:r>
        <w:rPr>
          <w:rFonts w:hint="eastAsia" w:cs="宋体"/>
          <w:color w:val="auto"/>
          <w:highlight w:val="none"/>
        </w:rPr>
        <w:t>电    话：</w:t>
      </w:r>
      <w:r>
        <w:rPr>
          <w:rFonts w:hint="eastAsia" w:cs="宋体"/>
          <w:color w:val="auto"/>
          <w:highlight w:val="none"/>
          <w:u w:val="single"/>
        </w:rPr>
        <w:t xml:space="preserve">                     </w:t>
      </w:r>
      <w:r>
        <w:rPr>
          <w:rFonts w:hint="eastAsia" w:cs="宋体"/>
          <w:color w:val="auto"/>
          <w:highlight w:val="none"/>
        </w:rPr>
        <w:t xml:space="preserve">     电子邮件：</w:t>
      </w:r>
      <w:r>
        <w:rPr>
          <w:rFonts w:hint="eastAsia" w:cs="宋体"/>
          <w:color w:val="auto"/>
          <w:highlight w:val="none"/>
          <w:u w:val="single"/>
        </w:rPr>
        <w:t xml:space="preserve">                     </w:t>
      </w:r>
    </w:p>
    <w:p>
      <w:pPr>
        <w:tabs>
          <w:tab w:val="left" w:pos="10467"/>
        </w:tabs>
        <w:adjustRightInd w:val="0"/>
        <w:snapToGrid w:val="0"/>
        <w:ind w:right="260" w:rightChars="124" w:firstLine="420" w:firstLineChars="200"/>
        <w:rPr>
          <w:rFonts w:cs="宋体"/>
          <w:color w:val="auto"/>
          <w:highlight w:val="none"/>
        </w:rPr>
      </w:pPr>
      <w:r>
        <w:rPr>
          <w:rFonts w:hint="eastAsia" w:cs="宋体"/>
          <w:color w:val="auto"/>
          <w:highlight w:val="none"/>
        </w:rPr>
        <w:t>法定代表人（非法人组织负责人）或其授权委托人（签字或盖章）：</w:t>
      </w:r>
      <w:r>
        <w:rPr>
          <w:rFonts w:hint="eastAsia" w:cs="宋体"/>
          <w:color w:val="auto"/>
          <w:highlight w:val="none"/>
          <w:u w:val="single"/>
        </w:rPr>
        <w:t xml:space="preserve">                     </w:t>
      </w:r>
      <w:r>
        <w:rPr>
          <w:rFonts w:hint="eastAsia" w:cs="宋体"/>
          <w:color w:val="auto"/>
          <w:highlight w:val="none"/>
        </w:rPr>
        <w:t xml:space="preserve"> </w:t>
      </w:r>
    </w:p>
    <w:p>
      <w:pPr>
        <w:tabs>
          <w:tab w:val="left" w:pos="10467"/>
        </w:tabs>
        <w:adjustRightInd w:val="0"/>
        <w:snapToGrid w:val="0"/>
        <w:ind w:right="260" w:rightChars="124" w:firstLine="420" w:firstLineChars="200"/>
        <w:rPr>
          <w:rFonts w:cs="宋体"/>
          <w:color w:val="auto"/>
          <w:highlight w:val="none"/>
        </w:rPr>
      </w:pPr>
      <w:r>
        <w:rPr>
          <w:rFonts w:hint="eastAsia" w:cs="宋体"/>
          <w:color w:val="auto"/>
          <w:highlight w:val="none"/>
        </w:rPr>
        <w:t>供应商名称（单位公章）:</w:t>
      </w:r>
      <w:r>
        <w:rPr>
          <w:rFonts w:hint="eastAsia" w:cs="宋体"/>
          <w:color w:val="auto"/>
          <w:highlight w:val="none"/>
          <w:u w:val="single"/>
        </w:rPr>
        <w:t xml:space="preserve">                     </w:t>
      </w:r>
      <w:r>
        <w:rPr>
          <w:rFonts w:hint="eastAsia" w:cs="宋体"/>
          <w:color w:val="auto"/>
          <w:highlight w:val="none"/>
        </w:rPr>
        <w:t xml:space="preserve">  </w:t>
      </w:r>
    </w:p>
    <w:p>
      <w:pPr>
        <w:tabs>
          <w:tab w:val="left" w:pos="10467"/>
        </w:tabs>
        <w:adjustRightInd w:val="0"/>
        <w:snapToGrid w:val="0"/>
        <w:ind w:right="260" w:rightChars="124" w:firstLine="420" w:firstLineChars="200"/>
        <w:rPr>
          <w:rFonts w:cs="宋体"/>
          <w:color w:val="auto"/>
          <w:highlight w:val="none"/>
        </w:rPr>
      </w:pPr>
      <w:r>
        <w:rPr>
          <w:rFonts w:hint="eastAsia" w:cs="宋体"/>
          <w:color w:val="auto"/>
          <w:highlight w:val="none"/>
        </w:rPr>
        <w:t>供应商开户银行（全称）:</w:t>
      </w:r>
      <w:r>
        <w:rPr>
          <w:rFonts w:hint="eastAsia" w:cs="宋体"/>
          <w:color w:val="auto"/>
          <w:highlight w:val="none"/>
          <w:u w:val="single"/>
        </w:rPr>
        <w:t xml:space="preserve">                     </w:t>
      </w:r>
      <w:r>
        <w:rPr>
          <w:rFonts w:hint="eastAsia" w:cs="宋体"/>
          <w:color w:val="auto"/>
          <w:highlight w:val="none"/>
        </w:rPr>
        <w:t xml:space="preserve"> </w:t>
      </w:r>
    </w:p>
    <w:p>
      <w:pPr>
        <w:tabs>
          <w:tab w:val="left" w:pos="10467"/>
        </w:tabs>
        <w:adjustRightInd w:val="0"/>
        <w:snapToGrid w:val="0"/>
        <w:ind w:right="260" w:rightChars="124" w:firstLine="420" w:firstLineChars="200"/>
        <w:rPr>
          <w:rFonts w:cs="宋体"/>
          <w:color w:val="auto"/>
          <w:highlight w:val="none"/>
        </w:rPr>
      </w:pPr>
      <w:r>
        <w:rPr>
          <w:rFonts w:hint="eastAsia" w:cs="宋体"/>
          <w:color w:val="auto"/>
          <w:highlight w:val="none"/>
        </w:rPr>
        <w:t>供应商银行帐号:</w:t>
      </w:r>
      <w:r>
        <w:rPr>
          <w:rFonts w:hint="eastAsia" w:cs="宋体"/>
          <w:color w:val="auto"/>
          <w:highlight w:val="none"/>
          <w:u w:val="single"/>
        </w:rPr>
        <w:t xml:space="preserve">                     </w:t>
      </w:r>
      <w:r>
        <w:rPr>
          <w:rFonts w:hint="eastAsia" w:cs="宋体"/>
          <w:color w:val="auto"/>
          <w:highlight w:val="none"/>
        </w:rPr>
        <w:t xml:space="preserve"> </w:t>
      </w:r>
    </w:p>
    <w:p>
      <w:pPr>
        <w:adjustRightInd w:val="0"/>
        <w:snapToGrid w:val="0"/>
        <w:ind w:right="1050" w:rightChars="500" w:firstLine="420" w:firstLineChars="200"/>
        <w:rPr>
          <w:rStyle w:val="36"/>
          <w:color w:val="auto"/>
          <w:highlight w:val="none"/>
        </w:rPr>
      </w:pPr>
      <w:r>
        <w:rPr>
          <w:rFonts w:hint="eastAsia" w:cs="宋体"/>
          <w:color w:val="auto"/>
          <w:highlight w:val="none"/>
        </w:rPr>
        <w:t>日期:</w:t>
      </w:r>
      <w:r>
        <w:rPr>
          <w:rFonts w:hint="eastAsia" w:cs="宋体"/>
          <w:color w:val="auto"/>
          <w:highlight w:val="none"/>
          <w:u w:val="single"/>
        </w:rPr>
        <w:t xml:space="preserve">                     </w:t>
      </w:r>
      <w:r>
        <w:rPr>
          <w:rFonts w:hint="eastAsia" w:cs="宋体"/>
          <w:color w:val="auto"/>
          <w:highlight w:val="none"/>
        </w:rPr>
        <w:t xml:space="preserve"> </w:t>
      </w:r>
      <w:r>
        <w:rPr>
          <w:rFonts w:hint="eastAsia" w:cs="宋体"/>
          <w:color w:val="auto"/>
          <w:highlight w:val="none"/>
        </w:rPr>
        <w:br w:type="page"/>
      </w:r>
      <w:r>
        <w:rPr>
          <w:rStyle w:val="36"/>
          <w:rFonts w:hint="eastAsia"/>
          <w:color w:val="auto"/>
          <w:highlight w:val="none"/>
        </w:rPr>
        <w:t>格式10</w:t>
      </w:r>
    </w:p>
    <w:p>
      <w:pPr>
        <w:pStyle w:val="5"/>
        <w:rPr>
          <w:rFonts w:eastAsia="宋体" w:cs="仿宋_GB2312"/>
          <w:b/>
          <w:bCs/>
          <w:color w:val="auto"/>
          <w:highlight w:val="none"/>
        </w:rPr>
      </w:pPr>
      <w:bookmarkStart w:id="100" w:name="_Toc11267_WPSOffice_Level2"/>
      <w:bookmarkStart w:id="101" w:name="_Toc2673_WPSOffice_Level2"/>
      <w:r>
        <w:rPr>
          <w:rFonts w:hint="eastAsia"/>
          <w:color w:val="auto"/>
          <w:highlight w:val="none"/>
        </w:rPr>
        <w:t>开标一览表</w:t>
      </w:r>
      <w:bookmarkEnd w:id="100"/>
      <w:bookmarkEnd w:id="101"/>
    </w:p>
    <w:p>
      <w:pPr>
        <w:jc w:val="center"/>
        <w:rPr>
          <w:rFonts w:hint="default" w:eastAsia="宋体" w:cs="仿宋_GB2312"/>
          <w:b/>
          <w:bCs/>
          <w:color w:val="auto"/>
          <w:highlight w:val="none"/>
          <w:lang w:val="en-US" w:eastAsia="zh-CN"/>
        </w:rPr>
      </w:pPr>
      <w:r>
        <w:rPr>
          <w:rFonts w:hint="eastAsia"/>
          <w:b/>
          <w:bCs/>
          <w:color w:val="auto"/>
          <w:highlight w:val="none"/>
        </w:rPr>
        <w:t>项目名称：          项目编号：        包号：        报价单位：人民币元</w:t>
      </w:r>
    </w:p>
    <w:tbl>
      <w:tblPr>
        <w:tblStyle w:val="23"/>
        <w:tblW w:w="8513"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78"/>
        <w:gridCol w:w="1710"/>
        <w:gridCol w:w="1509"/>
        <w:gridCol w:w="1277"/>
        <w:gridCol w:w="1443"/>
        <w:gridCol w:w="10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0" w:hRule="atLeast"/>
          <w:jc w:val="center"/>
        </w:trPr>
        <w:tc>
          <w:tcPr>
            <w:tcW w:w="1478" w:type="dxa"/>
            <w:vAlign w:val="center"/>
          </w:tcPr>
          <w:p>
            <w:pPr>
              <w:spacing w:line="300" w:lineRule="exact"/>
              <w:jc w:val="center"/>
              <w:rPr>
                <w:color w:val="auto"/>
                <w:highlight w:val="none"/>
              </w:rPr>
            </w:pPr>
            <w:r>
              <w:rPr>
                <w:rFonts w:hint="eastAsia"/>
                <w:color w:val="auto"/>
                <w:highlight w:val="none"/>
              </w:rPr>
              <w:t>服务内容</w:t>
            </w:r>
          </w:p>
        </w:tc>
        <w:tc>
          <w:tcPr>
            <w:tcW w:w="1710" w:type="dxa"/>
            <w:vAlign w:val="center"/>
          </w:tcPr>
          <w:p>
            <w:pPr>
              <w:spacing w:line="300" w:lineRule="exact"/>
              <w:jc w:val="center"/>
              <w:rPr>
                <w:color w:val="auto"/>
                <w:highlight w:val="none"/>
              </w:rPr>
            </w:pPr>
            <w:r>
              <w:rPr>
                <w:rFonts w:hint="eastAsia"/>
                <w:color w:val="auto"/>
                <w:highlight w:val="none"/>
              </w:rPr>
              <w:t>投标总价</w:t>
            </w:r>
          </w:p>
        </w:tc>
        <w:tc>
          <w:tcPr>
            <w:tcW w:w="1509" w:type="dxa"/>
            <w:vAlign w:val="center"/>
          </w:tcPr>
          <w:p>
            <w:pPr>
              <w:spacing w:line="300" w:lineRule="exact"/>
              <w:jc w:val="center"/>
              <w:rPr>
                <w:color w:val="auto"/>
                <w:highlight w:val="none"/>
              </w:rPr>
            </w:pPr>
            <w:r>
              <w:rPr>
                <w:rFonts w:hint="eastAsia"/>
                <w:color w:val="auto"/>
                <w:highlight w:val="none"/>
              </w:rPr>
              <w:t>投标保证金</w:t>
            </w:r>
          </w:p>
        </w:tc>
        <w:tc>
          <w:tcPr>
            <w:tcW w:w="1277" w:type="dxa"/>
            <w:vAlign w:val="center"/>
          </w:tcPr>
          <w:p>
            <w:pPr>
              <w:spacing w:line="300" w:lineRule="exact"/>
              <w:jc w:val="center"/>
              <w:rPr>
                <w:color w:val="auto"/>
                <w:highlight w:val="none"/>
              </w:rPr>
            </w:pPr>
            <w:r>
              <w:rPr>
                <w:rFonts w:hint="eastAsia"/>
                <w:color w:val="auto"/>
                <w:highlight w:val="none"/>
              </w:rPr>
              <w:t>履约期限</w:t>
            </w:r>
          </w:p>
        </w:tc>
        <w:tc>
          <w:tcPr>
            <w:tcW w:w="1443" w:type="dxa"/>
            <w:vAlign w:val="center"/>
          </w:tcPr>
          <w:p>
            <w:pPr>
              <w:spacing w:line="300" w:lineRule="exact"/>
              <w:jc w:val="center"/>
              <w:rPr>
                <w:color w:val="auto"/>
                <w:highlight w:val="none"/>
              </w:rPr>
            </w:pPr>
            <w:r>
              <w:rPr>
                <w:rFonts w:hint="eastAsia"/>
                <w:color w:val="auto"/>
                <w:highlight w:val="none"/>
              </w:rPr>
              <w:t>履约地点</w:t>
            </w:r>
          </w:p>
        </w:tc>
        <w:tc>
          <w:tcPr>
            <w:tcW w:w="1096" w:type="dxa"/>
            <w:vAlign w:val="center"/>
          </w:tcPr>
          <w:p>
            <w:pPr>
              <w:spacing w:line="300" w:lineRule="exact"/>
              <w:jc w:val="center"/>
              <w:rPr>
                <w:color w:val="auto"/>
                <w:highlight w:val="none"/>
              </w:rPr>
            </w:pPr>
            <w:r>
              <w:rPr>
                <w:rFonts w:hint="eastAsia"/>
                <w:color w:val="auto"/>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74" w:hRule="atLeast"/>
          <w:jc w:val="center"/>
        </w:trPr>
        <w:tc>
          <w:tcPr>
            <w:tcW w:w="1478" w:type="dxa"/>
            <w:vAlign w:val="center"/>
          </w:tcPr>
          <w:p>
            <w:pPr>
              <w:spacing w:line="300" w:lineRule="exact"/>
              <w:jc w:val="center"/>
              <w:rPr>
                <w:color w:val="auto"/>
                <w:highlight w:val="none"/>
              </w:rPr>
            </w:pPr>
          </w:p>
        </w:tc>
        <w:tc>
          <w:tcPr>
            <w:tcW w:w="1710" w:type="dxa"/>
            <w:vAlign w:val="center"/>
          </w:tcPr>
          <w:p>
            <w:pPr>
              <w:spacing w:line="300" w:lineRule="exact"/>
              <w:jc w:val="left"/>
              <w:rPr>
                <w:color w:val="auto"/>
                <w:highlight w:val="none"/>
              </w:rPr>
            </w:pPr>
            <w:r>
              <w:rPr>
                <w:rFonts w:hint="eastAsia"/>
                <w:color w:val="auto"/>
                <w:highlight w:val="none"/>
              </w:rPr>
              <w:t>小写：</w:t>
            </w:r>
          </w:p>
          <w:p>
            <w:pPr>
              <w:spacing w:line="300" w:lineRule="exact"/>
              <w:jc w:val="left"/>
              <w:rPr>
                <w:color w:val="auto"/>
                <w:highlight w:val="none"/>
              </w:rPr>
            </w:pPr>
            <w:r>
              <w:rPr>
                <w:rFonts w:hint="eastAsia"/>
                <w:color w:val="auto"/>
                <w:highlight w:val="none"/>
              </w:rPr>
              <w:t>大写：</w:t>
            </w:r>
          </w:p>
        </w:tc>
        <w:tc>
          <w:tcPr>
            <w:tcW w:w="1509" w:type="dxa"/>
            <w:vAlign w:val="center"/>
          </w:tcPr>
          <w:p>
            <w:pPr>
              <w:spacing w:line="300" w:lineRule="exact"/>
              <w:jc w:val="center"/>
              <w:rPr>
                <w:color w:val="auto"/>
                <w:highlight w:val="none"/>
              </w:rPr>
            </w:pPr>
          </w:p>
        </w:tc>
        <w:tc>
          <w:tcPr>
            <w:tcW w:w="1277" w:type="dxa"/>
            <w:vAlign w:val="center"/>
          </w:tcPr>
          <w:p>
            <w:pPr>
              <w:spacing w:line="300" w:lineRule="exact"/>
              <w:jc w:val="center"/>
              <w:rPr>
                <w:color w:val="auto"/>
                <w:highlight w:val="none"/>
              </w:rPr>
            </w:pPr>
          </w:p>
        </w:tc>
        <w:tc>
          <w:tcPr>
            <w:tcW w:w="1443" w:type="dxa"/>
            <w:vAlign w:val="center"/>
          </w:tcPr>
          <w:p>
            <w:pPr>
              <w:spacing w:line="300" w:lineRule="exact"/>
              <w:jc w:val="center"/>
              <w:rPr>
                <w:color w:val="auto"/>
                <w:highlight w:val="none"/>
              </w:rPr>
            </w:pPr>
          </w:p>
        </w:tc>
        <w:tc>
          <w:tcPr>
            <w:tcW w:w="1096" w:type="dxa"/>
            <w:vAlign w:val="center"/>
          </w:tcPr>
          <w:p>
            <w:pPr>
              <w:spacing w:line="300" w:lineRule="exact"/>
              <w:jc w:val="center"/>
              <w:rPr>
                <w:color w:val="auto"/>
                <w:highlight w:val="none"/>
              </w:rPr>
            </w:pPr>
          </w:p>
        </w:tc>
      </w:tr>
    </w:tbl>
    <w:p>
      <w:pPr>
        <w:spacing w:line="300" w:lineRule="exact"/>
        <w:ind w:firstLine="420" w:firstLineChars="200"/>
        <w:rPr>
          <w:color w:val="auto"/>
          <w:highlight w:val="none"/>
        </w:rPr>
      </w:pPr>
      <w:r>
        <w:rPr>
          <w:rFonts w:hint="eastAsia"/>
          <w:color w:val="auto"/>
          <w:highlight w:val="none"/>
        </w:rPr>
        <w:t>注：此表中，投标总价应和分项报价表的总价相一致</w:t>
      </w:r>
    </w:p>
    <w:p>
      <w:pPr>
        <w:adjustRightInd w:val="0"/>
        <w:snapToGrid w:val="0"/>
        <w:ind w:right="105" w:rightChars="50" w:firstLine="544" w:firstLineChars="227"/>
        <w:jc w:val="left"/>
        <w:rPr>
          <w:rFonts w:cs="仿宋_GB2312"/>
          <w:color w:val="auto"/>
          <w:sz w:val="24"/>
          <w:highlight w:val="none"/>
        </w:rPr>
      </w:pPr>
    </w:p>
    <w:p>
      <w:pPr>
        <w:ind w:firstLine="420" w:firstLineChars="200"/>
        <w:rPr>
          <w:color w:val="auto"/>
          <w:highlight w:val="none"/>
        </w:rPr>
      </w:pPr>
      <w:r>
        <w:rPr>
          <w:rFonts w:hint="eastAsia"/>
          <w:color w:val="auto"/>
          <w:highlight w:val="none"/>
        </w:rPr>
        <w:t xml:space="preserve">供应商(单位公章):               </w:t>
      </w:r>
    </w:p>
    <w:p>
      <w:pPr>
        <w:ind w:firstLine="420" w:firstLineChars="200"/>
        <w:rPr>
          <w:color w:val="auto"/>
          <w:highlight w:val="none"/>
        </w:rPr>
      </w:pPr>
    </w:p>
    <w:p>
      <w:pPr>
        <w:ind w:firstLine="420" w:firstLineChars="200"/>
        <w:rPr>
          <w:rFonts w:cs="仿宋_GB2312"/>
          <w:color w:val="auto"/>
          <w:highlight w:val="none"/>
          <w:u w:val="single"/>
        </w:rPr>
      </w:pPr>
      <w:r>
        <w:rPr>
          <w:rFonts w:hint="eastAsia"/>
          <w:color w:val="auto"/>
          <w:highlight w:val="none"/>
        </w:rPr>
        <w:t xml:space="preserve">法定代表人（或非法人组织负责人）或其授权委托人(签字或盖章): </w:t>
      </w:r>
      <w:r>
        <w:rPr>
          <w:rFonts w:hint="eastAsia"/>
          <w:color w:val="auto"/>
          <w:highlight w:val="none"/>
          <w:u w:val="single"/>
        </w:rPr>
        <w:t xml:space="preserve">         </w:t>
      </w:r>
      <w:r>
        <w:rPr>
          <w:rFonts w:hint="eastAsia" w:cs="仿宋_GB2312"/>
          <w:color w:val="auto"/>
          <w:highlight w:val="none"/>
          <w:u w:val="single"/>
        </w:rPr>
        <w:t xml:space="preserve">    </w:t>
      </w:r>
    </w:p>
    <w:p>
      <w:pPr>
        <w:adjustRightInd w:val="0"/>
        <w:snapToGrid w:val="0"/>
        <w:ind w:right="105" w:rightChars="50"/>
        <w:jc w:val="left"/>
        <w:rPr>
          <w:rFonts w:eastAsia="黑体" w:cs="仿宋_GB2312"/>
          <w:color w:val="auto"/>
          <w:szCs w:val="28"/>
          <w:highlight w:val="none"/>
        </w:rPr>
      </w:pPr>
      <w:r>
        <w:rPr>
          <w:rFonts w:hint="eastAsia" w:cs="仿宋_GB2312"/>
          <w:color w:val="auto"/>
          <w:highlight w:val="none"/>
        </w:rPr>
        <w:br w:type="page"/>
      </w:r>
      <w:r>
        <w:rPr>
          <w:rStyle w:val="36"/>
          <w:rFonts w:hint="eastAsia"/>
          <w:color w:val="auto"/>
          <w:highlight w:val="none"/>
        </w:rPr>
        <w:t>格式11</w:t>
      </w:r>
    </w:p>
    <w:p>
      <w:pPr>
        <w:pStyle w:val="5"/>
        <w:rPr>
          <w:rFonts w:eastAsia="宋体" w:cs="仿宋_GB2312"/>
          <w:b/>
          <w:bCs/>
          <w:color w:val="auto"/>
          <w:highlight w:val="none"/>
        </w:rPr>
      </w:pPr>
      <w:r>
        <w:rPr>
          <w:rFonts w:hint="eastAsia"/>
          <w:color w:val="auto"/>
          <w:highlight w:val="none"/>
        </w:rPr>
        <w:t>服务价格明细表</w:t>
      </w:r>
    </w:p>
    <w:p>
      <w:pPr>
        <w:jc w:val="center"/>
        <w:rPr>
          <w:rFonts w:hint="default" w:eastAsia="宋体"/>
          <w:b/>
          <w:bCs/>
          <w:color w:val="auto"/>
          <w:highlight w:val="none"/>
          <w:lang w:val="en-US" w:eastAsia="zh-CN"/>
        </w:rPr>
      </w:pPr>
      <w:r>
        <w:rPr>
          <w:rFonts w:hint="eastAsia"/>
          <w:b/>
          <w:bCs/>
          <w:color w:val="auto"/>
          <w:highlight w:val="none"/>
        </w:rPr>
        <w:t>项目名称：          项目编号：        包号：        报价单位：人民币元</w:t>
      </w:r>
    </w:p>
    <w:tbl>
      <w:tblPr>
        <w:tblStyle w:val="23"/>
        <w:tblW w:w="8511"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38"/>
        <w:gridCol w:w="1523"/>
        <w:gridCol w:w="1169"/>
        <w:gridCol w:w="804"/>
        <w:gridCol w:w="774"/>
        <w:gridCol w:w="763"/>
        <w:gridCol w:w="763"/>
        <w:gridCol w:w="770"/>
        <w:gridCol w:w="9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8" w:hRule="atLeast"/>
          <w:jc w:val="center"/>
        </w:trPr>
        <w:tc>
          <w:tcPr>
            <w:tcW w:w="1038" w:type="dxa"/>
            <w:vAlign w:val="center"/>
          </w:tcPr>
          <w:p>
            <w:pPr>
              <w:spacing w:line="300" w:lineRule="exact"/>
              <w:jc w:val="center"/>
              <w:rPr>
                <w:color w:val="auto"/>
                <w:highlight w:val="none"/>
              </w:rPr>
            </w:pPr>
            <w:r>
              <w:rPr>
                <w:rFonts w:hint="eastAsia"/>
                <w:color w:val="auto"/>
                <w:highlight w:val="none"/>
              </w:rPr>
              <w:t>序号</w:t>
            </w:r>
          </w:p>
        </w:tc>
        <w:tc>
          <w:tcPr>
            <w:tcW w:w="1523" w:type="dxa"/>
            <w:vAlign w:val="center"/>
          </w:tcPr>
          <w:p>
            <w:pPr>
              <w:spacing w:line="300" w:lineRule="exact"/>
              <w:jc w:val="center"/>
              <w:rPr>
                <w:color w:val="auto"/>
                <w:highlight w:val="none"/>
              </w:rPr>
            </w:pPr>
            <w:r>
              <w:rPr>
                <w:rFonts w:hint="eastAsia"/>
                <w:color w:val="auto"/>
                <w:highlight w:val="none"/>
              </w:rPr>
              <w:t>名称</w:t>
            </w:r>
          </w:p>
        </w:tc>
        <w:tc>
          <w:tcPr>
            <w:tcW w:w="1169" w:type="dxa"/>
            <w:vAlign w:val="center"/>
          </w:tcPr>
          <w:p>
            <w:pPr>
              <w:spacing w:line="300" w:lineRule="exact"/>
              <w:jc w:val="center"/>
              <w:rPr>
                <w:color w:val="auto"/>
                <w:highlight w:val="none"/>
              </w:rPr>
            </w:pPr>
            <w:r>
              <w:rPr>
                <w:rFonts w:hint="eastAsia"/>
                <w:color w:val="auto"/>
                <w:highlight w:val="none"/>
              </w:rPr>
              <w:t>所用设备</w:t>
            </w:r>
          </w:p>
        </w:tc>
        <w:tc>
          <w:tcPr>
            <w:tcW w:w="804" w:type="dxa"/>
            <w:vAlign w:val="center"/>
          </w:tcPr>
          <w:p>
            <w:pPr>
              <w:spacing w:line="300" w:lineRule="exact"/>
              <w:jc w:val="center"/>
              <w:rPr>
                <w:color w:val="auto"/>
                <w:highlight w:val="none"/>
              </w:rPr>
            </w:pPr>
            <w:r>
              <w:rPr>
                <w:rFonts w:hint="eastAsia"/>
                <w:color w:val="auto"/>
                <w:highlight w:val="none"/>
              </w:rPr>
              <w:t>人员配置</w:t>
            </w:r>
          </w:p>
        </w:tc>
        <w:tc>
          <w:tcPr>
            <w:tcW w:w="774" w:type="dxa"/>
            <w:vAlign w:val="center"/>
          </w:tcPr>
          <w:p>
            <w:pPr>
              <w:spacing w:line="300" w:lineRule="exact"/>
              <w:jc w:val="center"/>
              <w:rPr>
                <w:color w:val="auto"/>
                <w:highlight w:val="none"/>
              </w:rPr>
            </w:pPr>
            <w:r>
              <w:rPr>
                <w:rFonts w:hint="eastAsia"/>
                <w:color w:val="auto"/>
                <w:highlight w:val="none"/>
              </w:rPr>
              <w:t>履约期限</w:t>
            </w:r>
          </w:p>
        </w:tc>
        <w:tc>
          <w:tcPr>
            <w:tcW w:w="763" w:type="dxa"/>
            <w:vAlign w:val="center"/>
          </w:tcPr>
          <w:p>
            <w:pPr>
              <w:spacing w:line="300" w:lineRule="exact"/>
              <w:jc w:val="center"/>
              <w:rPr>
                <w:color w:val="auto"/>
                <w:highlight w:val="none"/>
              </w:rPr>
            </w:pPr>
            <w:r>
              <w:rPr>
                <w:rFonts w:hint="eastAsia"/>
                <w:color w:val="auto"/>
                <w:highlight w:val="none"/>
              </w:rPr>
              <w:t>履约地点</w:t>
            </w:r>
          </w:p>
        </w:tc>
        <w:tc>
          <w:tcPr>
            <w:tcW w:w="763" w:type="dxa"/>
            <w:vAlign w:val="center"/>
          </w:tcPr>
          <w:p>
            <w:pPr>
              <w:spacing w:line="300" w:lineRule="exact"/>
              <w:jc w:val="center"/>
              <w:rPr>
                <w:color w:val="auto"/>
                <w:highlight w:val="none"/>
              </w:rPr>
            </w:pPr>
            <w:r>
              <w:rPr>
                <w:rFonts w:hint="eastAsia"/>
                <w:color w:val="auto"/>
                <w:highlight w:val="none"/>
              </w:rPr>
              <w:t>单价</w:t>
            </w:r>
          </w:p>
        </w:tc>
        <w:tc>
          <w:tcPr>
            <w:tcW w:w="770" w:type="dxa"/>
            <w:vAlign w:val="center"/>
          </w:tcPr>
          <w:p>
            <w:pPr>
              <w:spacing w:line="300" w:lineRule="exact"/>
              <w:jc w:val="center"/>
              <w:rPr>
                <w:color w:val="auto"/>
                <w:highlight w:val="none"/>
              </w:rPr>
            </w:pPr>
            <w:r>
              <w:rPr>
                <w:rFonts w:hint="eastAsia"/>
                <w:color w:val="auto"/>
                <w:highlight w:val="none"/>
              </w:rPr>
              <w:t>总价</w:t>
            </w:r>
          </w:p>
        </w:tc>
        <w:tc>
          <w:tcPr>
            <w:tcW w:w="907" w:type="dxa"/>
            <w:vAlign w:val="center"/>
          </w:tcPr>
          <w:p>
            <w:pPr>
              <w:spacing w:line="300" w:lineRule="exact"/>
              <w:jc w:val="center"/>
              <w:rPr>
                <w:color w:val="auto"/>
                <w:highlight w:val="none"/>
              </w:rPr>
            </w:pPr>
            <w:r>
              <w:rPr>
                <w:rFonts w:hint="eastAsia"/>
                <w:color w:val="auto"/>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color w:val="auto"/>
                <w:highlight w:val="none"/>
              </w:rPr>
            </w:pPr>
          </w:p>
        </w:tc>
        <w:tc>
          <w:tcPr>
            <w:tcW w:w="1523" w:type="dxa"/>
            <w:vAlign w:val="center"/>
          </w:tcPr>
          <w:p>
            <w:pPr>
              <w:spacing w:line="300" w:lineRule="exact"/>
              <w:jc w:val="center"/>
              <w:rPr>
                <w:color w:val="auto"/>
                <w:highlight w:val="none"/>
              </w:rPr>
            </w:pPr>
          </w:p>
        </w:tc>
        <w:tc>
          <w:tcPr>
            <w:tcW w:w="1169" w:type="dxa"/>
            <w:vAlign w:val="center"/>
          </w:tcPr>
          <w:p>
            <w:pPr>
              <w:spacing w:line="300" w:lineRule="exact"/>
              <w:jc w:val="center"/>
              <w:rPr>
                <w:color w:val="auto"/>
                <w:highlight w:val="none"/>
              </w:rPr>
            </w:pPr>
          </w:p>
        </w:tc>
        <w:tc>
          <w:tcPr>
            <w:tcW w:w="804" w:type="dxa"/>
            <w:vAlign w:val="center"/>
          </w:tcPr>
          <w:p>
            <w:pPr>
              <w:spacing w:line="300" w:lineRule="exact"/>
              <w:jc w:val="center"/>
              <w:rPr>
                <w:color w:val="auto"/>
                <w:highlight w:val="none"/>
              </w:rPr>
            </w:pPr>
          </w:p>
        </w:tc>
        <w:tc>
          <w:tcPr>
            <w:tcW w:w="774" w:type="dxa"/>
            <w:vAlign w:val="center"/>
          </w:tcPr>
          <w:p>
            <w:pPr>
              <w:spacing w:line="300" w:lineRule="exact"/>
              <w:jc w:val="center"/>
              <w:rPr>
                <w:color w:val="auto"/>
                <w:highlight w:val="none"/>
              </w:rPr>
            </w:pPr>
          </w:p>
        </w:tc>
        <w:tc>
          <w:tcPr>
            <w:tcW w:w="763" w:type="dxa"/>
            <w:vAlign w:val="center"/>
          </w:tcPr>
          <w:p>
            <w:pPr>
              <w:spacing w:line="300" w:lineRule="exact"/>
              <w:jc w:val="center"/>
              <w:rPr>
                <w:color w:val="auto"/>
                <w:highlight w:val="none"/>
              </w:rPr>
            </w:pPr>
          </w:p>
        </w:tc>
        <w:tc>
          <w:tcPr>
            <w:tcW w:w="763" w:type="dxa"/>
            <w:vAlign w:val="center"/>
          </w:tcPr>
          <w:p>
            <w:pPr>
              <w:spacing w:line="300" w:lineRule="exact"/>
              <w:jc w:val="center"/>
              <w:rPr>
                <w:color w:val="auto"/>
                <w:highlight w:val="none"/>
              </w:rPr>
            </w:pPr>
          </w:p>
        </w:tc>
        <w:tc>
          <w:tcPr>
            <w:tcW w:w="770" w:type="dxa"/>
            <w:vAlign w:val="center"/>
          </w:tcPr>
          <w:p>
            <w:pPr>
              <w:spacing w:line="300" w:lineRule="exact"/>
              <w:jc w:val="center"/>
              <w:rPr>
                <w:color w:val="auto"/>
                <w:highlight w:val="none"/>
              </w:rPr>
            </w:pPr>
          </w:p>
        </w:tc>
        <w:tc>
          <w:tcPr>
            <w:tcW w:w="907" w:type="dxa"/>
            <w:vAlign w:val="center"/>
          </w:tcPr>
          <w:p>
            <w:pPr>
              <w:spacing w:line="300" w:lineRule="exact"/>
              <w:jc w:val="center"/>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color w:val="auto"/>
                <w:highlight w:val="none"/>
              </w:rPr>
            </w:pPr>
          </w:p>
        </w:tc>
        <w:tc>
          <w:tcPr>
            <w:tcW w:w="1523" w:type="dxa"/>
            <w:vAlign w:val="center"/>
          </w:tcPr>
          <w:p>
            <w:pPr>
              <w:spacing w:line="300" w:lineRule="exact"/>
              <w:jc w:val="center"/>
              <w:rPr>
                <w:color w:val="auto"/>
                <w:highlight w:val="none"/>
              </w:rPr>
            </w:pPr>
          </w:p>
        </w:tc>
        <w:tc>
          <w:tcPr>
            <w:tcW w:w="1169" w:type="dxa"/>
            <w:vAlign w:val="center"/>
          </w:tcPr>
          <w:p>
            <w:pPr>
              <w:spacing w:line="300" w:lineRule="exact"/>
              <w:jc w:val="center"/>
              <w:rPr>
                <w:color w:val="auto"/>
                <w:highlight w:val="none"/>
              </w:rPr>
            </w:pPr>
          </w:p>
        </w:tc>
        <w:tc>
          <w:tcPr>
            <w:tcW w:w="804" w:type="dxa"/>
            <w:vAlign w:val="center"/>
          </w:tcPr>
          <w:p>
            <w:pPr>
              <w:spacing w:line="300" w:lineRule="exact"/>
              <w:jc w:val="center"/>
              <w:rPr>
                <w:color w:val="auto"/>
                <w:highlight w:val="none"/>
              </w:rPr>
            </w:pPr>
          </w:p>
        </w:tc>
        <w:tc>
          <w:tcPr>
            <w:tcW w:w="774" w:type="dxa"/>
            <w:vAlign w:val="center"/>
          </w:tcPr>
          <w:p>
            <w:pPr>
              <w:spacing w:line="300" w:lineRule="exact"/>
              <w:jc w:val="center"/>
              <w:rPr>
                <w:color w:val="auto"/>
                <w:highlight w:val="none"/>
              </w:rPr>
            </w:pPr>
          </w:p>
        </w:tc>
        <w:tc>
          <w:tcPr>
            <w:tcW w:w="763" w:type="dxa"/>
            <w:vAlign w:val="center"/>
          </w:tcPr>
          <w:p>
            <w:pPr>
              <w:spacing w:line="300" w:lineRule="exact"/>
              <w:jc w:val="center"/>
              <w:rPr>
                <w:color w:val="auto"/>
                <w:highlight w:val="none"/>
              </w:rPr>
            </w:pPr>
          </w:p>
        </w:tc>
        <w:tc>
          <w:tcPr>
            <w:tcW w:w="763" w:type="dxa"/>
            <w:vAlign w:val="center"/>
          </w:tcPr>
          <w:p>
            <w:pPr>
              <w:spacing w:line="300" w:lineRule="exact"/>
              <w:jc w:val="center"/>
              <w:rPr>
                <w:color w:val="auto"/>
                <w:highlight w:val="none"/>
              </w:rPr>
            </w:pPr>
          </w:p>
        </w:tc>
        <w:tc>
          <w:tcPr>
            <w:tcW w:w="770" w:type="dxa"/>
            <w:vAlign w:val="center"/>
          </w:tcPr>
          <w:p>
            <w:pPr>
              <w:spacing w:line="300" w:lineRule="exact"/>
              <w:jc w:val="center"/>
              <w:rPr>
                <w:color w:val="auto"/>
                <w:highlight w:val="none"/>
              </w:rPr>
            </w:pPr>
          </w:p>
        </w:tc>
        <w:tc>
          <w:tcPr>
            <w:tcW w:w="907" w:type="dxa"/>
            <w:vAlign w:val="center"/>
          </w:tcPr>
          <w:p>
            <w:pPr>
              <w:spacing w:line="300" w:lineRule="exact"/>
              <w:jc w:val="center"/>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color w:val="auto"/>
                <w:highlight w:val="none"/>
              </w:rPr>
            </w:pPr>
          </w:p>
        </w:tc>
        <w:tc>
          <w:tcPr>
            <w:tcW w:w="1523" w:type="dxa"/>
            <w:vAlign w:val="center"/>
          </w:tcPr>
          <w:p>
            <w:pPr>
              <w:spacing w:line="300" w:lineRule="exact"/>
              <w:jc w:val="center"/>
              <w:rPr>
                <w:color w:val="auto"/>
                <w:highlight w:val="none"/>
              </w:rPr>
            </w:pPr>
          </w:p>
        </w:tc>
        <w:tc>
          <w:tcPr>
            <w:tcW w:w="1169" w:type="dxa"/>
            <w:vAlign w:val="center"/>
          </w:tcPr>
          <w:p>
            <w:pPr>
              <w:spacing w:line="300" w:lineRule="exact"/>
              <w:jc w:val="center"/>
              <w:rPr>
                <w:color w:val="auto"/>
                <w:highlight w:val="none"/>
              </w:rPr>
            </w:pPr>
          </w:p>
        </w:tc>
        <w:tc>
          <w:tcPr>
            <w:tcW w:w="804" w:type="dxa"/>
            <w:vAlign w:val="center"/>
          </w:tcPr>
          <w:p>
            <w:pPr>
              <w:spacing w:line="300" w:lineRule="exact"/>
              <w:jc w:val="center"/>
              <w:rPr>
                <w:color w:val="auto"/>
                <w:highlight w:val="none"/>
              </w:rPr>
            </w:pPr>
          </w:p>
        </w:tc>
        <w:tc>
          <w:tcPr>
            <w:tcW w:w="774" w:type="dxa"/>
            <w:vAlign w:val="center"/>
          </w:tcPr>
          <w:p>
            <w:pPr>
              <w:spacing w:line="300" w:lineRule="exact"/>
              <w:jc w:val="center"/>
              <w:rPr>
                <w:color w:val="auto"/>
                <w:highlight w:val="none"/>
              </w:rPr>
            </w:pPr>
          </w:p>
        </w:tc>
        <w:tc>
          <w:tcPr>
            <w:tcW w:w="763" w:type="dxa"/>
            <w:vAlign w:val="center"/>
          </w:tcPr>
          <w:p>
            <w:pPr>
              <w:spacing w:line="300" w:lineRule="exact"/>
              <w:jc w:val="center"/>
              <w:rPr>
                <w:color w:val="auto"/>
                <w:highlight w:val="none"/>
              </w:rPr>
            </w:pPr>
          </w:p>
        </w:tc>
        <w:tc>
          <w:tcPr>
            <w:tcW w:w="763" w:type="dxa"/>
            <w:vAlign w:val="center"/>
          </w:tcPr>
          <w:p>
            <w:pPr>
              <w:spacing w:line="300" w:lineRule="exact"/>
              <w:jc w:val="center"/>
              <w:rPr>
                <w:color w:val="auto"/>
                <w:highlight w:val="none"/>
              </w:rPr>
            </w:pPr>
          </w:p>
        </w:tc>
        <w:tc>
          <w:tcPr>
            <w:tcW w:w="770" w:type="dxa"/>
            <w:vAlign w:val="center"/>
          </w:tcPr>
          <w:p>
            <w:pPr>
              <w:spacing w:line="300" w:lineRule="exact"/>
              <w:jc w:val="center"/>
              <w:rPr>
                <w:color w:val="auto"/>
                <w:highlight w:val="none"/>
              </w:rPr>
            </w:pPr>
          </w:p>
        </w:tc>
        <w:tc>
          <w:tcPr>
            <w:tcW w:w="907" w:type="dxa"/>
            <w:vAlign w:val="center"/>
          </w:tcPr>
          <w:p>
            <w:pPr>
              <w:spacing w:line="300" w:lineRule="exact"/>
              <w:jc w:val="center"/>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color w:val="auto"/>
                <w:highlight w:val="none"/>
              </w:rPr>
            </w:pPr>
          </w:p>
        </w:tc>
        <w:tc>
          <w:tcPr>
            <w:tcW w:w="1523" w:type="dxa"/>
            <w:vAlign w:val="center"/>
          </w:tcPr>
          <w:p>
            <w:pPr>
              <w:spacing w:line="300" w:lineRule="exact"/>
              <w:jc w:val="center"/>
              <w:rPr>
                <w:color w:val="auto"/>
                <w:highlight w:val="none"/>
              </w:rPr>
            </w:pPr>
          </w:p>
        </w:tc>
        <w:tc>
          <w:tcPr>
            <w:tcW w:w="1169" w:type="dxa"/>
            <w:vAlign w:val="center"/>
          </w:tcPr>
          <w:p>
            <w:pPr>
              <w:spacing w:line="300" w:lineRule="exact"/>
              <w:jc w:val="center"/>
              <w:rPr>
                <w:color w:val="auto"/>
                <w:highlight w:val="none"/>
              </w:rPr>
            </w:pPr>
          </w:p>
        </w:tc>
        <w:tc>
          <w:tcPr>
            <w:tcW w:w="804" w:type="dxa"/>
            <w:vAlign w:val="center"/>
          </w:tcPr>
          <w:p>
            <w:pPr>
              <w:spacing w:line="300" w:lineRule="exact"/>
              <w:jc w:val="center"/>
              <w:rPr>
                <w:color w:val="auto"/>
                <w:highlight w:val="none"/>
              </w:rPr>
            </w:pPr>
          </w:p>
        </w:tc>
        <w:tc>
          <w:tcPr>
            <w:tcW w:w="774" w:type="dxa"/>
            <w:vAlign w:val="center"/>
          </w:tcPr>
          <w:p>
            <w:pPr>
              <w:spacing w:line="300" w:lineRule="exact"/>
              <w:jc w:val="center"/>
              <w:rPr>
                <w:color w:val="auto"/>
                <w:highlight w:val="none"/>
              </w:rPr>
            </w:pPr>
          </w:p>
        </w:tc>
        <w:tc>
          <w:tcPr>
            <w:tcW w:w="763" w:type="dxa"/>
            <w:vAlign w:val="center"/>
          </w:tcPr>
          <w:p>
            <w:pPr>
              <w:spacing w:line="300" w:lineRule="exact"/>
              <w:jc w:val="center"/>
              <w:rPr>
                <w:color w:val="auto"/>
                <w:highlight w:val="none"/>
              </w:rPr>
            </w:pPr>
          </w:p>
        </w:tc>
        <w:tc>
          <w:tcPr>
            <w:tcW w:w="763" w:type="dxa"/>
            <w:vAlign w:val="center"/>
          </w:tcPr>
          <w:p>
            <w:pPr>
              <w:spacing w:line="300" w:lineRule="exact"/>
              <w:jc w:val="center"/>
              <w:rPr>
                <w:color w:val="auto"/>
                <w:highlight w:val="none"/>
              </w:rPr>
            </w:pPr>
          </w:p>
        </w:tc>
        <w:tc>
          <w:tcPr>
            <w:tcW w:w="770" w:type="dxa"/>
            <w:vAlign w:val="center"/>
          </w:tcPr>
          <w:p>
            <w:pPr>
              <w:spacing w:line="300" w:lineRule="exact"/>
              <w:jc w:val="center"/>
              <w:rPr>
                <w:color w:val="auto"/>
                <w:highlight w:val="none"/>
              </w:rPr>
            </w:pPr>
          </w:p>
        </w:tc>
        <w:tc>
          <w:tcPr>
            <w:tcW w:w="907" w:type="dxa"/>
            <w:vAlign w:val="center"/>
          </w:tcPr>
          <w:p>
            <w:pPr>
              <w:spacing w:line="300" w:lineRule="exact"/>
              <w:jc w:val="center"/>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color w:val="auto"/>
                <w:highlight w:val="none"/>
              </w:rPr>
            </w:pPr>
          </w:p>
        </w:tc>
        <w:tc>
          <w:tcPr>
            <w:tcW w:w="1523" w:type="dxa"/>
            <w:vAlign w:val="center"/>
          </w:tcPr>
          <w:p>
            <w:pPr>
              <w:spacing w:line="300" w:lineRule="exact"/>
              <w:jc w:val="center"/>
              <w:rPr>
                <w:color w:val="auto"/>
                <w:highlight w:val="none"/>
              </w:rPr>
            </w:pPr>
          </w:p>
        </w:tc>
        <w:tc>
          <w:tcPr>
            <w:tcW w:w="1169" w:type="dxa"/>
            <w:vAlign w:val="center"/>
          </w:tcPr>
          <w:p>
            <w:pPr>
              <w:spacing w:line="300" w:lineRule="exact"/>
              <w:jc w:val="center"/>
              <w:rPr>
                <w:color w:val="auto"/>
                <w:highlight w:val="none"/>
              </w:rPr>
            </w:pPr>
          </w:p>
        </w:tc>
        <w:tc>
          <w:tcPr>
            <w:tcW w:w="804" w:type="dxa"/>
            <w:vAlign w:val="center"/>
          </w:tcPr>
          <w:p>
            <w:pPr>
              <w:spacing w:line="300" w:lineRule="exact"/>
              <w:jc w:val="center"/>
              <w:rPr>
                <w:color w:val="auto"/>
                <w:highlight w:val="none"/>
              </w:rPr>
            </w:pPr>
          </w:p>
        </w:tc>
        <w:tc>
          <w:tcPr>
            <w:tcW w:w="774" w:type="dxa"/>
            <w:vAlign w:val="center"/>
          </w:tcPr>
          <w:p>
            <w:pPr>
              <w:spacing w:line="300" w:lineRule="exact"/>
              <w:jc w:val="center"/>
              <w:rPr>
                <w:color w:val="auto"/>
                <w:highlight w:val="none"/>
              </w:rPr>
            </w:pPr>
          </w:p>
        </w:tc>
        <w:tc>
          <w:tcPr>
            <w:tcW w:w="763" w:type="dxa"/>
            <w:vAlign w:val="center"/>
          </w:tcPr>
          <w:p>
            <w:pPr>
              <w:spacing w:line="300" w:lineRule="exact"/>
              <w:jc w:val="center"/>
              <w:rPr>
                <w:color w:val="auto"/>
                <w:highlight w:val="none"/>
              </w:rPr>
            </w:pPr>
          </w:p>
        </w:tc>
        <w:tc>
          <w:tcPr>
            <w:tcW w:w="763" w:type="dxa"/>
            <w:vAlign w:val="center"/>
          </w:tcPr>
          <w:p>
            <w:pPr>
              <w:spacing w:line="300" w:lineRule="exact"/>
              <w:jc w:val="center"/>
              <w:rPr>
                <w:color w:val="auto"/>
                <w:highlight w:val="none"/>
              </w:rPr>
            </w:pPr>
          </w:p>
        </w:tc>
        <w:tc>
          <w:tcPr>
            <w:tcW w:w="770" w:type="dxa"/>
            <w:vAlign w:val="center"/>
          </w:tcPr>
          <w:p>
            <w:pPr>
              <w:spacing w:line="300" w:lineRule="exact"/>
              <w:jc w:val="center"/>
              <w:rPr>
                <w:color w:val="auto"/>
                <w:highlight w:val="none"/>
              </w:rPr>
            </w:pPr>
          </w:p>
        </w:tc>
        <w:tc>
          <w:tcPr>
            <w:tcW w:w="907" w:type="dxa"/>
            <w:vAlign w:val="center"/>
          </w:tcPr>
          <w:p>
            <w:pPr>
              <w:spacing w:line="300" w:lineRule="exact"/>
              <w:jc w:val="center"/>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color w:val="auto"/>
                <w:highlight w:val="none"/>
              </w:rPr>
            </w:pPr>
          </w:p>
        </w:tc>
        <w:tc>
          <w:tcPr>
            <w:tcW w:w="1523" w:type="dxa"/>
            <w:vAlign w:val="center"/>
          </w:tcPr>
          <w:p>
            <w:pPr>
              <w:spacing w:line="300" w:lineRule="exact"/>
              <w:jc w:val="center"/>
              <w:rPr>
                <w:color w:val="auto"/>
                <w:highlight w:val="none"/>
              </w:rPr>
            </w:pPr>
          </w:p>
        </w:tc>
        <w:tc>
          <w:tcPr>
            <w:tcW w:w="1169" w:type="dxa"/>
            <w:vAlign w:val="center"/>
          </w:tcPr>
          <w:p>
            <w:pPr>
              <w:spacing w:line="300" w:lineRule="exact"/>
              <w:jc w:val="center"/>
              <w:rPr>
                <w:color w:val="auto"/>
                <w:highlight w:val="none"/>
              </w:rPr>
            </w:pPr>
          </w:p>
        </w:tc>
        <w:tc>
          <w:tcPr>
            <w:tcW w:w="804" w:type="dxa"/>
            <w:vAlign w:val="center"/>
          </w:tcPr>
          <w:p>
            <w:pPr>
              <w:spacing w:line="300" w:lineRule="exact"/>
              <w:jc w:val="center"/>
              <w:rPr>
                <w:color w:val="auto"/>
                <w:highlight w:val="none"/>
              </w:rPr>
            </w:pPr>
          </w:p>
        </w:tc>
        <w:tc>
          <w:tcPr>
            <w:tcW w:w="774" w:type="dxa"/>
            <w:vAlign w:val="center"/>
          </w:tcPr>
          <w:p>
            <w:pPr>
              <w:spacing w:line="300" w:lineRule="exact"/>
              <w:jc w:val="center"/>
              <w:rPr>
                <w:color w:val="auto"/>
                <w:highlight w:val="none"/>
              </w:rPr>
            </w:pPr>
          </w:p>
        </w:tc>
        <w:tc>
          <w:tcPr>
            <w:tcW w:w="763" w:type="dxa"/>
            <w:vAlign w:val="center"/>
          </w:tcPr>
          <w:p>
            <w:pPr>
              <w:spacing w:line="300" w:lineRule="exact"/>
              <w:jc w:val="center"/>
              <w:rPr>
                <w:color w:val="auto"/>
                <w:highlight w:val="none"/>
              </w:rPr>
            </w:pPr>
          </w:p>
        </w:tc>
        <w:tc>
          <w:tcPr>
            <w:tcW w:w="763" w:type="dxa"/>
            <w:vAlign w:val="center"/>
          </w:tcPr>
          <w:p>
            <w:pPr>
              <w:spacing w:line="300" w:lineRule="exact"/>
              <w:jc w:val="center"/>
              <w:rPr>
                <w:color w:val="auto"/>
                <w:highlight w:val="none"/>
              </w:rPr>
            </w:pPr>
          </w:p>
        </w:tc>
        <w:tc>
          <w:tcPr>
            <w:tcW w:w="770" w:type="dxa"/>
            <w:vAlign w:val="center"/>
          </w:tcPr>
          <w:p>
            <w:pPr>
              <w:spacing w:line="300" w:lineRule="exact"/>
              <w:jc w:val="center"/>
              <w:rPr>
                <w:color w:val="auto"/>
                <w:highlight w:val="none"/>
              </w:rPr>
            </w:pPr>
          </w:p>
        </w:tc>
        <w:tc>
          <w:tcPr>
            <w:tcW w:w="907" w:type="dxa"/>
            <w:vAlign w:val="center"/>
          </w:tcPr>
          <w:p>
            <w:pPr>
              <w:spacing w:line="300" w:lineRule="exact"/>
              <w:jc w:val="center"/>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color w:val="auto"/>
                <w:highlight w:val="none"/>
              </w:rPr>
            </w:pPr>
          </w:p>
        </w:tc>
        <w:tc>
          <w:tcPr>
            <w:tcW w:w="1523" w:type="dxa"/>
            <w:vAlign w:val="center"/>
          </w:tcPr>
          <w:p>
            <w:pPr>
              <w:spacing w:line="300" w:lineRule="exact"/>
              <w:jc w:val="center"/>
              <w:rPr>
                <w:color w:val="auto"/>
                <w:highlight w:val="none"/>
              </w:rPr>
            </w:pPr>
          </w:p>
        </w:tc>
        <w:tc>
          <w:tcPr>
            <w:tcW w:w="1169" w:type="dxa"/>
            <w:vAlign w:val="center"/>
          </w:tcPr>
          <w:p>
            <w:pPr>
              <w:spacing w:line="300" w:lineRule="exact"/>
              <w:jc w:val="center"/>
              <w:rPr>
                <w:color w:val="auto"/>
                <w:highlight w:val="none"/>
              </w:rPr>
            </w:pPr>
          </w:p>
        </w:tc>
        <w:tc>
          <w:tcPr>
            <w:tcW w:w="804" w:type="dxa"/>
            <w:vAlign w:val="center"/>
          </w:tcPr>
          <w:p>
            <w:pPr>
              <w:spacing w:line="300" w:lineRule="exact"/>
              <w:jc w:val="center"/>
              <w:rPr>
                <w:color w:val="auto"/>
                <w:highlight w:val="none"/>
              </w:rPr>
            </w:pPr>
          </w:p>
        </w:tc>
        <w:tc>
          <w:tcPr>
            <w:tcW w:w="774" w:type="dxa"/>
            <w:vAlign w:val="center"/>
          </w:tcPr>
          <w:p>
            <w:pPr>
              <w:spacing w:line="300" w:lineRule="exact"/>
              <w:jc w:val="center"/>
              <w:rPr>
                <w:color w:val="auto"/>
                <w:highlight w:val="none"/>
              </w:rPr>
            </w:pPr>
          </w:p>
        </w:tc>
        <w:tc>
          <w:tcPr>
            <w:tcW w:w="763" w:type="dxa"/>
            <w:vAlign w:val="center"/>
          </w:tcPr>
          <w:p>
            <w:pPr>
              <w:spacing w:line="300" w:lineRule="exact"/>
              <w:jc w:val="center"/>
              <w:rPr>
                <w:color w:val="auto"/>
                <w:highlight w:val="none"/>
              </w:rPr>
            </w:pPr>
          </w:p>
        </w:tc>
        <w:tc>
          <w:tcPr>
            <w:tcW w:w="763" w:type="dxa"/>
            <w:vAlign w:val="center"/>
          </w:tcPr>
          <w:p>
            <w:pPr>
              <w:spacing w:line="300" w:lineRule="exact"/>
              <w:jc w:val="center"/>
              <w:rPr>
                <w:color w:val="auto"/>
                <w:highlight w:val="none"/>
              </w:rPr>
            </w:pPr>
          </w:p>
        </w:tc>
        <w:tc>
          <w:tcPr>
            <w:tcW w:w="770" w:type="dxa"/>
            <w:vAlign w:val="center"/>
          </w:tcPr>
          <w:p>
            <w:pPr>
              <w:spacing w:line="300" w:lineRule="exact"/>
              <w:jc w:val="center"/>
              <w:rPr>
                <w:color w:val="auto"/>
                <w:highlight w:val="none"/>
              </w:rPr>
            </w:pPr>
          </w:p>
        </w:tc>
        <w:tc>
          <w:tcPr>
            <w:tcW w:w="907" w:type="dxa"/>
            <w:vAlign w:val="center"/>
          </w:tcPr>
          <w:p>
            <w:pPr>
              <w:spacing w:line="300" w:lineRule="exact"/>
              <w:jc w:val="center"/>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color w:val="auto"/>
                <w:highlight w:val="none"/>
              </w:rPr>
            </w:pPr>
          </w:p>
        </w:tc>
        <w:tc>
          <w:tcPr>
            <w:tcW w:w="1523" w:type="dxa"/>
            <w:vAlign w:val="center"/>
          </w:tcPr>
          <w:p>
            <w:pPr>
              <w:spacing w:line="300" w:lineRule="exact"/>
              <w:jc w:val="center"/>
              <w:rPr>
                <w:color w:val="auto"/>
                <w:highlight w:val="none"/>
              </w:rPr>
            </w:pPr>
          </w:p>
        </w:tc>
        <w:tc>
          <w:tcPr>
            <w:tcW w:w="1169" w:type="dxa"/>
            <w:vAlign w:val="center"/>
          </w:tcPr>
          <w:p>
            <w:pPr>
              <w:spacing w:line="300" w:lineRule="exact"/>
              <w:jc w:val="center"/>
              <w:rPr>
                <w:color w:val="auto"/>
                <w:highlight w:val="none"/>
              </w:rPr>
            </w:pPr>
          </w:p>
        </w:tc>
        <w:tc>
          <w:tcPr>
            <w:tcW w:w="804" w:type="dxa"/>
            <w:vAlign w:val="center"/>
          </w:tcPr>
          <w:p>
            <w:pPr>
              <w:spacing w:line="300" w:lineRule="exact"/>
              <w:jc w:val="center"/>
              <w:rPr>
                <w:color w:val="auto"/>
                <w:highlight w:val="none"/>
              </w:rPr>
            </w:pPr>
          </w:p>
        </w:tc>
        <w:tc>
          <w:tcPr>
            <w:tcW w:w="774" w:type="dxa"/>
            <w:vAlign w:val="center"/>
          </w:tcPr>
          <w:p>
            <w:pPr>
              <w:spacing w:line="300" w:lineRule="exact"/>
              <w:jc w:val="center"/>
              <w:rPr>
                <w:color w:val="auto"/>
                <w:highlight w:val="none"/>
              </w:rPr>
            </w:pPr>
          </w:p>
        </w:tc>
        <w:tc>
          <w:tcPr>
            <w:tcW w:w="763" w:type="dxa"/>
            <w:vAlign w:val="center"/>
          </w:tcPr>
          <w:p>
            <w:pPr>
              <w:spacing w:line="300" w:lineRule="exact"/>
              <w:jc w:val="center"/>
              <w:rPr>
                <w:color w:val="auto"/>
                <w:highlight w:val="none"/>
              </w:rPr>
            </w:pPr>
          </w:p>
        </w:tc>
        <w:tc>
          <w:tcPr>
            <w:tcW w:w="763" w:type="dxa"/>
            <w:vAlign w:val="center"/>
          </w:tcPr>
          <w:p>
            <w:pPr>
              <w:spacing w:line="300" w:lineRule="exact"/>
              <w:jc w:val="center"/>
              <w:rPr>
                <w:color w:val="auto"/>
                <w:highlight w:val="none"/>
              </w:rPr>
            </w:pPr>
          </w:p>
        </w:tc>
        <w:tc>
          <w:tcPr>
            <w:tcW w:w="770" w:type="dxa"/>
            <w:vAlign w:val="center"/>
          </w:tcPr>
          <w:p>
            <w:pPr>
              <w:spacing w:line="300" w:lineRule="exact"/>
              <w:jc w:val="center"/>
              <w:rPr>
                <w:color w:val="auto"/>
                <w:highlight w:val="none"/>
              </w:rPr>
            </w:pPr>
          </w:p>
        </w:tc>
        <w:tc>
          <w:tcPr>
            <w:tcW w:w="907" w:type="dxa"/>
            <w:vAlign w:val="center"/>
          </w:tcPr>
          <w:p>
            <w:pPr>
              <w:spacing w:line="300" w:lineRule="exact"/>
              <w:jc w:val="center"/>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4" w:hRule="atLeast"/>
          <w:jc w:val="center"/>
        </w:trPr>
        <w:tc>
          <w:tcPr>
            <w:tcW w:w="2561" w:type="dxa"/>
            <w:gridSpan w:val="2"/>
            <w:vAlign w:val="center"/>
          </w:tcPr>
          <w:p>
            <w:pPr>
              <w:spacing w:line="300" w:lineRule="exact"/>
              <w:jc w:val="center"/>
              <w:rPr>
                <w:color w:val="auto"/>
                <w:highlight w:val="none"/>
              </w:rPr>
            </w:pPr>
            <w:r>
              <w:rPr>
                <w:rFonts w:hint="eastAsia"/>
                <w:color w:val="auto"/>
                <w:highlight w:val="none"/>
              </w:rPr>
              <w:t>总价</w:t>
            </w:r>
          </w:p>
        </w:tc>
        <w:tc>
          <w:tcPr>
            <w:tcW w:w="1169" w:type="dxa"/>
            <w:vAlign w:val="center"/>
          </w:tcPr>
          <w:p>
            <w:pPr>
              <w:spacing w:line="300" w:lineRule="exact"/>
              <w:jc w:val="center"/>
              <w:rPr>
                <w:color w:val="auto"/>
                <w:highlight w:val="none"/>
              </w:rPr>
            </w:pPr>
          </w:p>
        </w:tc>
        <w:tc>
          <w:tcPr>
            <w:tcW w:w="804" w:type="dxa"/>
            <w:vAlign w:val="center"/>
          </w:tcPr>
          <w:p>
            <w:pPr>
              <w:spacing w:line="300" w:lineRule="exact"/>
              <w:jc w:val="center"/>
              <w:rPr>
                <w:color w:val="auto"/>
                <w:highlight w:val="none"/>
              </w:rPr>
            </w:pPr>
          </w:p>
        </w:tc>
        <w:tc>
          <w:tcPr>
            <w:tcW w:w="774" w:type="dxa"/>
            <w:vAlign w:val="center"/>
          </w:tcPr>
          <w:p>
            <w:pPr>
              <w:spacing w:line="300" w:lineRule="exact"/>
              <w:jc w:val="center"/>
              <w:rPr>
                <w:color w:val="auto"/>
                <w:highlight w:val="none"/>
              </w:rPr>
            </w:pPr>
          </w:p>
        </w:tc>
        <w:tc>
          <w:tcPr>
            <w:tcW w:w="763" w:type="dxa"/>
            <w:vAlign w:val="center"/>
          </w:tcPr>
          <w:p>
            <w:pPr>
              <w:spacing w:line="300" w:lineRule="exact"/>
              <w:jc w:val="center"/>
              <w:rPr>
                <w:color w:val="auto"/>
                <w:highlight w:val="none"/>
              </w:rPr>
            </w:pPr>
          </w:p>
        </w:tc>
        <w:tc>
          <w:tcPr>
            <w:tcW w:w="763" w:type="dxa"/>
            <w:vAlign w:val="center"/>
          </w:tcPr>
          <w:p>
            <w:pPr>
              <w:spacing w:line="300" w:lineRule="exact"/>
              <w:jc w:val="center"/>
              <w:rPr>
                <w:color w:val="auto"/>
                <w:highlight w:val="none"/>
              </w:rPr>
            </w:pPr>
          </w:p>
        </w:tc>
        <w:tc>
          <w:tcPr>
            <w:tcW w:w="770" w:type="dxa"/>
            <w:vAlign w:val="center"/>
          </w:tcPr>
          <w:p>
            <w:pPr>
              <w:spacing w:line="300" w:lineRule="exact"/>
              <w:jc w:val="center"/>
              <w:rPr>
                <w:color w:val="auto"/>
                <w:highlight w:val="none"/>
              </w:rPr>
            </w:pPr>
          </w:p>
        </w:tc>
        <w:tc>
          <w:tcPr>
            <w:tcW w:w="907" w:type="dxa"/>
            <w:vAlign w:val="center"/>
          </w:tcPr>
          <w:p>
            <w:pPr>
              <w:spacing w:line="300" w:lineRule="exact"/>
              <w:jc w:val="center"/>
              <w:rPr>
                <w:color w:val="auto"/>
                <w:highlight w:val="none"/>
              </w:rPr>
            </w:pPr>
          </w:p>
        </w:tc>
      </w:tr>
    </w:tbl>
    <w:p>
      <w:pPr>
        <w:rPr>
          <w:color w:val="auto"/>
          <w:highlight w:val="none"/>
        </w:rPr>
      </w:pPr>
      <w:r>
        <w:rPr>
          <w:rFonts w:hint="eastAsia"/>
          <w:color w:val="auto"/>
          <w:highlight w:val="none"/>
        </w:rPr>
        <w:t>注：1.各项服务详细内容应详细描述。如果供应商认为需要，每项服务填写一份该表。</w:t>
      </w:r>
    </w:p>
    <w:p>
      <w:pPr>
        <w:ind w:firstLine="420"/>
        <w:rPr>
          <w:color w:val="auto"/>
          <w:highlight w:val="none"/>
        </w:rPr>
      </w:pPr>
      <w:r>
        <w:rPr>
          <w:rFonts w:hint="eastAsia"/>
          <w:color w:val="auto"/>
          <w:highlight w:val="none"/>
        </w:rPr>
        <w:t>2.如果按单价计算的结果与总价不一致,以单价为准修正总价。</w:t>
      </w:r>
    </w:p>
    <w:p>
      <w:pPr>
        <w:ind w:firstLine="420"/>
        <w:rPr>
          <w:color w:val="auto"/>
          <w:highlight w:val="none"/>
        </w:rPr>
      </w:pPr>
      <w:r>
        <w:rPr>
          <w:rFonts w:hint="eastAsia"/>
          <w:color w:val="auto"/>
          <w:highlight w:val="none"/>
        </w:rPr>
        <w:t>3.如果不提供详细分项报价将视为没有实质性响应招标文件。</w:t>
      </w:r>
    </w:p>
    <w:p>
      <w:pPr>
        <w:ind w:firstLine="420"/>
        <w:rPr>
          <w:color w:val="auto"/>
          <w:highlight w:val="none"/>
        </w:rPr>
      </w:pPr>
      <w:r>
        <w:rPr>
          <w:rFonts w:hint="eastAsia"/>
          <w:color w:val="auto"/>
          <w:highlight w:val="none"/>
        </w:rPr>
        <w:t>4.上述各项的详细分项报价，应另页描述。</w:t>
      </w:r>
    </w:p>
    <w:p>
      <w:pPr>
        <w:ind w:firstLine="420"/>
        <w:rPr>
          <w:color w:val="auto"/>
          <w:highlight w:val="none"/>
        </w:rPr>
      </w:pPr>
      <w:r>
        <w:rPr>
          <w:rFonts w:hint="eastAsia"/>
          <w:color w:val="auto"/>
          <w:highlight w:val="none"/>
        </w:rPr>
        <w:t>5.如果开标一览表内容与投标文件中明细表内容不一致的，以开标一览表内容为准。</w:t>
      </w:r>
    </w:p>
    <w:p>
      <w:pPr>
        <w:rPr>
          <w:color w:val="auto"/>
          <w:highlight w:val="none"/>
        </w:rPr>
      </w:pPr>
    </w:p>
    <w:p>
      <w:pPr>
        <w:rPr>
          <w:color w:val="auto"/>
          <w:highlight w:val="none"/>
        </w:rPr>
      </w:pPr>
    </w:p>
    <w:p>
      <w:pPr>
        <w:pStyle w:val="31"/>
        <w:ind w:firstLine="420"/>
        <w:rPr>
          <w:color w:val="auto"/>
          <w:highlight w:val="none"/>
        </w:rPr>
      </w:pPr>
    </w:p>
    <w:p>
      <w:pPr>
        <w:ind w:firstLine="420"/>
        <w:rPr>
          <w:color w:val="auto"/>
          <w:highlight w:val="none"/>
          <w:u w:val="single"/>
        </w:rPr>
      </w:pPr>
      <w:r>
        <w:rPr>
          <w:rFonts w:hint="eastAsia"/>
          <w:color w:val="auto"/>
          <w:highlight w:val="none"/>
        </w:rPr>
        <w:t>供应商(单位公章):</w:t>
      </w:r>
      <w:r>
        <w:rPr>
          <w:rFonts w:hint="eastAsia"/>
          <w:color w:val="auto"/>
          <w:highlight w:val="none"/>
          <w:u w:val="single"/>
        </w:rPr>
        <w:t xml:space="preserve">               </w:t>
      </w:r>
    </w:p>
    <w:p>
      <w:pPr>
        <w:ind w:firstLine="420"/>
        <w:rPr>
          <w:color w:val="auto"/>
          <w:highlight w:val="none"/>
        </w:rPr>
      </w:pPr>
    </w:p>
    <w:p>
      <w:pPr>
        <w:ind w:firstLine="420"/>
        <w:rPr>
          <w:rFonts w:cs="仿宋_GB2312"/>
          <w:color w:val="auto"/>
          <w:highlight w:val="none"/>
          <w:u w:val="single"/>
        </w:rPr>
      </w:pPr>
      <w:r>
        <w:rPr>
          <w:rFonts w:hint="eastAsia"/>
          <w:color w:val="auto"/>
          <w:highlight w:val="none"/>
        </w:rPr>
        <w:t xml:space="preserve">法定代表人（或非法人组织负责人）或其授权委托人(签字或盖章): </w:t>
      </w:r>
      <w:r>
        <w:rPr>
          <w:rFonts w:hint="eastAsia"/>
          <w:color w:val="auto"/>
          <w:highlight w:val="none"/>
          <w:u w:val="single"/>
        </w:rPr>
        <w:t xml:space="preserve">        </w:t>
      </w:r>
      <w:r>
        <w:rPr>
          <w:rFonts w:hint="eastAsia" w:cs="仿宋_GB2312"/>
          <w:color w:val="auto"/>
          <w:highlight w:val="none"/>
          <w:u w:val="single"/>
        </w:rPr>
        <w:t xml:space="preserve">   </w:t>
      </w:r>
    </w:p>
    <w:p>
      <w:pPr>
        <w:adjustRightInd w:val="0"/>
        <w:snapToGrid w:val="0"/>
        <w:ind w:right="105" w:rightChars="50" w:firstLine="480" w:firstLineChars="200"/>
        <w:jc w:val="left"/>
        <w:rPr>
          <w:rFonts w:cs="仿宋_GB2312"/>
          <w:color w:val="auto"/>
          <w:sz w:val="24"/>
          <w:highlight w:val="none"/>
        </w:rPr>
      </w:pPr>
    </w:p>
    <w:p>
      <w:pPr>
        <w:adjustRightInd w:val="0"/>
        <w:snapToGrid w:val="0"/>
        <w:ind w:right="105" w:rightChars="50"/>
        <w:jc w:val="left"/>
        <w:rPr>
          <w:rFonts w:cs="仿宋_GB2312"/>
          <w:b/>
          <w:color w:val="auto"/>
          <w:sz w:val="28"/>
          <w:szCs w:val="28"/>
          <w:highlight w:val="none"/>
        </w:rPr>
        <w:sectPr>
          <w:pgSz w:w="11906" w:h="16838"/>
          <w:pgMar w:top="1440" w:right="1803" w:bottom="1440" w:left="1803" w:header="851" w:footer="992" w:gutter="0"/>
          <w:cols w:space="720" w:num="1"/>
          <w:docGrid w:linePitch="319" w:charSpace="0"/>
        </w:sectPr>
      </w:pPr>
    </w:p>
    <w:p>
      <w:pPr>
        <w:pStyle w:val="6"/>
        <w:spacing w:before="0" w:after="0"/>
        <w:rPr>
          <w:color w:val="auto"/>
          <w:highlight w:val="none"/>
        </w:rPr>
      </w:pPr>
      <w:r>
        <w:rPr>
          <w:rFonts w:hint="eastAsia"/>
          <w:color w:val="auto"/>
          <w:highlight w:val="none"/>
        </w:rPr>
        <w:t>格式12</w:t>
      </w:r>
    </w:p>
    <w:p>
      <w:pPr>
        <w:pStyle w:val="5"/>
        <w:rPr>
          <w:color w:val="auto"/>
          <w:highlight w:val="none"/>
        </w:rPr>
      </w:pPr>
      <w:bookmarkStart w:id="102" w:name="_Toc9235_WPSOffice_Level2"/>
      <w:bookmarkStart w:id="103" w:name="_Toc31555_WPSOffice_Level2"/>
      <w:r>
        <w:rPr>
          <w:rFonts w:hint="eastAsia"/>
          <w:color w:val="auto"/>
          <w:highlight w:val="none"/>
        </w:rPr>
        <w:t>服务需求响应表</w:t>
      </w:r>
      <w:bookmarkEnd w:id="102"/>
      <w:bookmarkEnd w:id="103"/>
    </w:p>
    <w:tbl>
      <w:tblPr>
        <w:tblStyle w:val="23"/>
        <w:tblW w:w="851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97"/>
        <w:gridCol w:w="2097"/>
        <w:gridCol w:w="1100"/>
        <w:gridCol w:w="1148"/>
        <w:gridCol w:w="11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21" w:hRule="atLeast"/>
        </w:trPr>
        <w:tc>
          <w:tcPr>
            <w:tcW w:w="8516" w:type="dxa"/>
            <w:gridSpan w:val="5"/>
            <w:tcBorders>
              <w:top w:val="single" w:color="auto" w:sz="4" w:space="0"/>
              <w:left w:val="single" w:color="auto" w:sz="4" w:space="0"/>
              <w:bottom w:val="single" w:color="auto" w:sz="4" w:space="0"/>
              <w:right w:val="single" w:color="auto" w:sz="4" w:space="0"/>
            </w:tcBorders>
            <w:vAlign w:val="center"/>
          </w:tcPr>
          <w:p>
            <w:pPr>
              <w:spacing w:line="300" w:lineRule="exact"/>
              <w:rPr>
                <w:color w:val="auto"/>
                <w:highlight w:val="none"/>
              </w:rPr>
            </w:pPr>
            <w:r>
              <w:rPr>
                <w:rFonts w:hint="eastAsia"/>
                <w:color w:val="auto"/>
                <w:highlight w:val="none"/>
              </w:rPr>
              <w:t>包号/品目号：</w:t>
            </w:r>
          </w:p>
          <w:p>
            <w:pPr>
              <w:spacing w:line="300" w:lineRule="exact"/>
              <w:rPr>
                <w:color w:val="auto"/>
                <w:highlight w:val="none"/>
              </w:rPr>
            </w:pPr>
            <w:r>
              <w:rPr>
                <w:rFonts w:hint="eastAsia"/>
                <w:color w:val="auto"/>
                <w:highlight w:val="none"/>
              </w:rPr>
              <w:t>服务内容：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47" w:hRule="atLeast"/>
        </w:trPr>
        <w:tc>
          <w:tcPr>
            <w:tcW w:w="29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招标文件要求</w:t>
            </w:r>
          </w:p>
          <w:p>
            <w:pPr>
              <w:spacing w:line="300" w:lineRule="exact"/>
              <w:rPr>
                <w:color w:val="auto"/>
                <w:highlight w:val="none"/>
              </w:rPr>
            </w:pPr>
            <w:r>
              <w:rPr>
                <w:rFonts w:hint="eastAsia"/>
                <w:b/>
                <w:bCs/>
                <w:color w:val="auto"/>
                <w:highlight w:val="none"/>
              </w:rPr>
              <w:t>重要提示：实质性要求及重要指标用★标注（“★”必须标注在序号前），★标注项不得负偏离，如果负偏离，则投标文件无效。</w:t>
            </w:r>
          </w:p>
        </w:tc>
        <w:tc>
          <w:tcPr>
            <w:tcW w:w="20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投标文件</w:t>
            </w:r>
          </w:p>
          <w:p>
            <w:pPr>
              <w:spacing w:line="300" w:lineRule="exact"/>
              <w:jc w:val="center"/>
              <w:rPr>
                <w:color w:val="auto"/>
                <w:highlight w:val="none"/>
              </w:rPr>
            </w:pPr>
            <w:r>
              <w:rPr>
                <w:rFonts w:hint="eastAsia"/>
                <w:color w:val="auto"/>
                <w:highlight w:val="none"/>
              </w:rPr>
              <w:t>响应内容</w:t>
            </w:r>
          </w:p>
        </w:tc>
        <w:tc>
          <w:tcPr>
            <w:tcW w:w="110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偏离程度</w:t>
            </w:r>
          </w:p>
        </w:tc>
        <w:tc>
          <w:tcPr>
            <w:tcW w:w="1148"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偏离说明</w:t>
            </w:r>
          </w:p>
        </w:tc>
        <w:tc>
          <w:tcPr>
            <w:tcW w:w="117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证明资料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111" w:hRule="atLeast"/>
        </w:trPr>
        <w:tc>
          <w:tcPr>
            <w:tcW w:w="29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服务要求</w:t>
            </w:r>
          </w:p>
        </w:tc>
        <w:tc>
          <w:tcPr>
            <w:tcW w:w="20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p>
        </w:tc>
        <w:tc>
          <w:tcPr>
            <w:tcW w:w="110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p>
        </w:tc>
        <w:tc>
          <w:tcPr>
            <w:tcW w:w="1148"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p>
        </w:tc>
        <w:tc>
          <w:tcPr>
            <w:tcW w:w="117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121" w:hRule="atLeast"/>
        </w:trPr>
        <w:tc>
          <w:tcPr>
            <w:tcW w:w="29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其它</w:t>
            </w:r>
          </w:p>
        </w:tc>
        <w:tc>
          <w:tcPr>
            <w:tcW w:w="20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采购单位未提供需求而供应商认为需说明及补充的内容在此填列</w:t>
            </w:r>
          </w:p>
        </w:tc>
        <w:tc>
          <w:tcPr>
            <w:tcW w:w="110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p>
        </w:tc>
        <w:tc>
          <w:tcPr>
            <w:tcW w:w="1148"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p>
        </w:tc>
        <w:tc>
          <w:tcPr>
            <w:tcW w:w="117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p>
        </w:tc>
      </w:tr>
    </w:tbl>
    <w:p>
      <w:pPr>
        <w:ind w:firstLine="422" w:firstLineChars="200"/>
        <w:rPr>
          <w:b/>
          <w:bCs/>
          <w:color w:val="auto"/>
          <w:highlight w:val="none"/>
        </w:rPr>
      </w:pPr>
      <w:r>
        <w:rPr>
          <w:rFonts w:hint="eastAsia"/>
          <w:b/>
          <w:bCs/>
          <w:color w:val="auto"/>
          <w:highlight w:val="none"/>
        </w:rPr>
        <w:t>填表要求：</w:t>
      </w:r>
    </w:p>
    <w:p>
      <w:pPr>
        <w:ind w:firstLine="420" w:firstLineChars="200"/>
        <w:rPr>
          <w:color w:val="auto"/>
          <w:highlight w:val="none"/>
        </w:rPr>
      </w:pPr>
      <w:r>
        <w:rPr>
          <w:rFonts w:hint="eastAsia"/>
          <w:color w:val="auto"/>
          <w:highlight w:val="none"/>
        </w:rPr>
        <w:t>1．“投标文件响应内容”一栏由供应商按照招标文件要求填写并进行逐项响应。</w:t>
      </w:r>
    </w:p>
    <w:p>
      <w:pPr>
        <w:ind w:firstLine="420" w:firstLineChars="200"/>
        <w:rPr>
          <w:color w:val="auto"/>
          <w:highlight w:val="none"/>
        </w:rPr>
      </w:pPr>
      <w:r>
        <w:rPr>
          <w:rFonts w:hint="eastAsia"/>
          <w:color w:val="auto"/>
          <w:highlight w:val="none"/>
        </w:rPr>
        <w:t>2．“偏离程度”一栏根据“投标文件响应内容”与招标文件逐项对照的结果填写。偏离必须用 “正偏离、负偏离或无偏离”三个名称中的一种进行标注。</w:t>
      </w:r>
    </w:p>
    <w:p>
      <w:pPr>
        <w:ind w:firstLine="420" w:firstLineChars="200"/>
        <w:rPr>
          <w:color w:val="auto"/>
          <w:highlight w:val="none"/>
        </w:rPr>
      </w:pPr>
      <w:r>
        <w:rPr>
          <w:rFonts w:hint="eastAsia"/>
          <w:color w:val="auto"/>
          <w:highlight w:val="none"/>
        </w:rPr>
        <w:t>3．“说明”一栏由供应商对偏离的情况做详细说明。</w:t>
      </w:r>
    </w:p>
    <w:p>
      <w:pPr>
        <w:ind w:firstLine="420" w:firstLineChars="200"/>
        <w:rPr>
          <w:color w:val="auto"/>
          <w:highlight w:val="none"/>
        </w:rPr>
      </w:pPr>
    </w:p>
    <w:p>
      <w:pPr>
        <w:pStyle w:val="31"/>
        <w:ind w:firstLine="420"/>
        <w:rPr>
          <w:color w:val="auto"/>
          <w:highlight w:val="none"/>
        </w:rPr>
      </w:pPr>
    </w:p>
    <w:p>
      <w:pPr>
        <w:pStyle w:val="31"/>
        <w:ind w:firstLine="420"/>
        <w:rPr>
          <w:color w:val="auto"/>
          <w:highlight w:val="none"/>
        </w:rPr>
      </w:pPr>
    </w:p>
    <w:p>
      <w:pPr>
        <w:pStyle w:val="31"/>
        <w:ind w:firstLine="420"/>
        <w:rPr>
          <w:color w:val="auto"/>
          <w:highlight w:val="none"/>
        </w:rPr>
      </w:pPr>
    </w:p>
    <w:p>
      <w:pPr>
        <w:ind w:firstLine="420" w:firstLineChars="200"/>
        <w:rPr>
          <w:color w:val="auto"/>
          <w:highlight w:val="none"/>
          <w:u w:val="single"/>
        </w:rPr>
      </w:pPr>
      <w:r>
        <w:rPr>
          <w:rFonts w:hint="eastAsia"/>
          <w:color w:val="auto"/>
          <w:highlight w:val="none"/>
        </w:rPr>
        <w:t xml:space="preserve">供应商(单位公章): </w:t>
      </w:r>
      <w:r>
        <w:rPr>
          <w:rFonts w:hint="eastAsia"/>
          <w:color w:val="auto"/>
          <w:highlight w:val="none"/>
          <w:u w:val="single"/>
        </w:rPr>
        <w:t xml:space="preserve">              </w:t>
      </w:r>
    </w:p>
    <w:p>
      <w:pPr>
        <w:ind w:firstLine="420" w:firstLineChars="200"/>
        <w:rPr>
          <w:color w:val="auto"/>
          <w:highlight w:val="none"/>
        </w:rPr>
      </w:pPr>
    </w:p>
    <w:p>
      <w:pPr>
        <w:ind w:firstLine="420" w:firstLineChars="200"/>
        <w:rPr>
          <w:rFonts w:cs="仿宋_GB2312"/>
          <w:color w:val="auto"/>
          <w:highlight w:val="none"/>
        </w:rPr>
      </w:pPr>
      <w:r>
        <w:rPr>
          <w:rFonts w:hint="eastAsia"/>
          <w:color w:val="auto"/>
          <w:highlight w:val="none"/>
        </w:rPr>
        <w:t>法定代表人（或非法人组织负责人）或其授权委托人(签字或盖章):</w:t>
      </w:r>
      <w:r>
        <w:rPr>
          <w:rFonts w:hint="eastAsia"/>
          <w:color w:val="auto"/>
          <w:highlight w:val="none"/>
          <w:u w:val="single"/>
        </w:rPr>
        <w:t xml:space="preserve">            </w:t>
      </w:r>
    </w:p>
    <w:p>
      <w:pPr>
        <w:rPr>
          <w:rFonts w:eastAsia="黑体" w:cs="仿宋_GB2312"/>
          <w:color w:val="auto"/>
          <w:szCs w:val="28"/>
          <w:highlight w:val="none"/>
        </w:rPr>
      </w:pPr>
      <w:r>
        <w:rPr>
          <w:rFonts w:hint="eastAsia" w:cs="仿宋_GB2312"/>
          <w:b/>
          <w:color w:val="auto"/>
          <w:sz w:val="28"/>
          <w:szCs w:val="28"/>
          <w:highlight w:val="none"/>
        </w:rPr>
        <w:br w:type="page"/>
      </w:r>
      <w:r>
        <w:rPr>
          <w:rStyle w:val="36"/>
          <w:rFonts w:hint="eastAsia"/>
          <w:color w:val="auto"/>
          <w:highlight w:val="none"/>
        </w:rPr>
        <w:t>格式13</w:t>
      </w:r>
    </w:p>
    <w:p>
      <w:pPr>
        <w:pStyle w:val="5"/>
        <w:rPr>
          <w:color w:val="auto"/>
          <w:highlight w:val="none"/>
        </w:rPr>
      </w:pPr>
      <w:bookmarkStart w:id="104" w:name="_Toc4431_WPSOffice_Level2"/>
      <w:bookmarkStart w:id="105" w:name="_Toc8488_WPSOffice_Level2"/>
      <w:r>
        <w:rPr>
          <w:rFonts w:hint="eastAsia"/>
          <w:color w:val="auto"/>
          <w:highlight w:val="none"/>
        </w:rPr>
        <w:t>商务条款偏离表</w:t>
      </w:r>
      <w:bookmarkEnd w:id="104"/>
      <w:bookmarkEnd w:id="105"/>
    </w:p>
    <w:p>
      <w:pPr>
        <w:adjustRightInd w:val="0"/>
        <w:snapToGrid w:val="0"/>
        <w:ind w:right="105" w:rightChars="50" w:firstLine="479" w:firstLineChars="227"/>
        <w:jc w:val="center"/>
        <w:rPr>
          <w:rFonts w:cs="仿宋_GB2312"/>
          <w:b/>
          <w:bCs/>
          <w:color w:val="auto"/>
          <w:highlight w:val="none"/>
        </w:rPr>
      </w:pPr>
      <w:r>
        <w:rPr>
          <w:rFonts w:hint="eastAsia"/>
          <w:b/>
          <w:bCs/>
          <w:color w:val="auto"/>
          <w:highlight w:val="none"/>
        </w:rPr>
        <w:t>项目名称：                  项目编号：                包号：</w:t>
      </w:r>
    </w:p>
    <w:tbl>
      <w:tblPr>
        <w:tblStyle w:val="23"/>
        <w:tblW w:w="8513"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7"/>
        <w:gridCol w:w="3759"/>
        <w:gridCol w:w="2359"/>
        <w:gridCol w:w="1003"/>
        <w:gridCol w:w="8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65" w:hRule="atLeast"/>
          <w:jc w:val="center"/>
        </w:trPr>
        <w:tc>
          <w:tcPr>
            <w:tcW w:w="547" w:type="dxa"/>
            <w:vAlign w:val="center"/>
          </w:tcPr>
          <w:p>
            <w:pPr>
              <w:spacing w:line="300" w:lineRule="exact"/>
              <w:jc w:val="center"/>
              <w:rPr>
                <w:color w:val="auto"/>
                <w:highlight w:val="none"/>
              </w:rPr>
            </w:pPr>
            <w:r>
              <w:rPr>
                <w:rFonts w:hint="eastAsia"/>
                <w:color w:val="auto"/>
                <w:highlight w:val="none"/>
              </w:rPr>
              <w:t>序号</w:t>
            </w:r>
          </w:p>
        </w:tc>
        <w:tc>
          <w:tcPr>
            <w:tcW w:w="3759" w:type="dxa"/>
            <w:vAlign w:val="center"/>
          </w:tcPr>
          <w:p>
            <w:pPr>
              <w:spacing w:line="300" w:lineRule="exact"/>
              <w:jc w:val="center"/>
              <w:rPr>
                <w:color w:val="auto"/>
                <w:highlight w:val="none"/>
              </w:rPr>
            </w:pPr>
            <w:r>
              <w:rPr>
                <w:rFonts w:hint="eastAsia"/>
                <w:color w:val="auto"/>
                <w:highlight w:val="none"/>
              </w:rPr>
              <w:t>招标文件的商务条款</w:t>
            </w:r>
          </w:p>
          <w:p>
            <w:pPr>
              <w:spacing w:line="300" w:lineRule="exact"/>
              <w:jc w:val="center"/>
              <w:rPr>
                <w:color w:val="auto"/>
                <w:highlight w:val="none"/>
              </w:rPr>
            </w:pPr>
            <w:r>
              <w:rPr>
                <w:rFonts w:hint="eastAsia"/>
                <w:b/>
                <w:bCs/>
                <w:color w:val="auto"/>
                <w:highlight w:val="none"/>
              </w:rPr>
              <w:t>（实质性要求及重要指标用★标注，★标注项不得负偏离，如果负偏离，则投标文件无效。）</w:t>
            </w:r>
          </w:p>
        </w:tc>
        <w:tc>
          <w:tcPr>
            <w:tcW w:w="2359" w:type="dxa"/>
            <w:vAlign w:val="center"/>
          </w:tcPr>
          <w:p>
            <w:pPr>
              <w:spacing w:line="300" w:lineRule="exact"/>
              <w:jc w:val="center"/>
              <w:rPr>
                <w:color w:val="auto"/>
                <w:highlight w:val="none"/>
              </w:rPr>
            </w:pPr>
            <w:r>
              <w:rPr>
                <w:rFonts w:hint="eastAsia"/>
                <w:color w:val="auto"/>
                <w:highlight w:val="none"/>
              </w:rPr>
              <w:t>投标文件响应内容</w:t>
            </w:r>
          </w:p>
        </w:tc>
        <w:tc>
          <w:tcPr>
            <w:tcW w:w="1003" w:type="dxa"/>
            <w:vAlign w:val="center"/>
          </w:tcPr>
          <w:p>
            <w:pPr>
              <w:spacing w:line="300" w:lineRule="exact"/>
              <w:jc w:val="center"/>
              <w:rPr>
                <w:color w:val="auto"/>
                <w:highlight w:val="none"/>
              </w:rPr>
            </w:pPr>
            <w:r>
              <w:rPr>
                <w:rFonts w:hint="eastAsia"/>
                <w:color w:val="auto"/>
                <w:highlight w:val="none"/>
              </w:rPr>
              <w:t>偏离程度</w:t>
            </w:r>
          </w:p>
        </w:tc>
        <w:tc>
          <w:tcPr>
            <w:tcW w:w="845" w:type="dxa"/>
            <w:vAlign w:val="center"/>
          </w:tcPr>
          <w:p>
            <w:pPr>
              <w:spacing w:line="300" w:lineRule="exact"/>
              <w:jc w:val="center"/>
              <w:rPr>
                <w:color w:val="auto"/>
                <w:highlight w:val="none"/>
              </w:rPr>
            </w:pPr>
            <w:r>
              <w:rPr>
                <w:rFonts w:hint="eastAsia"/>
                <w:color w:val="auto"/>
                <w:highlight w:val="none"/>
              </w:rPr>
              <w:t>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4" w:hRule="atLeast"/>
          <w:jc w:val="center"/>
        </w:trPr>
        <w:tc>
          <w:tcPr>
            <w:tcW w:w="547" w:type="dxa"/>
            <w:vAlign w:val="center"/>
          </w:tcPr>
          <w:p>
            <w:pPr>
              <w:spacing w:line="300" w:lineRule="exact"/>
              <w:jc w:val="center"/>
              <w:rPr>
                <w:color w:val="auto"/>
                <w:highlight w:val="none"/>
              </w:rPr>
            </w:pPr>
            <w:r>
              <w:rPr>
                <w:rFonts w:hint="eastAsia"/>
                <w:color w:val="auto"/>
                <w:highlight w:val="none"/>
              </w:rPr>
              <w:t>1</w:t>
            </w:r>
          </w:p>
        </w:tc>
        <w:tc>
          <w:tcPr>
            <w:tcW w:w="3759" w:type="dxa"/>
            <w:vAlign w:val="center"/>
          </w:tcPr>
          <w:p>
            <w:pPr>
              <w:spacing w:line="300" w:lineRule="exact"/>
              <w:jc w:val="left"/>
              <w:rPr>
                <w:rFonts w:hint="eastAsia" w:eastAsia="宋体"/>
                <w:color w:val="auto"/>
                <w:highlight w:val="none"/>
                <w:lang w:val="en-US" w:eastAsia="zh-CN"/>
              </w:rPr>
            </w:pPr>
            <w:r>
              <w:rPr>
                <w:rFonts w:hint="eastAsia"/>
                <w:color w:val="auto"/>
                <w:highlight w:val="none"/>
              </w:rPr>
              <w:t>★服务期：</w:t>
            </w:r>
            <w:r>
              <w:rPr>
                <w:rFonts w:hint="eastAsia"/>
                <w:color w:val="auto"/>
                <w:highlight w:val="none"/>
                <w:lang w:eastAsia="zh-CN"/>
              </w:rPr>
              <w:t>一年。</w:t>
            </w:r>
          </w:p>
        </w:tc>
        <w:tc>
          <w:tcPr>
            <w:tcW w:w="2359" w:type="dxa"/>
            <w:vAlign w:val="center"/>
          </w:tcPr>
          <w:p>
            <w:pPr>
              <w:adjustRightInd w:val="0"/>
              <w:snapToGrid w:val="0"/>
              <w:ind w:right="105" w:rightChars="50"/>
              <w:jc w:val="center"/>
              <w:rPr>
                <w:rFonts w:cs="仿宋_GB2312"/>
                <w:color w:val="auto"/>
                <w:highlight w:val="none"/>
              </w:rPr>
            </w:pPr>
          </w:p>
        </w:tc>
        <w:tc>
          <w:tcPr>
            <w:tcW w:w="1003" w:type="dxa"/>
            <w:vAlign w:val="center"/>
          </w:tcPr>
          <w:p>
            <w:pPr>
              <w:adjustRightInd w:val="0"/>
              <w:snapToGrid w:val="0"/>
              <w:ind w:right="105" w:rightChars="50"/>
              <w:jc w:val="center"/>
              <w:rPr>
                <w:rFonts w:cs="仿宋_GB2312"/>
                <w:color w:val="auto"/>
                <w:highlight w:val="none"/>
              </w:rPr>
            </w:pPr>
          </w:p>
        </w:tc>
        <w:tc>
          <w:tcPr>
            <w:tcW w:w="845" w:type="dxa"/>
            <w:vAlign w:val="center"/>
          </w:tcPr>
          <w:p>
            <w:pPr>
              <w:adjustRightInd w:val="0"/>
              <w:snapToGrid w:val="0"/>
              <w:ind w:right="105" w:rightChars="50"/>
              <w:jc w:val="center"/>
              <w:rPr>
                <w:rFonts w:cs="仿宋_GB2312"/>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4" w:hRule="atLeast"/>
          <w:jc w:val="center"/>
        </w:trPr>
        <w:tc>
          <w:tcPr>
            <w:tcW w:w="547" w:type="dxa"/>
            <w:vAlign w:val="center"/>
          </w:tcPr>
          <w:p>
            <w:pPr>
              <w:spacing w:line="300" w:lineRule="exact"/>
              <w:jc w:val="center"/>
              <w:rPr>
                <w:color w:val="auto"/>
                <w:highlight w:val="none"/>
              </w:rPr>
            </w:pPr>
            <w:r>
              <w:rPr>
                <w:rFonts w:hint="eastAsia"/>
                <w:color w:val="auto"/>
                <w:highlight w:val="none"/>
              </w:rPr>
              <w:t>2</w:t>
            </w:r>
          </w:p>
        </w:tc>
        <w:tc>
          <w:tcPr>
            <w:tcW w:w="3759" w:type="dxa"/>
            <w:vAlign w:val="center"/>
          </w:tcPr>
          <w:p>
            <w:pPr>
              <w:spacing w:line="300" w:lineRule="exact"/>
              <w:jc w:val="left"/>
              <w:rPr>
                <w:color w:val="auto"/>
                <w:highlight w:val="none"/>
              </w:rPr>
            </w:pPr>
            <w:r>
              <w:rPr>
                <w:rFonts w:hint="eastAsia"/>
                <w:color w:val="auto"/>
                <w:highlight w:val="none"/>
              </w:rPr>
              <w:t>★服务地点：采购人指定地点</w:t>
            </w:r>
          </w:p>
        </w:tc>
        <w:tc>
          <w:tcPr>
            <w:tcW w:w="2359" w:type="dxa"/>
            <w:vAlign w:val="center"/>
          </w:tcPr>
          <w:p>
            <w:pPr>
              <w:adjustRightInd w:val="0"/>
              <w:snapToGrid w:val="0"/>
              <w:ind w:right="105" w:rightChars="50"/>
              <w:jc w:val="center"/>
              <w:rPr>
                <w:rFonts w:cs="仿宋_GB2312"/>
                <w:color w:val="auto"/>
                <w:highlight w:val="none"/>
              </w:rPr>
            </w:pPr>
          </w:p>
        </w:tc>
        <w:tc>
          <w:tcPr>
            <w:tcW w:w="1003" w:type="dxa"/>
            <w:vAlign w:val="center"/>
          </w:tcPr>
          <w:p>
            <w:pPr>
              <w:adjustRightInd w:val="0"/>
              <w:snapToGrid w:val="0"/>
              <w:ind w:right="105" w:rightChars="50"/>
              <w:jc w:val="center"/>
              <w:rPr>
                <w:rFonts w:cs="仿宋_GB2312"/>
                <w:color w:val="auto"/>
                <w:highlight w:val="none"/>
              </w:rPr>
            </w:pPr>
          </w:p>
        </w:tc>
        <w:tc>
          <w:tcPr>
            <w:tcW w:w="845" w:type="dxa"/>
            <w:vAlign w:val="center"/>
          </w:tcPr>
          <w:p>
            <w:pPr>
              <w:adjustRightInd w:val="0"/>
              <w:snapToGrid w:val="0"/>
              <w:ind w:right="105" w:rightChars="50"/>
              <w:jc w:val="center"/>
              <w:rPr>
                <w:rFonts w:cs="仿宋_GB2312"/>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8" w:hRule="atLeast"/>
          <w:jc w:val="center"/>
        </w:trPr>
        <w:tc>
          <w:tcPr>
            <w:tcW w:w="547" w:type="dxa"/>
            <w:vAlign w:val="center"/>
          </w:tcPr>
          <w:p>
            <w:pPr>
              <w:spacing w:line="300" w:lineRule="exact"/>
              <w:jc w:val="center"/>
              <w:rPr>
                <w:color w:val="auto"/>
                <w:highlight w:val="none"/>
              </w:rPr>
            </w:pPr>
            <w:r>
              <w:rPr>
                <w:rFonts w:hint="eastAsia"/>
                <w:color w:val="auto"/>
                <w:highlight w:val="none"/>
              </w:rPr>
              <w:t>3</w:t>
            </w:r>
          </w:p>
        </w:tc>
        <w:tc>
          <w:tcPr>
            <w:tcW w:w="3759" w:type="dxa"/>
            <w:vAlign w:val="center"/>
          </w:tcPr>
          <w:p>
            <w:pPr>
              <w:spacing w:line="300" w:lineRule="exact"/>
              <w:jc w:val="left"/>
              <w:rPr>
                <w:color w:val="auto"/>
                <w:highlight w:val="none"/>
              </w:rPr>
            </w:pPr>
            <w:r>
              <w:rPr>
                <w:rFonts w:hint="eastAsia"/>
                <w:color w:val="auto"/>
                <w:highlight w:val="none"/>
              </w:rPr>
              <w:t>★付款方式及条件：以合同签订为准。</w:t>
            </w:r>
          </w:p>
        </w:tc>
        <w:tc>
          <w:tcPr>
            <w:tcW w:w="2359" w:type="dxa"/>
            <w:vAlign w:val="center"/>
          </w:tcPr>
          <w:p>
            <w:pPr>
              <w:adjustRightInd w:val="0"/>
              <w:snapToGrid w:val="0"/>
              <w:ind w:right="105" w:rightChars="50"/>
              <w:jc w:val="center"/>
              <w:rPr>
                <w:rFonts w:cs="仿宋_GB2312"/>
                <w:color w:val="auto"/>
                <w:highlight w:val="none"/>
              </w:rPr>
            </w:pPr>
          </w:p>
        </w:tc>
        <w:tc>
          <w:tcPr>
            <w:tcW w:w="1003" w:type="dxa"/>
            <w:vAlign w:val="center"/>
          </w:tcPr>
          <w:p>
            <w:pPr>
              <w:adjustRightInd w:val="0"/>
              <w:snapToGrid w:val="0"/>
              <w:ind w:right="105" w:rightChars="50"/>
              <w:jc w:val="center"/>
              <w:rPr>
                <w:rFonts w:cs="仿宋_GB2312"/>
                <w:color w:val="auto"/>
                <w:highlight w:val="none"/>
              </w:rPr>
            </w:pPr>
          </w:p>
        </w:tc>
        <w:tc>
          <w:tcPr>
            <w:tcW w:w="845" w:type="dxa"/>
            <w:vAlign w:val="center"/>
          </w:tcPr>
          <w:p>
            <w:pPr>
              <w:adjustRightInd w:val="0"/>
              <w:snapToGrid w:val="0"/>
              <w:ind w:right="105" w:rightChars="50"/>
              <w:jc w:val="center"/>
              <w:rPr>
                <w:rFonts w:cs="仿宋_GB2312"/>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68" w:hRule="atLeast"/>
          <w:jc w:val="center"/>
        </w:trPr>
        <w:tc>
          <w:tcPr>
            <w:tcW w:w="547" w:type="dxa"/>
            <w:vAlign w:val="center"/>
          </w:tcPr>
          <w:p>
            <w:pPr>
              <w:spacing w:line="300" w:lineRule="exact"/>
              <w:jc w:val="center"/>
              <w:rPr>
                <w:rFonts w:cs="仿宋_GB2312"/>
                <w:color w:val="auto"/>
                <w:highlight w:val="none"/>
              </w:rPr>
            </w:pPr>
          </w:p>
        </w:tc>
        <w:tc>
          <w:tcPr>
            <w:tcW w:w="3759" w:type="dxa"/>
            <w:vAlign w:val="center"/>
          </w:tcPr>
          <w:p>
            <w:pPr>
              <w:spacing w:line="300" w:lineRule="exact"/>
              <w:jc w:val="center"/>
              <w:rPr>
                <w:rFonts w:cs="仿宋_GB2312"/>
                <w:color w:val="auto"/>
                <w:highlight w:val="none"/>
              </w:rPr>
            </w:pPr>
            <w:r>
              <w:rPr>
                <w:rFonts w:hint="eastAsia"/>
                <w:color w:val="auto"/>
                <w:highlight w:val="none"/>
              </w:rPr>
              <w:t>其它</w:t>
            </w:r>
          </w:p>
        </w:tc>
        <w:tc>
          <w:tcPr>
            <w:tcW w:w="2359" w:type="dxa"/>
            <w:vAlign w:val="center"/>
          </w:tcPr>
          <w:p>
            <w:pPr>
              <w:spacing w:line="300" w:lineRule="exact"/>
              <w:jc w:val="center"/>
              <w:rPr>
                <w:rFonts w:cs="仿宋_GB2312"/>
                <w:color w:val="auto"/>
                <w:highlight w:val="none"/>
              </w:rPr>
            </w:pPr>
            <w:r>
              <w:rPr>
                <w:rFonts w:hint="eastAsia"/>
                <w:color w:val="auto"/>
                <w:highlight w:val="none"/>
              </w:rPr>
              <w:t>采购单位未提供需求而供应商认为需说明及补充的内容在此填列</w:t>
            </w:r>
          </w:p>
        </w:tc>
        <w:tc>
          <w:tcPr>
            <w:tcW w:w="1003" w:type="dxa"/>
            <w:vAlign w:val="center"/>
          </w:tcPr>
          <w:p>
            <w:pPr>
              <w:adjustRightInd w:val="0"/>
              <w:snapToGrid w:val="0"/>
              <w:ind w:right="105" w:rightChars="50"/>
              <w:jc w:val="center"/>
              <w:rPr>
                <w:rFonts w:cs="仿宋_GB2312"/>
                <w:color w:val="auto"/>
                <w:highlight w:val="none"/>
              </w:rPr>
            </w:pPr>
          </w:p>
        </w:tc>
        <w:tc>
          <w:tcPr>
            <w:tcW w:w="845" w:type="dxa"/>
            <w:vAlign w:val="center"/>
          </w:tcPr>
          <w:p>
            <w:pPr>
              <w:adjustRightInd w:val="0"/>
              <w:snapToGrid w:val="0"/>
              <w:ind w:right="105" w:rightChars="50"/>
              <w:jc w:val="center"/>
              <w:rPr>
                <w:rFonts w:cs="仿宋_GB2312"/>
                <w:color w:val="auto"/>
                <w:highlight w:val="none"/>
              </w:rPr>
            </w:pPr>
          </w:p>
        </w:tc>
      </w:tr>
    </w:tbl>
    <w:p>
      <w:pPr>
        <w:tabs>
          <w:tab w:val="left" w:pos="364"/>
        </w:tabs>
        <w:rPr>
          <w:b/>
          <w:bCs/>
          <w:color w:val="auto"/>
          <w:highlight w:val="none"/>
        </w:rPr>
      </w:pPr>
      <w:r>
        <w:rPr>
          <w:rFonts w:hint="eastAsia"/>
          <w:b/>
          <w:bCs/>
          <w:color w:val="auto"/>
          <w:highlight w:val="none"/>
        </w:rPr>
        <w:t>填表要求：</w:t>
      </w:r>
    </w:p>
    <w:p>
      <w:pPr>
        <w:ind w:firstLine="420" w:firstLineChars="200"/>
        <w:rPr>
          <w:color w:val="auto"/>
          <w:highlight w:val="none"/>
        </w:rPr>
      </w:pPr>
      <w:r>
        <w:rPr>
          <w:rFonts w:hint="eastAsia"/>
          <w:color w:val="auto"/>
          <w:highlight w:val="none"/>
        </w:rPr>
        <w:t>1．“投标文件响应内容”一栏由供应商按照招标文件要求填写，进行响应。</w:t>
      </w:r>
    </w:p>
    <w:p>
      <w:pPr>
        <w:ind w:firstLine="420" w:firstLineChars="200"/>
        <w:rPr>
          <w:color w:val="auto"/>
          <w:highlight w:val="none"/>
        </w:rPr>
      </w:pPr>
      <w:r>
        <w:rPr>
          <w:rFonts w:hint="eastAsia"/>
          <w:color w:val="auto"/>
          <w:highlight w:val="none"/>
        </w:rPr>
        <w:t>2．“偏离程度”一栏根据“投标文件响应内容”与招标文件逐项对照的结果填写。偏离必须用 “正偏离、负偏离或无偏离”三个名称中的一种进行标注。</w:t>
      </w:r>
    </w:p>
    <w:p>
      <w:pPr>
        <w:ind w:firstLine="420" w:firstLineChars="200"/>
        <w:rPr>
          <w:color w:val="auto"/>
          <w:highlight w:val="none"/>
        </w:rPr>
      </w:pPr>
      <w:r>
        <w:rPr>
          <w:rFonts w:hint="eastAsia"/>
          <w:color w:val="auto"/>
          <w:highlight w:val="none"/>
        </w:rPr>
        <w:t>3．“说明”一栏由供应商对偏离的情况做详细说明。</w:t>
      </w:r>
    </w:p>
    <w:p>
      <w:pPr>
        <w:pStyle w:val="31"/>
        <w:ind w:firstLine="420"/>
        <w:rPr>
          <w:color w:val="auto"/>
          <w:highlight w:val="none"/>
        </w:rPr>
      </w:pPr>
    </w:p>
    <w:p>
      <w:pPr>
        <w:pStyle w:val="31"/>
        <w:ind w:firstLine="420"/>
        <w:rPr>
          <w:color w:val="auto"/>
          <w:highlight w:val="none"/>
        </w:rPr>
      </w:pPr>
    </w:p>
    <w:p>
      <w:pPr>
        <w:ind w:firstLine="420" w:firstLineChars="200"/>
        <w:rPr>
          <w:color w:val="auto"/>
          <w:highlight w:val="none"/>
          <w:u w:val="single"/>
        </w:rPr>
      </w:pPr>
      <w:r>
        <w:rPr>
          <w:rFonts w:hint="eastAsia"/>
          <w:color w:val="auto"/>
          <w:highlight w:val="none"/>
        </w:rPr>
        <w:t>供应商(单位公章):</w:t>
      </w:r>
      <w:r>
        <w:rPr>
          <w:rFonts w:hint="eastAsia"/>
          <w:color w:val="auto"/>
          <w:highlight w:val="none"/>
          <w:u w:val="single"/>
        </w:rPr>
        <w:t xml:space="preserve">               </w:t>
      </w:r>
    </w:p>
    <w:p>
      <w:pPr>
        <w:pStyle w:val="31"/>
        <w:ind w:firstLine="420"/>
        <w:rPr>
          <w:color w:val="auto"/>
          <w:highlight w:val="none"/>
        </w:rPr>
      </w:pPr>
    </w:p>
    <w:p>
      <w:pPr>
        <w:ind w:firstLine="420" w:firstLineChars="200"/>
        <w:rPr>
          <w:rStyle w:val="36"/>
          <w:color w:val="auto"/>
          <w:highlight w:val="none"/>
        </w:rPr>
      </w:pPr>
      <w:r>
        <w:rPr>
          <w:rFonts w:hint="eastAsia"/>
          <w:color w:val="auto"/>
          <w:highlight w:val="none"/>
        </w:rPr>
        <w:t xml:space="preserve">法定代表人（或非法人组织负责人）或其授权委托人(签字或盖章): </w:t>
      </w:r>
      <w:r>
        <w:rPr>
          <w:rFonts w:hint="eastAsia"/>
          <w:color w:val="auto"/>
          <w:highlight w:val="none"/>
          <w:u w:val="single"/>
        </w:rPr>
        <w:t xml:space="preserve">           </w:t>
      </w:r>
      <w:r>
        <w:rPr>
          <w:rFonts w:hint="eastAsia"/>
          <w:color w:val="auto"/>
          <w:highlight w:val="none"/>
          <w:u w:val="single"/>
        </w:rPr>
        <w:br w:type="page"/>
      </w:r>
      <w:r>
        <w:rPr>
          <w:rStyle w:val="36"/>
          <w:rFonts w:hint="eastAsia"/>
          <w:color w:val="auto"/>
          <w:highlight w:val="none"/>
        </w:rPr>
        <w:t>格式14</w:t>
      </w:r>
    </w:p>
    <w:p>
      <w:pPr>
        <w:pStyle w:val="6"/>
        <w:jc w:val="center"/>
        <w:rPr>
          <w:color w:val="auto"/>
          <w:highlight w:val="none"/>
        </w:rPr>
      </w:pPr>
      <w:r>
        <w:rPr>
          <w:rFonts w:hint="eastAsia"/>
          <w:color w:val="auto"/>
          <w:highlight w:val="none"/>
        </w:rPr>
        <w:t>供应商关联单位的说明</w:t>
      </w:r>
    </w:p>
    <w:p>
      <w:pPr>
        <w:adjustRightInd w:val="0"/>
        <w:snapToGrid w:val="0"/>
        <w:ind w:right="105" w:rightChars="50" w:firstLine="476" w:firstLineChars="227"/>
        <w:jc w:val="left"/>
        <w:rPr>
          <w:rFonts w:cs="宋体"/>
          <w:color w:val="auto"/>
          <w:highlight w:val="none"/>
        </w:rPr>
      </w:pPr>
    </w:p>
    <w:p>
      <w:pPr>
        <w:ind w:firstLine="420" w:firstLineChars="200"/>
        <w:rPr>
          <w:color w:val="auto"/>
          <w:highlight w:val="none"/>
        </w:rPr>
      </w:pPr>
      <w:r>
        <w:rPr>
          <w:rFonts w:hint="eastAsia"/>
          <w:color w:val="auto"/>
          <w:highlight w:val="none"/>
        </w:rPr>
        <w:t>供应商应当如实披露与本单位存在下列关联关系的单位名称：</w:t>
      </w:r>
    </w:p>
    <w:p>
      <w:pPr>
        <w:ind w:firstLine="420" w:firstLineChars="200"/>
        <w:rPr>
          <w:color w:val="auto"/>
          <w:highlight w:val="none"/>
        </w:rPr>
      </w:pPr>
      <w:r>
        <w:rPr>
          <w:rFonts w:hint="eastAsia"/>
          <w:color w:val="auto"/>
          <w:highlight w:val="none"/>
        </w:rPr>
        <w:t>（1）</w:t>
      </w:r>
      <w:r>
        <w:rPr>
          <w:rFonts w:hint="eastAsia" w:cs="仿宋_GB2312"/>
          <w:color w:val="auto"/>
          <w:highlight w:val="none"/>
        </w:rPr>
        <w:t>与</w:t>
      </w:r>
      <w:r>
        <w:rPr>
          <w:rFonts w:hint="eastAsia"/>
          <w:color w:val="auto"/>
          <w:highlight w:val="none"/>
        </w:rPr>
        <w:t>供应商</w:t>
      </w:r>
      <w:r>
        <w:rPr>
          <w:rFonts w:hint="eastAsia" w:cs="仿宋_GB2312"/>
          <w:color w:val="auto"/>
          <w:highlight w:val="none"/>
        </w:rPr>
        <w:t>单位法定代表人（</w:t>
      </w:r>
      <w:r>
        <w:rPr>
          <w:rFonts w:hint="eastAsia" w:cs="Lucida Sans Unicode"/>
          <w:color w:val="auto"/>
          <w:highlight w:val="none"/>
        </w:rPr>
        <w:t>或非法人组织负责人）</w:t>
      </w:r>
      <w:r>
        <w:rPr>
          <w:rFonts w:hint="eastAsia" w:cs="仿宋_GB2312"/>
          <w:color w:val="auto"/>
          <w:highlight w:val="none"/>
        </w:rPr>
        <w:t>为同一人的其他单位；</w:t>
      </w:r>
    </w:p>
    <w:p>
      <w:pPr>
        <w:ind w:firstLine="420" w:firstLineChars="200"/>
        <w:rPr>
          <w:color w:val="auto"/>
          <w:highlight w:val="none"/>
        </w:rPr>
      </w:pPr>
      <w:r>
        <w:rPr>
          <w:rFonts w:hint="eastAsia"/>
          <w:color w:val="auto"/>
          <w:highlight w:val="none"/>
        </w:rPr>
        <w:t>（2）与供应商存在直接控股、管理关系的其他单位。</w:t>
      </w:r>
    </w:p>
    <w:p>
      <w:pPr>
        <w:spacing w:line="300" w:lineRule="exact"/>
        <w:ind w:firstLine="420" w:firstLineChars="200"/>
        <w:rPr>
          <w:color w:val="auto"/>
          <w:kern w:val="0"/>
          <w:highlight w:val="none"/>
        </w:rPr>
      </w:pPr>
      <w:r>
        <w:rPr>
          <w:rFonts w:hint="eastAsia" w:ascii="MS Gothic" w:eastAsia="MS Gothic"/>
          <w:color w:val="auto"/>
          <w:kern w:val="0"/>
          <w:highlight w:val="none"/>
        </w:rPr>
        <w:t>☐</w:t>
      </w:r>
      <w:r>
        <w:rPr>
          <w:color w:val="auto"/>
          <w:kern w:val="0"/>
          <w:highlight w:val="none"/>
        </w:rPr>
        <w:t>存在：</w:t>
      </w:r>
    </w:p>
    <w:p>
      <w:pPr>
        <w:pStyle w:val="31"/>
        <w:ind w:firstLine="420"/>
        <w:rPr>
          <w:color w:val="auto"/>
          <w:highlight w:val="none"/>
        </w:rPr>
      </w:pPr>
      <w:r>
        <w:rPr>
          <w:color w:val="auto"/>
          <w:highlight w:val="none"/>
        </w:rPr>
        <w:t>单位名称：</w:t>
      </w:r>
      <w:r>
        <w:rPr>
          <w:color w:val="auto"/>
          <w:highlight w:val="none"/>
          <w:u w:val="single"/>
        </w:rPr>
        <w:t xml:space="preserve">                          </w:t>
      </w:r>
    </w:p>
    <w:p>
      <w:pPr>
        <w:ind w:firstLine="420" w:firstLineChars="200"/>
        <w:rPr>
          <w:rFonts w:ascii="MS Gothic" w:eastAsia="MS Gothic"/>
          <w:color w:val="auto"/>
          <w:kern w:val="0"/>
          <w:highlight w:val="none"/>
        </w:rPr>
      </w:pPr>
    </w:p>
    <w:p>
      <w:pPr>
        <w:ind w:firstLine="420" w:firstLineChars="200"/>
        <w:rPr>
          <w:color w:val="auto"/>
          <w:highlight w:val="none"/>
        </w:rPr>
      </w:pPr>
      <w:r>
        <w:rPr>
          <w:rFonts w:hint="eastAsia" w:ascii="MS Gothic" w:eastAsia="MS Gothic"/>
          <w:color w:val="auto"/>
          <w:kern w:val="0"/>
          <w:highlight w:val="none"/>
        </w:rPr>
        <w:t>☐</w:t>
      </w:r>
      <w:r>
        <w:rPr>
          <w:color w:val="auto"/>
          <w:kern w:val="0"/>
          <w:highlight w:val="none"/>
        </w:rPr>
        <w:t>不存在。</w:t>
      </w:r>
    </w:p>
    <w:p>
      <w:pPr>
        <w:adjustRightInd w:val="0"/>
        <w:snapToGrid w:val="0"/>
        <w:ind w:right="105" w:rightChars="50" w:firstLine="476" w:firstLineChars="227"/>
        <w:jc w:val="left"/>
        <w:rPr>
          <w:rFonts w:cs="宋体"/>
          <w:color w:val="auto"/>
          <w:highlight w:val="none"/>
        </w:rPr>
      </w:pPr>
    </w:p>
    <w:p>
      <w:pPr>
        <w:pStyle w:val="31"/>
        <w:ind w:firstLine="420"/>
        <w:rPr>
          <w:color w:val="auto"/>
          <w:highlight w:val="none"/>
        </w:rPr>
      </w:pPr>
    </w:p>
    <w:p>
      <w:pPr>
        <w:adjustRightInd w:val="0"/>
        <w:snapToGrid w:val="0"/>
        <w:ind w:firstLine="420" w:firstLineChars="200"/>
        <w:jc w:val="left"/>
        <w:rPr>
          <w:color w:val="auto"/>
          <w:highlight w:val="none"/>
          <w:u w:val="single"/>
        </w:rPr>
      </w:pPr>
      <w:r>
        <w:rPr>
          <w:rFonts w:hint="eastAsia"/>
          <w:color w:val="auto"/>
          <w:highlight w:val="none"/>
        </w:rPr>
        <w:t>供应商</w:t>
      </w:r>
      <w:r>
        <w:rPr>
          <w:color w:val="auto"/>
          <w:highlight w:val="none"/>
        </w:rPr>
        <w:t>(单位公章)</w:t>
      </w:r>
      <w:r>
        <w:rPr>
          <w:rFonts w:hint="eastAsia"/>
          <w:color w:val="auto"/>
          <w:highlight w:val="none"/>
        </w:rPr>
        <w:t>：</w:t>
      </w:r>
      <w:r>
        <w:rPr>
          <w:color w:val="auto"/>
          <w:highlight w:val="none"/>
          <w:u w:val="single"/>
        </w:rPr>
        <w:t xml:space="preserve">               </w:t>
      </w:r>
    </w:p>
    <w:p>
      <w:pPr>
        <w:adjustRightInd w:val="0"/>
        <w:snapToGrid w:val="0"/>
        <w:ind w:firstLine="420" w:firstLineChars="200"/>
        <w:jc w:val="left"/>
        <w:rPr>
          <w:color w:val="auto"/>
          <w:highlight w:val="none"/>
          <w:u w:val="single"/>
        </w:rPr>
      </w:pPr>
      <w:r>
        <w:rPr>
          <w:color w:val="auto"/>
          <w:highlight w:val="none"/>
        </w:rPr>
        <w:t>法定代表人（或非法人组织负责人）或其授权委托人(签字或盖章)</w:t>
      </w:r>
      <w:r>
        <w:rPr>
          <w:rFonts w:hint="eastAsia"/>
          <w:color w:val="auto"/>
          <w:highlight w:val="none"/>
        </w:rPr>
        <w:t>：</w:t>
      </w:r>
      <w:r>
        <w:rPr>
          <w:color w:val="auto"/>
          <w:highlight w:val="none"/>
          <w:u w:val="single"/>
        </w:rPr>
        <w:t xml:space="preserve">               </w:t>
      </w:r>
    </w:p>
    <w:p>
      <w:pPr>
        <w:rPr>
          <w:rStyle w:val="36"/>
          <w:color w:val="auto"/>
          <w:highlight w:val="none"/>
        </w:rPr>
      </w:pPr>
      <w:r>
        <w:rPr>
          <w:rStyle w:val="36"/>
          <w:rFonts w:hint="eastAsia"/>
          <w:color w:val="auto"/>
          <w:highlight w:val="none"/>
        </w:rPr>
        <w:br w:type="page"/>
      </w:r>
    </w:p>
    <w:p>
      <w:pPr>
        <w:pStyle w:val="6"/>
        <w:spacing w:before="0" w:after="0"/>
        <w:rPr>
          <w:color w:val="auto"/>
          <w:highlight w:val="none"/>
        </w:rPr>
      </w:pPr>
      <w:r>
        <w:rPr>
          <w:rFonts w:hint="eastAsia"/>
          <w:color w:val="auto"/>
          <w:highlight w:val="none"/>
        </w:rPr>
        <w:t>格式15</w:t>
      </w:r>
    </w:p>
    <w:p>
      <w:pPr>
        <w:pStyle w:val="5"/>
        <w:rPr>
          <w:color w:val="auto"/>
          <w:highlight w:val="none"/>
        </w:rPr>
      </w:pPr>
      <w:r>
        <w:rPr>
          <w:rFonts w:hint="eastAsia"/>
          <w:color w:val="auto"/>
          <w:highlight w:val="none"/>
        </w:rPr>
        <w:t>中小企业声明函（工程、服务）</w:t>
      </w:r>
    </w:p>
    <w:p>
      <w:pPr>
        <w:ind w:firstLine="444" w:firstLineChars="200"/>
        <w:rPr>
          <w:color w:val="auto"/>
          <w:spacing w:val="6"/>
          <w:highlight w:val="none"/>
        </w:rPr>
      </w:pPr>
      <w:r>
        <w:rPr>
          <w:rFonts w:hint="eastAsia"/>
          <w:color w:val="auto"/>
          <w:spacing w:val="6"/>
          <w:highlight w:val="none"/>
        </w:rPr>
        <w:t>本公司（联合体）郑重声明，根据《政府采购促进中小企业发展管理办法》（财库﹝2020﹞46 号）的规定，本公司参加</w:t>
      </w:r>
      <w:r>
        <w:rPr>
          <w:rFonts w:hint="eastAsia"/>
          <w:color w:val="auto"/>
          <w:spacing w:val="6"/>
          <w:highlight w:val="none"/>
          <w:u w:val="single"/>
        </w:rPr>
        <w:t>（单位名称）</w:t>
      </w:r>
      <w:r>
        <w:rPr>
          <w:rFonts w:hint="eastAsia"/>
          <w:color w:val="auto"/>
          <w:spacing w:val="6"/>
          <w:highlight w:val="none"/>
        </w:rPr>
        <w:t>的</w:t>
      </w:r>
      <w:r>
        <w:rPr>
          <w:rFonts w:hint="eastAsia"/>
          <w:color w:val="auto"/>
          <w:spacing w:val="6"/>
          <w:highlight w:val="none"/>
          <w:u w:val="single"/>
        </w:rPr>
        <w:t>（项目名称）</w:t>
      </w:r>
      <w:r>
        <w:rPr>
          <w:rFonts w:hint="eastAsia"/>
          <w:color w:val="auto"/>
          <w:spacing w:val="6"/>
          <w:highlight w:val="none"/>
        </w:rPr>
        <w:t>采购活动，工程的施工单位全部为符合政策要求的中小企业（或者：服务全部由符合政策要求的中小企业承接）。相关企业（含联合体中的中小企业、签订分包意向协议的中小企业）的具体情况如下：</w:t>
      </w:r>
    </w:p>
    <w:p>
      <w:pPr>
        <w:ind w:firstLine="444" w:firstLineChars="200"/>
        <w:rPr>
          <w:color w:val="auto"/>
          <w:spacing w:val="6"/>
          <w:highlight w:val="none"/>
        </w:rPr>
      </w:pPr>
      <w:r>
        <w:rPr>
          <w:rFonts w:hint="eastAsia"/>
          <w:color w:val="auto"/>
          <w:spacing w:val="6"/>
          <w:highlight w:val="none"/>
        </w:rPr>
        <w:t>1.</w:t>
      </w:r>
      <w:r>
        <w:rPr>
          <w:rFonts w:hint="eastAsia"/>
          <w:color w:val="auto"/>
          <w:spacing w:val="6"/>
          <w:highlight w:val="none"/>
          <w:u w:val="single"/>
        </w:rPr>
        <w:t>（标的名称）</w:t>
      </w:r>
      <w:r>
        <w:rPr>
          <w:rFonts w:hint="eastAsia"/>
          <w:color w:val="auto"/>
          <w:spacing w:val="6"/>
          <w:highlight w:val="none"/>
        </w:rPr>
        <w:t>，属于</w:t>
      </w:r>
      <w:r>
        <w:rPr>
          <w:rFonts w:hint="eastAsia"/>
          <w:color w:val="auto"/>
          <w:spacing w:val="6"/>
          <w:highlight w:val="none"/>
          <w:u w:val="single"/>
        </w:rPr>
        <w:t>（采购文件中明确的所属行业）</w:t>
      </w:r>
      <w:r>
        <w:rPr>
          <w:rFonts w:hint="eastAsia"/>
          <w:color w:val="auto"/>
          <w:spacing w:val="6"/>
          <w:highlight w:val="none"/>
        </w:rPr>
        <w:t>；承接企业为</w:t>
      </w:r>
      <w:r>
        <w:rPr>
          <w:rFonts w:hint="eastAsia"/>
          <w:color w:val="auto"/>
          <w:spacing w:val="6"/>
          <w:highlight w:val="none"/>
          <w:u w:val="single"/>
        </w:rPr>
        <w:t>（企业名称）</w:t>
      </w:r>
      <w:r>
        <w:rPr>
          <w:rFonts w:hint="eastAsia"/>
          <w:color w:val="auto"/>
          <w:spacing w:val="6"/>
          <w:highlight w:val="none"/>
        </w:rPr>
        <w:t>，从业人员</w:t>
      </w:r>
      <w:r>
        <w:rPr>
          <w:rFonts w:hint="eastAsia"/>
          <w:color w:val="auto"/>
          <w:spacing w:val="6"/>
          <w:highlight w:val="none"/>
          <w:u w:val="single"/>
        </w:rPr>
        <w:t xml:space="preserve">   </w:t>
      </w:r>
      <w:r>
        <w:rPr>
          <w:rFonts w:hint="eastAsia"/>
          <w:color w:val="auto"/>
          <w:spacing w:val="6"/>
          <w:highlight w:val="none"/>
        </w:rPr>
        <w:t>人，营业收入为</w:t>
      </w:r>
      <w:r>
        <w:rPr>
          <w:rFonts w:hint="eastAsia"/>
          <w:color w:val="auto"/>
          <w:spacing w:val="6"/>
          <w:highlight w:val="none"/>
          <w:u w:val="single"/>
        </w:rPr>
        <w:t xml:space="preserve">   </w:t>
      </w:r>
      <w:r>
        <w:rPr>
          <w:rFonts w:hint="eastAsia"/>
          <w:color w:val="auto"/>
          <w:spacing w:val="6"/>
          <w:highlight w:val="none"/>
        </w:rPr>
        <w:t>万元，资产总额为</w:t>
      </w:r>
      <w:r>
        <w:rPr>
          <w:rFonts w:hint="eastAsia"/>
          <w:color w:val="auto"/>
          <w:spacing w:val="6"/>
          <w:highlight w:val="none"/>
          <w:u w:val="single"/>
        </w:rPr>
        <w:t xml:space="preserve">   </w:t>
      </w:r>
      <w:r>
        <w:rPr>
          <w:rFonts w:hint="eastAsia"/>
          <w:color w:val="auto"/>
          <w:spacing w:val="6"/>
          <w:highlight w:val="none"/>
        </w:rPr>
        <w:t>万元，属于</w:t>
      </w:r>
      <w:r>
        <w:rPr>
          <w:rFonts w:hint="eastAsia"/>
          <w:color w:val="auto"/>
          <w:spacing w:val="6"/>
          <w:highlight w:val="none"/>
          <w:u w:val="single"/>
        </w:rPr>
        <w:t xml:space="preserve">   </w:t>
      </w:r>
      <w:r>
        <w:rPr>
          <w:rFonts w:hint="eastAsia"/>
          <w:color w:val="auto"/>
          <w:spacing w:val="6"/>
          <w:highlight w:val="none"/>
        </w:rPr>
        <w:t xml:space="preserve">（中型企业、小型企业、微型企业）； </w:t>
      </w:r>
    </w:p>
    <w:p>
      <w:pPr>
        <w:ind w:firstLine="444" w:firstLineChars="200"/>
        <w:rPr>
          <w:color w:val="auto"/>
          <w:spacing w:val="6"/>
          <w:highlight w:val="none"/>
        </w:rPr>
      </w:pPr>
      <w:r>
        <w:rPr>
          <w:rFonts w:hint="eastAsia"/>
          <w:color w:val="auto"/>
          <w:spacing w:val="6"/>
          <w:highlight w:val="none"/>
        </w:rPr>
        <w:t>2.</w:t>
      </w:r>
      <w:r>
        <w:rPr>
          <w:rFonts w:hint="eastAsia"/>
          <w:color w:val="auto"/>
          <w:spacing w:val="6"/>
          <w:highlight w:val="none"/>
          <w:u w:val="single"/>
        </w:rPr>
        <w:t>（标的名称）</w:t>
      </w:r>
      <w:r>
        <w:rPr>
          <w:rFonts w:hint="eastAsia"/>
          <w:color w:val="auto"/>
          <w:spacing w:val="6"/>
          <w:highlight w:val="none"/>
        </w:rPr>
        <w:t>，属于</w:t>
      </w:r>
      <w:r>
        <w:rPr>
          <w:rFonts w:hint="eastAsia"/>
          <w:color w:val="auto"/>
          <w:spacing w:val="6"/>
          <w:highlight w:val="none"/>
          <w:u w:val="single"/>
        </w:rPr>
        <w:t>（采购文件中明确的所属行业）</w:t>
      </w:r>
      <w:r>
        <w:rPr>
          <w:rFonts w:hint="eastAsia"/>
          <w:color w:val="auto"/>
          <w:spacing w:val="6"/>
          <w:highlight w:val="none"/>
        </w:rPr>
        <w:t>；承接企业为</w:t>
      </w:r>
      <w:r>
        <w:rPr>
          <w:rFonts w:hint="eastAsia"/>
          <w:color w:val="auto"/>
          <w:spacing w:val="6"/>
          <w:highlight w:val="none"/>
          <w:u w:val="single"/>
        </w:rPr>
        <w:t>（企业名称）</w:t>
      </w:r>
      <w:r>
        <w:rPr>
          <w:rFonts w:hint="eastAsia"/>
          <w:color w:val="auto"/>
          <w:spacing w:val="6"/>
          <w:highlight w:val="none"/>
        </w:rPr>
        <w:t>，从业人员</w:t>
      </w:r>
      <w:r>
        <w:rPr>
          <w:rFonts w:hint="eastAsia"/>
          <w:color w:val="auto"/>
          <w:spacing w:val="6"/>
          <w:highlight w:val="none"/>
          <w:u w:val="single"/>
        </w:rPr>
        <w:t xml:space="preserve">   </w:t>
      </w:r>
      <w:r>
        <w:rPr>
          <w:rFonts w:hint="eastAsia"/>
          <w:color w:val="auto"/>
          <w:spacing w:val="6"/>
          <w:highlight w:val="none"/>
        </w:rPr>
        <w:t>人，营业收入为</w:t>
      </w:r>
      <w:r>
        <w:rPr>
          <w:rFonts w:hint="eastAsia"/>
          <w:color w:val="auto"/>
          <w:spacing w:val="6"/>
          <w:highlight w:val="none"/>
          <w:u w:val="single"/>
        </w:rPr>
        <w:t xml:space="preserve">   </w:t>
      </w:r>
      <w:r>
        <w:rPr>
          <w:rFonts w:hint="eastAsia"/>
          <w:color w:val="auto"/>
          <w:spacing w:val="6"/>
          <w:highlight w:val="none"/>
        </w:rPr>
        <w:t>万元，资产总额为</w:t>
      </w:r>
      <w:r>
        <w:rPr>
          <w:rFonts w:hint="eastAsia"/>
          <w:color w:val="auto"/>
          <w:spacing w:val="6"/>
          <w:highlight w:val="none"/>
          <w:u w:val="single"/>
        </w:rPr>
        <w:t xml:space="preserve">   </w:t>
      </w:r>
      <w:r>
        <w:rPr>
          <w:rFonts w:hint="eastAsia"/>
          <w:color w:val="auto"/>
          <w:spacing w:val="6"/>
          <w:highlight w:val="none"/>
        </w:rPr>
        <w:t xml:space="preserve">万元，属于（中型企业、小型企业、微型企业）； </w:t>
      </w:r>
    </w:p>
    <w:p>
      <w:pPr>
        <w:ind w:firstLine="444" w:firstLineChars="200"/>
        <w:rPr>
          <w:color w:val="auto"/>
          <w:spacing w:val="6"/>
          <w:highlight w:val="none"/>
        </w:rPr>
      </w:pPr>
      <w:r>
        <w:rPr>
          <w:rFonts w:hint="eastAsia"/>
          <w:color w:val="auto"/>
          <w:spacing w:val="6"/>
          <w:highlight w:val="none"/>
        </w:rPr>
        <w:t>……</w:t>
      </w:r>
    </w:p>
    <w:p>
      <w:pPr>
        <w:ind w:firstLine="444" w:firstLineChars="200"/>
        <w:rPr>
          <w:color w:val="auto"/>
          <w:spacing w:val="6"/>
          <w:highlight w:val="none"/>
        </w:rPr>
      </w:pPr>
      <w:r>
        <w:rPr>
          <w:rFonts w:hint="eastAsia"/>
          <w:color w:val="auto"/>
          <w:spacing w:val="6"/>
          <w:highlight w:val="none"/>
        </w:rPr>
        <w:t>以上企业，不属于大企业的分支机构，不存在控股股东为大企业的情形，也不存在与大企业的负责人为同一人的情形。</w:t>
      </w:r>
    </w:p>
    <w:p>
      <w:pPr>
        <w:ind w:firstLine="444" w:firstLineChars="200"/>
        <w:rPr>
          <w:color w:val="auto"/>
          <w:spacing w:val="6"/>
          <w:highlight w:val="none"/>
        </w:rPr>
      </w:pPr>
      <w:r>
        <w:rPr>
          <w:rFonts w:hint="eastAsia"/>
          <w:color w:val="auto"/>
          <w:spacing w:val="6"/>
          <w:highlight w:val="none"/>
        </w:rPr>
        <w:t xml:space="preserve">本企业对上述声明内容的真实性负责。如有虚假，将依法承担相应责任。 </w:t>
      </w:r>
    </w:p>
    <w:p>
      <w:pPr>
        <w:ind w:firstLine="444" w:firstLineChars="200"/>
        <w:rPr>
          <w:color w:val="auto"/>
          <w:spacing w:val="6"/>
          <w:highlight w:val="none"/>
        </w:rPr>
      </w:pPr>
    </w:p>
    <w:p>
      <w:pPr>
        <w:ind w:firstLine="444" w:firstLineChars="200"/>
        <w:rPr>
          <w:color w:val="auto"/>
          <w:spacing w:val="6"/>
          <w:highlight w:val="none"/>
        </w:rPr>
      </w:pPr>
    </w:p>
    <w:p>
      <w:pPr>
        <w:ind w:firstLine="444" w:firstLineChars="200"/>
        <w:rPr>
          <w:color w:val="auto"/>
          <w:spacing w:val="6"/>
          <w:highlight w:val="none"/>
        </w:rPr>
      </w:pPr>
    </w:p>
    <w:p>
      <w:pPr>
        <w:ind w:firstLine="444" w:firstLineChars="200"/>
        <w:rPr>
          <w:color w:val="auto"/>
          <w:spacing w:val="6"/>
          <w:highlight w:val="none"/>
        </w:rPr>
      </w:pPr>
      <w:r>
        <w:rPr>
          <w:rFonts w:hint="eastAsia"/>
          <w:color w:val="auto"/>
          <w:spacing w:val="6"/>
          <w:highlight w:val="none"/>
        </w:rPr>
        <w:t xml:space="preserve">企业名称（盖章）： </w:t>
      </w:r>
    </w:p>
    <w:p>
      <w:pPr>
        <w:ind w:firstLine="444" w:firstLineChars="200"/>
        <w:rPr>
          <w:color w:val="auto"/>
          <w:spacing w:val="6"/>
          <w:highlight w:val="none"/>
        </w:rPr>
      </w:pPr>
      <w:r>
        <w:rPr>
          <w:rFonts w:hint="eastAsia"/>
          <w:color w:val="auto"/>
          <w:spacing w:val="6"/>
          <w:highlight w:val="none"/>
        </w:rPr>
        <w:t>日 期：</w:t>
      </w:r>
    </w:p>
    <w:p>
      <w:pPr>
        <w:pStyle w:val="31"/>
        <w:ind w:firstLine="444"/>
        <w:rPr>
          <w:color w:val="auto"/>
          <w:spacing w:val="6"/>
          <w:highlight w:val="none"/>
        </w:rPr>
      </w:pPr>
    </w:p>
    <w:p>
      <w:pPr>
        <w:pStyle w:val="31"/>
        <w:ind w:firstLine="444"/>
        <w:rPr>
          <w:color w:val="auto"/>
          <w:spacing w:val="6"/>
          <w:highlight w:val="none"/>
        </w:rPr>
      </w:pPr>
    </w:p>
    <w:p>
      <w:pPr>
        <w:pStyle w:val="31"/>
        <w:ind w:firstLine="444"/>
        <w:rPr>
          <w:color w:val="auto"/>
          <w:spacing w:val="6"/>
          <w:highlight w:val="none"/>
        </w:rPr>
      </w:pPr>
    </w:p>
    <w:p>
      <w:pPr>
        <w:pStyle w:val="31"/>
        <w:ind w:firstLine="444"/>
        <w:rPr>
          <w:color w:val="auto"/>
          <w:spacing w:val="6"/>
          <w:highlight w:val="none"/>
        </w:rPr>
      </w:pPr>
    </w:p>
    <w:p>
      <w:pPr>
        <w:pStyle w:val="31"/>
        <w:ind w:firstLine="444"/>
        <w:rPr>
          <w:color w:val="auto"/>
          <w:spacing w:val="6"/>
          <w:highlight w:val="none"/>
        </w:rPr>
      </w:pPr>
    </w:p>
    <w:p>
      <w:pPr>
        <w:pStyle w:val="31"/>
        <w:ind w:firstLine="444"/>
        <w:rPr>
          <w:color w:val="auto"/>
          <w:spacing w:val="6"/>
          <w:highlight w:val="none"/>
        </w:rPr>
      </w:pPr>
    </w:p>
    <w:p>
      <w:pPr>
        <w:pStyle w:val="31"/>
        <w:ind w:firstLine="444"/>
        <w:rPr>
          <w:color w:val="auto"/>
          <w:spacing w:val="6"/>
          <w:highlight w:val="none"/>
        </w:rPr>
      </w:pPr>
    </w:p>
    <w:p>
      <w:pPr>
        <w:pStyle w:val="31"/>
        <w:ind w:firstLine="444"/>
        <w:rPr>
          <w:color w:val="auto"/>
          <w:spacing w:val="6"/>
          <w:highlight w:val="none"/>
        </w:rPr>
      </w:pPr>
    </w:p>
    <w:p>
      <w:pPr>
        <w:pStyle w:val="31"/>
        <w:ind w:firstLine="444"/>
        <w:rPr>
          <w:color w:val="auto"/>
          <w:spacing w:val="6"/>
          <w:highlight w:val="none"/>
        </w:rPr>
      </w:pPr>
    </w:p>
    <w:p>
      <w:pPr>
        <w:pStyle w:val="16"/>
        <w:rPr>
          <w:color w:val="auto"/>
          <w:highlight w:val="none"/>
        </w:rPr>
      </w:pPr>
      <w:r>
        <w:rPr>
          <w:color w:val="auto"/>
          <w:highlight w:val="none"/>
        </w:rPr>
        <w:t xml:space="preserve"> </w:t>
      </w:r>
      <w:r>
        <w:rPr>
          <w:rFonts w:hint="eastAsia"/>
          <w:i/>
          <w:iCs/>
          <w:color w:val="auto"/>
          <w:highlight w:val="none"/>
        </w:rPr>
        <w:t>从业人员、营业收入、资产总额填报上一年度数据，无上一年度数据的新成立企业可不填报。</w:t>
      </w:r>
    </w:p>
    <w:p>
      <w:pPr>
        <w:pStyle w:val="31"/>
        <w:ind w:firstLine="444"/>
        <w:rPr>
          <w:color w:val="auto"/>
          <w:spacing w:val="6"/>
          <w:highlight w:val="none"/>
        </w:rPr>
      </w:pPr>
    </w:p>
    <w:p>
      <w:pPr>
        <w:pStyle w:val="31"/>
        <w:ind w:firstLine="444"/>
        <w:rPr>
          <w:color w:val="auto"/>
          <w:spacing w:val="6"/>
          <w:highlight w:val="none"/>
        </w:rPr>
      </w:pPr>
    </w:p>
    <w:p>
      <w:pPr>
        <w:pStyle w:val="31"/>
        <w:ind w:firstLine="444"/>
        <w:rPr>
          <w:color w:val="auto"/>
          <w:spacing w:val="6"/>
          <w:highlight w:val="none"/>
        </w:rPr>
        <w:sectPr>
          <w:pgSz w:w="11906" w:h="16838"/>
          <w:pgMar w:top="1440" w:right="1803" w:bottom="1440" w:left="1803" w:header="851" w:footer="992" w:gutter="0"/>
          <w:cols w:space="720" w:num="1"/>
          <w:docGrid w:linePitch="319" w:charSpace="0"/>
        </w:sectPr>
      </w:pPr>
    </w:p>
    <w:p>
      <w:pPr>
        <w:pStyle w:val="6"/>
        <w:spacing w:before="0" w:after="0"/>
        <w:rPr>
          <w:color w:val="auto"/>
          <w:highlight w:val="none"/>
        </w:rPr>
      </w:pPr>
      <w:r>
        <w:rPr>
          <w:rFonts w:hint="eastAsia"/>
          <w:color w:val="auto"/>
          <w:highlight w:val="none"/>
        </w:rPr>
        <w:t>格式16</w:t>
      </w:r>
    </w:p>
    <w:p>
      <w:pPr>
        <w:pStyle w:val="5"/>
        <w:rPr>
          <w:rFonts w:eastAsia="宋体" w:cs="宋体"/>
          <w:color w:val="auto"/>
          <w:szCs w:val="21"/>
          <w:highlight w:val="none"/>
        </w:rPr>
      </w:pPr>
      <w:bookmarkStart w:id="106" w:name="_Toc13566_WPSOffice_Level2"/>
      <w:bookmarkStart w:id="107" w:name="_Toc29880_WPSOffice_Level2"/>
      <w:r>
        <w:rPr>
          <w:rFonts w:hint="eastAsia"/>
          <w:color w:val="auto"/>
          <w:highlight w:val="none"/>
        </w:rPr>
        <w:t>残疾人福利性单位声明函</w:t>
      </w:r>
      <w:bookmarkEnd w:id="106"/>
      <w:bookmarkEnd w:id="107"/>
    </w:p>
    <w:p>
      <w:pPr>
        <w:adjustRightInd w:val="0"/>
        <w:snapToGrid w:val="0"/>
        <w:ind w:firstLine="420" w:firstLineChars="200"/>
        <w:jc w:val="left"/>
        <w:rPr>
          <w:color w:val="auto"/>
          <w:highlight w:val="none"/>
        </w:rPr>
      </w:pPr>
      <w:r>
        <w:rPr>
          <w:rFonts w:hint="eastAsia"/>
          <w:color w:val="auto"/>
          <w:highlight w:val="none"/>
        </w:rPr>
        <w:t>本单位郑重声明，根据《财政部 民政部 中国残疾人联合会关于促进残疾人就业政府采购政策的通知》（财库〔2017〕141 号）的规定，本单位为符合条件的残疾人福利性单位，且本单位参加</w:t>
      </w:r>
      <w:r>
        <w:rPr>
          <w:rFonts w:hint="eastAsia"/>
          <w:color w:val="auto"/>
          <w:highlight w:val="none"/>
          <w:u w:val="single"/>
        </w:rPr>
        <w:t xml:space="preserve">       </w:t>
      </w:r>
      <w:r>
        <w:rPr>
          <w:rFonts w:hint="eastAsia"/>
          <w:color w:val="auto"/>
          <w:highlight w:val="none"/>
        </w:rPr>
        <w:t>单位的</w:t>
      </w:r>
      <w:r>
        <w:rPr>
          <w:rFonts w:hint="eastAsia"/>
          <w:color w:val="auto"/>
          <w:highlight w:val="none"/>
          <w:u w:val="single"/>
        </w:rPr>
        <w:t xml:space="preserve">     </w:t>
      </w:r>
      <w:r>
        <w:rPr>
          <w:rFonts w:hint="eastAsia"/>
          <w:color w:val="auto"/>
          <w:highlight w:val="none"/>
        </w:rPr>
        <w:t>项目采购活动，由本单位提供</w:t>
      </w:r>
      <w:r>
        <w:rPr>
          <w:rFonts w:hint="eastAsia"/>
          <w:color w:val="auto"/>
          <w:highlight w:val="none"/>
          <w:u w:val="single"/>
        </w:rPr>
        <w:t xml:space="preserve">        </w:t>
      </w:r>
      <w:r>
        <w:rPr>
          <w:rFonts w:hint="eastAsia"/>
          <w:color w:val="auto"/>
          <w:highlight w:val="none"/>
        </w:rPr>
        <w:t>（服务或货物），或者提供其他残疾人福利性单位制造的货物（不包括使用非残疾人福利性单位注册商标的货物）。</w:t>
      </w:r>
    </w:p>
    <w:p>
      <w:pPr>
        <w:adjustRightInd w:val="0"/>
        <w:snapToGrid w:val="0"/>
        <w:ind w:firstLine="420" w:firstLineChars="200"/>
        <w:jc w:val="left"/>
        <w:rPr>
          <w:color w:val="auto"/>
          <w:highlight w:val="none"/>
        </w:rPr>
      </w:pPr>
      <w:r>
        <w:rPr>
          <w:rFonts w:hint="eastAsia"/>
          <w:color w:val="auto"/>
          <w:highlight w:val="none"/>
        </w:rPr>
        <w:t>本单位对上述声明的真实性负责。如有虚假，将依法承担相应责任。</w:t>
      </w:r>
    </w:p>
    <w:tbl>
      <w:tblPr>
        <w:tblStyle w:val="23"/>
        <w:tblpPr w:leftFromText="180" w:rightFromText="180" w:vertAnchor="text" w:horzAnchor="page" w:tblpX="1873" w:tblpY="403"/>
        <w:tblOverlap w:val="never"/>
        <w:tblW w:w="851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74"/>
        <w:gridCol w:w="1617"/>
        <w:gridCol w:w="1623"/>
        <w:gridCol w:w="1459"/>
        <w:gridCol w:w="1459"/>
        <w:gridCol w:w="13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56" w:hRule="atLeast"/>
        </w:trPr>
        <w:tc>
          <w:tcPr>
            <w:tcW w:w="974" w:type="dxa"/>
            <w:vAlign w:val="center"/>
          </w:tcPr>
          <w:p>
            <w:pPr>
              <w:spacing w:line="300" w:lineRule="exact"/>
              <w:jc w:val="center"/>
              <w:rPr>
                <w:color w:val="auto"/>
                <w:highlight w:val="none"/>
              </w:rPr>
            </w:pPr>
            <w:r>
              <w:rPr>
                <w:rFonts w:hint="eastAsia"/>
                <w:color w:val="auto"/>
                <w:highlight w:val="none"/>
              </w:rPr>
              <w:t>序号</w:t>
            </w:r>
          </w:p>
        </w:tc>
        <w:tc>
          <w:tcPr>
            <w:tcW w:w="1617" w:type="dxa"/>
            <w:vAlign w:val="center"/>
          </w:tcPr>
          <w:p>
            <w:pPr>
              <w:spacing w:line="300" w:lineRule="exact"/>
              <w:jc w:val="center"/>
              <w:rPr>
                <w:color w:val="auto"/>
                <w:highlight w:val="none"/>
              </w:rPr>
            </w:pPr>
            <w:r>
              <w:rPr>
                <w:rFonts w:hint="eastAsia"/>
                <w:color w:val="auto"/>
                <w:highlight w:val="none"/>
              </w:rPr>
              <w:t>品  名</w:t>
            </w:r>
          </w:p>
        </w:tc>
        <w:tc>
          <w:tcPr>
            <w:tcW w:w="1623" w:type="dxa"/>
            <w:vAlign w:val="center"/>
          </w:tcPr>
          <w:p>
            <w:pPr>
              <w:spacing w:line="300" w:lineRule="exact"/>
              <w:jc w:val="center"/>
              <w:rPr>
                <w:color w:val="auto"/>
                <w:highlight w:val="none"/>
              </w:rPr>
            </w:pPr>
            <w:r>
              <w:rPr>
                <w:rFonts w:hint="eastAsia"/>
                <w:color w:val="auto"/>
                <w:highlight w:val="none"/>
              </w:rPr>
              <w:t>数量</w:t>
            </w:r>
          </w:p>
        </w:tc>
        <w:tc>
          <w:tcPr>
            <w:tcW w:w="1459" w:type="dxa"/>
            <w:vAlign w:val="center"/>
          </w:tcPr>
          <w:p>
            <w:pPr>
              <w:spacing w:line="300" w:lineRule="exact"/>
              <w:jc w:val="center"/>
              <w:rPr>
                <w:color w:val="auto"/>
                <w:highlight w:val="none"/>
              </w:rPr>
            </w:pPr>
            <w:r>
              <w:rPr>
                <w:rFonts w:hint="eastAsia"/>
                <w:color w:val="auto"/>
                <w:highlight w:val="none"/>
              </w:rPr>
              <w:t>规格</w:t>
            </w:r>
          </w:p>
          <w:p>
            <w:pPr>
              <w:spacing w:line="300" w:lineRule="exact"/>
              <w:jc w:val="center"/>
              <w:rPr>
                <w:color w:val="auto"/>
                <w:highlight w:val="none"/>
              </w:rPr>
            </w:pPr>
            <w:r>
              <w:rPr>
                <w:rFonts w:hint="eastAsia"/>
                <w:color w:val="auto"/>
                <w:highlight w:val="none"/>
              </w:rPr>
              <w:t>型号</w:t>
            </w:r>
          </w:p>
        </w:tc>
        <w:tc>
          <w:tcPr>
            <w:tcW w:w="1459" w:type="dxa"/>
            <w:vAlign w:val="center"/>
          </w:tcPr>
          <w:p>
            <w:pPr>
              <w:spacing w:line="300" w:lineRule="exact"/>
              <w:jc w:val="center"/>
              <w:rPr>
                <w:color w:val="auto"/>
                <w:highlight w:val="none"/>
              </w:rPr>
            </w:pPr>
            <w:r>
              <w:rPr>
                <w:rFonts w:hint="eastAsia"/>
                <w:color w:val="auto"/>
                <w:highlight w:val="none"/>
              </w:rPr>
              <w:t>生产</w:t>
            </w:r>
          </w:p>
          <w:p>
            <w:pPr>
              <w:spacing w:line="300" w:lineRule="exact"/>
              <w:jc w:val="center"/>
              <w:rPr>
                <w:color w:val="auto"/>
                <w:highlight w:val="none"/>
              </w:rPr>
            </w:pPr>
            <w:r>
              <w:rPr>
                <w:rFonts w:hint="eastAsia"/>
                <w:color w:val="auto"/>
                <w:highlight w:val="none"/>
              </w:rPr>
              <w:t>厂家</w:t>
            </w:r>
          </w:p>
        </w:tc>
        <w:tc>
          <w:tcPr>
            <w:tcW w:w="1381" w:type="dxa"/>
            <w:vAlign w:val="center"/>
          </w:tcPr>
          <w:p>
            <w:pPr>
              <w:spacing w:line="300" w:lineRule="exact"/>
              <w:jc w:val="center"/>
              <w:rPr>
                <w:color w:val="auto"/>
                <w:highlight w:val="none"/>
              </w:rPr>
            </w:pPr>
            <w:r>
              <w:rPr>
                <w:rFonts w:hint="eastAsia"/>
                <w:color w:val="auto"/>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6" w:hRule="atLeast"/>
        </w:trPr>
        <w:tc>
          <w:tcPr>
            <w:tcW w:w="974" w:type="dxa"/>
            <w:vAlign w:val="center"/>
          </w:tcPr>
          <w:p>
            <w:pPr>
              <w:spacing w:line="300" w:lineRule="exact"/>
              <w:jc w:val="center"/>
              <w:rPr>
                <w:color w:val="auto"/>
                <w:highlight w:val="none"/>
              </w:rPr>
            </w:pPr>
            <w:r>
              <w:rPr>
                <w:rFonts w:hint="eastAsia"/>
                <w:color w:val="auto"/>
                <w:highlight w:val="none"/>
              </w:rPr>
              <w:t>1</w:t>
            </w:r>
          </w:p>
        </w:tc>
        <w:tc>
          <w:tcPr>
            <w:tcW w:w="1617" w:type="dxa"/>
            <w:vAlign w:val="center"/>
          </w:tcPr>
          <w:p>
            <w:pPr>
              <w:spacing w:line="300" w:lineRule="exact"/>
              <w:jc w:val="center"/>
              <w:rPr>
                <w:color w:val="auto"/>
                <w:highlight w:val="none"/>
              </w:rPr>
            </w:pPr>
          </w:p>
        </w:tc>
        <w:tc>
          <w:tcPr>
            <w:tcW w:w="1623" w:type="dxa"/>
            <w:vAlign w:val="center"/>
          </w:tcPr>
          <w:p>
            <w:pPr>
              <w:spacing w:line="300" w:lineRule="exact"/>
              <w:jc w:val="center"/>
              <w:rPr>
                <w:color w:val="auto"/>
                <w:highlight w:val="none"/>
              </w:rPr>
            </w:pPr>
          </w:p>
        </w:tc>
        <w:tc>
          <w:tcPr>
            <w:tcW w:w="1459" w:type="dxa"/>
            <w:vAlign w:val="center"/>
          </w:tcPr>
          <w:p>
            <w:pPr>
              <w:spacing w:line="300" w:lineRule="exact"/>
              <w:jc w:val="center"/>
              <w:rPr>
                <w:color w:val="auto"/>
                <w:highlight w:val="none"/>
              </w:rPr>
            </w:pPr>
          </w:p>
        </w:tc>
        <w:tc>
          <w:tcPr>
            <w:tcW w:w="1459" w:type="dxa"/>
            <w:vAlign w:val="center"/>
          </w:tcPr>
          <w:p>
            <w:pPr>
              <w:spacing w:line="300" w:lineRule="exact"/>
              <w:jc w:val="center"/>
              <w:rPr>
                <w:color w:val="auto"/>
                <w:highlight w:val="none"/>
              </w:rPr>
            </w:pPr>
          </w:p>
        </w:tc>
        <w:tc>
          <w:tcPr>
            <w:tcW w:w="1381" w:type="dxa"/>
            <w:vAlign w:val="center"/>
          </w:tcPr>
          <w:p>
            <w:pPr>
              <w:spacing w:line="300" w:lineRule="exact"/>
              <w:jc w:val="center"/>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6" w:hRule="atLeast"/>
        </w:trPr>
        <w:tc>
          <w:tcPr>
            <w:tcW w:w="974" w:type="dxa"/>
            <w:vAlign w:val="center"/>
          </w:tcPr>
          <w:p>
            <w:pPr>
              <w:spacing w:line="300" w:lineRule="exact"/>
              <w:jc w:val="center"/>
              <w:rPr>
                <w:color w:val="auto"/>
                <w:highlight w:val="none"/>
              </w:rPr>
            </w:pPr>
            <w:r>
              <w:rPr>
                <w:rFonts w:hint="eastAsia"/>
                <w:color w:val="auto"/>
                <w:highlight w:val="none"/>
              </w:rPr>
              <w:t>2</w:t>
            </w:r>
          </w:p>
        </w:tc>
        <w:tc>
          <w:tcPr>
            <w:tcW w:w="1617" w:type="dxa"/>
            <w:vAlign w:val="center"/>
          </w:tcPr>
          <w:p>
            <w:pPr>
              <w:spacing w:line="300" w:lineRule="exact"/>
              <w:jc w:val="center"/>
              <w:rPr>
                <w:color w:val="auto"/>
                <w:highlight w:val="none"/>
              </w:rPr>
            </w:pPr>
          </w:p>
        </w:tc>
        <w:tc>
          <w:tcPr>
            <w:tcW w:w="1623" w:type="dxa"/>
            <w:vAlign w:val="center"/>
          </w:tcPr>
          <w:p>
            <w:pPr>
              <w:spacing w:line="300" w:lineRule="exact"/>
              <w:jc w:val="center"/>
              <w:rPr>
                <w:color w:val="auto"/>
                <w:highlight w:val="none"/>
              </w:rPr>
            </w:pPr>
          </w:p>
        </w:tc>
        <w:tc>
          <w:tcPr>
            <w:tcW w:w="1459" w:type="dxa"/>
            <w:vAlign w:val="center"/>
          </w:tcPr>
          <w:p>
            <w:pPr>
              <w:spacing w:line="300" w:lineRule="exact"/>
              <w:jc w:val="center"/>
              <w:rPr>
                <w:color w:val="auto"/>
                <w:highlight w:val="none"/>
              </w:rPr>
            </w:pPr>
          </w:p>
        </w:tc>
        <w:tc>
          <w:tcPr>
            <w:tcW w:w="1459" w:type="dxa"/>
            <w:vAlign w:val="center"/>
          </w:tcPr>
          <w:p>
            <w:pPr>
              <w:spacing w:line="300" w:lineRule="exact"/>
              <w:jc w:val="center"/>
              <w:rPr>
                <w:color w:val="auto"/>
                <w:highlight w:val="none"/>
              </w:rPr>
            </w:pPr>
          </w:p>
        </w:tc>
        <w:tc>
          <w:tcPr>
            <w:tcW w:w="1381" w:type="dxa"/>
            <w:vAlign w:val="center"/>
          </w:tcPr>
          <w:p>
            <w:pPr>
              <w:spacing w:line="300" w:lineRule="exact"/>
              <w:jc w:val="center"/>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6" w:hRule="atLeast"/>
        </w:trPr>
        <w:tc>
          <w:tcPr>
            <w:tcW w:w="974" w:type="dxa"/>
            <w:vAlign w:val="center"/>
          </w:tcPr>
          <w:p>
            <w:pPr>
              <w:spacing w:line="300" w:lineRule="exact"/>
              <w:jc w:val="center"/>
              <w:rPr>
                <w:color w:val="auto"/>
                <w:highlight w:val="none"/>
              </w:rPr>
            </w:pPr>
            <w:r>
              <w:rPr>
                <w:rFonts w:hint="eastAsia"/>
                <w:color w:val="auto"/>
                <w:highlight w:val="none"/>
              </w:rPr>
              <w:t>3</w:t>
            </w:r>
          </w:p>
        </w:tc>
        <w:tc>
          <w:tcPr>
            <w:tcW w:w="1617" w:type="dxa"/>
            <w:vAlign w:val="center"/>
          </w:tcPr>
          <w:p>
            <w:pPr>
              <w:spacing w:line="300" w:lineRule="exact"/>
              <w:jc w:val="center"/>
              <w:rPr>
                <w:color w:val="auto"/>
                <w:highlight w:val="none"/>
              </w:rPr>
            </w:pPr>
          </w:p>
        </w:tc>
        <w:tc>
          <w:tcPr>
            <w:tcW w:w="1623" w:type="dxa"/>
            <w:vAlign w:val="center"/>
          </w:tcPr>
          <w:p>
            <w:pPr>
              <w:spacing w:line="300" w:lineRule="exact"/>
              <w:jc w:val="center"/>
              <w:rPr>
                <w:color w:val="auto"/>
                <w:highlight w:val="none"/>
              </w:rPr>
            </w:pPr>
          </w:p>
        </w:tc>
        <w:tc>
          <w:tcPr>
            <w:tcW w:w="1459" w:type="dxa"/>
            <w:vAlign w:val="center"/>
          </w:tcPr>
          <w:p>
            <w:pPr>
              <w:spacing w:line="300" w:lineRule="exact"/>
              <w:jc w:val="center"/>
              <w:rPr>
                <w:color w:val="auto"/>
                <w:highlight w:val="none"/>
              </w:rPr>
            </w:pPr>
          </w:p>
        </w:tc>
        <w:tc>
          <w:tcPr>
            <w:tcW w:w="1459" w:type="dxa"/>
            <w:vAlign w:val="center"/>
          </w:tcPr>
          <w:p>
            <w:pPr>
              <w:spacing w:line="300" w:lineRule="exact"/>
              <w:jc w:val="center"/>
              <w:rPr>
                <w:color w:val="auto"/>
                <w:highlight w:val="none"/>
              </w:rPr>
            </w:pPr>
          </w:p>
        </w:tc>
        <w:tc>
          <w:tcPr>
            <w:tcW w:w="1381" w:type="dxa"/>
            <w:vAlign w:val="center"/>
          </w:tcPr>
          <w:p>
            <w:pPr>
              <w:spacing w:line="300" w:lineRule="exact"/>
              <w:jc w:val="center"/>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6" w:hRule="atLeast"/>
        </w:trPr>
        <w:tc>
          <w:tcPr>
            <w:tcW w:w="974" w:type="dxa"/>
            <w:vAlign w:val="center"/>
          </w:tcPr>
          <w:p>
            <w:pPr>
              <w:spacing w:line="300" w:lineRule="exact"/>
              <w:jc w:val="center"/>
              <w:rPr>
                <w:color w:val="auto"/>
                <w:highlight w:val="none"/>
              </w:rPr>
            </w:pPr>
            <w:r>
              <w:rPr>
                <w:rFonts w:hint="eastAsia"/>
                <w:color w:val="auto"/>
                <w:highlight w:val="none"/>
              </w:rPr>
              <w:t>……</w:t>
            </w:r>
          </w:p>
        </w:tc>
        <w:tc>
          <w:tcPr>
            <w:tcW w:w="1617" w:type="dxa"/>
            <w:vAlign w:val="center"/>
          </w:tcPr>
          <w:p>
            <w:pPr>
              <w:spacing w:line="300" w:lineRule="exact"/>
              <w:jc w:val="center"/>
              <w:rPr>
                <w:color w:val="auto"/>
                <w:highlight w:val="none"/>
              </w:rPr>
            </w:pPr>
          </w:p>
        </w:tc>
        <w:tc>
          <w:tcPr>
            <w:tcW w:w="1623" w:type="dxa"/>
            <w:vAlign w:val="center"/>
          </w:tcPr>
          <w:p>
            <w:pPr>
              <w:spacing w:line="300" w:lineRule="exact"/>
              <w:jc w:val="center"/>
              <w:rPr>
                <w:color w:val="auto"/>
                <w:highlight w:val="none"/>
              </w:rPr>
            </w:pPr>
          </w:p>
        </w:tc>
        <w:tc>
          <w:tcPr>
            <w:tcW w:w="1459" w:type="dxa"/>
            <w:vAlign w:val="center"/>
          </w:tcPr>
          <w:p>
            <w:pPr>
              <w:spacing w:line="300" w:lineRule="exact"/>
              <w:jc w:val="center"/>
              <w:rPr>
                <w:color w:val="auto"/>
                <w:highlight w:val="none"/>
              </w:rPr>
            </w:pPr>
          </w:p>
        </w:tc>
        <w:tc>
          <w:tcPr>
            <w:tcW w:w="1459" w:type="dxa"/>
            <w:vAlign w:val="center"/>
          </w:tcPr>
          <w:p>
            <w:pPr>
              <w:spacing w:line="300" w:lineRule="exact"/>
              <w:jc w:val="center"/>
              <w:rPr>
                <w:color w:val="auto"/>
                <w:highlight w:val="none"/>
              </w:rPr>
            </w:pPr>
          </w:p>
        </w:tc>
        <w:tc>
          <w:tcPr>
            <w:tcW w:w="1381" w:type="dxa"/>
            <w:vAlign w:val="center"/>
          </w:tcPr>
          <w:p>
            <w:pPr>
              <w:spacing w:line="300" w:lineRule="exact"/>
              <w:jc w:val="center"/>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15" w:hRule="atLeast"/>
        </w:trPr>
        <w:tc>
          <w:tcPr>
            <w:tcW w:w="8513" w:type="dxa"/>
            <w:gridSpan w:val="6"/>
            <w:vAlign w:val="center"/>
          </w:tcPr>
          <w:p>
            <w:pPr>
              <w:spacing w:line="300" w:lineRule="exact"/>
              <w:rPr>
                <w:color w:val="auto"/>
                <w:highlight w:val="none"/>
              </w:rPr>
            </w:pPr>
            <w:r>
              <w:rPr>
                <w:rFonts w:hint="eastAsia"/>
                <w:b/>
                <w:bCs/>
                <w:color w:val="auto"/>
                <w:highlight w:val="none"/>
                <w:lang w:val="zh-CN"/>
              </w:rPr>
              <w:t>投标文件中所提供投标的以上伴随产品为我单位生产的产品，</w:t>
            </w:r>
            <w:r>
              <w:rPr>
                <w:rFonts w:hint="eastAsia"/>
                <w:b/>
                <w:bCs/>
                <w:color w:val="auto"/>
                <w:highlight w:val="none"/>
              </w:rPr>
              <w:t>如有虚假</w:t>
            </w:r>
            <w:r>
              <w:rPr>
                <w:rFonts w:hint="eastAsia"/>
                <w:b/>
                <w:bCs/>
                <w:color w:val="auto"/>
                <w:highlight w:val="none"/>
                <w:lang w:val="zh-CN"/>
              </w:rPr>
              <w:t>，我单位承担由此产生的一切后果。</w:t>
            </w:r>
          </w:p>
        </w:tc>
      </w:tr>
    </w:tbl>
    <w:p>
      <w:pPr>
        <w:rPr>
          <w:color w:val="auto"/>
          <w:highlight w:val="none"/>
        </w:rPr>
      </w:pPr>
      <w:r>
        <w:rPr>
          <w:rFonts w:hint="eastAsia"/>
          <w:color w:val="auto"/>
          <w:highlight w:val="none"/>
        </w:rPr>
        <w:t>注：1、供应商为非残疾人福利性单位的，无需填写此声明函。</w:t>
      </w:r>
    </w:p>
    <w:p>
      <w:pPr>
        <w:rPr>
          <w:color w:val="auto"/>
          <w:highlight w:val="none"/>
        </w:rPr>
      </w:pPr>
      <w:r>
        <w:rPr>
          <w:rFonts w:hint="eastAsia"/>
          <w:color w:val="auto"/>
          <w:highlight w:val="none"/>
        </w:rPr>
        <w:t xml:space="preserve">    2、仅为本项目提供服务，未提供服务所伴随产品的，此表格可不填写。</w:t>
      </w:r>
    </w:p>
    <w:p>
      <w:pPr>
        <w:rPr>
          <w:color w:val="auto"/>
          <w:highlight w:val="none"/>
        </w:rPr>
      </w:pPr>
      <w:r>
        <w:rPr>
          <w:rFonts w:hint="eastAsia"/>
          <w:color w:val="auto"/>
          <w:highlight w:val="none"/>
        </w:rPr>
        <w:t xml:space="preserve">    3、如为本项目提供本单位伴随产品的，请填写此表格。</w:t>
      </w:r>
    </w:p>
    <w:p>
      <w:pPr>
        <w:rPr>
          <w:color w:val="auto"/>
          <w:highlight w:val="none"/>
        </w:rPr>
      </w:pPr>
      <w:r>
        <w:rPr>
          <w:rFonts w:hint="eastAsia"/>
          <w:color w:val="auto"/>
          <w:highlight w:val="none"/>
        </w:rPr>
        <w:t xml:space="preserve">    4、如为本项目提供的伴随产品是其他单位生产的，无需填写此表格，但需生产单位按此格式出具此声明。</w:t>
      </w:r>
    </w:p>
    <w:p>
      <w:pPr>
        <w:ind w:firstLine="420" w:firstLineChars="200"/>
        <w:rPr>
          <w:color w:val="auto"/>
          <w:highlight w:val="none"/>
        </w:rPr>
      </w:pPr>
    </w:p>
    <w:p>
      <w:pPr>
        <w:ind w:firstLine="420" w:firstLineChars="200"/>
        <w:rPr>
          <w:color w:val="auto"/>
          <w:highlight w:val="none"/>
        </w:rPr>
      </w:pPr>
      <w:r>
        <w:rPr>
          <w:rFonts w:hint="eastAsia"/>
          <w:color w:val="auto"/>
          <w:highlight w:val="none"/>
        </w:rPr>
        <w:t>供应商名称（单位公章）：</w:t>
      </w:r>
    </w:p>
    <w:p>
      <w:pPr>
        <w:ind w:firstLine="420" w:firstLineChars="200"/>
        <w:rPr>
          <w:color w:val="auto"/>
          <w:highlight w:val="none"/>
        </w:rPr>
        <w:sectPr>
          <w:pgSz w:w="11906" w:h="16838"/>
          <w:pgMar w:top="1440" w:right="1803" w:bottom="1440" w:left="1803" w:header="851" w:footer="992" w:gutter="0"/>
          <w:cols w:space="720" w:num="1"/>
          <w:docGrid w:linePitch="319" w:charSpace="0"/>
        </w:sectPr>
      </w:pPr>
      <w:r>
        <w:rPr>
          <w:rFonts w:hint="eastAsia"/>
          <w:color w:val="auto"/>
          <w:highlight w:val="none"/>
        </w:rPr>
        <w:t xml:space="preserve">日 期：              </w:t>
      </w:r>
    </w:p>
    <w:p>
      <w:pPr>
        <w:pStyle w:val="6"/>
        <w:spacing w:before="0" w:after="0"/>
        <w:rPr>
          <w:rFonts w:cs="仿宋_GB2312"/>
          <w:color w:val="auto"/>
          <w:szCs w:val="21"/>
          <w:highlight w:val="none"/>
        </w:rPr>
      </w:pPr>
      <w:r>
        <w:rPr>
          <w:rFonts w:hint="eastAsia"/>
          <w:color w:val="auto"/>
          <w:highlight w:val="none"/>
        </w:rPr>
        <w:t>格式17</w:t>
      </w:r>
    </w:p>
    <w:p>
      <w:pPr>
        <w:pStyle w:val="5"/>
        <w:rPr>
          <w:rFonts w:cs="宋体"/>
          <w:color w:val="auto"/>
          <w:sz w:val="24"/>
          <w:highlight w:val="none"/>
        </w:rPr>
      </w:pPr>
      <w:r>
        <w:rPr>
          <w:rFonts w:hint="eastAsia"/>
          <w:color w:val="auto"/>
          <w:highlight w:val="none"/>
        </w:rPr>
        <w:t>监狱企业证明材料</w:t>
      </w:r>
    </w:p>
    <w:p>
      <w:pPr>
        <w:ind w:firstLine="420" w:firstLineChars="200"/>
        <w:rPr>
          <w:color w:val="auto"/>
          <w:highlight w:val="none"/>
        </w:rPr>
      </w:pPr>
      <w:r>
        <w:rPr>
          <w:rFonts w:hint="eastAsia"/>
          <w:color w:val="auto"/>
          <w:highlight w:val="none"/>
        </w:rPr>
        <w:t>供应商符合《关于政府采购支持监狱企业发展有关问题的通知》财库〔2014〕68号文件规定的，监狱企业视同小型、微型企业。监狱企业属于小型、微型企业的，不重复享受政策。</w:t>
      </w:r>
    </w:p>
    <w:p>
      <w:pPr>
        <w:ind w:firstLine="420" w:firstLineChars="200"/>
        <w:rPr>
          <w:color w:val="auto"/>
          <w:highlight w:val="none"/>
        </w:rPr>
      </w:pPr>
      <w:r>
        <w:rPr>
          <w:rFonts w:hint="eastAsia"/>
          <w:color w:val="auto"/>
          <w:highlight w:val="none"/>
        </w:rPr>
        <w:t>提供由省级以上监狱管理局、戒毒管理局(含新疆生产建设兵团)出具的属于监狱企业的证明文件。</w:t>
      </w:r>
    </w:p>
    <w:p>
      <w:pPr>
        <w:ind w:firstLine="420" w:firstLineChars="200"/>
        <w:rPr>
          <w:color w:val="auto"/>
          <w:highlight w:val="none"/>
        </w:rPr>
      </w:pPr>
    </w:p>
    <w:p>
      <w:pPr>
        <w:ind w:firstLine="420" w:firstLineChars="200"/>
        <w:rPr>
          <w:color w:val="auto"/>
          <w:highlight w:val="none"/>
        </w:rPr>
      </w:pPr>
      <w:r>
        <w:rPr>
          <w:rFonts w:hint="eastAsia"/>
          <w:color w:val="auto"/>
          <w:highlight w:val="none"/>
        </w:rPr>
        <w:t>特此承诺</w:t>
      </w:r>
    </w:p>
    <w:p>
      <w:pPr>
        <w:jc w:val="left"/>
        <w:rPr>
          <w:rFonts w:cs="宋体"/>
          <w:color w:val="auto"/>
          <w:sz w:val="24"/>
          <w:highlight w:val="none"/>
        </w:rPr>
      </w:pPr>
      <w:r>
        <w:rPr>
          <w:rFonts w:hint="eastAsia" w:cs="宋体"/>
          <w:color w:val="auto"/>
          <w:sz w:val="24"/>
          <w:highlight w:val="none"/>
        </w:rPr>
        <w:t xml:space="preserve"> </w:t>
      </w:r>
    </w:p>
    <w:p>
      <w:pPr>
        <w:jc w:val="left"/>
        <w:rPr>
          <w:rFonts w:cs="宋体"/>
          <w:color w:val="auto"/>
          <w:sz w:val="24"/>
          <w:highlight w:val="none"/>
        </w:rPr>
      </w:pPr>
      <w:r>
        <w:rPr>
          <w:rFonts w:hint="eastAsia" w:cs="宋体"/>
          <w:color w:val="auto"/>
          <w:sz w:val="24"/>
          <w:highlight w:val="none"/>
        </w:rPr>
        <w:t xml:space="preserve"> </w:t>
      </w:r>
    </w:p>
    <w:p>
      <w:pPr>
        <w:jc w:val="left"/>
        <w:rPr>
          <w:rFonts w:cs="宋体"/>
          <w:color w:val="auto"/>
          <w:sz w:val="24"/>
          <w:highlight w:val="none"/>
        </w:rPr>
      </w:pPr>
      <w:r>
        <w:rPr>
          <w:rFonts w:hint="eastAsia" w:cs="宋体"/>
          <w:color w:val="auto"/>
          <w:sz w:val="24"/>
          <w:highlight w:val="none"/>
        </w:rPr>
        <w:t xml:space="preserve"> </w:t>
      </w:r>
    </w:p>
    <w:p>
      <w:pPr>
        <w:jc w:val="left"/>
        <w:rPr>
          <w:rFonts w:cs="宋体"/>
          <w:color w:val="auto"/>
          <w:sz w:val="24"/>
          <w:highlight w:val="none"/>
        </w:rPr>
      </w:pPr>
      <w:r>
        <w:rPr>
          <w:rFonts w:hint="eastAsia" w:cs="宋体"/>
          <w:color w:val="auto"/>
          <w:sz w:val="24"/>
          <w:highlight w:val="none"/>
        </w:rPr>
        <w:t xml:space="preserve"> </w:t>
      </w:r>
    </w:p>
    <w:p>
      <w:pPr>
        <w:jc w:val="left"/>
        <w:rPr>
          <w:rFonts w:cs="宋体"/>
          <w:color w:val="auto"/>
          <w:sz w:val="24"/>
          <w:highlight w:val="none"/>
        </w:rPr>
      </w:pPr>
      <w:r>
        <w:rPr>
          <w:rFonts w:hint="eastAsia" w:cs="宋体"/>
          <w:color w:val="auto"/>
          <w:sz w:val="24"/>
          <w:highlight w:val="none"/>
        </w:rPr>
        <w:t xml:space="preserve"> </w:t>
      </w:r>
    </w:p>
    <w:p>
      <w:pPr>
        <w:jc w:val="left"/>
        <w:rPr>
          <w:rFonts w:cs="宋体"/>
          <w:color w:val="auto"/>
          <w:sz w:val="24"/>
          <w:highlight w:val="none"/>
        </w:rPr>
      </w:pPr>
      <w:r>
        <w:rPr>
          <w:rFonts w:hint="eastAsia" w:cs="宋体"/>
          <w:color w:val="auto"/>
          <w:sz w:val="24"/>
          <w:highlight w:val="none"/>
        </w:rPr>
        <w:t xml:space="preserve"> </w:t>
      </w:r>
    </w:p>
    <w:p>
      <w:pPr>
        <w:ind w:firstLine="420" w:firstLineChars="200"/>
        <w:jc w:val="left"/>
        <w:rPr>
          <w:rFonts w:cs="宋体"/>
          <w:color w:val="auto"/>
          <w:highlight w:val="none"/>
        </w:rPr>
      </w:pPr>
      <w:r>
        <w:rPr>
          <w:rFonts w:hint="eastAsia" w:cs="宋体"/>
          <w:color w:val="auto"/>
          <w:highlight w:val="none"/>
        </w:rPr>
        <w:t>供应商：               （盖单位章）</w:t>
      </w:r>
    </w:p>
    <w:p>
      <w:pPr>
        <w:ind w:firstLine="420" w:firstLineChars="200"/>
        <w:jc w:val="left"/>
        <w:rPr>
          <w:rFonts w:cs="宋体"/>
          <w:color w:val="auto"/>
          <w:highlight w:val="none"/>
        </w:rPr>
      </w:pPr>
      <w:r>
        <w:rPr>
          <w:rFonts w:hint="eastAsia" w:cs="宋体"/>
          <w:color w:val="auto"/>
          <w:highlight w:val="none"/>
        </w:rPr>
        <w:t>法定代表人或其委托代理人：         （签字或盖章）</w:t>
      </w:r>
    </w:p>
    <w:p>
      <w:pPr>
        <w:ind w:firstLine="409" w:firstLineChars="195"/>
        <w:jc w:val="left"/>
        <w:rPr>
          <w:color w:val="auto"/>
          <w:highlight w:val="none"/>
        </w:rPr>
      </w:pPr>
      <w:r>
        <w:rPr>
          <w:rFonts w:hint="eastAsia"/>
          <w:color w:val="auto"/>
          <w:highlight w:val="none"/>
          <w:u w:val="single"/>
        </w:rPr>
        <w:t xml:space="preserve"> </w:t>
      </w:r>
      <w:r>
        <w:rPr>
          <w:color w:val="auto"/>
          <w:highlight w:val="none"/>
          <w:u w:val="single"/>
        </w:rPr>
        <w:t xml:space="preserve">      </w:t>
      </w:r>
      <w:r>
        <w:rPr>
          <w:color w:val="auto"/>
          <w:highlight w:val="none"/>
        </w:rPr>
        <w:t>年</w:t>
      </w:r>
      <w:r>
        <w:rPr>
          <w:rFonts w:hint="eastAsia"/>
          <w:color w:val="auto"/>
          <w:highlight w:val="none"/>
          <w:u w:val="single"/>
        </w:rPr>
        <w:t xml:space="preserve"> </w:t>
      </w:r>
      <w:r>
        <w:rPr>
          <w:color w:val="auto"/>
          <w:highlight w:val="none"/>
          <w:u w:val="single"/>
        </w:rPr>
        <w:t xml:space="preserve">      </w:t>
      </w:r>
      <w:r>
        <w:rPr>
          <w:color w:val="auto"/>
          <w:highlight w:val="none"/>
        </w:rPr>
        <w:t>月</w:t>
      </w:r>
      <w:r>
        <w:rPr>
          <w:rFonts w:hint="eastAsia"/>
          <w:color w:val="auto"/>
          <w:highlight w:val="none"/>
          <w:u w:val="single"/>
        </w:rPr>
        <w:t xml:space="preserve"> </w:t>
      </w:r>
      <w:r>
        <w:rPr>
          <w:color w:val="auto"/>
          <w:highlight w:val="none"/>
          <w:u w:val="single"/>
        </w:rPr>
        <w:t xml:space="preserve">      </w:t>
      </w:r>
      <w:r>
        <w:rPr>
          <w:color w:val="auto"/>
          <w:highlight w:val="none"/>
        </w:rPr>
        <w:t>日</w:t>
      </w:r>
    </w:p>
    <w:p>
      <w:pPr>
        <w:pStyle w:val="31"/>
        <w:ind w:firstLine="480"/>
        <w:rPr>
          <w:rFonts w:cs="宋体"/>
          <w:color w:val="auto"/>
          <w:sz w:val="24"/>
          <w:szCs w:val="24"/>
          <w:highlight w:val="none"/>
        </w:rPr>
      </w:pPr>
    </w:p>
    <w:p>
      <w:pPr>
        <w:pStyle w:val="31"/>
        <w:ind w:firstLine="480"/>
        <w:rPr>
          <w:rFonts w:cs="宋体"/>
          <w:color w:val="auto"/>
          <w:sz w:val="24"/>
          <w:szCs w:val="24"/>
          <w:highlight w:val="none"/>
        </w:rPr>
      </w:pPr>
    </w:p>
    <w:p>
      <w:pPr>
        <w:pStyle w:val="31"/>
        <w:ind w:firstLine="480"/>
        <w:rPr>
          <w:rFonts w:cs="宋体"/>
          <w:color w:val="auto"/>
          <w:sz w:val="24"/>
          <w:szCs w:val="24"/>
          <w:highlight w:val="none"/>
        </w:rPr>
      </w:pPr>
    </w:p>
    <w:p>
      <w:pPr>
        <w:spacing w:before="200" w:after="200"/>
        <w:jc w:val="center"/>
        <w:rPr>
          <w:rFonts w:eastAsia="仿宋_GB2312" w:cs="仿宋_GB2312"/>
          <w:color w:val="auto"/>
          <w:highlight w:val="none"/>
        </w:rPr>
      </w:pPr>
      <w:r>
        <w:rPr>
          <w:rFonts w:hint="eastAsia" w:cs="宋体"/>
          <w:color w:val="auto"/>
          <w:sz w:val="24"/>
          <w:highlight w:val="none"/>
          <w:u w:val="single"/>
        </w:rPr>
        <w:br w:type="page"/>
      </w:r>
      <w:bookmarkStart w:id="108" w:name="_Toc4498_WPSOffice_Level1"/>
      <w:bookmarkStart w:id="109" w:name="_Toc78902193"/>
      <w:bookmarkStart w:id="110" w:name="_Toc18902"/>
      <w:r>
        <w:rPr>
          <w:rStyle w:val="34"/>
          <w:rFonts w:hint="eastAsia"/>
          <w:color w:val="auto"/>
          <w:highlight w:val="none"/>
        </w:rPr>
        <w:t xml:space="preserve">第三章 </w:t>
      </w:r>
      <w:r>
        <w:rPr>
          <w:rStyle w:val="34"/>
          <w:color w:val="auto"/>
          <w:highlight w:val="none"/>
        </w:rPr>
        <w:t>服务</w:t>
      </w:r>
      <w:r>
        <w:rPr>
          <w:rStyle w:val="34"/>
          <w:rFonts w:hint="eastAsia"/>
          <w:color w:val="auto"/>
          <w:highlight w:val="none"/>
        </w:rPr>
        <w:t>需求</w:t>
      </w:r>
      <w:bookmarkEnd w:id="108"/>
      <w:bookmarkEnd w:id="109"/>
      <w:bookmarkEnd w:id="110"/>
    </w:p>
    <w:p>
      <w:pPr>
        <w:pStyle w:val="18"/>
        <w:pageBreakBefore w:val="0"/>
        <w:widowControl w:val="0"/>
        <w:kinsoku/>
        <w:wordWrap/>
        <w:overflowPunct/>
        <w:topLinePunct w:val="0"/>
        <w:autoSpaceDE/>
        <w:autoSpaceDN/>
        <w:bidi w:val="0"/>
        <w:adjustRightInd/>
        <w:snapToGrid/>
        <w:spacing w:after="0" w:line="360" w:lineRule="auto"/>
        <w:ind w:left="0" w:firstLine="422" w:firstLineChars="200"/>
        <w:jc w:val="center"/>
        <w:textAlignment w:val="auto"/>
        <w:rPr>
          <w:rFonts w:hint="eastAsia" w:ascii="Times New Roman" w:hAnsi="Times New Roman" w:eastAsia="宋体" w:cs="Times New Roman"/>
          <w:b/>
          <w:bCs/>
          <w:color w:val="auto"/>
          <w:kern w:val="2"/>
          <w:sz w:val="21"/>
          <w:szCs w:val="21"/>
          <w:highlight w:val="none"/>
          <w:lang w:val="en-US" w:eastAsia="zh-CN" w:bidi="ar-SA"/>
        </w:rPr>
      </w:pPr>
      <w:bookmarkStart w:id="111" w:name="_Toc2821_WPSOffice_Level1"/>
      <w:bookmarkStart w:id="112" w:name="_Toc78902194"/>
      <w:r>
        <w:rPr>
          <w:rFonts w:hint="eastAsia" w:ascii="Times New Roman" w:hAnsi="Times New Roman" w:eastAsia="宋体" w:cs="Times New Roman"/>
          <w:b/>
          <w:bCs/>
          <w:color w:val="auto"/>
          <w:kern w:val="2"/>
          <w:sz w:val="21"/>
          <w:szCs w:val="21"/>
          <w:highlight w:val="none"/>
          <w:lang w:val="en-US" w:eastAsia="zh-CN" w:bidi="ar-SA"/>
        </w:rPr>
        <w:t>包一：金税三期社保费征管信息系统（标准版）管理子系统“统模式”部署实施及功能完善项目</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一、项目背景</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中共中央办公厅、国务院办公厅印发了《国税地税征管体制改革方案》，明确提出为提高社会保险费征管效率、为缴费人提供更便捷的缴费服务，自2019年1月1日起，基本养老保险费、基本医疗保险费、失业保险费等各项社会保险费交由税务部门统一征收。为了切实落实中办、国办要求，税务总局、人社部联合制定了《社会保险费和非税收入征管职责划转工作方案》，明确了工作职责，业务边界、划转关键事项和时间。为更好地完成信息系统建设任务，税务总局以金税三期系统为基础，优化形成金税三期社保费征管信息系统（标准版）（以下简称社保费标准版），由各省(市)负责该系统的实施推广。根据总局有关要求，我省于2022年1月1日正式上线社保费标准版，自系统上线运行以来，基层在实际应用过程中遇到部分业务在社保费标准版仍不支持的情况，需进行本地优化改造实现；另外，对于人社（医保）部门传递的灵活就业人员和城乡居民的征集信息、特殊缴费，税务机关接收时会进行对应的缴费关联登记校验，若未进行缴费关联登记，税务机关将无法接收，会影响到灵活就业人员、城乡居民缴费人的申报缴费等业务，为了更顺畅的接收人社、医保部门传递的征集信息和特殊缴费信息，需要在灵活就业和城乡居民缴费人还未进行缴费关联登记、但人社（医保）部门已传递社保费征集信息或特殊缴费时，根据征集信息和特殊缴费信息中的人员信息在接收时进行自动登记。基于以上情况，需通过社保费业务优化来满足社保费征收管理实际工作的开展。</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完成社会保险费征管职责接收工作后，随着征缴人群的扩大，缴费模式的切换等工作的陆续开展，业务范围逐渐扩大，管理模式从粗放走向精细化，税务人员在社保费征管工作上面临业务数据缺乏跟踪，数据治理智能不足和数据资产有待开发的难题，需通过本地特色化建设来满足社保费征收管理实际工作的开展。</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以习近平新时代中国特色社会主义思想为指导，深入贯彻党的十九大及十九届历次全会精神,认真落实习近平总书记关于促进社会保障事业高质量发展可持续发展的重要指示精神，践行以人民为中心的发展思想，坚持稳中求进工作总基调，以实现用人单位和个人自行向税务部门申报缴纳社会保险费为目标，逐步提高征管质效和服务水平，降低征缴成本和管理风险，构建职责清晰、征管规范、服务便捷、监管有力、协同高效的社会保险费征收管理体制。为不断提高社会保险费征缴管理效率，降低征缴管理成本，建设此项目。</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二、建设目标</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根据国家税务总局黑龙江省税务局统一社会保险费征收模式实施要求，对社保费标准版管理子系统进行升级改造和部署集成。</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三、项目具体需求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13" w:name="_Toc561"/>
      <w:r>
        <w:rPr>
          <w:rFonts w:hint="eastAsia" w:ascii="Times New Roman" w:hAnsi="Times New Roman" w:eastAsia="宋体" w:cs="Times New Roman"/>
          <w:color w:val="auto"/>
          <w:kern w:val="2"/>
          <w:sz w:val="21"/>
          <w:szCs w:val="21"/>
          <w:highlight w:val="none"/>
          <w:lang w:val="en-US" w:eastAsia="zh-CN" w:bidi="ar-SA"/>
        </w:rPr>
        <w:t>3.1社保费业务优化完善</w:t>
      </w:r>
      <w:bookmarkEnd w:id="113"/>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14" w:name="_Toc29821"/>
      <w:r>
        <w:rPr>
          <w:rFonts w:hint="eastAsia" w:ascii="Times New Roman" w:hAnsi="Times New Roman" w:eastAsia="宋体" w:cs="Times New Roman"/>
          <w:color w:val="auto"/>
          <w:kern w:val="2"/>
          <w:sz w:val="21"/>
          <w:szCs w:val="21"/>
          <w:highlight w:val="none"/>
          <w:lang w:val="en-US" w:eastAsia="zh-CN" w:bidi="ar-SA"/>
        </w:rPr>
        <w:t>3.1.1灵活就业人员和城乡居民社保费征集信息和特殊缴费接收支持自动登记</w:t>
      </w:r>
      <w:bookmarkEnd w:id="114"/>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黑龙江省灵活就业人员和城乡居民社会保险费征缴模式为人社核定模式，人社（医保）部门核定灵活就业人员和城乡居民社保费征集信息后，通过社保费信息共享平台传递给税务机关，税务机关根据该信息进行征收。社保费标准版中，征集信息接收会校验该“社保业务系统编码+社保经办机构+人员编号”对应的缴费人是否进行缴费关联登记，若未进行缴费关联登记，税务机关将无法接收。同理，对于人社（医保）部门传递的灵活就业人员和城乡居民的特殊缴费，税务机关接收时也会进行对应的缴费关联登记校验，若未进行缴费关联登记，税务机关将无法接收。</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为了更顺畅的接收人社、医保部门传递的征集信息和特殊缴费信息，需要在灵活就业和城乡居民缴费人还未进行缴费关联登记、但人社（医保）部门已传递社保费征集信息或特殊缴费时，根据征集信息和特殊缴费信息中的人员信息在接收时进行自动登记。同时，为实现灵活就业人员和城乡居民的社保费税银查缴业务，在自动登记时需同步登记人员参保险种信息。为支撑上述业务，需要进行本地特色开发。</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15" w:name="_Toc22644"/>
      <w:r>
        <w:rPr>
          <w:rFonts w:hint="eastAsia" w:ascii="Times New Roman" w:hAnsi="Times New Roman" w:eastAsia="宋体" w:cs="Times New Roman"/>
          <w:color w:val="auto"/>
          <w:kern w:val="2"/>
          <w:sz w:val="21"/>
          <w:szCs w:val="21"/>
          <w:highlight w:val="none"/>
          <w:lang w:val="en-US" w:eastAsia="zh-CN" w:bidi="ar-SA"/>
        </w:rPr>
        <w:t>3.1.2灵活就业人员和城乡居民参保信息特殊处理</w:t>
      </w:r>
      <w:bookmarkEnd w:id="115"/>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黑龙江省因灵活就业人员和城乡居民办理税银查缴业务的前提是完成参保缴费信息关联且存在险种登记，当灵活就业和城乡居民缴费人还未进行缴费关联登记、但人社（医保）部门已传递社保费征集信息或特殊缴费的情况，为顺利征收灵活就业人员和城乡居民的社保费，在其征集信息和特殊缴费接收时自动登记了基础信息和险种信息，其中险种信息默认为医疗保险。</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灵活就业人员和城乡居民征集信息和特殊缴费接收完成自动登记后，因《社会保险费信息共享平台建设方案（全国标准版V2.0）》中对于参保登记信息有较为严格的校验规则，数据传输类型为“新增”时要求“社保业务系统编码+人员编号”未进行参保登记，当已经自动登记但人社（医保）部门又传递了灵活就业人员和城乡居民险种新增信息时，管理子系统会拒绝接收。</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考虑到参保信息的准确性及人社（医保）部门与税务部门的信息同步与互通，在灵活就业人员和城乡居民征集信息和特殊缴费接收完成自动登记后，系统需支持再次接收人社（医保）部门传递的险种新增，因此需进行本地特色开发，对灵活就业和城乡居民缴费人的参保信息接收进行特殊处理。</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16" w:name="_Toc29118"/>
      <w:r>
        <w:rPr>
          <w:rFonts w:hint="eastAsia" w:ascii="Times New Roman" w:hAnsi="Times New Roman" w:eastAsia="宋体" w:cs="Times New Roman"/>
          <w:color w:val="auto"/>
          <w:kern w:val="2"/>
          <w:sz w:val="21"/>
          <w:szCs w:val="21"/>
          <w:highlight w:val="none"/>
          <w:lang w:val="en-US" w:eastAsia="zh-CN" w:bidi="ar-SA"/>
        </w:rPr>
        <w:t>3.1.3黑龙江人社企业职工养老保险全国统筹系统升级专项运维</w:t>
      </w:r>
      <w:bookmarkEnd w:id="116"/>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按照《人力资源社会保障部关于开展企业职工基本养老保险全国统筹信息系统建设工作的通知》（人社部函〔2021〕45号）及国家税务总局、人社部联合下发的《社会保险费信息共享平台建设方案（全国标准版V2.0）》（税总办发〔2019〕91号）文件要求，为推进企业职工养老保险全国统筹系统上线，黑龙江人社厅启动企业职工养老保险全国统筹业务经办系统切换工作，拟分地市逐步切换，各地市切换顺序为：七台河、鹤岗、佳木斯、鸡西、牡丹江、黑河、双鸭山、大庆、哈尔滨、绥化、齐齐哈尔、伊春、大兴安岭、省直、森工、农垦。</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黑龙江省各地逐步上线人社企业职工养老保险全国统筹系统的过程中，需要对基础数据进行分析比对、核实校验、数据清理；同时，在系统上线时关键业务字段发生了调整，会影响到单位、灵活就业人员缴费人在税务端办理养老保险的申报缴费查询等业务。为保障切换新系统后税务和人社双方数据的一致性，确保人社新系统上线后不影响缴费人办理社缴费业务与待遇享受，税务端社保费标准版系统的数据也需要跟着人社业务系统做对应的调整，涉及到数据运维工作。数据运维范围主要是单位缴费人和灵活就业人员养老保险相关的初始化参数表，以及登记、认定、申报、征收等业务数据的运维。</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17" w:name="_Toc2694"/>
      <w:r>
        <w:rPr>
          <w:rFonts w:hint="eastAsia" w:ascii="Times New Roman" w:hAnsi="Times New Roman" w:eastAsia="宋体" w:cs="Times New Roman"/>
          <w:color w:val="auto"/>
          <w:kern w:val="2"/>
          <w:sz w:val="21"/>
          <w:szCs w:val="21"/>
          <w:highlight w:val="none"/>
          <w:lang w:val="en-US" w:eastAsia="zh-CN" w:bidi="ar-SA"/>
        </w:rPr>
        <w:t>3.2新增本地特色功能开发</w:t>
      </w:r>
      <w:bookmarkEnd w:id="117"/>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18" w:name="_Toc16332"/>
      <w:r>
        <w:rPr>
          <w:rFonts w:hint="eastAsia" w:ascii="Times New Roman" w:hAnsi="Times New Roman" w:eastAsia="宋体" w:cs="Times New Roman"/>
          <w:color w:val="auto"/>
          <w:kern w:val="2"/>
          <w:sz w:val="21"/>
          <w:szCs w:val="21"/>
          <w:highlight w:val="none"/>
          <w:lang w:val="en-US" w:eastAsia="zh-CN" w:bidi="ar-SA"/>
        </w:rPr>
        <w:t>3.2.1单位社保费信息跟踪</w:t>
      </w:r>
      <w:bookmarkEnd w:id="118"/>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以单位查询的角度，根据用户录入的纳税人识别号、单位编号和缴费人名称等信息为查询条件，查询单位缴费人的社保费全业务信息。为税务人员查询、监控单位缴费人在社保费征缴全业务流程中信息数据提供支撑服务，能够方便、快捷、准确的了解单个缴费单位的关联登记、参保职工、申报缴费、单位以及单位职工的信息交互情况等信息。</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备注：按照社保费征缴业务规则，设计开发数据模型层，进行各个业务域的工作范围界定，理清各业务域之间的关系。深入理解各业务域具体业务流程并程序化。形成数据应用层，整合汇总某一主题域的数据，进行数据预处理，提供给数据分析功能使用，满足用户查询统计的需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概览信息</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根据用户录入的纳税人识别号、社保经办机构和单位编号等查询条件，查询企业单位税务登记基础信息以及关联登记情况、近期缴费、缴费协议等数据。</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单位参保登记信息</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根据在单位概览信息中选择的单位社保户信息，查询选择的缴费人的人社传递并关联的企业单位参保基础登记、险种数据。</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单位职工信息</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根据在单位概览信息中选择的单位社保户信息，或根据操作人员选择的社保经办机构、单位编号查询企业单位职工关联登记数据、参保险种数据。</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单位申报信息</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根据选择的单位社保户信息，或根据操作人员选择的社保经办机构、单位编号、费款所属期等条件查询选择的缴费人的申报缴费明细数据。</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单位人社交互信息</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根据在单位概览信息中选择的单位社保户信息，或根据操作人员选择的社保经办机构、单位编号、传输时间等条件查询人社传输的单位及单位参保新增、变更、终止数据。</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单位职工人社交互信息</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根据在单位概览信息中选择的单位社保户信息，或根据操作人员选择的社保经办机构、单位编号、传输时间、证件号码等条件，查询人社传输的单位职工及职工参保新增、变更、终止数据。</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单位批扣信息</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根据在单位概览信息中选择的单位社保户信息，或根据操作人员选择的社保经办机构、生成月份等条件，查询该企业单位的批扣清册和批扣结果信息。</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19" w:name="_Toc28517"/>
      <w:r>
        <w:rPr>
          <w:rFonts w:hint="eastAsia" w:ascii="Times New Roman" w:hAnsi="Times New Roman" w:eastAsia="宋体" w:cs="Times New Roman"/>
          <w:color w:val="auto"/>
          <w:kern w:val="2"/>
          <w:sz w:val="21"/>
          <w:szCs w:val="21"/>
          <w:highlight w:val="none"/>
          <w:lang w:val="en-US" w:eastAsia="zh-CN" w:bidi="ar-SA"/>
        </w:rPr>
        <w:t>3.2.2个人社保费信息跟踪</w:t>
      </w:r>
      <w:bookmarkEnd w:id="119"/>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以个人查询的角度，根据用户录入的纳税人识别号、身份证件号码、人员编号等个人信息为查询条件，查询自然人社保费相关全业务信息。为税务人员查询、监控单个自然人在社保费征缴全业务流程中信息数据提供支撑服务，能够方便、快捷、准确的了解单个自然人以单位职工、灵活就业、城乡居民等各种身份的参保、申报缴费、信息共享等各种信息。</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自然人登记信息</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根据用户录入的纳税人识别号、身份证件号码、社保经办机构和人员编号等个人信息为查询条件，查询自然人参保基础数据。</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城乡居民参保登记信息</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根据在自然人登记概览信息中选择的城乡居民社保户信息，查询选择的缴费人的城乡居民身份参保基础数据。</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城乡居民缴费信息</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根据在自然人登记概览信息中选择的城乡居民社保户信息、缴费年度等条件，查询城乡居民申报缴费数据，展示申报缴费业务流程图。</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城乡居民缴费协议信息</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根据在自然人登记概览信息中选择的城乡居民社保户信息，查询选择的缴费人的缴费协议信息。</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城乡居民人社交互信息</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根据在自然人登记概览信息中选择的城乡居民社保户信息，查询选择的缴费人的人社传输的城乡居民参保信息登记、变更、终止数据。</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灵活就业参保登记信息</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根据在自然人登记概览信息中选择的灵活就业社保户信息，查询选择的缴费人的灵活就业身份参保登记数据。</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灵活就业申报缴费信息</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根据在自然人登记概览信息中选择的灵活就业社保户信息、费款所属期等条件，查询灵活就业申报缴费信息，展示申报缴费业务流程图。</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灵活就业缴费协议信息</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根据在自然人登记概览信息中选择的灵活就业社保户信息，查询选择的缴费人的缴费协议信息。</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灵活就业人社交互信息</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根据在自然人登记概览信息中选择的灵活就业社保户信息，查询选择的缴费人的人社传输的灵活就业参保信息登记、变更、终止数据。</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单位职工参保登记信息</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根据在自然人登记概览信息中选择的单位职工社保户信息，查询选择的缴费人的单位职工参保登记数据。</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单位职工缴费信息</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根据在自然人登记概览信息中选择的单位职工社保户信息、社保经办机构、费款所属期等条件，查询选择的缴费人的单位职工身份的申报缴费数据。</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单位职工人社交互信息</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根据在自然人登记概览信息中选择的单位职工社保户信息，查询选择的缴费人的人社传输的单位职工参保信息登记、变更、终止数据。</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20" w:name="_Toc18313"/>
      <w:r>
        <w:rPr>
          <w:rFonts w:hint="eastAsia" w:ascii="Times New Roman" w:hAnsi="Times New Roman" w:eastAsia="宋体" w:cs="Times New Roman"/>
          <w:color w:val="auto"/>
          <w:kern w:val="2"/>
          <w:sz w:val="21"/>
          <w:szCs w:val="21"/>
          <w:highlight w:val="none"/>
          <w:lang w:val="en-US" w:eastAsia="zh-CN" w:bidi="ar-SA"/>
        </w:rPr>
        <w:t>3.2.3应征信息全流程跟踪</w:t>
      </w:r>
      <w:bookmarkEnd w:id="120"/>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 xml:space="preserve"> 以单笔查询的角度，根据用户选择的条件查询指定应征信息在税务征收业务流转的全业务流程。</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用户操作员根据录入的征集通知流水号/应征凭证序号查询已接收的征集明细信息，申报信息。</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21" w:name="_Toc10306"/>
      <w:r>
        <w:rPr>
          <w:rFonts w:hint="eastAsia" w:ascii="Times New Roman" w:hAnsi="Times New Roman" w:eastAsia="宋体" w:cs="Times New Roman"/>
          <w:color w:val="auto"/>
          <w:kern w:val="2"/>
          <w:sz w:val="21"/>
          <w:szCs w:val="21"/>
          <w:highlight w:val="none"/>
          <w:lang w:val="en-US" w:eastAsia="zh-CN" w:bidi="ar-SA"/>
        </w:rPr>
        <w:t>3.2.4业务全链跟踪</w:t>
      </w:r>
      <w:bookmarkEnd w:id="121"/>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单位申报缴费反馈情况跟踪</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为用户提供方便、快捷、准确的了解单位一段属期申报明细和未申报明细信息的查询跟踪服务。</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（一）单位已申报情况跟踪</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用户根据主管税务机关、费款所属期、申报日期、征收项目、登记注册类型、行业、缴费人识别号、社保经办机构等维度查询范围内已申报缴费情况，包含申报、缴费、上解、入库、反馈。</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（二）单位未申报情况跟踪</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用户根据主管税务机关、费款所属期、征收项目、缴费人识别号、社保经办机构、登记注册类型、行业、维度查询范围内参保状态正常且已生成预处理信息（包含人社/医保部门传递的应征信息已接收）但未申报缴款的情况。</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灵活就业申报缴费反馈情况跟踪</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为用户提供方便、快捷、准确的了解灵活就业某个征期或某段征期的申报明细和未申报明细信息的查询跟踪服务。</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（一）灵活就业已申报情况跟踪</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用户根据主管税务机关、费款所属期、申报日期、征收项目、个人社保编码、社保经办机构等维度查询范围内已申报缴费的明细情况，包含申报、缴费、上解、入库、反馈。</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（二）灵活就业未申报情况跟踪</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用户根据主管税务机关、费款所属期、征收项目、个人社保编码、社保经办机构等维度查询范围内参保状态正常且已生成预处理信息（包含人社/医保部门传递的应征信息已接收）但未申报缴款的灵活就业参保人明细情况（包含缴费人是否会参与批扣等情况）。</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城乡居民申报缴费反馈情况跟踪</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根据用户选择的查询类型以及主管税务机关、缴费年度、征收项目、个人社保编码、社保经办机构等条件，为用户分别提供查询条件范围内的城乡居民的已申报、未申报明细信息，方便用户能够快捷的了解条件范围内的已申报的城乡居民人员明细的缴费进度情况和未申报清册。</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（一）城乡居民已申报情况跟踪</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用户根据主管税务机关、缴费年度、征收项目、个人社保编码、社保经办机构等维度查询范围内已申报缴费的人员明细情况，包含申报、缴费、上解、入库、反馈情况。</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（二）城乡居民未申报情况跟踪</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用户根据主管税务机关、缴费年度、征收项目、个人社保编码、社保经办机构等维度查询范围内参保状态正常但未申报缴款的城乡居民参保人明细情况（包含缴费人是否会参与批扣等情况）。</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22" w:name="_Toc12507"/>
      <w:r>
        <w:rPr>
          <w:rFonts w:hint="eastAsia" w:ascii="Times New Roman" w:hAnsi="Times New Roman" w:eastAsia="宋体" w:cs="Times New Roman"/>
          <w:color w:val="auto"/>
          <w:kern w:val="2"/>
          <w:sz w:val="21"/>
          <w:szCs w:val="21"/>
          <w:highlight w:val="none"/>
          <w:lang w:val="en-US" w:eastAsia="zh-CN" w:bidi="ar-SA"/>
        </w:rPr>
        <w:t>3.2.5业务资金对账</w:t>
      </w:r>
      <w:bookmarkEnd w:id="122"/>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社保费税务对账</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将指定时间段内产生的征收子系统入库、管理子系统申报征缴数据以及管理子系统反馈人社/医保缴费明细数据进行比对，按征收税务机关、社保经办机构和险种维度，通过两两比对征缴入库数据，最终实现三方对账；将存在数据差异的情况标识并显示在界面中，并提供存在差异的明细数据显示，方便用户税务征收数据和缴费反馈人社数据、人社记账数据进行比对，定位数据交换问题。</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23" w:name="_Toc9267"/>
      <w:r>
        <w:rPr>
          <w:rFonts w:hint="eastAsia" w:ascii="Times New Roman" w:hAnsi="Times New Roman" w:eastAsia="宋体" w:cs="Times New Roman"/>
          <w:color w:val="auto"/>
          <w:kern w:val="2"/>
          <w:sz w:val="21"/>
          <w:szCs w:val="21"/>
          <w:highlight w:val="none"/>
          <w:lang w:val="en-US" w:eastAsia="zh-CN" w:bidi="ar-SA"/>
        </w:rPr>
        <w:t>3.2.6征管效能跟踪</w:t>
      </w:r>
      <w:bookmarkEnd w:id="123"/>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单位缴费进度分析</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按照税务机关、登记注册类型、行业、征收项目维度，统计指定属期企业单位社保费征缴整体情况，内容包括：应申报户数、已申报（已申报户数、已申报金额）、已入库（已入库户数、已入库金额）、未申报户数、已申报未入库（已申报未入库户数、已申报未入库金额）、申报率、入库率等信息。</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灵活就业缴费进度分析</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统计指定属期灵活就业社保费征缴整体情况，内容包括：应申报人数、已申报（已申报人数、已申报金额）、已入库（已入库人数、已入库金额）、已反馈（上解反馈金额、入库反馈金额）、未申报人数、已申报未入库（已申报未入库人数、已申报未入库金额）、申报率、入库率等信息。</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城乡居民缴费进度分析</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分养老、医疗险种统计本缴费年度城乡居民社保费征缴整体情况，内容包括：参保人数、已申报（已申报人数、正常申报人数、特殊缴费申报人数、零申报人数、已申报金额、正常申报金额、特殊缴费申报金额）、已入库（已入库人数、已入库金额）、已反馈（上解反馈金额、入库反馈金额）、已申报未入库（已申报未入库人数、已申报未入库金额）、申报率、入库率等信息。</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城乡居民缴费进度分析（分街道乡镇）</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分养老、医疗险种统计本缴费年度城乡居民社保费征缴整体情况，以街道乡镇维度进行分组统计查询，内容包括：社保经办机构、街道乡镇、参保人数、申报（申报人数、申报金额）、入库（入库人数、入库金额）、反馈（上解反馈金额、入库反馈金额）、已申报未入库（已申报未入库人数、已申报未入库金额）、申报率、入库率等信息。</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24" w:name="_Toc14964"/>
      <w:r>
        <w:rPr>
          <w:rFonts w:hint="eastAsia" w:ascii="Times New Roman" w:hAnsi="Times New Roman" w:eastAsia="宋体" w:cs="Times New Roman"/>
          <w:color w:val="auto"/>
          <w:kern w:val="2"/>
          <w:sz w:val="21"/>
          <w:szCs w:val="21"/>
          <w:highlight w:val="none"/>
          <w:lang w:val="en-US" w:eastAsia="zh-CN" w:bidi="ar-SA"/>
        </w:rPr>
        <w:t>3.2.7业务数据监控</w:t>
      </w:r>
      <w:bookmarkEnd w:id="124"/>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社保记账异常监控</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区分企业单位、灵活就业、城乡居民和特殊缴费，按主管税务机关、缴费信息反馈时间查询条件，对单位、城乡居民、灵活就业人员、特殊缴费的缴费信息已反馈人社、医保部门的社保到账异常或未到账的数据进行监控查询。</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已上解未入库监控</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按主管税务机关、缴费人类型、上解日期、社保编码、缴费人识别号、缴费人名称等查询条件，对已经上解超过N天(参数配置)已上解销号未入库的征收数据进行监控查询。</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已入库未反馈监控</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按征收税务机关、缴费人类型、入库日期、社保编码、缴费人识别号、缴费人名称等查询条件，对指定入库日期已入库未反馈缴费信息给人社、医保部门的数据进行监控查询。</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单位未缴费监控</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按征收税务机关、费款所属期等查询条件，统计查询各税务机关管理范围内未缴费单位总数和缴费金额合计；支持下钻查看未缴费单位的明细数据，内容包括：缴费人识别号、缴费人名称、社保编码、征收项目、征收品目、征收子目、费款所属期起、费款所属期止、申报日期、社保属性、数据来源、应缴费金额、缴款期限、逾期状态、开票状态等信息。</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单位逾期未申报监控</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按征收税务机关、费款所属期等查询条件，统计查询各税务机关管理范围内逾期（可配置）未申报单位总数和缴费金额合计；支持下钻查看未缴费单位的明细数据，内容包括：缴费人识别号、缴费人名称、社保编码、征收项目、征收品目、征收子目、费款所属期起、费款所属期止、申报日期、社保属性、数据来源、应缴费金额、缴款期限、逾期状态、开票状态等信息。</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25" w:name="_Toc4513"/>
      <w:r>
        <w:rPr>
          <w:rFonts w:hint="eastAsia" w:ascii="Times New Roman" w:hAnsi="Times New Roman" w:eastAsia="宋体" w:cs="Times New Roman"/>
          <w:color w:val="auto"/>
          <w:kern w:val="2"/>
          <w:sz w:val="21"/>
          <w:szCs w:val="21"/>
          <w:highlight w:val="none"/>
          <w:lang w:val="en-US" w:eastAsia="zh-CN" w:bidi="ar-SA"/>
        </w:rPr>
        <w:t>3.3标准版管理子系统及客户端统模式实施服务</w:t>
      </w:r>
      <w:bookmarkEnd w:id="125"/>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总体需求如下：</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（一）统一征收方式实施工作</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 xml:space="preserve">主要包括政策梳理、环境准备、升级部署、初始化、数据交接、数据迁移、自主试算、操作培训、全流程测试、缴费人公告及培训、系统切换等工作。 </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（二）关联系统联调测试</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按照国家税务总局黑龙江省税务局关于统一社会保险费征收模式的要求，完成社保费（标准版）各子系统之间以及与人社、医保、财政、人行国库、商业银行等机构关联系统的联调测试，保障社保费征收模式顺利切换。</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3.3.1总集成服务</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社保费标准版系统具有建设起点高、规范性强、涉及面广、业务耦合度紧密、技术复杂度高等特点，主要包括管理子系统、征收子系统、税银子系统、信息共享平台（税务端）、税库银系统、决策支持系统（一包）、决策支持系统（二包）等8个子系统。</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管理子系统是社保费标准版的业务处理核心，承担升级优化上线总集成职责，项目实施难度和代价很高，内部需要对接8个子系统，外部需要对接人社、医保业务经办系统，需要对接上线单位的电子税务局等多个缴费渠道和多家银行。为保证升级优化工作井然有序、有条不紊的进行，顺利完成系统上线切换，需要协助上线单位做好总集成管控和上线管控，包括协助制定本省升级优化实施方案，并根据实施方案要求，开展系统实施部署、系统初始化、数据迁移、全流程测试、压力测试、上线切换等事项的过程管控，协调和管理各方完成计划内工作，提交满足要求的工作成果，并对工作成果进行初步审查，同时对于升级优化上线实施过程中出现的问题进行分析并提供解决方案，供上线单位决策、应用软件厂商解决问题使用。</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3.3.2环境部署</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采购人在完成基础硬件准备和操作系统、基础应用软件（数据库、中间件和OGG等）等部署后，中标人即可开展社保费管理子系统客户端和模拟试算环境部署工作。主要是根据采购人要求完成预生产、生产环境的实施部署，保障用户测试、预约办理业务等上线过程中系统运行稳定，并保障系统按期完成上线切换、运行平稳。中标人提供的系统部署服务主要包括：应用系统部署、数据库初始化、OGG链路部署、系统调优、系统接口联调、安全等级测评、上线环境保障等工作。</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系统上线期间，中标人协助采购人开展系统运行维护，及时处理上线期间采购人提交的系统问题，实时监控系统运行情况，保障系统运行环境正常稳定运行，按流程开展系统版本升级发布，及时处理系统上线期间发生的各类故障。</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3.3.3业务差异分析</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业务差异分析的背景是为了稳步推进社会保险费征收体制改革，深入贯彻习近平总书记在中共中央政治局第二十八次集体学习时的重要讲话精神以及总局党委关于社保费信息化建设的部署要求，巩固社保费征收职责划转成果，为统一规范社保费征收服务工作提供信息化支撑，全国统一上线金税三期社保费征管信息系统（标准版），满足总局创新落实中央关于健全多层次社会保障体系决策部署的内在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业务差异分析的目标并不是进行本地差异化开发，而是将差异分析清册上报总局，由总局进行审核确认，确认结果有以下几类：一是总局采纳的，由总局负责纳入标准版；二是总局部分采纳的，对于采纳的部分纳入总局标准版；三是总局决定不采纳的，一般的处理建议是规范业务，以总局规范业务为准，确属本地特色业务但不纳入总局标准版，由黑龙江省自行建设；四是对于业务影响面较广同时又属于业务发展方向的，列入后续专题研究事项。</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3.3.4系统初始化服务</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上线运行前，需要根据上线单位的实际情况进行参数设置，并采集初始数据的过程。系统初始化是管理子系统运行的基础。系统初始化在必须在系统运行前完成，部分设置可以在系统使用后进行修改。系统初始化将对系统的后续运行产生重要影响，因此系统初始化工作必须完整且尽量满足上线单位的需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社保费业务管理流程中，同一业务功能在不同的地区、针对不同人群可能会有不同的业务要求，系统需要灵活配置来满足各地的差异化，在信息化系统中一般采用参数配置方式来实现。系统初始化是系统首次使用时，根据上线单位的实际情况采集配置参数，导入到系统的过程。系统初始化工作是系统运行的必要前提，需要结合本地的实际情况进行采集。系统初始化将对系统的后续运行产生重要影响，因此系统初始化工作必须完整且准确。</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系统初始化主要包括应用初始化、参数初始化，其中和业务相关的参数初始化主要工作是协助上线单位组织开展系统初始化数据采集和审核等工作，包括编写本省初始化方案、协同组织本省系统初始化工作、协助上线单位完成系统初始化成果审核、最终系统初始化成果灌装等。</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3.3.5数据迁移服务</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数据迁移工作，是升级优化的关键任务之一，是指在升级优化实施过程中，将人社、医保部门按信息共享平台2.0要求移交的满足用人单位和个人自行向税务部门申报缴纳社保费所需的参保登记信息、工伤保险浮动费率等数据，通过数据接收、检查、清洗、比对、整改、加工、转换，最终投放到系统中。</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为保持数据的一致性和准确性，需要人社、医保部门在系统切换前，向税务部门重新移交全量参保数据，税务部门接收到全量参保数据后，通过全量数据比对，新增或更新系统中已有的参保数据，确保数据一致，满足升级优化的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为保持数据一致，需要人社、医保部门向税务机关移交当前业务经办系统中存量基础参保数据，包括单位、职工、承建单位、灵活就业人员基础信息和参保信息，税务接收人社、医保部门移交的信息后，进行人社标准和税务标准的转换，最终投放到系统中，数据的清洗、校验、整改、比对等工作，全量数据比对工作一般要经过多轮（根据其他省份经验，至少需要进行5轮），以确保数据质量可靠，参保信息准确、一致。</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3.3.6模拟试算服务</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模拟试算工作，是升级优化工作的关键工作，以人社、医保部门提供核定的分险种职工明细核定数据、灵活就业人员核定数据为参照，对比社保费标准版计算的职工明细应缴费金额、灵活就业人员应缴费金额，分析评估税务部门计费规则和算法的正确性的过程。通过模拟试算，税务部门可整理出较完整的待确认信息，改变以往低效率的“挤牙膏式”沟通方式，与人社、医保部门共同解决遇到的问题。</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模拟试算工作和业务确认工作需要同步开展，业务确认工作由业务人员承担；模拟试算工作主要以技术人员为主。业务人员对模拟试算工作中暴露出来的问题进行及时的业务确认，联合制定数据质量整改方案，并在模拟试算过程中梳理确认特殊的参保人员类别和特殊的计费规则及算法，及时调整系统初始化表。模拟试算工作贯穿数据交接、数据迁移、初始化等过程，需要开展多轮，反复迭代。</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3.3.7系统测试服务</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上线实施过程中，通过调试验证，确保社保项目各系统软件间的业务交互正常、确保管理子系统与信息共享（税务端）系统连接交互正常、确保各系统业务功能能给正常办理、各系统间的功能调用的正常、系统性能够满足业务经办的需要。包括联调测试、共享平台测试、功能测试、性能测试和用户测试等。</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3.3.8用户培训服务</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对社保征收、管理岗位的业务骨干进行集中系统操作培训工作，统筹全省各市、县（区）单位开展缴费人培训，明确培训目标，分区域、分缴费群体、分批次组织对缴费人开展各渠道端缴费功能操作培训，宣传系统升级优化重要意义，有效降低系统升级优化后缴费人端的咨询压力，提升缴费人满意度，预防负面舆情等。</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3.3.9升级优化切换服务</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上线单位需要在上线前组织技术服务厂商开展上线切换工作，上线切换工作是系统上线前的最后步骤，也是最关键的步骤，主要包括数据清理、数据投放、系统检查、系统切换、预约纳税人和培训等工作。</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切换上线后，全面受理缴费人办费业务。系统上线后，税务、人社、医保组成运行保障联合工作组，实行值班制度，监控系统运行情况，做好相关问题应急处理工作，确保税务征收平稳运行。</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税务部门组织系统上线前部署工作，明确及细化各项工作开始时间、完成时间、责任人、前置约束条件、任务要点等内容，包括：</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发布本省税务机关征收社保费公告、开展本省多渠道宣传为缴费人提供业务辅导和政策答疑。</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通过多种方式对缴费人开展社保费缴费软件操作培训。</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按需组织缴费人（灵活就业人员、纯社保户等）签订三方协议、开展缴费人缴费预约等工作事项。</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26" w:name="_Toc22806"/>
      <w:r>
        <w:rPr>
          <w:rFonts w:hint="eastAsia" w:ascii="Times New Roman" w:hAnsi="Times New Roman" w:eastAsia="宋体" w:cs="Times New Roman"/>
          <w:color w:val="auto"/>
          <w:kern w:val="2"/>
          <w:sz w:val="21"/>
          <w:szCs w:val="21"/>
          <w:highlight w:val="none"/>
          <w:lang w:val="en-US" w:eastAsia="zh-CN" w:bidi="ar-SA"/>
        </w:rPr>
        <w:t>3.3.10社保费管理客户端部署</w:t>
      </w:r>
      <w:bookmarkEnd w:id="126"/>
      <w:r>
        <w:rPr>
          <w:rFonts w:hint="eastAsia" w:ascii="Times New Roman" w:hAnsi="Times New Roman" w:eastAsia="宋体" w:cs="Times New Roman"/>
          <w:color w:val="auto"/>
          <w:kern w:val="2"/>
          <w:sz w:val="21"/>
          <w:szCs w:val="21"/>
          <w:highlight w:val="none"/>
          <w:lang w:val="en-US" w:eastAsia="zh-CN" w:bidi="ar-SA"/>
        </w:rPr>
        <w:t>服务</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中标人提供的社保费管理客户端部署服务包括：客户端下载安装包制作、在线升级服务器部署、接收管理节点部署、JMS服务器部署、Java消息服务（Java Message Service）、应用程序接口部署、JMS服务器部署、连接工厂及消息队列部署、数据源及连接池部署。</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3.3.11正式上线</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系统切换上线后,中标人应加大力度监控系统运行及业务受理情况，分析业务办理过程中产生的问题并及时处理，保障新系统切换后缴费人业务办理流畅。</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四、实施要求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（一）总体要求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中标人应充分理解本项目具有的业务复杂性、渠道多样性、规模巨大、性能和可靠性要求高等特点，在本项目国家税务总局总体实施要求的基础上，提出更科学、更合理、更有效的符合黑龙江省本地的实施方案。</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2、投标人应成立项目管理组织，严格遵守采购人项目管控的要求。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3、投标人必须在项目过程中，选派工作责任心强、技术水平高、业务熟练、管理经验丰富的人员专职参加该项目。</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4、投标人应基于成熟的项目管理方法论，制订完善的项目管理制度、流程，合理划分项目管理的阶段，借助工程管理工具，在项目实施过程中对项目进行规范化管理，确保项目实施进度和实施质量。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5、投标人应提供项目管理方案，至少覆盖进度管理、范围管理、风险管理、需求管理、质量管理、资源管理、时间管理、沟通管理等。</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6、投标人各阶段产出物采用特殊格式的，投标人需提供相应的打开、编译、运行、修改、打印等工具，并确保招标人无限制的使用；不受版权和知识产权限制，招标人不对工具额外付费。</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（二）项目进度和质量管理要求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1、中标人须采用科学合理的方法确定进度目标，编制进度计划和资源供应计划，进行进度控制，在与质量、费用目标协调的基础上，实现工期目标。</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2、中标通知书下达后3个工作日内，中标人须向招标人提供详细、可行的实施方案，并做好项目实施的准备工作，项目进度要求以合同约定为准。</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3、中标人应在投标方案中说明如何建立保证项目实施的质量保证体系。保证系统上线实施的质量。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（三）项目组织和人员要求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本项目成立由招标人、投标人共同组成的项目管理机构，负责整个项目的实施工作。投标人的专职项目团队必须严格遵守国家的政策法规，执行项目管理机构的各项规章制度，服从管理和调度，认真履行工作职责，圆满完成工作任务。</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2、投标人应在项目开始时提交项目参与人员名单，经招标人确认。投标人应保证项目组成员的稳定性，如特殊情况需要调整项目组成员的，应提前一个月书面通知招标人，并获得招标人的确认后才能安排调整。</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投标人必须在项目过程中，选派工作责任心强、技术水平高、业务熟练、管理经验丰富的人员专职参加该项目。项目实施人员应与投标文件中所提供的人员名单相符，不经招标人许可随意变更，招标人有权追究投标人责任，并采取相应处罚措施。</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4、项目成员应熟练掌握技术技能，对税务知识有清晰的认识，各项目小组需具备不同的专业人员，项目成员分工应合理。</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5、招标人如认为投标人的项目组成员达不到要求，有权要求投标人更换，投标人必须在一周之内调换符合招标人要求的项目组成员。</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6、为保障项目质量与进度，要求中标人在项目建设期间，保证人员投入。</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五、总体技术要求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27" w:name="_Toc5193"/>
      <w:r>
        <w:rPr>
          <w:rFonts w:hint="eastAsia" w:ascii="Times New Roman" w:hAnsi="Times New Roman" w:eastAsia="宋体" w:cs="Times New Roman"/>
          <w:color w:val="auto"/>
          <w:kern w:val="2"/>
          <w:sz w:val="21"/>
          <w:szCs w:val="21"/>
          <w:highlight w:val="none"/>
          <w:lang w:val="en-US" w:eastAsia="zh-CN" w:bidi="ar-SA"/>
        </w:rPr>
        <w:t>1.技术标准与规范要求</w:t>
      </w:r>
      <w:bookmarkEnd w:id="127"/>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系统在建设过程中必须参照国家电子政务标准和税务系统信息化建设标准与规范的有关要求进行实施，符合国家税务总局金税三期系统建设相关标准规范要求。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28" w:name="_Toc8431"/>
      <w:r>
        <w:rPr>
          <w:rFonts w:hint="eastAsia" w:ascii="Times New Roman" w:hAnsi="Times New Roman" w:eastAsia="宋体" w:cs="Times New Roman"/>
          <w:color w:val="auto"/>
          <w:kern w:val="2"/>
          <w:sz w:val="21"/>
          <w:szCs w:val="21"/>
          <w:highlight w:val="none"/>
          <w:lang w:val="en-US" w:eastAsia="zh-CN" w:bidi="ar-SA"/>
        </w:rPr>
        <w:t>2.系统安全性要求</w:t>
      </w:r>
      <w:bookmarkEnd w:id="128"/>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必须保证系统安全性，需要从系统级、应用级、管理级三个层次具有较好的安全性。需要按照国家税务总局《电子税务局规范-安全规范》、《税务系统信息安全等级保护基本要求》中等级保护三级要求、《网上办税系统技术要求》、《税务移动应用安全开发和评估规范》等规范要求，能够保证系统安全、网络安全以及数据安全。在稳定性方面，系统要求能够满足7×24小时无人值守的稳定工作，具备较强的系统安全性和灾难恢复能力，系统具备强有力的安全保障措施。</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29" w:name="_Toc7681"/>
      <w:r>
        <w:rPr>
          <w:rFonts w:hint="eastAsia" w:ascii="Times New Roman" w:hAnsi="Times New Roman" w:eastAsia="宋体" w:cs="Times New Roman"/>
          <w:color w:val="auto"/>
          <w:kern w:val="2"/>
          <w:sz w:val="21"/>
          <w:szCs w:val="21"/>
          <w:highlight w:val="none"/>
          <w:lang w:val="en-US" w:eastAsia="zh-CN" w:bidi="ar-SA"/>
        </w:rPr>
        <w:t>3.可靠性要求</w:t>
      </w:r>
      <w:bookmarkEnd w:id="129"/>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系统无单点故障，系统具有动态负载均衡处理能力。保证7*24小时不间断工作。须保证即便某些节点发生了永久性的失败，系统架构也能够保证这些节点所处理和存储的数据也不会丢失。</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30" w:name="_Toc15214"/>
      <w:r>
        <w:rPr>
          <w:rFonts w:hint="eastAsia" w:ascii="Times New Roman" w:hAnsi="Times New Roman" w:eastAsia="宋体" w:cs="Times New Roman"/>
          <w:color w:val="auto"/>
          <w:kern w:val="2"/>
          <w:sz w:val="21"/>
          <w:szCs w:val="21"/>
          <w:highlight w:val="none"/>
          <w:lang w:val="en-US" w:eastAsia="zh-CN" w:bidi="ar-SA"/>
        </w:rPr>
        <w:t>4.系统兼容性要求</w:t>
      </w:r>
      <w:bookmarkEnd w:id="130"/>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系统应支持多种硬件服务器，平台可兼容Linux，AIX，Windows Server等主流操作系统。</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系统应能有效支持各种主流的浏览器（IE8及以上、chrome、firefox、safari）与手机客户端操作系统（Android4.1及以上和IOS6及以上），并在不同的终端上提供一致的用户体验。</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系统应具备可伸缩性，提供横纵向扩展能力，增加硬件资源后，能有效提高系统的业务处理能力。</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六、服务要求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（一）技术支持服务要求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系统上线后，中标人需要按合同约定的期限进行技术支持保障工作，保证系统平稳运行。在服务期内，中标人提供的服务和技术支持包括但不限于以下内容：</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1、问题解答</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1）中标人应对软件使用过程中出现的各类问题进行解答；</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2）处理建议应以前台操作为主，能够通过前台操作完成的，尽量不在后台调整；</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3）操作中出现的常见问题，应及时通过技术支持渠道向用户发布；</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4）中标人应对问题解答风险负责，如因中标人解答不当，造成招标人的损失，中标人应负责相应责任。</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2、故障处理</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1）系统运行、升级期间出现故障由中标人及时到现场进行处理、解决；</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2）中标人应对系统故障提出故障处理建议，经招标人同意后，由中标人进行排除、系统调优或重置；</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3）中标人应对系统故障的处理风险负责，如因中标人技术人员的处理不当，造成招标人的损失，中标人应负责相应责任。</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3、基础环境运维</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1）对运维系统所涉主机、数据库、中间件等IT资源的日常监控和调优；</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2）对系统性能进行监控，定期提供性能报表和趋势表，为应用性能优化提供科学依据；</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3）经招标人同意后进行各项系统级参数的调整，日志空间整理，以保证系统的稳定高效运行；</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4）完成故障事件收集、过滤、关联和处理等工作，实现对故障的快速定位、处理或反馈。</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4、应用系统运维</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1）负责完成总局统一版本的升级维护，配合招标人完成软件升级测试等工作；</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2）对系统和各功能模块的运行效率、性能进行监控；</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3）受理基层操作人员问题，进行问题核实，解决问题。</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（二）服务响应要求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驻场人员工作时间为每周一至周五（遇国家法定节假日有冲突的，将按照相关规定进行调整），驻场人员每个工作日为8小时工作制，具体作息时间根据招标方要求进行调整，投标方须提供7*24小时技术支持响应。</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1.维护响应时间</w:t>
      </w:r>
    </w:p>
    <w:tbl>
      <w:tblPr>
        <w:tblStyle w:val="23"/>
        <w:tblW w:w="8661"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92"/>
        <w:gridCol w:w="4965"/>
        <w:gridCol w:w="180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6" w:hRule="atLeast"/>
          <w:jc w:val="center"/>
        </w:trPr>
        <w:tc>
          <w:tcPr>
            <w:tcW w:w="1892" w:type="dxa"/>
            <w:shd w:val="pct10" w:color="auto" w:fill="auto"/>
            <w:vAlign w:val="center"/>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支持类型</w:t>
            </w:r>
          </w:p>
        </w:tc>
        <w:tc>
          <w:tcPr>
            <w:tcW w:w="4965" w:type="dxa"/>
            <w:shd w:val="pct10" w:color="auto" w:fill="auto"/>
            <w:vAlign w:val="center"/>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响应标准</w:t>
            </w:r>
          </w:p>
        </w:tc>
        <w:tc>
          <w:tcPr>
            <w:tcW w:w="1804" w:type="dxa"/>
            <w:shd w:val="pct10" w:color="auto" w:fill="auto"/>
            <w:vAlign w:val="center"/>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5" w:hRule="atLeast"/>
          <w:jc w:val="center"/>
        </w:trPr>
        <w:tc>
          <w:tcPr>
            <w:tcW w:w="1892" w:type="dxa"/>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操作问题解答</w:t>
            </w:r>
          </w:p>
        </w:tc>
        <w:tc>
          <w:tcPr>
            <w:tcW w:w="4965" w:type="dxa"/>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现场及时答复</w:t>
            </w:r>
          </w:p>
        </w:tc>
        <w:tc>
          <w:tcPr>
            <w:tcW w:w="1804" w:type="dxa"/>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0" w:hRule="atLeast"/>
          <w:jc w:val="center"/>
        </w:trPr>
        <w:tc>
          <w:tcPr>
            <w:tcW w:w="1892" w:type="dxa"/>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数据修改</w:t>
            </w:r>
          </w:p>
        </w:tc>
        <w:tc>
          <w:tcPr>
            <w:tcW w:w="4965" w:type="dxa"/>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小于2个工作日</w:t>
            </w:r>
          </w:p>
        </w:tc>
        <w:tc>
          <w:tcPr>
            <w:tcW w:w="1804" w:type="dxa"/>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从问题流转到投标方开始计算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0" w:hRule="atLeast"/>
          <w:jc w:val="center"/>
        </w:trPr>
        <w:tc>
          <w:tcPr>
            <w:tcW w:w="1892" w:type="dxa"/>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查询口径、表样规格、数据源、数据质量等程序问题</w:t>
            </w:r>
          </w:p>
        </w:tc>
        <w:tc>
          <w:tcPr>
            <w:tcW w:w="4965" w:type="dxa"/>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一线工作人员能够处理的问题，应在2个工作日内处理完毕；提交二线工作人员解决的，应在5个工作日内处理完毕，如因特殊原因不能在规定日期处理完毕，需明确处理完成时限和处理方案，并经招标方同意方可延期。</w:t>
            </w:r>
          </w:p>
        </w:tc>
        <w:tc>
          <w:tcPr>
            <w:tcW w:w="1804" w:type="dxa"/>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从问题流转到投标方开始计算。</w:t>
            </w:r>
          </w:p>
        </w:tc>
      </w:tr>
    </w:tbl>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2.故障响应时间</w:t>
      </w:r>
    </w:p>
    <w:tbl>
      <w:tblPr>
        <w:tblStyle w:val="23"/>
        <w:tblpPr w:leftFromText="180" w:rightFromText="180" w:vertAnchor="text" w:horzAnchor="page" w:tblpX="1737" w:tblpY="661"/>
        <w:tblOverlap w:val="never"/>
        <w:tblW w:w="859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3"/>
        <w:gridCol w:w="2931"/>
        <w:gridCol w:w="44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9" w:hRule="atLeast"/>
        </w:trPr>
        <w:tc>
          <w:tcPr>
            <w:tcW w:w="1233" w:type="dxa"/>
            <w:shd w:val="clear" w:color="auto" w:fill="E6E6E6"/>
            <w:vAlign w:val="center"/>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故障等级</w:t>
            </w:r>
          </w:p>
        </w:tc>
        <w:tc>
          <w:tcPr>
            <w:tcW w:w="2931" w:type="dxa"/>
            <w:shd w:val="clear" w:color="auto" w:fill="E6E6E6"/>
            <w:vAlign w:val="center"/>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现象描述</w:t>
            </w:r>
          </w:p>
        </w:tc>
        <w:tc>
          <w:tcPr>
            <w:tcW w:w="4433" w:type="dxa"/>
            <w:shd w:val="clear" w:color="auto" w:fill="E6E6E6"/>
            <w:vAlign w:val="center"/>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响应时间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69" w:hRule="atLeast"/>
        </w:trPr>
        <w:tc>
          <w:tcPr>
            <w:tcW w:w="1233" w:type="dxa"/>
            <w:vAlign w:val="center"/>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严重程度I</w:t>
            </w:r>
          </w:p>
        </w:tc>
        <w:tc>
          <w:tcPr>
            <w:tcW w:w="2931" w:type="dxa"/>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导致招标方的业务系统完全丧失服务功能，对业务至关重要的工作无法继续进行，如数据库主机宕机。</w:t>
            </w:r>
          </w:p>
        </w:tc>
        <w:tc>
          <w:tcPr>
            <w:tcW w:w="4433" w:type="dxa"/>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非硬件故障和非系统软件本身BUG问题引起的宕机30分钟内恢复系统运行。</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硬件故障和系统软件本身BUG问题30分钟内通知厂商，主机故障解决时间要视厂商的解决时间。12小时内解决问题。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46" w:hRule="atLeast"/>
        </w:trPr>
        <w:tc>
          <w:tcPr>
            <w:tcW w:w="1233" w:type="dxa"/>
            <w:vAlign w:val="center"/>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严重程度Ⅱ</w:t>
            </w:r>
          </w:p>
        </w:tc>
        <w:tc>
          <w:tcPr>
            <w:tcW w:w="2931" w:type="dxa"/>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系统中关键功能实现错误，直接导致业务无法正常进行并且无补救措施。</w:t>
            </w:r>
          </w:p>
        </w:tc>
        <w:tc>
          <w:tcPr>
            <w:tcW w:w="4433" w:type="dxa"/>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30分钟内响应，3小时内提出解决方案，24小时内解决问题。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13" w:hRule="atLeast"/>
        </w:trPr>
        <w:tc>
          <w:tcPr>
            <w:tcW w:w="1233" w:type="dxa"/>
            <w:vAlign w:val="center"/>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严重程度Ⅲ</w:t>
            </w:r>
          </w:p>
        </w:tc>
        <w:tc>
          <w:tcPr>
            <w:tcW w:w="2931" w:type="dxa"/>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系统中非关键功能实现错误，单一模块不能继续运转或错误，但不影响业务的正常进行。</w:t>
            </w:r>
          </w:p>
        </w:tc>
        <w:tc>
          <w:tcPr>
            <w:tcW w:w="4433" w:type="dxa"/>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30分钟内响应，5小时内提出解决方案，48小时内解决问题。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29" w:hRule="atLeast"/>
        </w:trPr>
        <w:tc>
          <w:tcPr>
            <w:tcW w:w="1233" w:type="dxa"/>
            <w:vAlign w:val="center"/>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严重程度Ⅳ</w:t>
            </w:r>
          </w:p>
        </w:tc>
        <w:tc>
          <w:tcPr>
            <w:tcW w:w="2931" w:type="dxa"/>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系统中非关键功能实现错误，如系统操作时间过长，界面需要改进等，但不影响系统正常运转。</w:t>
            </w:r>
          </w:p>
        </w:tc>
        <w:tc>
          <w:tcPr>
            <w:tcW w:w="4433" w:type="dxa"/>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30分钟内响应，12小时内提出解决方案，五天内解决问题。</w:t>
            </w:r>
          </w:p>
        </w:tc>
      </w:tr>
    </w:tbl>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七、验收要求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验收工作由招标人组织实施，投标人应完成项目验收的相关验收场景和资料的准备。</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（一）验收标准</w:t>
      </w:r>
      <w:r>
        <w:rPr>
          <w:rFonts w:hint="eastAsia" w:ascii="Times New Roman" w:hAnsi="Times New Roman" w:eastAsia="宋体" w:cs="Times New Roman"/>
          <w:color w:val="auto"/>
          <w:kern w:val="2"/>
          <w:sz w:val="21"/>
          <w:szCs w:val="21"/>
          <w:highlight w:val="none"/>
          <w:lang w:val="en-US" w:eastAsia="zh-CN" w:bidi="ar-SA"/>
        </w:rPr>
        <w:tab/>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1.验收的原则和依据</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本着保证质量、注重应用、功能适用的原则，以本项目招标文件、合同和业务需求及相关技术标准规范为验收的主要依据。</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2.验收标准</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系统运行正常。</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招标文件和合同要求全部完成，并满足要求。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各种技术文档和验收资料完备，符合合同的内容。</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系统监控和数据处理符合信息安全的要求。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合同或合同附件规定的其他验收条件。</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（二）项目验收</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投标人应根据合同约定验收的要求以及验收工作的内容，协助制定验收方案；</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投标人应为验收工作准备相应的验收环境和所需资料；</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协助招标人全面、准确验证软件的各项功能模块是否达到标准；</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协助招标人全面、准确验证软件的各项性能是否能达到要求；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投标人应对验收中发现的问题制定详细明确的处理方案并及时修改；</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投标人必须按招标人要求提交移交物清单及清单所列内容的最终版本（包括纸制和电子版），并经招标人签字确认；</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投标人协助编写并提交验收报告等文档。</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（三）交付物要求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1、验收方案</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内容包括但不限于：详细描述验收目的、验收内容、技术条件、验收方法、进度安排、人员组成、验收准则、验收数据准备等。</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2、验收报告</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内容包括但不仅限于：详细描述和总结验收依据、验收内容、验收过程、验收准则、验收报告结论存在问题、优化完善建议等。</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3、移交物清单及交付物</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内容包括但不局限于：管理文档、用户文档、上线相关文档等。</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八、其他要求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（一）保密要求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中标人参与项目的所有人员应严格遵守招标人的保密要求，签订保密协议，并由中标人担保；招标人对于中标人提供的资料，不得以任何形式向第三方传播。保密期限不受本项目期限的限制，在本项目履行完毕后，保密信息接受方仍应承担保密义务。</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（二）知识产权要求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招标人对项目实施过程中所产生的所有成果（包括相关技术资料、文档等）享有所有权（永久使用权、复制权和修改权等）。除本项目工作所需外，未经招标人书面同意，中标人不得擅自使用、复制招标人的标志、数据信息、文档及其他资料。</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2、中标人应保证在本项目中所有预装和为本项目安装的软件为在中国境内具有合法版权或使用权的正版软件且无质量瑕疵。</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3、中标人保证所提供的产品及服务不侵犯第三方的知识产权，否则，由此给招标人造成的一切损失由中标人承担。</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（三）归档要求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中标人应对该项目所涉及的需求分析、联调测试、培训推广等各阶段工作文档，按招标人质量、数量、提供方式、提供时间等要求进行整理，并提交招标人归档。</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center"/>
        <w:textAlignment w:val="auto"/>
        <w:rPr>
          <w:rFonts w:hint="eastAsia" w:ascii="Times New Roman" w:hAnsi="Times New Roman" w:eastAsia="宋体" w:cs="Times New Roman"/>
          <w:b/>
          <w:bCs/>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br w:type="page"/>
      </w:r>
      <w:r>
        <w:rPr>
          <w:rFonts w:hint="eastAsia" w:ascii="Times New Roman" w:hAnsi="Times New Roman" w:eastAsia="宋体" w:cs="Times New Roman"/>
          <w:b/>
          <w:bCs/>
          <w:color w:val="auto"/>
          <w:kern w:val="2"/>
          <w:sz w:val="21"/>
          <w:szCs w:val="21"/>
          <w:highlight w:val="none"/>
          <w:lang w:val="en-US" w:eastAsia="zh-CN" w:bidi="ar-SA"/>
        </w:rPr>
        <w:t>包二：金税三期社保费征管信息系统（标准版）征收子系统“统模式”部署实施项目</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一、项目背景</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为贯彻落实党中央、国务院关于实现企业职工基本养老保险全国统筹的决策部署，推动用人单位和个人自行向税务部门申报缴纳社会保险费，落实《国务院办公厅关于印发〈企业职工基本养老保险全国统筹制度实施方案〉的通知》（国办发〔2021〕48号）、《国家税务总局财政部人力资源社会保障部中国人民银行国家医保局关于印发&lt;统一社会保险费征收模式实施方案&gt;的通知》（税总社保发〔2022〕56号）及《国家税务总局办公厅关于印发&lt;税务部门统一社会保险费征收模式工作方案&gt;的通知》(税总办社保发〔2022〕61号)文件要求，稳妥有序推进统一社保费征收模式工作（以下简称“统模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按照党中央、国务院决策部署，认真落实“统模式”的任务安排和工作要求，坚持稳字当头、细致安排，开展金税三期社保费征管信息系统（标准版）（以下简称社保费标准版）“统模式”的上线和实施工作，实现用人单位和个人自行向税务部门申报缴纳社会保险费，确保系统平稳运行，进一步优化缴费服务，增强缴费人获得感。</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二、建设目标</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按照党中央、国务院决策部署，认真落实“统模式”的任务安排和工作要求，坚持稳字当头、细致安排，开展社保费标准版 “统模式”的上线和实施工作，实现用人单位和个人自行向税务部门申报缴纳社会保险费，确保系统平稳运行，进一步优化缴费服务，增强缴费人获得感。</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(一)确保“统模式”平稳推广，规范社保费征收管理</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按照“统模式”实施工作要求，省税务部门应及时协调人社、医保等部门共同开展社保费政策和业务梳理、存量数据清洗、比对和转换、投放等工作，按照“统模式”职责边界完成业务交接，调整优化征管流程和岗责体系，确保征缴业务流程的规范、统一。</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（二）确保信息系统衔接顺畅，提高信息管费水平</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省税务部门应做好社保费标准版升级评估及保障工作，并结合本省应用系统情况，开展特色软件改造，做好与人社、医保部门信息系统衔接，充分发挥社保费标准版和本省自有系统的功能优势，实现信息管费水平的进一步提升。</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（三）确保缴费人端软件稳定，提升缴费服务水平</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省税务部门在“统模式”过程中要遵循金税三期工程有关标准规范，优化改造各类缴费人端软件。</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按照《税务部门统一社会保险费征收模式工作方案》通知的工作安排，完成黑龙江省 “统模式”上线和实施工作。</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主要内容包括如下：</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1、定制本省征收子系统“统模式”上线和实施方案。</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2、业务差异分析服务。</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3、征收子系统标准版“统模式”初始化服务。</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4、征收子系统标准版“统模式”代码转换和数据迁移服务。</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5、联调测试服务（应用总集成）。</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6、全流程测试服务。</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7、性能测试工作。</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8、操作培训服务。</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9、上线切换服务。</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三、项目具体需求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3.1定制本省征收子系统“统模式”上线和实施方案</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配合省局，完成制定征收子系统实施方案，明确工作目标、 组织结构及分工， 对实施工作进行明细分工，责任到人。涉及主要工作包括需求差异分析、 初始化、 联调测试、 系统全流程测试、 系统培训及上线切换等工作。 确保社保费征收子系统按省局工作要求平稳上线。</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3.2业务差异分析服务</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配合省局， 完成征收子系统需求差异分析、 讨论及确认， 明确业务需求。制定差异分析工作方案及差异分析清册模板，明确差异分析范围和内容、处理原则、完成时限及责任单位。对照总局定版业务需求及社保费征收子系统业务实现要求，与本省人社及医保部门就需求和本省工作实践中存在的业务差异、用户体验差异、代码差异等，进行分析，填写《系统差异分析清册》，提出处理意见并提交差异业务需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3.3 征收子系统标准版“统模式”初始化服务</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配合省局，完成征收子系统的初始化工作，组织开展初始化数据采集、 审核及投放等工作。初始化工作主要分为三个阶段，分别为筹划准备阶段、 采集实施阶段与检查验证阶段。</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1）筹划准备阶段，需要完成的主要工作包含完成初始化工作方案的编制工作，包括初始化采集模板等。</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2）采集实施阶段，需要完成的主要工作包含组织初始化采集表的采集与审核工作、采集数据向预生产环境的导入工作、问题的总结与上报工作等。</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3）检查验证阶段，需要完成的主要工作包含采集初始化数据向预生产环境的导入工作、初始化数据的验证与修正工作等； 并对采集的数据进行质量的检查， 进行修正、重新采集等，最终形成初始化数据基线。</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社保费征收子系统初始化采集内容包括代码表、参数表、岗责及工作流，各类别采集表数量分布如下：</w:t>
      </w:r>
    </w:p>
    <w:tbl>
      <w:tblPr>
        <w:tblStyle w:val="24"/>
        <w:tblW w:w="843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6"/>
        <w:gridCol w:w="1276"/>
        <w:gridCol w:w="1843"/>
        <w:gridCol w:w="44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46" w:type="dxa"/>
            <w:shd w:val="clear" w:color="auto" w:fill="BEBEBE" w:themeFill="background1" w:themeFillShade="BF"/>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序号</w:t>
            </w:r>
          </w:p>
        </w:tc>
        <w:tc>
          <w:tcPr>
            <w:tcW w:w="1276" w:type="dxa"/>
            <w:shd w:val="clear" w:color="auto" w:fill="BEBEBE" w:themeFill="background1" w:themeFillShade="BF"/>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类别</w:t>
            </w:r>
          </w:p>
        </w:tc>
        <w:tc>
          <w:tcPr>
            <w:tcW w:w="1843" w:type="dxa"/>
            <w:shd w:val="clear" w:color="auto" w:fill="BEBEBE" w:themeFill="background1" w:themeFillShade="BF"/>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采集表数量</w:t>
            </w:r>
          </w:p>
        </w:tc>
        <w:tc>
          <w:tcPr>
            <w:tcW w:w="4473" w:type="dxa"/>
            <w:shd w:val="clear" w:color="auto" w:fill="BEBEBE" w:themeFill="background1" w:themeFillShade="BF"/>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46" w:type="dxa"/>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w:t>
            </w:r>
          </w:p>
        </w:tc>
        <w:tc>
          <w:tcPr>
            <w:tcW w:w="1276" w:type="dxa"/>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代码表</w:t>
            </w:r>
          </w:p>
        </w:tc>
        <w:tc>
          <w:tcPr>
            <w:tcW w:w="1843" w:type="dxa"/>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15</w:t>
            </w:r>
          </w:p>
        </w:tc>
        <w:tc>
          <w:tcPr>
            <w:tcW w:w="4473" w:type="dxa"/>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主要包括国库、 街道等。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46" w:type="dxa"/>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w:t>
            </w:r>
          </w:p>
        </w:tc>
        <w:tc>
          <w:tcPr>
            <w:tcW w:w="1276" w:type="dxa"/>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参数表</w:t>
            </w:r>
          </w:p>
        </w:tc>
        <w:tc>
          <w:tcPr>
            <w:tcW w:w="1843" w:type="dxa"/>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62</w:t>
            </w:r>
          </w:p>
        </w:tc>
        <w:tc>
          <w:tcPr>
            <w:tcW w:w="4473" w:type="dxa"/>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主要包括国库对照、预算分配比例、系统参数表（涉及127项）等。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46" w:type="dxa"/>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w:t>
            </w:r>
          </w:p>
        </w:tc>
        <w:tc>
          <w:tcPr>
            <w:tcW w:w="1276" w:type="dxa"/>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岗责</w:t>
            </w:r>
          </w:p>
        </w:tc>
        <w:tc>
          <w:tcPr>
            <w:tcW w:w="1843" w:type="dxa"/>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6</w:t>
            </w:r>
          </w:p>
        </w:tc>
        <w:tc>
          <w:tcPr>
            <w:tcW w:w="4473" w:type="dxa"/>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46" w:type="dxa"/>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4</w:t>
            </w:r>
          </w:p>
        </w:tc>
        <w:tc>
          <w:tcPr>
            <w:tcW w:w="1276" w:type="dxa"/>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工作流</w:t>
            </w:r>
          </w:p>
        </w:tc>
        <w:tc>
          <w:tcPr>
            <w:tcW w:w="1843" w:type="dxa"/>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32</w:t>
            </w:r>
          </w:p>
        </w:tc>
        <w:tc>
          <w:tcPr>
            <w:tcW w:w="4473" w:type="dxa"/>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p>
        </w:tc>
      </w:tr>
    </w:tbl>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3.4 征收子系统标准版“统模式”代码转换和数据迁移服务</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系统代码转换包括：代码转换背景、定制转换方案、业务表数据分析、转换程序开发、测试和代码转换实施。</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代码转换背景。省医保及人社部门陆续升级上线新系统，升级后会导致个人和单位的人员编码、社保经办机构代码等重要数据项发生变化，影响社保费征收子系统中缴费人的申报缴费与数据回盘等业务办理。如：社保号、社保经办机构代码及街道乡镇代码等。</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2）制定转换方案。制定征收子系统中的相关业务数据项转换方案，明确方案目标。 涉及主要工作包括业务表数据分析、程序编写、实施及验证等工作。确保外部门上线新系统后缴费人在社保费征收子系可以正常缴费。</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3）业务表数据分析。根据外部门的代码变化范围和上线方式，对社保费征</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收子系统相关业务表数据进行梳理。并对各个业务场景进行分析和验证，如办税服务厅缴费、特色软件缴费和批扣缴费等场景。核实是否已申报、会统是否记账和缴款信息是否返回外部门等情况。并与相关系统进行测试验证，根据验证情况明确转换范围、处理原则及完成时限等。</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4）转换程序开发。根据“代码转换方案”和“业务表数据分析”情况，开发代码转换程序（或脚本），该程序要具备可复用性、高性能及一致性等特点。外部门系统调整时，该程序可以快速完成代码转换工作，保障系统稳定运行。</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5）测试。由于本次代码转换涉及的均为核心数据，为了确保相关缴费人在社保费征收子系统缴费正常，“转换程序” 需要在预生产环境进行充分验证，验证范围包括数据准确性、是否有遗漏、编码合理性及相应业务功能是否可以正常流转等。生产环境实施后，需要测试实施后的数据在系统中是否可以正常流转、 业务办理是否正常。</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6）代码转换实施。结合外部门系统升级情况，按照省局工作部署要求，安排专人进行实施，确保系统稳定运行、缴费工作不受影响。</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数据迁移服务包括：制定征收子系统迁移方案、明确迁移范围、开发迁移脚本、编制系统代码对照表，并完成数据清洗、比对、修正、验证和投放工作。做好数据交接记录，最终交接的原始数据做好留存。征收子系统数据迁移相关工作包括：迁移范围确定和数据迁移工作方案的编写、数据迁移脚本开发、数据迁移演练、迁移数据用户测试、迁移脚本封版和数据投放。征收子系统数据迁移人员要与人社、医保部门数据迁移人员在集中地联合开展数据迁移工作，工作过程中要充分沟通，详细评估数据迁移范围、代码和物理表对照关系，全面进行用户测试、数据比对和数据验证工作，确保高质量地完成数据迁移。征收子系统数据迁移工作完成后，要形成数据迁移报告。</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3.5联调测试服务（应用总集成）</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联调测试服务（应用总集成）承担应用总集成职责，配合省局，组织各厂商， 完成社保费标准版和金税三期其他子系统间的联调测试工作；组织本省特色软件厂商， 按照《金税三期工程本地特色软件集成工作规范》 的要求，提供相关材料， 完成与社保费标准版各子系统的联调测试工作。</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联调测试工作，主要包括以下三部分：</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社保费标准版各子系统之间联调测试工作：主要是社保费征收子系统与社保费管理子系统之间的应用集成方式调用的标准服务的联调测试、社保费征收子系统与税银子系统之间的应用集成方式调用的标准服务的联调测试，以及标准版各系统之间按照业务需求建立的数据集成方式调用的数据服务的联调测试。</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社保费标准版各子系统包括：社保费管理子系统、社保费征收子系统及税银子系统及信息共享平台等。</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社保费标准版系统与金税三期各子系统间的联调测试工作：主要是社保费征收子系统与核心征管、税库银等系统之间的应用集成方式调用的标准服务的联调测试，以及与核心征管系统之间按照业务需求建立的数据集成方式调用的数据服务的联调测试。</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金税三期各子系统包括： 核心征管系统、 税库银系统、 决策 1 包系统等。</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3）本省特色软件与社保费标准版各子系统的联调测试工作： 主要是对本省特色软件，依据特色软件集成规范申请的，对本省特色软件与社保费标准版各子系统对外开放的标准服务清册中的应用集成方式调用的部分标准服务的联调测试，以及本省特色软件与社保费标准版各子系统的数据集成方式调用的数据服务的联调测试。应用总集成负责特色软件接入的审核、配置、联调测试、协助问题分析、组织协调、进度跟进等。本部分协助联调系统包括本省社保相关特色软件及十家商业银行。</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3.6 全流程及性能测试服务</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1）全流程测试</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系统测试工作包括测试方案制定、测试数据准备、测试问题分析、 测试过程支持等工作， 并根据业务场景编写业务测试用例，进行系统各项业务验证测试，流程测试。配合省局，制定全流程测试工作方案，明确参加测试的区域范围和业务范围、工作计划等。配合省局，会同本省人社部门，组织开展社保费征收子系统、本地特色软件的全业务全流程联调测试工作。检验系统运行能力、软件功能、系统业务适应性和初始化质量等是否能够满足生产需要，促进系统功能的持续完善。编写全业务功能测试方案和计划以及全人群全流程功能测试用例，模拟全流程系统测试数据进行系统功能测试，进行测试问题排查、处理、复测。产出物： 《全流程测试报告》</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2）性能测试</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性能测试工作，包括性能测试方案制定、测试数据准备、测试环境搭建、测试程序编写、测试问题分析、测试执行等。性能测试目标是通过构建与真实环境相同数据规模的性能测试环境，采用业界成熟的自动化性能测试工具，验证社保费征收子系统性能是否满足本省业务要求，同时发现社保费征收子系统存在的性能瓶颈，评估并优化软件系统，最后达到性能要求。社保费征收子系统性能测试范围至少包括系统登录退出、一般征收开票、批扣及查询四大类内容。产出物： 《性能测试方案》、《性能测试报告》。</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3.7操作培训服务</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配合省局，完成社保费征收子系统的操作培训工作，包括制定培训方案、 培训课件编写、培训支持及解答工作。</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3.8上线切换</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配合省局，制定黑龙江省上线切换工作方案、应急预案，完成系统切换、提供业务试办跟踪服务等。上线切换工作方案，需明确及细化具体工作开始时间、完成时间、责任人、前置约束条件、任务要点、成果物、确认方式等内容。制定应急预案，明确业务办理风险点、重点关注事项、应对方案，后续工作重点等。遵照黑龙江省上线切换工作方案，完成黑龙江省社保费征收子系统切换上线工作， 及时处理业务试办期间出现的各类问题。</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四、实施要求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（一）总体要求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中标人应充分理解本项目具有的业务复杂性、渠道多样性、规模巨大、性能和可靠性要求高等特点，在本项目国家税务总局总体实施要求的基础上，提出更科学、更合理、更有效的符合黑龙江省本地的实施方案。</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2、投标人应成立项目管理组织，严格遵守采购人项目管控的要求。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3、投标人必须在项目过程中，选派工作责任心强、技术水平高、业务熟练、管理经验丰富的人员专职参加该项目。</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4、投标人应基于成熟的项目管理方法论，制订完善的项目管理制度、流程，合理划分项目管理的阶段，借助工程管理工具，在项目实施过程中对项目进行规范化管理，确保项目实施进度和实施质量。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5、投标人应提供项目管理方案，至少覆盖进度管理、范围管理、风险管理、需求管理、质量管理、资源管理、时间管理、沟通管理等。</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6、投标人各阶段产出物采用特殊格式的，投标人需提供相应的打开、编译、运行、修改、打印等工具，并确保招标人无限制的使用；不受版权和知识产权限制，招标人不对工具额外付费。</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（二）项目进度和质量管理要求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1、中标人须采用科学合理的方法确定进度目标，编制进度计划和资源供应计划，进行进度控制，在与质量、费用目标协调的基础上，实现工期目标。</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2、中标通知书下达后3个工作日内，中标人须向招标人提供详细、可行的实施方案，并做好项目实施的准备工作，项目进度要求以合同约定为准。</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3、中标人应在投标方案中说明如何建立保证项目实施的质量保证体系。保证系统上线实施的质量。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（三）项目组织和人员要求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本项目成立由招标人、投标人共同组成的项目管理机构，负责整个项目的实施工作。投标人的专职项目团队必须严格遵守国家的政策法规，执行项目管理机构的各项规章制度，服从管理和调度，认真履行工作职责，圆满完成工作任务。</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2、投标人应在项目开始时提交项目参与人员名单，经招标人确认。投标人应保证项目组成员的稳定性，如特殊情况需要调整项目组成员的，应提前一个月书面通知招标人，并获得招标人的确认后才能安排调整。</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投标人必须在项目过程中，选派工作责任心强、技术水平高、业务熟练、管理经验丰富的人员专职参加该项目。项目实施人员应与投标文件中所提供的人员名单相符，不经招标人许可随意变更，招标人有权追究投标人责任，并采取相应处罚措施。</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4、项目成员应熟练掌握技术技能，对税务知识有清晰的认识，各项目小组需具备不同的专业人员，项目成员分工应合理。</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5、招标人如认为投标人的项目组成员达不到要求，有权要求投标人更换，投标人必须在一周之内调换符合招标人要求的项目组成员。</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6、为保障项目质量与进度，要求中标人在项目建设期间，保证人员投入。</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五、总体技术要求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1.技术标准与规范要求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系统在建设过程中必须参照国家电子政务标准和税务系统信息化建设标准与规范的有关要求进行实施，符合国家税务总局金税三期系统建设相关标准规范要求。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2.系统安全性要求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必须保证系统安全性，需要从系统级、应用级、管理级三个层次具有较好的安全性。需要按照国家税务总局《电子税务局规范-安全规范》、《税务系统信息安全等级保护基本要求》中等级保护三级要求、《网上办税系统技术要求》、《税务移动应用安全开发和评估规范》等规范要求，能够保证系统安全、网络安全以及数据安全。在稳定性方面，系统要求能够满足7×24小时无人值守的稳定工作，具备较强的系统安全性和灾难恢复能力，系统具备强有力的安全保障措施。</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3.可靠性要求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系统无单点故障，系统具有动态负载均衡处理能力。保证7*24小时不间断工作。须保证即便某些节点发生了永久性的失败，系统架构也能够保证这些节点所处理和存储的数据也不会丢失。</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4.系统兼容性要求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系统应支持多种硬件服务器，平台可兼容Linux，AIX，Windows Server等主流操作系统。</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系统应能有效支持各种主流的浏览器（IE8及以上、chrome、firefox、safari）与手机客户端操作系统（Android4.1及以上和IOS6及以上），并在不同的终端上提供一致的用户体验。</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系统应具备可伸缩性，提供横纵向扩展能力，增加硬件资源后，能有效提高系统的业务处理能力。</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六、服务要求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（一）技术支持服务要求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系统上线后，中标人需要按合同约定的期限进行技术支持保障工作，保证系统平稳运行。在服务期内，中标人提供的服务和技术支持包括但不限于以下内容：</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1、问题解答</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1）中标人应对软件使用过程中出现的各类问题进行解答；</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2）处理建议应以前台操作为主，能够通过前台操作完成的，尽量不在后台调整；</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3）操作中出现的常见问题，应及时通过技术支持渠道向用户发布；</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4）中标人应对问题解答风险负责，如因中标人解答不当，造成招标人的损失，中标人应负责相应责任。</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2、故障处理</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1）系统运行、升级期间出现故障由中标人及时到现场进行处理、解决；</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2）中标人应对系统故障提出故障处理建议，经招标人同意后，由中标人进行排除、系统调优或重置；</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3）中标人应对系统故障的处理风险负责，如因中标人技术人员的处理不当，造成招标人的损失，中标人应负责相应责任。</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3、基础环境运维</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1）对运维系统所涉主机、数据库、中间件等IT资源的日常监控和调优；</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2）对系统性能进行监控，定期提供性能报表和趋势表，为应用性能优化提供科学依据；</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3）经招标人同意后进行各项系统级参数的调整，日志空间整理，以保证系统的稳定高效运行；</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4）完成故障事件收集、过滤、关联和处理等工作，实现对故障的快速定位、处理或反馈。</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4、应用系统运维</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1）负责完成总局统一版本的升级维护，配合招标人完成软件升级测试等工作；</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2）对系统和各功能模块的运行效率、性能进行监控；</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3）受理基层操作人员问题，进行问题核实，解决问题。</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（二）服务响应要求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驻场人员工作时间为每周一至周五（遇国家法定节假日有冲突的，将按照相关规定进行调整），驻场人员每个工作日为8小时工作制，具体作息时间根据招标方要求进行调整，投标方须提供7*24小时技术支持响应。</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1.维护响应时间</w:t>
      </w:r>
    </w:p>
    <w:tbl>
      <w:tblPr>
        <w:tblStyle w:val="23"/>
        <w:tblW w:w="8387"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63"/>
        <w:gridCol w:w="4439"/>
        <w:gridCol w:w="21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6" w:hRule="atLeast"/>
          <w:jc w:val="center"/>
        </w:trPr>
        <w:tc>
          <w:tcPr>
            <w:tcW w:w="1763" w:type="dxa"/>
            <w:shd w:val="pct10" w:color="auto" w:fill="auto"/>
            <w:vAlign w:val="center"/>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支持类型</w:t>
            </w:r>
          </w:p>
        </w:tc>
        <w:tc>
          <w:tcPr>
            <w:tcW w:w="4439" w:type="dxa"/>
            <w:shd w:val="pct10" w:color="auto" w:fill="auto"/>
            <w:vAlign w:val="center"/>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响应标准</w:t>
            </w:r>
          </w:p>
        </w:tc>
        <w:tc>
          <w:tcPr>
            <w:tcW w:w="2185" w:type="dxa"/>
            <w:shd w:val="pct10" w:color="auto" w:fill="auto"/>
            <w:vAlign w:val="center"/>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5" w:hRule="atLeast"/>
          <w:jc w:val="center"/>
        </w:trPr>
        <w:tc>
          <w:tcPr>
            <w:tcW w:w="1763" w:type="dxa"/>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操作问题解答</w:t>
            </w:r>
          </w:p>
        </w:tc>
        <w:tc>
          <w:tcPr>
            <w:tcW w:w="4439" w:type="dxa"/>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现场及时答复</w:t>
            </w:r>
          </w:p>
        </w:tc>
        <w:tc>
          <w:tcPr>
            <w:tcW w:w="2185" w:type="dxa"/>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0" w:hRule="atLeast"/>
          <w:jc w:val="center"/>
        </w:trPr>
        <w:tc>
          <w:tcPr>
            <w:tcW w:w="1763" w:type="dxa"/>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数据修改</w:t>
            </w:r>
          </w:p>
        </w:tc>
        <w:tc>
          <w:tcPr>
            <w:tcW w:w="4439" w:type="dxa"/>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小于2个工作日</w:t>
            </w:r>
          </w:p>
        </w:tc>
        <w:tc>
          <w:tcPr>
            <w:tcW w:w="2185" w:type="dxa"/>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从问题流转到投标方开始计算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0" w:hRule="atLeast"/>
          <w:jc w:val="center"/>
        </w:trPr>
        <w:tc>
          <w:tcPr>
            <w:tcW w:w="1763" w:type="dxa"/>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查询口径、表样规格、数据源、数据质量等程序问题</w:t>
            </w:r>
          </w:p>
        </w:tc>
        <w:tc>
          <w:tcPr>
            <w:tcW w:w="4439" w:type="dxa"/>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一线工作人员能够处理的问题，应在2个工作日内处理完毕；提交二线工作人员解决的，应在5个工作日内处理完毕，如因特殊原因不能在规定日期处理完毕，需明确处理完成时限和处理方案，并经招标方同意方可延期。</w:t>
            </w:r>
          </w:p>
        </w:tc>
        <w:tc>
          <w:tcPr>
            <w:tcW w:w="2185" w:type="dxa"/>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从问题流转到投标方开始计算。</w:t>
            </w:r>
          </w:p>
        </w:tc>
      </w:tr>
    </w:tbl>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2.故障响应时间</w:t>
      </w:r>
    </w:p>
    <w:tbl>
      <w:tblPr>
        <w:tblStyle w:val="23"/>
        <w:tblW w:w="8597"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3"/>
        <w:gridCol w:w="2931"/>
        <w:gridCol w:w="44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9" w:hRule="atLeast"/>
          <w:jc w:val="center"/>
        </w:trPr>
        <w:tc>
          <w:tcPr>
            <w:tcW w:w="1233" w:type="dxa"/>
            <w:shd w:val="clear" w:color="auto" w:fill="E6E6E6"/>
            <w:vAlign w:val="center"/>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故障等级</w:t>
            </w:r>
          </w:p>
        </w:tc>
        <w:tc>
          <w:tcPr>
            <w:tcW w:w="2931" w:type="dxa"/>
            <w:shd w:val="clear" w:color="auto" w:fill="E6E6E6"/>
            <w:vAlign w:val="center"/>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现象描述</w:t>
            </w:r>
          </w:p>
        </w:tc>
        <w:tc>
          <w:tcPr>
            <w:tcW w:w="4433" w:type="dxa"/>
            <w:shd w:val="clear" w:color="auto" w:fill="E6E6E6"/>
            <w:vAlign w:val="center"/>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响应时间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69" w:hRule="atLeast"/>
          <w:jc w:val="center"/>
        </w:trPr>
        <w:tc>
          <w:tcPr>
            <w:tcW w:w="1233" w:type="dxa"/>
            <w:vAlign w:val="center"/>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严重程度I</w:t>
            </w:r>
          </w:p>
        </w:tc>
        <w:tc>
          <w:tcPr>
            <w:tcW w:w="2931" w:type="dxa"/>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导致招标方的业务系统完全丧失服务功能，对业务至关重要的工作无法继续进行，如数据库主机宕机。</w:t>
            </w:r>
          </w:p>
        </w:tc>
        <w:tc>
          <w:tcPr>
            <w:tcW w:w="4433" w:type="dxa"/>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非硬件故障和非系统软件本身BUG问题引起的宕机30分钟内恢复系统运行。</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硬件故障和系统软件本身BUG问题30分钟内通知厂商，主机故障解决时间要视厂商的解决时间。12小时内解决问题。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46" w:hRule="atLeast"/>
          <w:jc w:val="center"/>
        </w:trPr>
        <w:tc>
          <w:tcPr>
            <w:tcW w:w="1233" w:type="dxa"/>
            <w:vAlign w:val="center"/>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严重程度Ⅱ</w:t>
            </w:r>
          </w:p>
        </w:tc>
        <w:tc>
          <w:tcPr>
            <w:tcW w:w="2931" w:type="dxa"/>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系统中关键功能实现错误，直接导致业务无法正常进行并且无补救措施。</w:t>
            </w:r>
          </w:p>
        </w:tc>
        <w:tc>
          <w:tcPr>
            <w:tcW w:w="4433" w:type="dxa"/>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30分钟内响应，3小时内提出解决方案，24小时内解决问题。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13" w:hRule="atLeast"/>
          <w:jc w:val="center"/>
        </w:trPr>
        <w:tc>
          <w:tcPr>
            <w:tcW w:w="1233" w:type="dxa"/>
            <w:vAlign w:val="center"/>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严重程度Ⅲ</w:t>
            </w:r>
          </w:p>
        </w:tc>
        <w:tc>
          <w:tcPr>
            <w:tcW w:w="2931" w:type="dxa"/>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系统中非关键功能实现错误，单一模块不能继续运转或错误，但不影响业务的正常进行。</w:t>
            </w:r>
          </w:p>
        </w:tc>
        <w:tc>
          <w:tcPr>
            <w:tcW w:w="4433" w:type="dxa"/>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30分钟内响应，5小时内提出解决方案，48小时内解决问题。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29" w:hRule="atLeast"/>
          <w:jc w:val="center"/>
        </w:trPr>
        <w:tc>
          <w:tcPr>
            <w:tcW w:w="1233" w:type="dxa"/>
            <w:vAlign w:val="center"/>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严重程序Ⅳ</w:t>
            </w:r>
          </w:p>
        </w:tc>
        <w:tc>
          <w:tcPr>
            <w:tcW w:w="2931" w:type="dxa"/>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系统中非关键功能实现错误，如系统操作时间过长，界面需要改进等，但不影响系统正常运转。</w:t>
            </w:r>
          </w:p>
        </w:tc>
        <w:tc>
          <w:tcPr>
            <w:tcW w:w="4433" w:type="dxa"/>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30分钟内响应，12小时内提出解决方案，五天内解决问题。</w:t>
            </w:r>
          </w:p>
        </w:tc>
      </w:tr>
    </w:tbl>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七、验收要求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验收工作由招标人组织实施，投标人应完成项目验收的相关验收场景和资料的准备。</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（一）验收标准</w:t>
      </w:r>
      <w:r>
        <w:rPr>
          <w:rFonts w:hint="eastAsia" w:ascii="Times New Roman" w:hAnsi="Times New Roman" w:eastAsia="宋体" w:cs="Times New Roman"/>
          <w:color w:val="auto"/>
          <w:kern w:val="2"/>
          <w:sz w:val="21"/>
          <w:szCs w:val="21"/>
          <w:highlight w:val="none"/>
          <w:lang w:val="en-US" w:eastAsia="zh-CN" w:bidi="ar-SA"/>
        </w:rPr>
        <w:tab/>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1.验收的原则和依据</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本着保证质量、注重应用、功能适用的原则，以本项目招标文件、合同和业务需求及相关技术标准规范为验收的主要依据。</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2.验收标准</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（一）系统运行正常。</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（二）招标文件和合同要求全部完成，并满足要求。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（三）各种技术文档和验收资料完备，符合合同的内容。</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（四）系统监控和数据处理符合信息安全的要求。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（五）合同或合同附件规定的其他验收条件。</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（二）项目验收</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投标人应根据合同约定验收的要求以及验收工作的内容，协助制定验收方案；</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投标人应为验收工作准备相应的验收环境和所需资料；</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协助招标人全面、准确验证软件的各项功能模块是否达到标准；</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协助招标人全面、准确验证软件的各项性能是否能达到要求；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投标人应对验收中发现的问题制定详细明确的处理方案并及时修改；</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投标人必须按招标人要求提交移交物清单及清单所列内容的最终版本（包括纸制和电子版），并经招标人签字确认；</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投标人协助编写并提交验收报告等文档。</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（三）交付物要求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1、验收方案</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内容包括但不限于：详细描述验收目的、验收内容、技术条件、验收方法、进度安排、人员组成、验收准则、验收数据准备等。</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2、验收报告</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内容包括但不仅限于：详细描述和总结验收依据、验收内容、验收过程、验收准则、验收报告结论存在问题、优化完善建议等。</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3、移交物清单及交付物</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内容包括但不局限于：管理文档、用户文档、上线相关文档等。</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八、其他要求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（一）保密要求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中标人参与项目的所有人员应严格遵守招标人的保密要求，签订保密协议，并由中标人担保；招标人对于中标人提供的资料，不得以任何形式向第三方传播。保密期限不受本项目期限的限制，在本项目履行完毕后，保密信息接受方仍应承担保密义务。</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（二）知识产权要求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招标人对项目实施过程中所产生的所有成果（包括相关技术资料、文档等）享有所有权（永久使用权、复制权和修改权等）。除本项目工作所需外，未经招标人书面同意，中标人不得擅自使用、复制招标人的标志、数据信息、文档及其他资料。</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2、中标人应保证在本项目中所有预装和为本项目安装的软件为在中国境内具有合法版权或使用权的正版软件且无质量瑕疵。</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3、中标人保证所提供的产品及服务不侵犯第三方的知识产权，否则，由此给招标人造成的一切损失由中标人承担。</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（三）归档要求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中标人应对该项目所涉及的需求分析、联调测试、培训推广等各阶段工作文档，按招标人质量、数量、提供方式、提供时间等要求进行整理，并提交招标人归档。</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center"/>
        <w:textAlignment w:val="auto"/>
        <w:rPr>
          <w:rFonts w:hint="eastAsia" w:ascii="Times New Roman" w:hAnsi="Times New Roman" w:eastAsia="宋体" w:cs="Times New Roman"/>
          <w:b/>
          <w:bCs/>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br w:type="page"/>
      </w:r>
      <w:r>
        <w:rPr>
          <w:rFonts w:hint="eastAsia" w:ascii="Times New Roman" w:hAnsi="Times New Roman" w:eastAsia="宋体" w:cs="Times New Roman"/>
          <w:b/>
          <w:bCs/>
          <w:color w:val="auto"/>
          <w:kern w:val="2"/>
          <w:sz w:val="21"/>
          <w:szCs w:val="21"/>
          <w:highlight w:val="none"/>
          <w:lang w:val="en-US" w:eastAsia="zh-CN" w:bidi="ar-SA"/>
        </w:rPr>
        <w:t>包三：金税三期社保费征管信息系统（标准版）信息共享平台和税银子系统等“统模式”部署实施及功能完善项目</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31" w:name="_Toc106699778"/>
      <w:r>
        <w:rPr>
          <w:rFonts w:hint="eastAsia" w:ascii="Times New Roman" w:hAnsi="Times New Roman" w:eastAsia="宋体" w:cs="Times New Roman"/>
          <w:color w:val="auto"/>
          <w:kern w:val="2"/>
          <w:sz w:val="21"/>
          <w:szCs w:val="21"/>
          <w:highlight w:val="none"/>
          <w:lang w:val="en-US" w:eastAsia="zh-CN" w:bidi="ar-SA"/>
        </w:rPr>
        <w:t>一、项目</w:t>
      </w:r>
      <w:bookmarkEnd w:id="131"/>
      <w:r>
        <w:rPr>
          <w:rFonts w:hint="eastAsia" w:ascii="Times New Roman" w:hAnsi="Times New Roman" w:eastAsia="宋体" w:cs="Times New Roman"/>
          <w:color w:val="auto"/>
          <w:kern w:val="2"/>
          <w:sz w:val="21"/>
          <w:szCs w:val="21"/>
          <w:highlight w:val="none"/>
          <w:lang w:val="en-US" w:eastAsia="zh-CN" w:bidi="ar-SA"/>
        </w:rPr>
        <w:t>背景</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按照《国家税务总局关于成立统一社会保险费征收模式工作领导小组的通知》（税总社保函 〔2022〕21号）精神，国家税务总局已经成立统一社会保险费征收模式工作领导小组及其办公室。按照国家税务总局统一社会保险费征收模式工作领导小组要求，我省已开始组建本单位的“统模式”领导小组和办公室工作组，具体组织实施本单位标准版“统模式”上线实施工作，现对金税三期社保费征管信息系统（标准版）信息共享平台、税银子系统、税库银系统（社保费部分）、决策1包（社保费部分）“统模式”上线实施涉及的需求差异化分析、系统设计、工作方案制定、系统培训、基础环境测算评估、升级部署、系统初始化、系统测试、模拟试算、性能优化等工作进行统一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同时在社保费标准版上线以来，整个登记待遇享受、申报征收扣款缴库涉及多系统联动处理，多部门的每个系统相对独立、各司其职、相互协作。社会保险费征管过程涉及税务内部多个系统集成、税务与多个外部门信息交互，征管业务处理环节多，流程复杂。针对参保登记、申报征收、扣款缴库、待遇登记，整体处理时间较长；各级税务机关对社保费整体及具体征收情况无法及时跟踪和查询统计等问题，省医保局在向我局提出的关于进一步做好医保缴费有关建议中，建议进一步优化业务流向追溯查询功能，解决“黑盒”问题，提升业务服务透明度，拟提出对社保费标准版系统进行升级，增加社保费信息共享平台监控查询统计功能。</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二、建设目标</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按照《国家税务总局关于成立统一社会保险费征收模式工作领导小组的通知》（税总社保函 〔2022〕21号）精神，国家税务总局已经成立统一社会保险费征收模式工作领导小组及其办公室。按照国家税务总局统一社会保险费征收模式工作领导小组要求，我省已开始组建本单位的“统模式”领导小组和办公室工作组，具体组织实施本单位标准版“统模式”上线实施工作，现对金税三期社保费征管信息系统（标准版）信息共享平台、税银子系统、税库银系统（社保费部分）、决策1包（社保费部分）“统模式”上线实施涉及的需求差异化分析、系统设计、工作方案制定、系统培训、基础环境测算评估、升级部署、系统初始化、系统测试、模拟试算、性能优化等工作进行统一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同时为使各级税务机关实时或准实时查询到参保登记状态、业务处理流转到哪个环节，使各级税务机关处理缴费人问题有直接直观的抓手，从基层直接处理掉缴费人问题，避免舆情发生，提升缴费人满意度。</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32" w:name="_Toc19783"/>
      <w:r>
        <w:rPr>
          <w:rFonts w:hint="eastAsia" w:ascii="Times New Roman" w:hAnsi="Times New Roman" w:eastAsia="宋体" w:cs="Times New Roman"/>
          <w:color w:val="auto"/>
          <w:kern w:val="2"/>
          <w:sz w:val="21"/>
          <w:szCs w:val="21"/>
          <w:highlight w:val="none"/>
          <w:lang w:val="en-US" w:eastAsia="zh-CN" w:bidi="ar-SA"/>
        </w:rPr>
        <w:t>三、项目具体需求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3.1信息共享平台和税银子系统等“统模式”部署实施需求</w:t>
      </w:r>
      <w:bookmarkEnd w:id="132"/>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33" w:name="_Toc32016"/>
      <w:r>
        <w:rPr>
          <w:rFonts w:hint="eastAsia" w:ascii="Times New Roman" w:hAnsi="Times New Roman" w:eastAsia="宋体" w:cs="Times New Roman"/>
          <w:color w:val="auto"/>
          <w:kern w:val="2"/>
          <w:sz w:val="21"/>
          <w:szCs w:val="21"/>
          <w:highlight w:val="none"/>
          <w:lang w:val="en-US" w:eastAsia="zh-CN" w:bidi="ar-SA"/>
        </w:rPr>
        <w:t>3.1.1 系统分析</w:t>
      </w:r>
      <w:bookmarkEnd w:id="133"/>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34" w:name="_Toc30360"/>
      <w:r>
        <w:rPr>
          <w:rFonts w:hint="eastAsia" w:ascii="Times New Roman" w:hAnsi="Times New Roman" w:eastAsia="宋体" w:cs="Times New Roman"/>
          <w:color w:val="auto"/>
          <w:kern w:val="2"/>
          <w:sz w:val="21"/>
          <w:szCs w:val="21"/>
          <w:highlight w:val="none"/>
          <w:lang w:val="en-US" w:eastAsia="zh-CN" w:bidi="ar-SA"/>
        </w:rPr>
        <w:t>3.1.1.1信息共享平台</w:t>
      </w:r>
      <w:bookmarkEnd w:id="134"/>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1）交换任务</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交换任务配置是人社部门和税务部门通过对数据发送和接收交换任务的配置，触发数据报文的生成发送、接收处理，以达到数据交换自动化的要求。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交换任务分为实时交换任务和异步批量交换任务。异步批量交换任务是指定时、批量的数据交换方式，满足大量数据的批量交换需要，是两部门主要的数据交换手段；实时交换任务是特指实时性要求高、业务上需要通过实时接口实现共享的数据交换方式，满足少量数据的单条交换、查询需要。</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交换业务场景有登记信息交互、缴费信息交互、对账信息交互、特殊缴费业务交互、异常业务交互和税务登记业务交互。</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2）数据处理设计</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税务部门与人社部门之间的数据交换分为实时交换和批量交换两种形式，中标人需同时满足两种交换方式。其中实时交换支持不少于两种技术实现方式，批量交换支持不少于四种交换方式。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3）实时回执及重发机制</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 xml:space="preserve">需支持多种技术机制，来支持实时回执及重发机制。 </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4）汇总对账、校验反馈及重发机制</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需支持多种技术机制，来支持汇总对账、校验反馈及重发机制。</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35" w:name="_Toc9160"/>
      <w:r>
        <w:rPr>
          <w:rFonts w:hint="eastAsia" w:ascii="Times New Roman" w:hAnsi="Times New Roman" w:eastAsia="宋体" w:cs="Times New Roman"/>
          <w:color w:val="auto"/>
          <w:kern w:val="2"/>
          <w:sz w:val="21"/>
          <w:szCs w:val="21"/>
          <w:highlight w:val="none"/>
          <w:lang w:val="en-US" w:eastAsia="zh-CN" w:bidi="ar-SA"/>
        </w:rPr>
        <w:t>3.1.1.2税银子系统</w:t>
      </w:r>
      <w:bookmarkEnd w:id="135"/>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1）系统设计与金税三期税库银系统保持一致。</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2）业务交互严格遵循“社保费税银交互接口标准报文规范”和“社保费税银交互MQ搭建标准规范”。</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系统需支持如下缴费模式及功能：个人税务批扣缴费模式、个人银行缴费模式、个人委托扣缴模式、个人税务实时缴费模式、个人税务现金缴费模式、城乡居民虚拟户缴费业务模式、个人缴费日切流水对账业务模式、辅助类业务、税务银行连通性和个人缴费状态查询、个人委托扣款协议。</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36" w:name="_Toc29068"/>
      <w:r>
        <w:rPr>
          <w:rFonts w:hint="eastAsia" w:ascii="Times New Roman" w:hAnsi="Times New Roman" w:eastAsia="宋体" w:cs="Times New Roman"/>
          <w:color w:val="auto"/>
          <w:kern w:val="2"/>
          <w:sz w:val="21"/>
          <w:szCs w:val="21"/>
          <w:highlight w:val="none"/>
          <w:lang w:val="en-US" w:eastAsia="zh-CN" w:bidi="ar-SA"/>
        </w:rPr>
        <w:t>3.1.1.3税库银系统</w:t>
      </w:r>
      <w:bookmarkEnd w:id="136"/>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涉及到社保费部分的功能与金税三期税库银系统涉税部分保持一致。税库银系统的技术体系结构为B/S架构，在税务系统内部，采用税务的局域网与税务的其它系统进行数据交换，在税务系统外部，通过专网与国库系统进行数据交换。</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37" w:name="_Toc24625"/>
      <w:r>
        <w:rPr>
          <w:rFonts w:hint="eastAsia" w:ascii="Times New Roman" w:hAnsi="Times New Roman" w:eastAsia="宋体" w:cs="Times New Roman"/>
          <w:color w:val="auto"/>
          <w:kern w:val="2"/>
          <w:sz w:val="21"/>
          <w:szCs w:val="21"/>
          <w:highlight w:val="none"/>
          <w:lang w:val="en-US" w:eastAsia="zh-CN" w:bidi="ar-SA"/>
        </w:rPr>
        <w:t>3.1.1.4决策1包</w:t>
      </w:r>
      <w:bookmarkEnd w:id="137"/>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 xml:space="preserve">与金税三期决策1包系统保持一致。通过对决策支持平台业务需求、功能需求以及约束需求的理解，以及对金税三期总体架构规划中决策支持平台架构规划蓝图的理解，在设计过程中以业务加载工具需求及加载验证业务需求为输入，以数据加载和应用加载集成的方案加载架构规划蓝图为约束，以方案元数据封装包及方案管理功能为纽带的方案开发环境和业务运行环境双运行环境目标为导向，确保系统设计的完整及质量。 </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38" w:name="_Toc7587"/>
      <w:r>
        <w:rPr>
          <w:rFonts w:hint="eastAsia" w:ascii="Times New Roman" w:hAnsi="Times New Roman" w:eastAsia="宋体" w:cs="Times New Roman"/>
          <w:color w:val="auto"/>
          <w:kern w:val="2"/>
          <w:sz w:val="21"/>
          <w:szCs w:val="21"/>
          <w:highlight w:val="none"/>
          <w:lang w:val="en-US" w:eastAsia="zh-CN" w:bidi="ar-SA"/>
        </w:rPr>
        <w:t>3.1.2系统部署</w:t>
      </w:r>
      <w:bookmarkEnd w:id="138"/>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根据要求完成预生产、生产环境的实施部署，保障上线过程中系统运行稳定，按期完成上线切换。主要包括：数据库安装部署及初始化、应用系统安装部署、数据库实例初始化、OGG链路部署、系统调优、系统接口联调、上线环境保障等工作。</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39" w:name="_Toc31062"/>
      <w:r>
        <w:rPr>
          <w:rFonts w:hint="eastAsia" w:ascii="Times New Roman" w:hAnsi="Times New Roman" w:eastAsia="宋体" w:cs="Times New Roman"/>
          <w:color w:val="auto"/>
          <w:kern w:val="2"/>
          <w:sz w:val="21"/>
          <w:szCs w:val="21"/>
          <w:highlight w:val="none"/>
          <w:lang w:val="en-US" w:eastAsia="zh-CN" w:bidi="ar-SA"/>
        </w:rPr>
        <w:t>3.1.2.1信息共享平台部署</w:t>
      </w:r>
      <w:bookmarkEnd w:id="139"/>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根据“统模式”要求，组织完成信息共享平台的应用部署、数据库部署、前置机部署、数据库初始化及流程配置、系统接口联调测试、系统测试、协助税局与社保（医保）部门沟通及上线环境保障等工作。</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40" w:name="_Toc1287"/>
      <w:r>
        <w:rPr>
          <w:rFonts w:hint="eastAsia" w:ascii="Times New Roman" w:hAnsi="Times New Roman" w:eastAsia="宋体" w:cs="Times New Roman"/>
          <w:color w:val="auto"/>
          <w:kern w:val="2"/>
          <w:sz w:val="21"/>
          <w:szCs w:val="21"/>
          <w:highlight w:val="none"/>
          <w:lang w:val="en-US" w:eastAsia="zh-CN" w:bidi="ar-SA"/>
        </w:rPr>
        <w:t>3.1.2.2税银子系统部署</w:t>
      </w:r>
      <w:bookmarkEnd w:id="140"/>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根据“统模式”要求，组织完成税银子系统的应用部署、数据库部署、MQ前置机部署、数据库初始化及定时任务配置、通道联调测试、系统测试、协助税局与各银行沟通及上线环境保障等工作。</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41" w:name="_Toc19658"/>
      <w:r>
        <w:rPr>
          <w:rFonts w:hint="eastAsia" w:ascii="Times New Roman" w:hAnsi="Times New Roman" w:eastAsia="宋体" w:cs="Times New Roman"/>
          <w:color w:val="auto"/>
          <w:kern w:val="2"/>
          <w:sz w:val="21"/>
          <w:szCs w:val="21"/>
          <w:highlight w:val="none"/>
          <w:lang w:val="en-US" w:eastAsia="zh-CN" w:bidi="ar-SA"/>
        </w:rPr>
        <w:t>3.1.2.3税库银系统（社保费部分）部署</w:t>
      </w:r>
      <w:bookmarkEnd w:id="141"/>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根据“统模式”要求，组织完成税库银系统社保费部分的应用部署升级、定时任务配置、系统接口联调、组织完成社保费征管业务信息化子系统的联调测试前准备工作。</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42" w:name="_Toc8042"/>
      <w:r>
        <w:rPr>
          <w:rFonts w:hint="eastAsia" w:ascii="Times New Roman" w:hAnsi="Times New Roman" w:eastAsia="宋体" w:cs="Times New Roman"/>
          <w:color w:val="auto"/>
          <w:kern w:val="2"/>
          <w:sz w:val="21"/>
          <w:szCs w:val="21"/>
          <w:highlight w:val="none"/>
          <w:lang w:val="en-US" w:eastAsia="zh-CN" w:bidi="ar-SA"/>
        </w:rPr>
        <w:t>3.1.2.4决策1包（社保费部分）部署</w:t>
      </w:r>
      <w:bookmarkEnd w:id="142"/>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根据“统模式”要求，组织完成决策一包系统社保费部分的应用部署升级、数据库初始化、系统配置、上线环境保障等工作；组织完成决策支持系统（一包）与社保费管理子系统数据源、社保费征收子系统数据源的ogg安装部署、初始化、配置验证工作。</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43" w:name="_Toc10880"/>
      <w:bookmarkStart w:id="144" w:name="_Toc109026606"/>
      <w:r>
        <w:rPr>
          <w:rFonts w:hint="eastAsia" w:ascii="Times New Roman" w:hAnsi="Times New Roman" w:eastAsia="宋体" w:cs="Times New Roman"/>
          <w:color w:val="auto"/>
          <w:kern w:val="2"/>
          <w:sz w:val="21"/>
          <w:szCs w:val="21"/>
          <w:highlight w:val="none"/>
          <w:lang w:val="en-US" w:eastAsia="zh-CN" w:bidi="ar-SA"/>
        </w:rPr>
        <w:t>3.1.3系统初始化</w:t>
      </w:r>
      <w:bookmarkEnd w:id="143"/>
      <w:bookmarkEnd w:id="144"/>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45" w:name="_Toc15947"/>
      <w:r>
        <w:rPr>
          <w:rFonts w:hint="eastAsia" w:ascii="Times New Roman" w:hAnsi="Times New Roman" w:eastAsia="宋体" w:cs="Times New Roman"/>
          <w:color w:val="auto"/>
          <w:kern w:val="2"/>
          <w:sz w:val="21"/>
          <w:szCs w:val="21"/>
          <w:highlight w:val="none"/>
          <w:lang w:val="en-US" w:eastAsia="zh-CN" w:bidi="ar-SA"/>
        </w:rPr>
        <w:t>3.1.3.1信息共享平台初始化</w:t>
      </w:r>
      <w:bookmarkEnd w:id="145"/>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根据“统模式”要求，进行应用的初始化配置、前置系统注册、个性化交换方式、交换内容适配、数据采集、反馈流程配置。</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46" w:name="_Toc27125"/>
      <w:r>
        <w:rPr>
          <w:rFonts w:hint="eastAsia" w:ascii="Times New Roman" w:hAnsi="Times New Roman" w:eastAsia="宋体" w:cs="Times New Roman"/>
          <w:color w:val="auto"/>
          <w:kern w:val="2"/>
          <w:sz w:val="21"/>
          <w:szCs w:val="21"/>
          <w:highlight w:val="none"/>
          <w:lang w:val="en-US" w:eastAsia="zh-CN" w:bidi="ar-SA"/>
        </w:rPr>
        <w:t>3.1.3.2税银子系统初始化</w:t>
      </w:r>
      <w:bookmarkEnd w:id="146"/>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根据“统模式”要求，进行应用的初始化配置、前置系统注册、个性化交换方式、交换内容适配、数据采集、反馈流程配置。</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47" w:name="_Toc24387"/>
      <w:r>
        <w:rPr>
          <w:rFonts w:hint="eastAsia" w:ascii="Times New Roman" w:hAnsi="Times New Roman" w:eastAsia="宋体" w:cs="Times New Roman"/>
          <w:color w:val="auto"/>
          <w:kern w:val="2"/>
          <w:sz w:val="21"/>
          <w:szCs w:val="21"/>
          <w:highlight w:val="none"/>
          <w:lang w:val="en-US" w:eastAsia="zh-CN" w:bidi="ar-SA"/>
        </w:rPr>
        <w:t>3.1.3.3税库银系统（社保费部分）初始化</w:t>
      </w:r>
      <w:bookmarkEnd w:id="147"/>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根据“统模式”要求，组织完成黑龙江省税库银系统针对社保预算科目及预算分配比例的初始化工作; 配合采购人协调国库完成社保费预算科目及预算分配比例的基础参数维护。</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48" w:name="_Toc20010"/>
      <w:r>
        <w:rPr>
          <w:rFonts w:hint="eastAsia" w:ascii="Times New Roman" w:hAnsi="Times New Roman" w:eastAsia="宋体" w:cs="Times New Roman"/>
          <w:color w:val="auto"/>
          <w:kern w:val="2"/>
          <w:sz w:val="21"/>
          <w:szCs w:val="21"/>
          <w:highlight w:val="none"/>
          <w:lang w:val="en-US" w:eastAsia="zh-CN" w:bidi="ar-SA"/>
        </w:rPr>
        <w:t>3.1.3.4决策1包（社保费部分）初始化</w:t>
      </w:r>
      <w:bookmarkEnd w:id="148"/>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根据“统模式”要求，组织完成决策支持系统（一包）初始化（权限功能等）；组织完成决策支持系统（一包）(会统核算、数据仓库)ogg初始化工作。</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49" w:name="_Toc11761"/>
      <w:r>
        <w:rPr>
          <w:rFonts w:hint="eastAsia" w:ascii="Times New Roman" w:hAnsi="Times New Roman" w:eastAsia="宋体" w:cs="Times New Roman"/>
          <w:color w:val="auto"/>
          <w:kern w:val="2"/>
          <w:sz w:val="21"/>
          <w:szCs w:val="21"/>
          <w:highlight w:val="none"/>
          <w:lang w:val="en-US" w:eastAsia="zh-CN" w:bidi="ar-SA"/>
        </w:rPr>
        <w:t>3.1.4系统测试</w:t>
      </w:r>
      <w:bookmarkEnd w:id="149"/>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50" w:name="_Toc32346"/>
      <w:r>
        <w:rPr>
          <w:rFonts w:hint="eastAsia" w:ascii="Times New Roman" w:hAnsi="Times New Roman" w:eastAsia="宋体" w:cs="Times New Roman"/>
          <w:color w:val="auto"/>
          <w:kern w:val="2"/>
          <w:sz w:val="21"/>
          <w:szCs w:val="21"/>
          <w:highlight w:val="none"/>
          <w:lang w:val="en-US" w:eastAsia="zh-CN" w:bidi="ar-SA"/>
        </w:rPr>
        <w:t>3.1.4.1功能测试</w:t>
      </w:r>
      <w:bookmarkEnd w:id="150"/>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根据“统模式”要求，编写全业务功能测试方案和计划以及全人群全流程功能测试用例，模拟全流程系统测试数据进行系统功能测试，进行测试问题排查、处理、复测。</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51" w:name="_Toc7766"/>
      <w:r>
        <w:rPr>
          <w:rFonts w:hint="eastAsia" w:ascii="Times New Roman" w:hAnsi="Times New Roman" w:eastAsia="宋体" w:cs="Times New Roman"/>
          <w:color w:val="auto"/>
          <w:kern w:val="2"/>
          <w:sz w:val="21"/>
          <w:szCs w:val="21"/>
          <w:highlight w:val="none"/>
          <w:lang w:val="en-US" w:eastAsia="zh-CN" w:bidi="ar-SA"/>
        </w:rPr>
        <w:t>3.1.4.2联调测试</w:t>
      </w:r>
      <w:bookmarkEnd w:id="151"/>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根据“统模式”要求，组织开展与社保费其它各子系统、本地特色软件间的全业务全流程联调测试工作。检验系统运行能力、软件功能、系统业务适应性、初始化质量等是否能够满足生产需要，促进系统功能的持续完善，确保各个系统之间能够相互连通并稳定运行，外围特色软件可以顺利接入系统并稳定运行。</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保障人社部门和医保部门以及国库、11家商业银行等多外部门的系统对接和联调测试工作。</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52" w:name="_Toc10601"/>
      <w:r>
        <w:rPr>
          <w:rFonts w:hint="eastAsia" w:ascii="Times New Roman" w:hAnsi="Times New Roman" w:eastAsia="宋体" w:cs="Times New Roman"/>
          <w:color w:val="auto"/>
          <w:kern w:val="2"/>
          <w:sz w:val="21"/>
          <w:szCs w:val="21"/>
          <w:highlight w:val="none"/>
          <w:lang w:val="en-US" w:eastAsia="zh-CN" w:bidi="ar-SA"/>
        </w:rPr>
        <w:t>3.1.4.3性能、压力测试</w:t>
      </w:r>
      <w:bookmarkEnd w:id="152"/>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根据“统模式”要求，制定全流程测试工作方案，明确参加测试的区域范围和业务范围、工作计划等。测试服务工作包括测试方案制定、测试数据准备、测试问题分析、测试过程支持等工作，主要围绕全流程测试及系统压力测试两方面进行。</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负责完成压力测试工具部署、测试数据准备等工作，完成系统压力测试、人海压力测试工作。</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53" w:name="_Toc11015"/>
      <w:r>
        <w:rPr>
          <w:rFonts w:hint="eastAsia" w:ascii="Times New Roman" w:hAnsi="Times New Roman" w:eastAsia="宋体" w:cs="Times New Roman"/>
          <w:color w:val="auto"/>
          <w:kern w:val="2"/>
          <w:sz w:val="21"/>
          <w:szCs w:val="21"/>
          <w:highlight w:val="none"/>
          <w:lang w:val="en-US" w:eastAsia="zh-CN" w:bidi="ar-SA"/>
        </w:rPr>
        <w:t>3.1.4.5模拟试算相关</w:t>
      </w:r>
      <w:bookmarkEnd w:id="153"/>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协调人社、医保部门，配合省局制定“统模式”模拟验证信息共享平台及税银子系统工作方案，沟通确认各险种的参保人员、特别是特殊人群对应的计费规则和算法，模拟验证工作，并对试算结果进行深入细致评估，确保标准版信息共享和扣缴等业务环节衔接顺畅。</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54" w:name="_Toc20953"/>
      <w:r>
        <w:rPr>
          <w:rFonts w:hint="eastAsia" w:ascii="Times New Roman" w:hAnsi="Times New Roman" w:eastAsia="宋体" w:cs="Times New Roman"/>
          <w:color w:val="auto"/>
          <w:kern w:val="2"/>
          <w:sz w:val="21"/>
          <w:szCs w:val="21"/>
          <w:highlight w:val="none"/>
          <w:lang w:val="en-US" w:eastAsia="zh-CN" w:bidi="ar-SA"/>
        </w:rPr>
        <w:t>3.1.4.6性能优化</w:t>
      </w:r>
      <w:bookmarkEnd w:id="154"/>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（一）技术优化方案</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综合业务单位业务量、基础环境配置等，配合业务单位制定信息共享平台架构建设最优方案。</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（二）技术优化实施</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根据技术优化方案，落实技术改造有关工作。</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55" w:name="_Toc24020"/>
      <w:r>
        <w:rPr>
          <w:rFonts w:hint="eastAsia" w:ascii="Times New Roman" w:hAnsi="Times New Roman" w:eastAsia="宋体" w:cs="Times New Roman"/>
          <w:color w:val="auto"/>
          <w:kern w:val="2"/>
          <w:sz w:val="21"/>
          <w:szCs w:val="21"/>
          <w:highlight w:val="none"/>
          <w:lang w:val="en-US" w:eastAsia="zh-CN" w:bidi="ar-SA"/>
        </w:rPr>
        <w:t>3.2信息共享和税银等子系统等功能完善</w:t>
      </w:r>
      <w:bookmarkEnd w:id="155"/>
      <w:r>
        <w:rPr>
          <w:rFonts w:hint="eastAsia" w:ascii="Times New Roman" w:hAnsi="Times New Roman" w:eastAsia="宋体" w:cs="Times New Roman"/>
          <w:color w:val="auto"/>
          <w:kern w:val="2"/>
          <w:sz w:val="21"/>
          <w:szCs w:val="21"/>
          <w:highlight w:val="none"/>
          <w:lang w:val="en-US" w:eastAsia="zh-CN" w:bidi="ar-SA"/>
        </w:rPr>
        <w:t>需求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56" w:name="_Toc28222"/>
      <w:r>
        <w:rPr>
          <w:rFonts w:hint="eastAsia" w:ascii="Times New Roman" w:hAnsi="Times New Roman" w:eastAsia="宋体" w:cs="Times New Roman"/>
          <w:color w:val="auto"/>
          <w:kern w:val="2"/>
          <w:sz w:val="21"/>
          <w:szCs w:val="21"/>
          <w:highlight w:val="none"/>
          <w:lang w:val="en-US" w:eastAsia="zh-CN" w:bidi="ar-SA"/>
        </w:rPr>
        <w:t>3.2.1数据模型平台</w:t>
      </w:r>
      <w:bookmarkEnd w:id="156"/>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3.2.1.1系统首页</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系统首页根据所选税务机关展示用人单位、城乡居民社会保险费税务入库和社保入库对账情况，供各级税务机关直观掌握社保费征缴情况。</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 默认展示机关事业单位、企业、城乡居民、灵活就业人员社会保险费税务入库和社保入库的本年年初情况，页面上的时间轴每隔 20 秒自动切换下一月份，也可以手动点击查看某个月份的数据。</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 分机关事业单位、企业、城乡居民、灵活就业人员展示所选税务机关该月份当期税务入库金额，社保入库金额，两者之间的差额；以及截止当前的累计税务入库金额，社保入库金额， 两者之间的差额。</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 可以查看所选税务机关机关事业单位、企业、城乡居民、灵活就业人员合计的当期对账差额排名和累计对账差额排名。</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4.分别查看所选税务机关机关事业单位、企业、城乡居民、灵活就业人员社会保险费税务入库金额、社保入库金额</w:t>
      </w:r>
      <w:bookmarkStart w:id="625" w:name="_GoBack"/>
      <w:bookmarkEnd w:id="625"/>
      <w:r>
        <w:rPr>
          <w:rFonts w:hint="eastAsia" w:ascii="Times New Roman" w:hAnsi="Times New Roman" w:eastAsia="宋体" w:cs="Times New Roman"/>
          <w:color w:val="auto"/>
          <w:kern w:val="2"/>
          <w:sz w:val="21"/>
          <w:szCs w:val="21"/>
          <w:highlight w:val="none"/>
          <w:lang w:val="en-US" w:eastAsia="zh-CN" w:bidi="ar-SA"/>
        </w:rPr>
        <w:t>以及税务与社保两者之间的差额；可以切换查看本期数和累计数，默认展示本期数。</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5.在对账详情界面可以再次录入所需查询条件进行查询， 同时可以将当前界面的查询结果导出。</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3.2.1.2税务机关业务监控</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实现各级税务机关机关事业单位、企业、城乡居民、灵活就业人员缴费人参保登记、核定、申报、缴费、上解、入库等情况统计。根据税务机关、缴费年度、缴费月份、险种、本期累计等维度，完成已参保、未参保、已申报、未申报、已缴费、未缴费、已汇总、未汇总、已上解、未上解、已入库、未入库等多种业务情形的统计。以便于各级税务机关既可以掌握全局概要情况，也能掌握所属单位的整体情况。</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3.2.1.2.1使用层级</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省局、地市、区县。</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 xml:space="preserve">3.2.1.2.2数据来源 </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金税三期社保费共享平台、管理子系统。</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3.2.1.3参保单位业务监控</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实现单位缴费社保、医保保费全业务查询。</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3.2.1.3.1使用层级</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省局、地市、区县。</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 xml:space="preserve">3.2.1.3.2数据来源 </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金税三期社保费共享平台、管理子系统。</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3.2.1.4参保人员业务监控</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实现城乡居民、灵活就业人员社保医保参保登记情况、税务参保登记情况、社保医保缴费核定情况、税务缴费反馈情况、税务申报情况、税务缴费情况、欠费情况、权益享受情况、其他情况全业务查询。</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3.2.1.4.1使用层级</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省局、地市、区县。</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 xml:space="preserve">3.2.1.4.2数据来源 </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金税三期社保费共享平台、管理子系统。</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3.2.1.5单笔交易业务监控</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实现单位缴费人、城乡居民、灵活就业人员每单社保费申报缴费业务，社保医保参保登记情况、税务参保登记情况、社保医保缴费核定情况、税务申报情况、税务缴费情况全业务查询。</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3.2.1.5.1使用层级</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省局、地市、区县。</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 xml:space="preserve">3.2.1.5.2数据来源 </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金税三期社保费共享平台、管理子系统。</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57" w:name="_Toc109026611"/>
      <w:r>
        <w:rPr>
          <w:rFonts w:hint="eastAsia" w:ascii="Times New Roman" w:hAnsi="Times New Roman" w:eastAsia="宋体" w:cs="Times New Roman"/>
          <w:color w:val="auto"/>
          <w:kern w:val="2"/>
          <w:sz w:val="21"/>
          <w:szCs w:val="21"/>
          <w:highlight w:val="none"/>
          <w:lang w:val="en-US" w:eastAsia="zh-CN" w:bidi="ar-SA"/>
        </w:rPr>
        <w:t>3.2.1.6业务流向追溯</w:t>
      </w:r>
      <w:bookmarkEnd w:id="157"/>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提供参保登记业务追溯，便于业务人员掌握从社保医保参保登记、共享平台参保数据传输到社保费管理子系统关联登记的全过程，掌握数据传输的全环节，掌握数据传输的全流程。</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提供缴费权益业务追溯，便于业务人员掌握社保医保缴费数据传输、共享平台数据接收、社保费管理子系统申报、社保费征收子系统征收、税银子系统税银缴费、税库银系统入库等全过程，掌握缴费业务动向，掌握业务流转环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3.2.1.6.1使用层级</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省局、地市、区县。</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 xml:space="preserve">3.2.1.6.2数据来源 </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金税三期社保费共享平台、管理子系统。</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3.2.1.7共享平台监控</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58" w:name="_Toc41640174"/>
      <w:r>
        <w:rPr>
          <w:rFonts w:hint="eastAsia" w:ascii="Times New Roman" w:hAnsi="Times New Roman" w:eastAsia="宋体" w:cs="Times New Roman"/>
          <w:color w:val="auto"/>
          <w:kern w:val="2"/>
          <w:sz w:val="21"/>
          <w:szCs w:val="21"/>
          <w:highlight w:val="none"/>
          <w:lang w:val="en-US" w:eastAsia="zh-CN" w:bidi="ar-SA"/>
        </w:rPr>
        <w:t>提供对共享平台的监控，便于业务人员掌握通过共享平台传递的数据。</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3.2.1.7.1使用层级</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省局、地市、区县。</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 xml:space="preserve">3.2.1.7.2数据来源 </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金税三期社保费共享平台、管理子系统。</w:t>
      </w:r>
    </w:p>
    <w:bookmarkEnd w:id="158"/>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3.2.1.8税银系统监控</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提供对税银系统的监控，便于业务人员掌握通过税银系统相关交易的数据。</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3.2.1.8.1使用层级</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省局、地市、区县。</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 xml:space="preserve">3.2.1.8.2数据来源 </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金税三期社保费共享平台、税银子系统。</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3.2.1.9征管报表管理</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征管报表管理通过所选统计机关，入库日期等，展示机关事业单位、企业、城乡居民、灵活就业人员的社保缴费入库情况。</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3.2.1.10税务社保医保对账</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提供国库日报表、国库流水、社保费管理子系统缴费明细、反馈社保医保缴费明细全流程资金对账过程查询功能及差异分析功能。确保征收额、上解额、入库额、反馈社保医保明细额的一致性。</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（1）关于资金对账，税务、社保医保以国库日报表、国库月报表的数据统一来源及标准。</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（2）税务提供分社保经办机构、社保业务系统等维度的入库汇总表。</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（3）提供监控功能，分析国库流水、社保费征收子系统入库明细、社保费管理子系统反馈明细、信息共享平台（税务端）传输明细、信息共享平台（社保医保端）接收明细的差异，生成差异数据清册。</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3.2.1.10.1使用层级</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省局、地市、区县。</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 xml:space="preserve">3.2.1.10.2数据来源 </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金税三期社保费共享平台、税银子系统、管理子系统。</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3.2.1.11社保费收入统计报表查询</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税务划转社保费收入统计表根据征收项目、管理属性、主管税务机关、社保经办机构、入库年度等查询条件，按月、旬、日期统计机关事业单位、企业、机关事业单位、企业(分户)、城乡居民税务划转社保费收入情况。</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59" w:name="_Toc16095"/>
      <w:r>
        <w:rPr>
          <w:rFonts w:hint="eastAsia" w:ascii="Times New Roman" w:hAnsi="Times New Roman" w:eastAsia="宋体" w:cs="Times New Roman"/>
          <w:color w:val="auto"/>
          <w:kern w:val="2"/>
          <w:sz w:val="21"/>
          <w:szCs w:val="21"/>
          <w:highlight w:val="none"/>
          <w:lang w:val="en-US" w:eastAsia="zh-CN" w:bidi="ar-SA"/>
        </w:rPr>
        <w:t>3.2.1.11.1税务划转社保费收入统计表（机关事业单位）</w:t>
      </w:r>
      <w:bookmarkEnd w:id="159"/>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该模块主要实现按日、旬、月当期收入，累计收入报表统计；实现分管理属性报表统计；实现分征收项目、分预算科目、分税务机关、分社保经办机构报表统计；实现职工基本医疗，职工基本养老，机关事业单位基本养老、失业、工伤、生育保险收入报表统计。</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根据征收项目、管理属性、主管税务机关、社保经办机构、入库年度等查询条件，按日、旬、月统计机关事业单位税务划转社保费收入情况。</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60" w:name="_Toc10894"/>
      <w:r>
        <w:rPr>
          <w:rFonts w:hint="eastAsia" w:ascii="Times New Roman" w:hAnsi="Times New Roman" w:eastAsia="宋体" w:cs="Times New Roman"/>
          <w:color w:val="auto"/>
          <w:kern w:val="2"/>
          <w:sz w:val="21"/>
          <w:szCs w:val="21"/>
          <w:highlight w:val="none"/>
          <w:lang w:val="en-US" w:eastAsia="zh-CN" w:bidi="ar-SA"/>
        </w:rPr>
        <w:t>3.2.1.11.2税务划转社保费收入统计表（企业）</w:t>
      </w:r>
      <w:bookmarkEnd w:id="160"/>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该模块主要实现按日、旬、月当期收入，累计收入报表统计；实现分管理属性报表统计；实现分征收项目、分预算科目、分税务机关、分社保经办机构报表统计；实现职工基本医疗，职工基本养老，基本养老、失业、工伤、生育保险收入报表统计。</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根据征收项目、管理属性、主管税务机关、社保经办机构、入库年度等查询条件，按日、旬、月统计企业税务划转社保费收入情况。</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61" w:name="_Toc25912"/>
      <w:r>
        <w:rPr>
          <w:rFonts w:hint="eastAsia" w:ascii="Times New Roman" w:hAnsi="Times New Roman" w:eastAsia="宋体" w:cs="Times New Roman"/>
          <w:color w:val="auto"/>
          <w:kern w:val="2"/>
          <w:sz w:val="21"/>
          <w:szCs w:val="21"/>
          <w:highlight w:val="none"/>
          <w:lang w:val="en-US" w:eastAsia="zh-CN" w:bidi="ar-SA"/>
        </w:rPr>
        <w:t>3.2.1.11.3税务划转社保费收入统计表（分户）（机关事业单位）</w:t>
      </w:r>
      <w:bookmarkEnd w:id="161"/>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根据征收项目、管理属性、主管税务机关、社保经办机构、入库年度等查询条件，按月、旬、日期统计机关事业单位税务划转社保费收入情况。</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税务划转社保费收入统计表（机关事业单位、企业）（分户）模块主要满足分户统计税务划转社保费征收入库情况的功能。</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62" w:name="_Toc14533"/>
      <w:r>
        <w:rPr>
          <w:rFonts w:hint="eastAsia" w:ascii="Times New Roman" w:hAnsi="Times New Roman" w:eastAsia="宋体" w:cs="Times New Roman"/>
          <w:color w:val="auto"/>
          <w:kern w:val="2"/>
          <w:sz w:val="21"/>
          <w:szCs w:val="21"/>
          <w:highlight w:val="none"/>
          <w:lang w:val="en-US" w:eastAsia="zh-CN" w:bidi="ar-SA"/>
        </w:rPr>
        <w:t>3.2.1.11.4税务划转社保费收入统计表（分户）（企业）</w:t>
      </w:r>
      <w:bookmarkEnd w:id="162"/>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根据征收项目、管理属性、主管税务机关、社保经办机构、入库年度等查询条件，按月、旬、日期统计企业税务划转社保费收入情况。</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税务划转社保费收入统计表（企业）（分户）模块主要满足分户统计税务划转社保费征收入库情况的功能。</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根据征收项目、管理属性、主管税务机关、社保经办机构、入库年度等查询条件，按旬、月、年多个维度统计企业税务划转社保费收入情况。</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63" w:name="_Toc32112"/>
      <w:r>
        <w:rPr>
          <w:rFonts w:hint="eastAsia" w:ascii="Times New Roman" w:hAnsi="Times New Roman" w:eastAsia="宋体" w:cs="Times New Roman"/>
          <w:color w:val="auto"/>
          <w:kern w:val="2"/>
          <w:sz w:val="21"/>
          <w:szCs w:val="21"/>
          <w:highlight w:val="none"/>
          <w:lang w:val="en-US" w:eastAsia="zh-CN" w:bidi="ar-SA"/>
        </w:rPr>
        <w:t>3.2.1.11.5税务划转社保费收入统计表（城乡居民）</w:t>
      </w:r>
      <w:bookmarkEnd w:id="163"/>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根据征收项目、管理属性、主管税务机关、社保经办机构、入库年度等查询条件，按月、旬、日期统计城乡居民税务划转社保费收入情况。</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根据征收项目、管理属性、主管税务机关、社保经办机构、入库年度等查询条件，按月统计城乡居民税务划转社保费收入情况。</w:t>
      </w:r>
      <w:bookmarkStart w:id="164" w:name="_Toc21415"/>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3.2.1.11.6税务划转社保费收入统计表（灵活就业）</w:t>
      </w:r>
      <w:bookmarkEnd w:id="164"/>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根据征收项目、管理属性、主管税务机关、社保经办机构、入库年度等查询条件，按月、旬、日期统计灵活就业人员税务划转社保费收入情况。</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根据征收项目、管理属性、主管税务机关、社保经办机构、入库年度等查询条件，按月统计灵活就业人员税务划转社保费收入情况。</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65" w:name="_Toc32205"/>
      <w:r>
        <w:rPr>
          <w:rFonts w:hint="eastAsia" w:ascii="Times New Roman" w:hAnsi="Times New Roman" w:eastAsia="宋体" w:cs="Times New Roman"/>
          <w:color w:val="auto"/>
          <w:kern w:val="2"/>
          <w:sz w:val="21"/>
          <w:szCs w:val="21"/>
          <w:highlight w:val="none"/>
          <w:lang w:val="en-US" w:eastAsia="zh-CN" w:bidi="ar-SA"/>
        </w:rPr>
        <w:t>3.2.2服务接口中心</w:t>
      </w:r>
      <w:bookmarkEnd w:id="165"/>
    </w:p>
    <w:tbl>
      <w:tblPr>
        <w:tblStyle w:val="24"/>
        <w:tblW w:w="9817" w:type="dxa"/>
        <w:tblInd w:w="-58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34"/>
        <w:gridCol w:w="3600"/>
        <w:gridCol w:w="2316"/>
        <w:gridCol w:w="23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34" w:type="dxa"/>
            <w:noWrap w:val="0"/>
            <w:vAlign w:val="top"/>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接口类型</w:t>
            </w:r>
          </w:p>
        </w:tc>
        <w:tc>
          <w:tcPr>
            <w:tcW w:w="3600" w:type="dxa"/>
            <w:noWrap w:val="0"/>
            <w:vAlign w:val="top"/>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接口名称</w:t>
            </w:r>
          </w:p>
        </w:tc>
        <w:tc>
          <w:tcPr>
            <w:tcW w:w="2316" w:type="dxa"/>
            <w:noWrap w:val="0"/>
            <w:vAlign w:val="top"/>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服务方</w:t>
            </w:r>
          </w:p>
        </w:tc>
        <w:tc>
          <w:tcPr>
            <w:tcW w:w="2367" w:type="dxa"/>
            <w:noWrap w:val="0"/>
            <w:vAlign w:val="top"/>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消费方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34" w:type="dxa"/>
            <w:noWrap w:val="0"/>
            <w:vAlign w:val="top"/>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数据请求应用</w:t>
            </w:r>
          </w:p>
        </w:tc>
        <w:tc>
          <w:tcPr>
            <w:tcW w:w="3600" w:type="dxa"/>
            <w:noWrap w:val="0"/>
            <w:vAlign w:val="top"/>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数据请求应用接口</w:t>
            </w:r>
          </w:p>
        </w:tc>
        <w:tc>
          <w:tcPr>
            <w:tcW w:w="2316" w:type="dxa"/>
            <w:noWrap w:val="0"/>
            <w:vAlign w:val="top"/>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金税三期社保费共享平台、税银子系统</w:t>
            </w:r>
          </w:p>
        </w:tc>
        <w:tc>
          <w:tcPr>
            <w:tcW w:w="2367" w:type="dxa"/>
            <w:noWrap w:val="0"/>
            <w:vAlign w:val="top"/>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社保费信息共享平台监控查询统计优化系统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34" w:type="dxa"/>
            <w:vMerge w:val="restart"/>
            <w:noWrap w:val="0"/>
            <w:vAlign w:val="top"/>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数据推送应用</w:t>
            </w:r>
          </w:p>
        </w:tc>
        <w:tc>
          <w:tcPr>
            <w:tcW w:w="3600" w:type="dxa"/>
            <w:noWrap w:val="0"/>
            <w:vAlign w:val="top"/>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税务机关业务监控数据推送应用接口</w:t>
            </w:r>
          </w:p>
        </w:tc>
        <w:tc>
          <w:tcPr>
            <w:tcW w:w="2316" w:type="dxa"/>
            <w:vMerge w:val="restart"/>
            <w:noWrap w:val="0"/>
            <w:vAlign w:val="top"/>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社保费信息共享平台监控查询统计优化系统</w:t>
            </w:r>
          </w:p>
        </w:tc>
        <w:tc>
          <w:tcPr>
            <w:tcW w:w="2367" w:type="dxa"/>
            <w:vMerge w:val="restart"/>
            <w:noWrap w:val="0"/>
            <w:vAlign w:val="top"/>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金税三期社保费共享平台、税银子系统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34" w:type="dxa"/>
            <w:vMerge w:val="continue"/>
            <w:noWrap w:val="0"/>
            <w:vAlign w:val="top"/>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p>
        </w:tc>
        <w:tc>
          <w:tcPr>
            <w:tcW w:w="3600" w:type="dxa"/>
            <w:noWrap w:val="0"/>
            <w:vAlign w:val="top"/>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参保单位业务监控数据推送应用接口</w:t>
            </w:r>
          </w:p>
        </w:tc>
        <w:tc>
          <w:tcPr>
            <w:tcW w:w="2316" w:type="dxa"/>
            <w:vMerge w:val="continue"/>
            <w:noWrap w:val="0"/>
            <w:vAlign w:val="top"/>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p>
        </w:tc>
        <w:tc>
          <w:tcPr>
            <w:tcW w:w="2367" w:type="dxa"/>
            <w:vMerge w:val="continue"/>
            <w:noWrap w:val="0"/>
            <w:vAlign w:val="top"/>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34" w:type="dxa"/>
            <w:vMerge w:val="continue"/>
            <w:noWrap w:val="0"/>
            <w:vAlign w:val="top"/>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p>
        </w:tc>
        <w:tc>
          <w:tcPr>
            <w:tcW w:w="3600" w:type="dxa"/>
            <w:noWrap w:val="0"/>
            <w:vAlign w:val="top"/>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业务流向追溯数据推送应用接口</w:t>
            </w:r>
          </w:p>
        </w:tc>
        <w:tc>
          <w:tcPr>
            <w:tcW w:w="2316" w:type="dxa"/>
            <w:vMerge w:val="continue"/>
            <w:noWrap w:val="0"/>
            <w:vAlign w:val="top"/>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p>
        </w:tc>
        <w:tc>
          <w:tcPr>
            <w:tcW w:w="2367" w:type="dxa"/>
            <w:vMerge w:val="continue"/>
            <w:noWrap w:val="0"/>
            <w:vAlign w:val="top"/>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34" w:type="dxa"/>
            <w:vMerge w:val="continue"/>
            <w:noWrap w:val="0"/>
            <w:vAlign w:val="top"/>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p>
        </w:tc>
        <w:tc>
          <w:tcPr>
            <w:tcW w:w="3600" w:type="dxa"/>
            <w:noWrap w:val="0"/>
            <w:vAlign w:val="top"/>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共享平台监控数据推送应用接口</w:t>
            </w:r>
          </w:p>
        </w:tc>
        <w:tc>
          <w:tcPr>
            <w:tcW w:w="2316" w:type="dxa"/>
            <w:vMerge w:val="continue"/>
            <w:noWrap w:val="0"/>
            <w:vAlign w:val="top"/>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p>
        </w:tc>
        <w:tc>
          <w:tcPr>
            <w:tcW w:w="2367" w:type="dxa"/>
            <w:vMerge w:val="continue"/>
            <w:noWrap w:val="0"/>
            <w:vAlign w:val="top"/>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34" w:type="dxa"/>
            <w:vMerge w:val="continue"/>
            <w:noWrap w:val="0"/>
            <w:vAlign w:val="top"/>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p>
        </w:tc>
        <w:tc>
          <w:tcPr>
            <w:tcW w:w="3600" w:type="dxa"/>
            <w:noWrap w:val="0"/>
            <w:vAlign w:val="top"/>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税银系统监控数据推送应用接口</w:t>
            </w:r>
          </w:p>
        </w:tc>
        <w:tc>
          <w:tcPr>
            <w:tcW w:w="2316" w:type="dxa"/>
            <w:vMerge w:val="continue"/>
            <w:noWrap w:val="0"/>
            <w:vAlign w:val="top"/>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p>
        </w:tc>
        <w:tc>
          <w:tcPr>
            <w:tcW w:w="2367" w:type="dxa"/>
            <w:vMerge w:val="continue"/>
            <w:noWrap w:val="0"/>
            <w:vAlign w:val="top"/>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34" w:type="dxa"/>
            <w:vMerge w:val="continue"/>
            <w:noWrap w:val="0"/>
            <w:vAlign w:val="top"/>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p>
        </w:tc>
        <w:tc>
          <w:tcPr>
            <w:tcW w:w="3600" w:type="dxa"/>
            <w:noWrap w:val="0"/>
            <w:vAlign w:val="top"/>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税务社保医保对账数据推送应用接口</w:t>
            </w:r>
          </w:p>
        </w:tc>
        <w:tc>
          <w:tcPr>
            <w:tcW w:w="2316" w:type="dxa"/>
            <w:vMerge w:val="continue"/>
            <w:noWrap w:val="0"/>
            <w:vAlign w:val="top"/>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p>
        </w:tc>
        <w:tc>
          <w:tcPr>
            <w:tcW w:w="2367" w:type="dxa"/>
            <w:vMerge w:val="continue"/>
            <w:noWrap w:val="0"/>
            <w:vAlign w:val="top"/>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34" w:type="dxa"/>
            <w:noWrap w:val="0"/>
            <w:vAlign w:val="top"/>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数据反馈应用</w:t>
            </w:r>
          </w:p>
        </w:tc>
        <w:tc>
          <w:tcPr>
            <w:tcW w:w="3600" w:type="dxa"/>
            <w:noWrap w:val="0"/>
            <w:vAlign w:val="top"/>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数据反馈应用接口</w:t>
            </w:r>
          </w:p>
        </w:tc>
        <w:tc>
          <w:tcPr>
            <w:tcW w:w="4683" w:type="dxa"/>
            <w:gridSpan w:val="2"/>
            <w:noWrap w:val="0"/>
            <w:vAlign w:val="top"/>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社保费信息共享平台监控查询统计优化系统</w:t>
            </w:r>
          </w:p>
        </w:tc>
      </w:tr>
    </w:tbl>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3.2.2.1数据请求应用接口</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社保费信息共享平台监控查询统计优化系统向金税三期社保费共享平台、税银子系统查询数据请求时提供的接口。</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3.2.2.2数据推送应用接口</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3.2.2.2.1税务机关业务监控数据推送应用接口</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将税务机关业务监控存入社保费信息共享平台监控查询统计优化系统时提供的接口。</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3.2.2.2.2参保单位业务监控数据推送应用接口</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将参保单位业务监控存入社保费信息共享平台监控查询统计优化系统时提供的接口。</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3.2.2.2.3业务流向追溯数据推送应用接口</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将业务流向数据存入社保费信息共享平台监控查询统计优化系统时提供的接口。</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3.2.2.2.4共享平台监控数据推送应用接口</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将共享平台数据存入社保费信息共享平台监控查询统计优化系统时提供的接口。</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3.2.2.2.5税银系统监控数据推送应用接口</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将税银子系统据存入社保费信息共享平台监控查询统计优化系统时提供的接口。</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3.2.2.2.6税务社保医保对账数据推送应用接口</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将税务人社对账数据存入社保费信息共享平台监控查询统计优化系统时提供的接口。</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3.2.2.3数据反馈应用接口</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当社保费信息共享平台监控查询统计优化系统的数据存入监控服务器后，调用通知文件已放妥的通知消息接口。</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66" w:name="_Toc27823"/>
      <w:r>
        <w:rPr>
          <w:rFonts w:hint="eastAsia" w:ascii="Times New Roman" w:hAnsi="Times New Roman" w:eastAsia="宋体" w:cs="Times New Roman"/>
          <w:color w:val="auto"/>
          <w:kern w:val="2"/>
          <w:sz w:val="21"/>
          <w:szCs w:val="21"/>
          <w:highlight w:val="none"/>
          <w:lang w:val="en-US" w:eastAsia="zh-CN" w:bidi="ar-SA"/>
        </w:rPr>
        <w:t>3.2.3应用分析体系</w:t>
      </w:r>
      <w:bookmarkEnd w:id="166"/>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67" w:name="_Toc15610"/>
      <w:r>
        <w:rPr>
          <w:rFonts w:hint="eastAsia" w:ascii="Times New Roman" w:hAnsi="Times New Roman" w:eastAsia="宋体" w:cs="Times New Roman"/>
          <w:color w:val="auto"/>
          <w:kern w:val="2"/>
          <w:sz w:val="21"/>
          <w:szCs w:val="21"/>
          <w:highlight w:val="none"/>
          <w:lang w:val="en-US" w:eastAsia="zh-CN" w:bidi="ar-SA"/>
        </w:rPr>
        <w:t>3.2.3.1税务机关业务监控页面</w:t>
      </w:r>
      <w:bookmarkEnd w:id="167"/>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展示税务机关业务相关数据前台页面。</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68" w:name="_Toc1650"/>
      <w:r>
        <w:rPr>
          <w:rFonts w:hint="eastAsia" w:ascii="Times New Roman" w:hAnsi="Times New Roman" w:eastAsia="宋体" w:cs="Times New Roman"/>
          <w:color w:val="auto"/>
          <w:kern w:val="2"/>
          <w:sz w:val="21"/>
          <w:szCs w:val="21"/>
          <w:highlight w:val="none"/>
          <w:lang w:val="en-US" w:eastAsia="zh-CN" w:bidi="ar-SA"/>
        </w:rPr>
        <w:t>3.2.3.2参保单位业务监控页面</w:t>
      </w:r>
      <w:bookmarkEnd w:id="168"/>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展示参保单位业务相关数据前台页面。</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69" w:name="_Toc1904"/>
      <w:r>
        <w:rPr>
          <w:rFonts w:hint="eastAsia" w:ascii="Times New Roman" w:hAnsi="Times New Roman" w:eastAsia="宋体" w:cs="Times New Roman"/>
          <w:color w:val="auto"/>
          <w:kern w:val="2"/>
          <w:sz w:val="21"/>
          <w:szCs w:val="21"/>
          <w:highlight w:val="none"/>
          <w:lang w:val="en-US" w:eastAsia="zh-CN" w:bidi="ar-SA"/>
        </w:rPr>
        <w:t>3.2.3.3业务流向追溯页面</w:t>
      </w:r>
      <w:bookmarkEnd w:id="169"/>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展示业务流向相关数据前台页面。</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70" w:name="_Toc1778"/>
      <w:r>
        <w:rPr>
          <w:rFonts w:hint="eastAsia" w:ascii="Times New Roman" w:hAnsi="Times New Roman" w:eastAsia="宋体" w:cs="Times New Roman"/>
          <w:color w:val="auto"/>
          <w:kern w:val="2"/>
          <w:sz w:val="21"/>
          <w:szCs w:val="21"/>
          <w:highlight w:val="none"/>
          <w:lang w:val="en-US" w:eastAsia="zh-CN" w:bidi="ar-SA"/>
        </w:rPr>
        <w:t>3.2.3.4共享平台监控页面</w:t>
      </w:r>
      <w:bookmarkEnd w:id="170"/>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展示共享平台监控先关数据前台页面。</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71" w:name="_Toc28905"/>
      <w:r>
        <w:rPr>
          <w:rFonts w:hint="eastAsia" w:ascii="Times New Roman" w:hAnsi="Times New Roman" w:eastAsia="宋体" w:cs="Times New Roman"/>
          <w:color w:val="auto"/>
          <w:kern w:val="2"/>
          <w:sz w:val="21"/>
          <w:szCs w:val="21"/>
          <w:highlight w:val="none"/>
          <w:lang w:val="en-US" w:eastAsia="zh-CN" w:bidi="ar-SA"/>
        </w:rPr>
        <w:t>3.2.3.5税银系统监控页面</w:t>
      </w:r>
      <w:bookmarkEnd w:id="171"/>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展示税银系统监控相关数据前台页面。</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72" w:name="_Toc27066"/>
      <w:r>
        <w:rPr>
          <w:rFonts w:hint="eastAsia" w:ascii="Times New Roman" w:hAnsi="Times New Roman" w:eastAsia="宋体" w:cs="Times New Roman"/>
          <w:color w:val="auto"/>
          <w:kern w:val="2"/>
          <w:sz w:val="21"/>
          <w:szCs w:val="21"/>
          <w:highlight w:val="none"/>
          <w:lang w:val="en-US" w:eastAsia="zh-CN" w:bidi="ar-SA"/>
        </w:rPr>
        <w:t>3.2.3.6税务社保医保对账页面</w:t>
      </w:r>
      <w:bookmarkEnd w:id="172"/>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展示人社税务对账相关数据前台页面。</w:t>
      </w:r>
      <w:bookmarkStart w:id="173" w:name="_Hlk104058253"/>
    </w:p>
    <w:bookmarkEnd w:id="173"/>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74" w:name="_Toc19095"/>
      <w:r>
        <w:rPr>
          <w:rFonts w:hint="eastAsia" w:ascii="Times New Roman" w:hAnsi="Times New Roman" w:eastAsia="宋体" w:cs="Times New Roman"/>
          <w:color w:val="auto"/>
          <w:kern w:val="2"/>
          <w:sz w:val="21"/>
          <w:szCs w:val="21"/>
          <w:highlight w:val="none"/>
          <w:lang w:val="en-US" w:eastAsia="zh-CN" w:bidi="ar-SA"/>
        </w:rPr>
        <w:t>3.2.4信息共享平台</w:t>
      </w:r>
      <w:bookmarkEnd w:id="174"/>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按照统模式要求，进行信息共享平台升级完善建设，实现税务部门与人社、医保等相关部门间的互联互通，实现社保费相关数据的日常交换。</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人社部门与税务部门之间的数据交互，主要分为正常业务、退费业务、特殊缴费业务三类情况，具体又可分为登记信息交互、征缴信息交互两大业务交互节点。主要是：人社部门将参保登记数据、退费核验信息、特殊缴费业务核定信息等交换至税务部门；税务部门将社保费缴费明细数据、对账数据、新办税务登记数据、退抵费明细信息、更正调库明细信息等交换至人社部门。</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75" w:name="_Toc14271"/>
      <w:r>
        <w:rPr>
          <w:rFonts w:hint="eastAsia" w:ascii="Times New Roman" w:hAnsi="Times New Roman" w:eastAsia="宋体" w:cs="Times New Roman"/>
          <w:color w:val="auto"/>
          <w:kern w:val="2"/>
          <w:sz w:val="21"/>
          <w:szCs w:val="21"/>
          <w:highlight w:val="none"/>
          <w:lang w:val="en-US" w:eastAsia="zh-CN" w:bidi="ar-SA"/>
        </w:rPr>
        <w:t>3.2.5税银子系统</w:t>
      </w:r>
      <w:bookmarkEnd w:id="175"/>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按照统模式要求，搭建社保费税银交互渠道，承担本次社保费征收税务与各家商业银行的衔接，实现待报解过渡账户的缴费模式，采用先缴入国库经收处的社保费待报解账户，再按日汇总缴入国库的业务模式。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76" w:name="_Toc11260"/>
      <w:r>
        <w:rPr>
          <w:rFonts w:hint="eastAsia" w:ascii="Times New Roman" w:hAnsi="Times New Roman" w:eastAsia="宋体" w:cs="Times New Roman"/>
          <w:color w:val="auto"/>
          <w:kern w:val="2"/>
          <w:sz w:val="21"/>
          <w:szCs w:val="21"/>
          <w:highlight w:val="none"/>
          <w:lang w:val="en-US" w:eastAsia="zh-CN" w:bidi="ar-SA"/>
        </w:rPr>
        <w:t>3.2.6税库银系统</w:t>
      </w:r>
      <w:bookmarkEnd w:id="176"/>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77" w:name="_Toc6996"/>
      <w:r>
        <w:rPr>
          <w:rFonts w:hint="eastAsia" w:ascii="Times New Roman" w:hAnsi="Times New Roman" w:eastAsia="宋体" w:cs="Times New Roman"/>
          <w:color w:val="auto"/>
          <w:kern w:val="2"/>
          <w:sz w:val="21"/>
          <w:szCs w:val="21"/>
          <w:highlight w:val="none"/>
          <w:lang w:val="en-US" w:eastAsia="zh-CN" w:bidi="ar-SA"/>
        </w:rPr>
        <w:t>3.2.6.1社保费缴费渠道接入支撑优化</w:t>
      </w:r>
      <w:bookmarkEnd w:id="177"/>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按照统模式要求，为支撑社保费征管职责划转改革任务的顺利完成，提高社会保险资金征管效率，本项目按照国家税务总局计划，完成税库银系统对社保费征管职责划转改革任务的支撑工作，对系统按照需求内容进行优化确保满足各级税务机关社保费征收管理的需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78" w:name="_Toc44099347"/>
      <w:r>
        <w:rPr>
          <w:rFonts w:hint="eastAsia" w:ascii="Times New Roman" w:hAnsi="Times New Roman" w:eastAsia="宋体" w:cs="Times New Roman"/>
          <w:color w:val="auto"/>
          <w:kern w:val="2"/>
          <w:sz w:val="21"/>
          <w:szCs w:val="21"/>
          <w:highlight w:val="none"/>
          <w:lang w:val="en-US" w:eastAsia="zh-CN" w:bidi="ar-SA"/>
        </w:rPr>
        <w:t>1.税库银与社保费征收子系统之间连通性测试</w:t>
      </w:r>
      <w:bookmarkEnd w:id="178"/>
      <w:r>
        <w:rPr>
          <w:rFonts w:hint="eastAsia" w:ascii="Times New Roman" w:hAnsi="Times New Roman" w:eastAsia="宋体" w:cs="Times New Roman"/>
          <w:color w:val="auto"/>
          <w:kern w:val="2"/>
          <w:sz w:val="21"/>
          <w:szCs w:val="21"/>
          <w:highlight w:val="none"/>
          <w:lang w:val="en-US" w:eastAsia="zh-CN" w:bidi="ar-SA"/>
        </w:rPr>
        <w:t>功能</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社保费征收子系统是负责社保费征收开票的系统，通过税库银系统完成社保费的缴纳业务。税库银系统支撑社保费征收子系统对接，。考虑到征收子系统部署模式及其与税库银系统间网络链路的问题，在税库银系统与社保费征收子系统之间增加连通性测试功能，有效地检测两个系统之间交互通信的情况，保障社保费缴费业务的正常办理。</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79" w:name="_Toc44099348"/>
      <w:r>
        <w:rPr>
          <w:rFonts w:hint="eastAsia" w:ascii="Times New Roman" w:hAnsi="Times New Roman" w:eastAsia="宋体" w:cs="Times New Roman"/>
          <w:color w:val="auto"/>
          <w:kern w:val="2"/>
          <w:sz w:val="21"/>
          <w:szCs w:val="21"/>
          <w:highlight w:val="none"/>
          <w:lang w:val="en-US" w:eastAsia="zh-CN" w:bidi="ar-SA"/>
        </w:rPr>
        <w:t>2.税库银与社保费税银子系统连接测试功能</w:t>
      </w:r>
      <w:bookmarkEnd w:id="179"/>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社保费税银子系统是独立于税务征收系统的系统。社保费城乡居民和灵活就业缴费需通过税银子系统与商业银行系统对接，开展社保费缴费业务办理。税库银系统支撑社保费税银子系统对接，进行系统支撑改造。考虑到税银子系统部署模式及其与税库银系统间网络链路的问题，在税库银系统与税银子系统之间增加连通性测试功能，有效地检测两个系统之间交互通信情况，保障社保费缴费业务的正常办理。</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80" w:name="_Toc11154"/>
      <w:r>
        <w:rPr>
          <w:rFonts w:hint="eastAsia" w:ascii="Times New Roman" w:hAnsi="Times New Roman" w:eastAsia="宋体" w:cs="Times New Roman"/>
          <w:color w:val="auto"/>
          <w:kern w:val="2"/>
          <w:sz w:val="21"/>
          <w:szCs w:val="21"/>
          <w:highlight w:val="none"/>
          <w:lang w:val="en-US" w:eastAsia="zh-CN" w:bidi="ar-SA"/>
        </w:rPr>
        <w:t>3.2.6.2库银系统社保费查询优化</w:t>
      </w:r>
      <w:bookmarkEnd w:id="180"/>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按照统模式要求，进行社保费税库银缴费查询功能优化的需求，在税库银系统完成社保费各类交易业务的查询功能，满足各省税务人员的日常需要。</w:t>
      </w:r>
      <w:bookmarkStart w:id="181" w:name="_Toc44099354"/>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1.社保费税库银实时扣款情况查询</w:t>
      </w:r>
      <w:bookmarkEnd w:id="181"/>
      <w:r>
        <w:rPr>
          <w:rFonts w:hint="eastAsia" w:ascii="Times New Roman" w:hAnsi="Times New Roman" w:eastAsia="宋体" w:cs="Times New Roman"/>
          <w:color w:val="auto"/>
          <w:kern w:val="2"/>
          <w:sz w:val="21"/>
          <w:szCs w:val="21"/>
          <w:highlight w:val="none"/>
          <w:lang w:val="en-US" w:eastAsia="zh-CN" w:bidi="ar-SA"/>
        </w:rPr>
        <w:t>功能</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对金三社保费系统通过税库银实时扣款的情况进行统计查询，并支持查询结果导出为EXCEL文件的功能。</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82" w:name="_Toc44099355"/>
      <w:r>
        <w:rPr>
          <w:rFonts w:hint="eastAsia" w:ascii="Times New Roman" w:hAnsi="Times New Roman" w:eastAsia="宋体" w:cs="Times New Roman"/>
          <w:color w:val="auto"/>
          <w:kern w:val="2"/>
          <w:sz w:val="21"/>
          <w:szCs w:val="21"/>
          <w:highlight w:val="none"/>
          <w:lang w:val="en-US" w:eastAsia="zh-CN" w:bidi="ar-SA"/>
        </w:rPr>
        <w:t>2.社保费税库银批量扣款情况查询</w:t>
      </w:r>
      <w:bookmarkEnd w:id="182"/>
      <w:r>
        <w:rPr>
          <w:rFonts w:hint="eastAsia" w:ascii="Times New Roman" w:hAnsi="Times New Roman" w:eastAsia="宋体" w:cs="Times New Roman"/>
          <w:color w:val="auto"/>
          <w:kern w:val="2"/>
          <w:sz w:val="21"/>
          <w:szCs w:val="21"/>
          <w:highlight w:val="none"/>
          <w:lang w:val="en-US" w:eastAsia="zh-CN" w:bidi="ar-SA"/>
        </w:rPr>
        <w:t>功能</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对金三社保费系统通过税库银批量扣款的情况进行统计查询，并支持查询结果导出为EXCEL文件的功能。</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83" w:name="_Toc44099356"/>
      <w:r>
        <w:rPr>
          <w:rFonts w:hint="eastAsia" w:ascii="Times New Roman" w:hAnsi="Times New Roman" w:eastAsia="宋体" w:cs="Times New Roman"/>
          <w:color w:val="auto"/>
          <w:kern w:val="2"/>
          <w:sz w:val="21"/>
          <w:szCs w:val="21"/>
          <w:highlight w:val="none"/>
          <w:lang w:val="en-US" w:eastAsia="zh-CN" w:bidi="ar-SA"/>
        </w:rPr>
        <w:t>3.社保费税库银银行端查询缴款情况查询</w:t>
      </w:r>
      <w:bookmarkEnd w:id="183"/>
      <w:r>
        <w:rPr>
          <w:rFonts w:hint="eastAsia" w:ascii="Times New Roman" w:hAnsi="Times New Roman" w:eastAsia="宋体" w:cs="Times New Roman"/>
          <w:color w:val="auto"/>
          <w:kern w:val="2"/>
          <w:sz w:val="21"/>
          <w:szCs w:val="21"/>
          <w:highlight w:val="none"/>
          <w:lang w:val="en-US" w:eastAsia="zh-CN" w:bidi="ar-SA"/>
        </w:rPr>
        <w:t>功能</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对金三社保费系统通过税库银银行端缴款的情况进行统计查询，并支持查询结果导出为EXCEL文件的功能。</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84" w:name="_Toc44099357"/>
      <w:r>
        <w:rPr>
          <w:rFonts w:hint="eastAsia" w:ascii="Times New Roman" w:hAnsi="Times New Roman" w:eastAsia="宋体" w:cs="Times New Roman"/>
          <w:color w:val="auto"/>
          <w:kern w:val="2"/>
          <w:sz w:val="21"/>
          <w:szCs w:val="21"/>
          <w:highlight w:val="none"/>
          <w:lang w:val="en-US" w:eastAsia="zh-CN" w:bidi="ar-SA"/>
        </w:rPr>
        <w:t>4.社保费税库银退库交易情况查询</w:t>
      </w:r>
      <w:bookmarkEnd w:id="184"/>
      <w:r>
        <w:rPr>
          <w:rFonts w:hint="eastAsia" w:ascii="Times New Roman" w:hAnsi="Times New Roman" w:eastAsia="宋体" w:cs="Times New Roman"/>
          <w:color w:val="auto"/>
          <w:kern w:val="2"/>
          <w:sz w:val="21"/>
          <w:szCs w:val="21"/>
          <w:highlight w:val="none"/>
          <w:lang w:val="en-US" w:eastAsia="zh-CN" w:bidi="ar-SA"/>
        </w:rPr>
        <w:t>功能</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对金三社保费系统通过税库银退库交易的情况进行统计查询，并支持查询结果导出为EXCEL文件的功能。</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85" w:name="_Toc44099358"/>
      <w:r>
        <w:rPr>
          <w:rFonts w:hint="eastAsia" w:ascii="Times New Roman" w:hAnsi="Times New Roman" w:eastAsia="宋体" w:cs="Times New Roman"/>
          <w:color w:val="auto"/>
          <w:kern w:val="2"/>
          <w:sz w:val="21"/>
          <w:szCs w:val="21"/>
          <w:highlight w:val="none"/>
          <w:lang w:val="en-US" w:eastAsia="zh-CN" w:bidi="ar-SA"/>
        </w:rPr>
        <w:t>5.社保费税库银缴税业务对账情况查询</w:t>
      </w:r>
      <w:bookmarkEnd w:id="185"/>
      <w:r>
        <w:rPr>
          <w:rFonts w:hint="eastAsia" w:ascii="Times New Roman" w:hAnsi="Times New Roman" w:eastAsia="宋体" w:cs="Times New Roman"/>
          <w:color w:val="auto"/>
          <w:kern w:val="2"/>
          <w:sz w:val="21"/>
          <w:szCs w:val="21"/>
          <w:highlight w:val="none"/>
          <w:lang w:val="en-US" w:eastAsia="zh-CN" w:bidi="ar-SA"/>
        </w:rPr>
        <w:t>功能</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税库银针对金三社保费业务电子缴税的情况进行统计查询，并支持查询结果导出为EXCEL文件的功能。</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86" w:name="_Toc44099359"/>
      <w:r>
        <w:rPr>
          <w:rFonts w:hint="eastAsia" w:ascii="Times New Roman" w:hAnsi="Times New Roman" w:eastAsia="宋体" w:cs="Times New Roman"/>
          <w:color w:val="auto"/>
          <w:kern w:val="2"/>
          <w:sz w:val="21"/>
          <w:szCs w:val="21"/>
          <w:highlight w:val="none"/>
          <w:lang w:val="en-US" w:eastAsia="zh-CN" w:bidi="ar-SA"/>
        </w:rPr>
        <w:t>6.社保费税库银退库业务对账情况查询</w:t>
      </w:r>
      <w:bookmarkEnd w:id="186"/>
      <w:r>
        <w:rPr>
          <w:rFonts w:hint="eastAsia" w:ascii="Times New Roman" w:hAnsi="Times New Roman" w:eastAsia="宋体" w:cs="Times New Roman"/>
          <w:color w:val="auto"/>
          <w:kern w:val="2"/>
          <w:sz w:val="21"/>
          <w:szCs w:val="21"/>
          <w:highlight w:val="none"/>
          <w:lang w:val="en-US" w:eastAsia="zh-CN" w:bidi="ar-SA"/>
        </w:rPr>
        <w:t>功能</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税库银针对金三社保费业务退库交易对账的情况进行统计查询，并支持查询结果导出为EXCEL文件的功能。</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87" w:name="_Toc44099360"/>
      <w:r>
        <w:rPr>
          <w:rFonts w:hint="eastAsia" w:ascii="Times New Roman" w:hAnsi="Times New Roman" w:eastAsia="宋体" w:cs="Times New Roman"/>
          <w:color w:val="auto"/>
          <w:kern w:val="2"/>
          <w:sz w:val="21"/>
          <w:szCs w:val="21"/>
          <w:highlight w:val="none"/>
          <w:lang w:val="en-US" w:eastAsia="zh-CN" w:bidi="ar-SA"/>
        </w:rPr>
        <w:t>7.社保费税库银入库流水情况查询</w:t>
      </w:r>
      <w:bookmarkEnd w:id="187"/>
      <w:r>
        <w:rPr>
          <w:rFonts w:hint="eastAsia" w:ascii="Times New Roman" w:hAnsi="Times New Roman" w:eastAsia="宋体" w:cs="Times New Roman"/>
          <w:color w:val="auto"/>
          <w:kern w:val="2"/>
          <w:sz w:val="21"/>
          <w:szCs w:val="21"/>
          <w:highlight w:val="none"/>
          <w:lang w:val="en-US" w:eastAsia="zh-CN" w:bidi="ar-SA"/>
        </w:rPr>
        <w:t>功能</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税库银针对金三社保费业务下载入库流水的情况进行查询统计，并支持查询结果导出为EXCEL文件的功能。</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88" w:name="_Toc44099361"/>
      <w:r>
        <w:rPr>
          <w:rFonts w:hint="eastAsia" w:ascii="Times New Roman" w:hAnsi="Times New Roman" w:eastAsia="宋体" w:cs="Times New Roman"/>
          <w:color w:val="auto"/>
          <w:kern w:val="2"/>
          <w:sz w:val="21"/>
          <w:szCs w:val="21"/>
          <w:highlight w:val="none"/>
          <w:lang w:val="en-US" w:eastAsia="zh-CN" w:bidi="ar-SA"/>
        </w:rPr>
        <w:t>8.社保费税库银下载报表情况查询</w:t>
      </w:r>
      <w:bookmarkEnd w:id="188"/>
      <w:r>
        <w:rPr>
          <w:rFonts w:hint="eastAsia" w:ascii="Times New Roman" w:hAnsi="Times New Roman" w:eastAsia="宋体" w:cs="Times New Roman"/>
          <w:color w:val="auto"/>
          <w:kern w:val="2"/>
          <w:sz w:val="21"/>
          <w:szCs w:val="21"/>
          <w:highlight w:val="none"/>
          <w:lang w:val="en-US" w:eastAsia="zh-CN" w:bidi="ar-SA"/>
        </w:rPr>
        <w:t>功能</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税库银针对金三社保费业务下载报表的情况进行统计查询，并支持查询结果导出为EXCEL文件的功能。</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89" w:name="_Toc22709"/>
      <w:r>
        <w:rPr>
          <w:rFonts w:hint="eastAsia" w:ascii="Times New Roman" w:hAnsi="Times New Roman" w:eastAsia="宋体" w:cs="Times New Roman"/>
          <w:color w:val="auto"/>
          <w:kern w:val="2"/>
          <w:sz w:val="21"/>
          <w:szCs w:val="21"/>
          <w:highlight w:val="none"/>
          <w:lang w:val="en-US" w:eastAsia="zh-CN" w:bidi="ar-SA"/>
        </w:rPr>
        <w:t>3.2.6.3税库银系统社保费业务功能优化</w:t>
      </w:r>
      <w:bookmarkEnd w:id="189"/>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按照统模式要求，针对税库银系统中社保费业务功能进行整合优化，提供社保费缴费入库流水及入库报表提供辅助反馈功能，为基层税务人员提供方便。</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90" w:name="_Toc44099366"/>
      <w:r>
        <w:rPr>
          <w:rFonts w:hint="eastAsia" w:ascii="Times New Roman" w:hAnsi="Times New Roman" w:eastAsia="宋体" w:cs="Times New Roman"/>
          <w:color w:val="auto"/>
          <w:kern w:val="2"/>
          <w:sz w:val="21"/>
          <w:szCs w:val="21"/>
          <w:highlight w:val="none"/>
          <w:lang w:val="en-US" w:eastAsia="zh-CN" w:bidi="ar-SA"/>
        </w:rPr>
        <w:t>1.社保费税库银入库流水补偿反馈功能</w:t>
      </w:r>
      <w:bookmarkEnd w:id="190"/>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税库银系统运行的过程中，发现税库银系统与国库系统之间下载入库流水时，社保费系统故障或社保费与税库银之间网络故障导致税库银系统请求的入库流水信息无法发送至社保费系统进行入库销号操作。在社保费故障或网络故障排除后，再次请求入库流水由于国库系统一天最多只能接受三次请求，超过三次不再予以处理,导致该业务无法办理，影响日常正常的业务办理，给基层造成了很大困难。税库银系统可将已经从国库请求到的流水，通过手工的方式将流水返回给社保费系统。</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91" w:name="_Toc44099367"/>
      <w:r>
        <w:rPr>
          <w:rFonts w:hint="eastAsia" w:ascii="Times New Roman" w:hAnsi="Times New Roman" w:eastAsia="宋体" w:cs="Times New Roman"/>
          <w:color w:val="auto"/>
          <w:kern w:val="2"/>
          <w:sz w:val="21"/>
          <w:szCs w:val="21"/>
          <w:highlight w:val="none"/>
          <w:lang w:val="en-US" w:eastAsia="zh-CN" w:bidi="ar-SA"/>
        </w:rPr>
        <w:t>2.社保费税库银下载报表补偿反馈功能</w:t>
      </w:r>
      <w:bookmarkEnd w:id="191"/>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税库银系统运行的过程中，发现税库银系统与国库系统之间下载报表时，社保费系统故障或社保费系统与税库银之间网络故障导致税库银系统请求的下载报表信息无法发送至社保费系统进行保存操作。在社保费系统故障或网络故障排除后，再次下载报表由于国库系统一天最多只能接受三次请求，超过三次不再予以处理,导致该业务无法办理，影响日常正常的业务办理，给基层金库对账工作造成了很大困难。税库银系统可将已经从国库请求到的报表，通过手工的方式将报表返回给社保费系统。</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92" w:name="_Toc44099368"/>
      <w:r>
        <w:rPr>
          <w:rFonts w:hint="eastAsia" w:ascii="Times New Roman" w:hAnsi="Times New Roman" w:eastAsia="宋体" w:cs="Times New Roman"/>
          <w:color w:val="auto"/>
          <w:kern w:val="2"/>
          <w:sz w:val="21"/>
          <w:szCs w:val="21"/>
          <w:highlight w:val="none"/>
          <w:lang w:val="en-US" w:eastAsia="zh-CN" w:bidi="ar-SA"/>
        </w:rPr>
        <w:t>3.社保费税库银批量扣费结果补偿反馈功能</w:t>
      </w:r>
      <w:bookmarkEnd w:id="192"/>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财税库银批量扣费业务作为一种方便缴费人、税务干部的费款缴纳方式，在全国的应用范围越来越广。但在批量扣款业务开展的过程中，也发现了一些由于网络故障或系统故障导致批量扣费结果返回社保费系统失败，信息不一致导致的费款扣重的情况。本优化需求针对这个问题进行分析，并提出解决方案，从而减少或消除批量扣款的差错，提供社保费批量扣款结果补偿反馈社保费系统的功能。</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93" w:name="_Toc44099369"/>
      <w:r>
        <w:rPr>
          <w:rFonts w:hint="eastAsia" w:ascii="Times New Roman" w:hAnsi="Times New Roman" w:eastAsia="宋体" w:cs="Times New Roman"/>
          <w:color w:val="auto"/>
          <w:kern w:val="2"/>
          <w:sz w:val="21"/>
          <w:szCs w:val="21"/>
          <w:highlight w:val="none"/>
          <w:lang w:val="en-US" w:eastAsia="zh-CN" w:bidi="ar-SA"/>
        </w:rPr>
        <w:t>4.社保费税库银银行端缴费业务补偿处理功能</w:t>
      </w:r>
      <w:bookmarkEnd w:id="193"/>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目前对于银行端查询缴款业务处理时，商业银行系统对于银行端缴款扣款响应返回时，若出现系统故障或网络故障时导致银行端扣款结果返回社保费系统失败，最终导致银行端查询缴款业务处理失败，影响缴费人正常交税，为防止该问题发生，税库银增加银行端查询缴款业务扣款结果补偿反馈社保费系统功能。</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94" w:name="_Toc44099370"/>
      <w:r>
        <w:rPr>
          <w:rFonts w:hint="eastAsia" w:ascii="Times New Roman" w:hAnsi="Times New Roman" w:eastAsia="宋体" w:cs="Times New Roman"/>
          <w:color w:val="auto"/>
          <w:kern w:val="2"/>
          <w:sz w:val="21"/>
          <w:szCs w:val="21"/>
          <w:highlight w:val="none"/>
          <w:lang w:val="en-US" w:eastAsia="zh-CN" w:bidi="ar-SA"/>
        </w:rPr>
        <w:t>5.社保费税库银银行端缴款业务处理异常反馈功能优化</w:t>
      </w:r>
      <w:bookmarkEnd w:id="194"/>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目前对于银行端查询缴款业务处理时，社保费系统对于银行端缴款响应（服务ID：SKYHA2）发起扣款请求，税库银系统接收处理后转发国库系统，若出现TIPS规则校验错和报文规范校验错失败，最终导致银行端查询缴款业务处理失败，此交易中断，影响比较大，缴费人无法获取信息，也无法完成缴税，为防止该问题发生，税库银增加银行端缴款响应（服务ID：SKYHA2）国库校验失败结果反馈社保费系统功能。</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95" w:name="_Toc3494"/>
      <w:r>
        <w:rPr>
          <w:rFonts w:hint="eastAsia" w:ascii="Times New Roman" w:hAnsi="Times New Roman" w:eastAsia="宋体" w:cs="Times New Roman"/>
          <w:color w:val="auto"/>
          <w:kern w:val="2"/>
          <w:sz w:val="21"/>
          <w:szCs w:val="21"/>
          <w:highlight w:val="none"/>
          <w:lang w:val="en-US" w:eastAsia="zh-CN" w:bidi="ar-SA"/>
        </w:rPr>
        <w:t>3.2.7决策1包系统</w:t>
      </w:r>
      <w:bookmarkEnd w:id="195"/>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按照国税总局《金税三期社保费征管信息系统（标准版）》业务需求完成对金税三期决策一包系统进行优化，支持社保费统模式下的会统核算要求、查询统计要求。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四、实施要求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（一）总体要求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中标人应充分理解本项目具有的业务复杂性、渠道多样性、规模巨大、性能和可靠性要求高等特点，在本项目国家税务总局总体实施要求的基础上，提出更科学、更合理、更有效的符合黑龙江省本地的实施方案。</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2、投标人应成立项目管理组织，严格遵守采购人项目管控的要求。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3、投标人必须在项目过程中，选派工作责任心强、技术水平高、业务熟练、管理经验丰富的人员专职参加该项目。</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4、投标人应基于成熟的项目管理方法论，制订完善的项目管理制度、流程，合理划分项目管理的阶段，借助工程管理工具，在项目实施过程中对项目进行规范化管理，确保项目实施进度和实施质量。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5、投标人应提供项目管理方案，至少覆盖进度管理、范围管理、风险管理、需求管理、质量管理、资源管理、时间管理、沟通管理等。</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6、投标人各阶段产出物采用特殊格式的，投标人需提供相应的打开、编译、运行、修改、打印等工具，并确保招标人无限制的使用；不受版权和知识产权限制，招标人不对工具额外付费。</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（二）项目进度和质量管理要求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1、中标人须采用科学合理的方法确定进度目标，编制进度计划和资源供应计划，进行进度控制，在与质量、费用目标协调的基础上，实现工期目标。</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2、中标通知书下达后3个工作日内，中标人须向招标人提供详细、可行的实施方案，并做好项目实施的准备工作，项目进度要求以合同约定为准。</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3、中标人应在投标方案中说明如何建立保证项目实施的质量保证体系。保证系统上线实施的质量。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（三）项目组织和人员要求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本项目成立由招标人、投标人共同组成的项目管理机构，负责整个项目的实施工作。投标人的专职项目团队必须严格遵守国家的政策法规，执行项目管理机构的各项规章制度，服从管理和调度，认真履行工作职责，圆满完成工作任务。</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2、投标人应在项目开始时提交项目参与人员名单，经招标人确认。投标人应保证项目组成员的稳定性，如特殊情况需要调整项目组成员的，应提前一个月书面通知招标人，并获得招标人的确认后才能安排调整。</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投标人必须在项目过程中，选派工作责任心强、技术水平高、业务熟练、管理经验丰富的人员专职参加该项目。项目实施人员应与投标文件中所提供的人员名单相符，不经招标人许可随意变更，招标人有权追究投标人责任，并采取相应处罚措施。</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4、项目成员应熟练掌握技术技能，对税务知识有清晰的认识，各项目小组需具备不同的专业人员，项目成员分工应合理。</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5、招标人如认为投标人的项目组成员达不到要求，有权要求投标人更换，投标人必须在一周之内调换符合招标人要求的项目组成员。</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6、为保障项目质量与进度，要求中标人在项目建设期间，保证人员投入。</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五、总体技术要求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1.技术标准与规范要求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系统在建设过程中必须参照国家电子政务标准和税务系统信息化建设标准与规范的有关要求进行实施，符合国家税务总局金税三期系统建设相关标准规范要求。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2.系统安全性要求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必须保证系统安全性，需要从系统级、应用级、管理级三个层次具有较好的安全性。需要按照国家税务总局《电子税务局规范-安全规范》、《税务系统信息安全等级保护基本要求》中等级保护三级要求、《网上办税系统技术要求》、《税务移动应用安全开发和评估规范》等规范要求，能够保证系统安全、网络安全以及数据安全。在稳定性方面，系统要求能够满足7×24小时无人值守的稳定工作，具备较强的系统安全性和灾难恢复能力，系统具备强有力的安全保障措施。</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3.可靠性要求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系统无单点故障，系统具有动态负载均衡处理能力。保证7*24小时不间断工作。须保证即便某些节点发生了永久性的失败，系统架构也能够保证这些节点所处理和存储的数据也不会丢失。</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4.系统兼容性要求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系统应支持多种硬件服务器，平台可兼容Linux，AIX，Windows Server等主流操作系统。</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系统应能有效支持各种主流的浏览器（IE8及以上、chrome、firefox、safari）与手机客户端操作系统（Android4.1及以上和IOS6及以上），并在不同的终端上提供一致的用户体验。</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系统应具备可伸缩性，提供横纵向扩展能力，增加硬件资源后，能有效提高系统的业务处理能力。</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六、服务要求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（一）技术支持服务要求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系统上线后，中标人需要按合同约定的期限进行技术支持保障工作，保证系统平稳运行。在服务期内，中标人提供的服务和技术支持包括但不限于以下内容：</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1、问题解答</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1）中标人应对软件使用过程中出现的各类问题进行解答；</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2）处理建议应以前台操作为主，能够通过前台操作完成的，尽量不在后台调整；</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3）操作中出现的常见问题，应及时通过技术支持渠道向用户发布；</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4）中标人应对问题解答风险负责，如因中标人解答不当，造成招标人的损失，中标人应负责相应责任。</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2、故障处理</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1）系统运行、升级期间出现故障由中标人及时到现场进行处理、解决；</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2）中标人应对系统故障提出故障处理建议，经招标人同意后，由中标人进行排除、系统调优或重置；</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3）中标人应对系统故障的处理风险负责，如因中标人技术人员的处理不当，造成招标人的损失，中标人应负责相应责任。</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3、基础环境运维</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1）对运维系统所涉主机、数据库、中间件等IT资源的日常监控和调优；</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2）对系统性能进行监控，定期提供性能报表和趋势表，为应用性能优化提供科学依据；</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3）经招标人同意后进行各项系统级参数的调整，日志空间整理，以保证系统的稳定高效运行；</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4）完成故障事件收集、过滤、关联和处理等工作，实现对故障的快速定位、处理或反馈。</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4、应用系统运维</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1）负责完成总局统一版本的升级维护，配合招标人完成软件升级测试等工作；</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2）对系统和各功能模块的运行效率、性能进行监控；</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3）受理基层操作人员问题，进行问题核实，解决问题。</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（二）服务响应要求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驻场人员工作时间为每周一至周五（遇国家法定节假日有冲突的，将按照相关规定进行调整），驻场人员每个工作日为8小时工作制，具体作息时间根据招标方要求进行调整，投标方须提供7*24小时技术支持响应。</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1.维护响应时间</w:t>
      </w:r>
    </w:p>
    <w:tbl>
      <w:tblPr>
        <w:tblStyle w:val="23"/>
        <w:tblW w:w="8926"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35"/>
        <w:gridCol w:w="5287"/>
        <w:gridCol w:w="180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6" w:hRule="atLeast"/>
          <w:jc w:val="center"/>
        </w:trPr>
        <w:tc>
          <w:tcPr>
            <w:tcW w:w="1835" w:type="dxa"/>
            <w:shd w:val="pct10" w:color="auto" w:fill="auto"/>
            <w:noWrap w:val="0"/>
            <w:vAlign w:val="center"/>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支持类型</w:t>
            </w:r>
          </w:p>
        </w:tc>
        <w:tc>
          <w:tcPr>
            <w:tcW w:w="5287" w:type="dxa"/>
            <w:shd w:val="pct10" w:color="auto" w:fill="auto"/>
            <w:noWrap w:val="0"/>
            <w:vAlign w:val="center"/>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响应标准</w:t>
            </w:r>
          </w:p>
        </w:tc>
        <w:tc>
          <w:tcPr>
            <w:tcW w:w="1804" w:type="dxa"/>
            <w:shd w:val="pct10" w:color="auto" w:fill="auto"/>
            <w:noWrap w:val="0"/>
            <w:vAlign w:val="center"/>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5" w:hRule="atLeast"/>
          <w:jc w:val="center"/>
        </w:trPr>
        <w:tc>
          <w:tcPr>
            <w:tcW w:w="1835" w:type="dxa"/>
            <w:noWrap w:val="0"/>
            <w:vAlign w:val="top"/>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操作问题解答</w:t>
            </w:r>
          </w:p>
        </w:tc>
        <w:tc>
          <w:tcPr>
            <w:tcW w:w="5287" w:type="dxa"/>
            <w:noWrap w:val="0"/>
            <w:vAlign w:val="top"/>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现场及时答复</w:t>
            </w:r>
          </w:p>
        </w:tc>
        <w:tc>
          <w:tcPr>
            <w:tcW w:w="1804" w:type="dxa"/>
            <w:noWrap w:val="0"/>
            <w:vAlign w:val="top"/>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0" w:hRule="atLeast"/>
          <w:jc w:val="center"/>
        </w:trPr>
        <w:tc>
          <w:tcPr>
            <w:tcW w:w="1835" w:type="dxa"/>
            <w:noWrap w:val="0"/>
            <w:vAlign w:val="top"/>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数据修改</w:t>
            </w:r>
          </w:p>
        </w:tc>
        <w:tc>
          <w:tcPr>
            <w:tcW w:w="5287" w:type="dxa"/>
            <w:noWrap w:val="0"/>
            <w:vAlign w:val="top"/>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小于2个工作日</w:t>
            </w:r>
          </w:p>
        </w:tc>
        <w:tc>
          <w:tcPr>
            <w:tcW w:w="1804" w:type="dxa"/>
            <w:noWrap w:val="0"/>
            <w:vAlign w:val="top"/>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从问题流转到投标方开始计算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0" w:hRule="atLeast"/>
          <w:jc w:val="center"/>
        </w:trPr>
        <w:tc>
          <w:tcPr>
            <w:tcW w:w="1835" w:type="dxa"/>
            <w:noWrap w:val="0"/>
            <w:vAlign w:val="top"/>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查询口径、表样规格、数据源、数据质量等程序问题</w:t>
            </w:r>
          </w:p>
        </w:tc>
        <w:tc>
          <w:tcPr>
            <w:tcW w:w="5287" w:type="dxa"/>
            <w:noWrap w:val="0"/>
            <w:vAlign w:val="top"/>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一线工作人员能够处理的问题，应在2个工作日内处理完毕；提交二线工作人员解决的，应在5个工作日内处理完毕，如因特殊原因不能在规定日期处理完毕，需明确处理完成时限和处理方案，并经招标方同意方可延期。</w:t>
            </w:r>
          </w:p>
        </w:tc>
        <w:tc>
          <w:tcPr>
            <w:tcW w:w="1804" w:type="dxa"/>
            <w:noWrap w:val="0"/>
            <w:vAlign w:val="top"/>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从问题流转到投标方开始计算。</w:t>
            </w:r>
          </w:p>
        </w:tc>
      </w:tr>
    </w:tbl>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2.故障响应时间</w:t>
      </w:r>
    </w:p>
    <w:tbl>
      <w:tblPr>
        <w:tblStyle w:val="23"/>
        <w:tblW w:w="8597"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3"/>
        <w:gridCol w:w="2931"/>
        <w:gridCol w:w="44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9" w:hRule="atLeast"/>
          <w:jc w:val="center"/>
        </w:trPr>
        <w:tc>
          <w:tcPr>
            <w:tcW w:w="1233" w:type="dxa"/>
            <w:shd w:val="clear" w:color="auto" w:fill="E6E6E6"/>
            <w:noWrap w:val="0"/>
            <w:vAlign w:val="center"/>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故障等级</w:t>
            </w:r>
          </w:p>
        </w:tc>
        <w:tc>
          <w:tcPr>
            <w:tcW w:w="2931" w:type="dxa"/>
            <w:shd w:val="clear" w:color="auto" w:fill="E6E6E6"/>
            <w:noWrap w:val="0"/>
            <w:vAlign w:val="center"/>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现象描述</w:t>
            </w:r>
          </w:p>
        </w:tc>
        <w:tc>
          <w:tcPr>
            <w:tcW w:w="4433" w:type="dxa"/>
            <w:shd w:val="clear" w:color="auto" w:fill="E6E6E6"/>
            <w:noWrap w:val="0"/>
            <w:vAlign w:val="center"/>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响应时间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69" w:hRule="atLeast"/>
          <w:jc w:val="center"/>
        </w:trPr>
        <w:tc>
          <w:tcPr>
            <w:tcW w:w="1233" w:type="dxa"/>
            <w:noWrap w:val="0"/>
            <w:vAlign w:val="center"/>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严重程度I</w:t>
            </w:r>
          </w:p>
        </w:tc>
        <w:tc>
          <w:tcPr>
            <w:tcW w:w="2931" w:type="dxa"/>
            <w:noWrap w:val="0"/>
            <w:vAlign w:val="top"/>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导致招标方的业务系统完全丧失服务功能，对业务至关重要的工作无法继续进行，如数据库主机宕机。</w:t>
            </w:r>
          </w:p>
        </w:tc>
        <w:tc>
          <w:tcPr>
            <w:tcW w:w="4433" w:type="dxa"/>
            <w:noWrap w:val="0"/>
            <w:vAlign w:val="top"/>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非硬件故障和非系统软件本身BUG问题引起的宕机30分钟内恢复系统运行。</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硬件故障和系统软件本身BUG问题30分钟内通知厂商，主机故障解决时间要视厂商的解决时间。12小时内解决问题。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46" w:hRule="atLeast"/>
          <w:jc w:val="center"/>
        </w:trPr>
        <w:tc>
          <w:tcPr>
            <w:tcW w:w="1233" w:type="dxa"/>
            <w:noWrap w:val="0"/>
            <w:vAlign w:val="center"/>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严重程度Ⅱ</w:t>
            </w:r>
          </w:p>
        </w:tc>
        <w:tc>
          <w:tcPr>
            <w:tcW w:w="2931" w:type="dxa"/>
            <w:noWrap w:val="0"/>
            <w:vAlign w:val="top"/>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系统中关键功能实现错误，直接导致业务无法正常进行并且无补救措施。</w:t>
            </w:r>
          </w:p>
        </w:tc>
        <w:tc>
          <w:tcPr>
            <w:tcW w:w="4433" w:type="dxa"/>
            <w:noWrap w:val="0"/>
            <w:vAlign w:val="top"/>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30分钟内响应，3小时内提出解决方案，24小时内解决问题。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13" w:hRule="atLeast"/>
          <w:jc w:val="center"/>
        </w:trPr>
        <w:tc>
          <w:tcPr>
            <w:tcW w:w="1233" w:type="dxa"/>
            <w:noWrap w:val="0"/>
            <w:vAlign w:val="center"/>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严重程度Ⅲ</w:t>
            </w:r>
          </w:p>
        </w:tc>
        <w:tc>
          <w:tcPr>
            <w:tcW w:w="2931" w:type="dxa"/>
            <w:noWrap w:val="0"/>
            <w:vAlign w:val="top"/>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系统中非关键功能实现错误，单一模块不能继续运转或错误，但不影响业务的正常进行。</w:t>
            </w:r>
          </w:p>
        </w:tc>
        <w:tc>
          <w:tcPr>
            <w:tcW w:w="4433" w:type="dxa"/>
            <w:noWrap w:val="0"/>
            <w:vAlign w:val="top"/>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30分钟内响应，5小时内提出解决方案，48小时内解决问题。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29" w:hRule="atLeast"/>
          <w:jc w:val="center"/>
        </w:trPr>
        <w:tc>
          <w:tcPr>
            <w:tcW w:w="1233" w:type="dxa"/>
            <w:noWrap w:val="0"/>
            <w:vAlign w:val="center"/>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严重程度Ⅳ</w:t>
            </w:r>
          </w:p>
        </w:tc>
        <w:tc>
          <w:tcPr>
            <w:tcW w:w="2931" w:type="dxa"/>
            <w:noWrap w:val="0"/>
            <w:vAlign w:val="top"/>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系统中非关键功能实现错误，如系统操作时间过长，界面需要改进等，但不影响系统正常运转。</w:t>
            </w:r>
          </w:p>
        </w:tc>
        <w:tc>
          <w:tcPr>
            <w:tcW w:w="4433" w:type="dxa"/>
            <w:noWrap w:val="0"/>
            <w:vAlign w:val="top"/>
          </w:tcPr>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30分钟内响应，12小时内提出解决方案，五天内解决问题。</w:t>
            </w:r>
          </w:p>
        </w:tc>
      </w:tr>
    </w:tbl>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七、验收要求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验收工作由招标人组织实施，投标人应完成项目验收的相关验收场景和资料的准备。</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（一）验收标准</w:t>
      </w:r>
      <w:r>
        <w:rPr>
          <w:rFonts w:hint="eastAsia" w:ascii="Times New Roman" w:hAnsi="Times New Roman" w:eastAsia="宋体" w:cs="Times New Roman"/>
          <w:color w:val="auto"/>
          <w:kern w:val="2"/>
          <w:sz w:val="21"/>
          <w:szCs w:val="21"/>
          <w:highlight w:val="none"/>
          <w:lang w:val="en-US" w:eastAsia="zh-CN" w:bidi="ar-SA"/>
        </w:rPr>
        <w:tab/>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1.验收的原则和依据</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本着保证质量、注重应用、功能适用的原则，以本项目招标文件、合同和业务需求及相关技术标准规范为验收的主要依据。</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2.验收标准</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系统运行正常。</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招标文件和合同要求全部完成，并满足要求。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各种技术文档和验收资料完备，符合合同的内容。</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系统监控和数据处理符合信息安全的要求。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合同或合同附件规定的其他验收条件。</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（二）项目验收</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投标人应根据合同约定验收的要求以及验收工作的内容，协助制定验收方案；</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投标人应为验收工作准备相应的验收环境和所需资料；</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协助招标人全面、准确验证软件的各项功能模块是否达到标准；</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协助招标人全面、准确验证软件的各项性能是否能达到要求；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投标人应对验收中发现的问题制定详细明确的处理方案并及时修改；</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投标人必须按招标人要求提交移交物清单及清单所列内容的最终版本（包括纸制和电子版），并经招标人签字确认；</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投标人协助编写并提交验收报告等文档。</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（三）交付物要求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1、验收方案</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内容包括但不限于：详细描述验收目的、验收内容、技术条件、验收方法、进度安排、人员组成、验收准则、验收数据准备等。</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2、验收报告</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内容包括但不仅限于：详细描述和总结验收依据、验收内容、验收过程、验收准则、验收报告结论存在问题、优化完善建议等。</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3、移交物清单及交付物</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内容包括但不局限于：管理文档、用户文档、上线相关文档等。</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八、其他要求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（一）保密要求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中标人参与项目的所有人员应严格遵守招标人的保密要求，签订保密协议，并由中标人担保；招标人对于中标人提供的资料，不得以任何形式向第三方传播。保密期限不受本项目期限的限制，在本项目履行完毕后，保密信息接受方仍应承担保密义务。</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（二）知识产权要求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招标人对项目实施过程中所产生的所有成果（包括相关技术资料、文档等）享有所有权（永久使用权、复制权和修改权等）。除本项目工作所需外，未经招标人书面同意，中标人不得擅自使用、复制招标人的标志、数据信息、文档及其他资料。</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2、中标人应保证在本项目中所有预装和为本项目安装的软件为在中国境内具有合法版权或使用权的正版软件且无质量瑕疵。</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3、中标人保证所提供的产品及服务不侵犯第三方的知识产权，否则，由此给招标人造成的一切损失由中标人承担。</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（三）归档要求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中标人应对该项目所涉及的需求分析、联调测试、培训推广等各阶段工作文档，按招标人质量、数量、提供方式、提供时间等要求进行整理，并提交招标人归档。</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center"/>
        <w:textAlignment w:val="auto"/>
        <w:rPr>
          <w:rFonts w:hint="eastAsia" w:ascii="Times New Roman" w:hAnsi="Times New Roman" w:eastAsia="宋体" w:cs="Times New Roman"/>
          <w:b/>
          <w:bCs/>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br w:type="page"/>
      </w:r>
      <w:bookmarkStart w:id="196" w:name="_Toc117633422"/>
      <w:bookmarkStart w:id="197" w:name="_Toc89031225"/>
      <w:bookmarkStart w:id="198" w:name="_Toc88636127"/>
      <w:r>
        <w:rPr>
          <w:rFonts w:hint="eastAsia" w:ascii="Times New Roman" w:hAnsi="Times New Roman" w:eastAsia="宋体" w:cs="Times New Roman"/>
          <w:b/>
          <w:bCs/>
          <w:color w:val="auto"/>
          <w:kern w:val="2"/>
          <w:sz w:val="21"/>
          <w:szCs w:val="21"/>
          <w:highlight w:val="none"/>
          <w:lang w:val="en-US" w:eastAsia="zh-CN" w:bidi="ar-SA"/>
        </w:rPr>
        <w:t>包四：社保费网上办、掌上办全责征收改造及线上“一窗通办”项目</w:t>
      </w:r>
      <w:bookmarkEnd w:id="196"/>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一、项目背景</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社保费征收职责划转至税务部门以来，黑龙江省局坚决落实国务院“两个不得”要求，稳定企业预期，持续优化缴费服务，坚决落实降费优惠政策，平稳有序开展各项社会保险 费征收工作。目前，我省灵活就业人员、城乡居民采取的是“人社（医保）核定，税务征收” 模式，企业和机关事业单位等用人单位 各项社保费采取的是“人社（医保）核定，税务征收”模式。为贯彻落实党中央、国务院关于实现社保保险费全国统筹的决策部署，根据总局“统模式”的工作部署，针对社保费网上办（电子税务局客户端版、网页版）、掌上办（龙江税务APP、微信公众号、支付宝）系统需要进行全责征收改造升级，并建设社保费掌上办微信小程序渠道。</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根据春风行动工作任务安排，在实现单位缴费“网上办”，自然人缴费“掌上办”多元化缴费方式的基础上，与人社、医保部门共同优化线上参保+缴费的通办机制，整合各部门网上业务办理功能，通过门户集成方式，实现部门之间线上互联，社保经办、税务缴费线上“一窗通办”模式，进一步提升服务质效，将与人社、医保部门共同建立个人社保费业务一站式办理服务模式，实现人社、医保、税务业务协同办理，通过各自面向个人的业务办理平台，实现跨部门的互联互通一站式办理，积极探索便民利民服务措施，持续优化个人社保经办和征缴服务措施。</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《国家税务总局关于推出2022年“我为纳税人缴费人办实事暨便民办税春风行动2.0版”的通知》（税总纳服函〔2022〕32号）《国家税务总局黑龙江省税务局关于推出 2022 年“我为纳税人缴费人办实事暨便民办税春风行动 2.0 版”的通知》（黑税函〔2022〕45号）。</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99" w:name="_Toc117633427"/>
      <w:r>
        <w:rPr>
          <w:rFonts w:hint="eastAsia" w:ascii="Times New Roman" w:hAnsi="Times New Roman" w:eastAsia="宋体" w:cs="Times New Roman"/>
          <w:color w:val="auto"/>
          <w:kern w:val="2"/>
          <w:sz w:val="21"/>
          <w:szCs w:val="21"/>
          <w:highlight w:val="none"/>
          <w:lang w:val="en-US" w:eastAsia="zh-CN" w:bidi="ar-SA"/>
        </w:rPr>
        <w:t>二、项目主要内容</w:t>
      </w:r>
    </w:p>
    <w:bookmarkEnd w:id="197"/>
    <w:bookmarkEnd w:id="198"/>
    <w:bookmarkEnd w:id="199"/>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为了实现税务社保费全责征收的统模式，建立单位、个人社保费业务税务全责征收办理的服务模式。利用技术手段优化缴费人缴费体验，节约缴费人的缴费成本。实现人社、医保、税务业务协同办理，建立个人社保费业务一站式办理服务模式。通过跨部门一站式办理减少缴费办理环节，压缩办理时间，节约缴费人的缴费成本。通过对社保费网上办、掌上办平台提供关于税务社保费全责征收的优化升级，使其符合国家税务总局关于统模式的工作要求，完善缴费人缴费业务的实施，方便缴费人办理相关业务，并建设微信小程序渠道。个人社保费业务一站式办理服务主要建设内容包括：在人社、医保的线上办理渠道中增加税务部门的征缴功能。通过各自平台的功能互相补偿，在人社、医保和税务的线上服务渠道实现个人参保缴费全流程办理，实现进一家门办两家事。</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三、项目具体需求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3.1. 社保费网上办全责征收升级</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供单位缴费人（企业、机关事业单位）实现税务全责征收的统模式征缴全流程。包括电子税务局客户端版、电子税务局网页版的优化升级。</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00" w:name="_Toc117633428"/>
      <w:r>
        <w:rPr>
          <w:rFonts w:hint="eastAsia" w:ascii="Times New Roman" w:hAnsi="Times New Roman" w:eastAsia="宋体" w:cs="Times New Roman"/>
          <w:color w:val="auto"/>
          <w:kern w:val="2"/>
          <w:sz w:val="21"/>
          <w:szCs w:val="21"/>
          <w:highlight w:val="none"/>
          <w:lang w:val="en-US" w:eastAsia="zh-CN" w:bidi="ar-SA"/>
        </w:rPr>
        <w:t>3.1.1电子税务局（客户端版）</w:t>
      </w:r>
      <w:bookmarkEnd w:id="200"/>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01" w:name="_Toc117633429"/>
      <w:r>
        <w:rPr>
          <w:rFonts w:hint="eastAsia" w:ascii="Times New Roman" w:hAnsi="Times New Roman" w:eastAsia="宋体" w:cs="Times New Roman"/>
          <w:color w:val="auto"/>
          <w:kern w:val="2"/>
          <w:sz w:val="21"/>
          <w:szCs w:val="21"/>
          <w:highlight w:val="none"/>
          <w:lang w:val="en-US" w:eastAsia="zh-CN" w:bidi="ar-SA"/>
        </w:rPr>
        <w:t>3.1.1.1用人单位日常缴费工资申报（客户端版）</w:t>
      </w:r>
      <w:bookmarkEnd w:id="201"/>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02" w:name="_Toc117633430"/>
      <w:bookmarkStart w:id="203" w:name="_Toc117633436"/>
      <w:r>
        <w:rPr>
          <w:rFonts w:hint="eastAsia" w:ascii="Times New Roman" w:hAnsi="Times New Roman" w:eastAsia="宋体" w:cs="Times New Roman"/>
          <w:color w:val="auto"/>
          <w:kern w:val="2"/>
          <w:sz w:val="21"/>
          <w:szCs w:val="21"/>
          <w:highlight w:val="none"/>
          <w:lang w:val="en-US" w:eastAsia="zh-CN" w:bidi="ar-SA"/>
        </w:rPr>
        <w:t>网上办客户端中日常需要对本单位（含机关事业单位）职工的缴费工资进行调整的缴费单位，可在本功能依照相关法律法规规定进行缴费工资申报。</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3.1.1.2用人单位年度缴费工资申报（客户端版）</w:t>
      </w:r>
      <w:bookmarkEnd w:id="202"/>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网上办客户端中需要对本单位（含机关事业单位）职工的进行年度缴费工资调整的缴费单位，可在本功能依照相关法律法规规定进行缴费工资申报。</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04" w:name="_Toc117633431"/>
      <w:r>
        <w:rPr>
          <w:rFonts w:hint="eastAsia" w:ascii="Times New Roman" w:hAnsi="Times New Roman" w:eastAsia="宋体" w:cs="Times New Roman"/>
          <w:color w:val="auto"/>
          <w:kern w:val="2"/>
          <w:sz w:val="21"/>
          <w:szCs w:val="21"/>
          <w:highlight w:val="none"/>
          <w:lang w:val="en-US" w:eastAsia="zh-CN" w:bidi="ar-SA"/>
        </w:rPr>
        <w:t>3.1.1.3用人单位社保费申报（客户端版）</w:t>
      </w:r>
      <w:bookmarkEnd w:id="204"/>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网上办客户端中职工缴费基数确定后，由管理子系统生成社保费应缴信息，缴费单位可在本功能依照相关法律法规规定进行社保费申报。</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05" w:name="_Toc117633432"/>
      <w:r>
        <w:rPr>
          <w:rFonts w:hint="eastAsia" w:ascii="Times New Roman" w:hAnsi="Times New Roman" w:eastAsia="宋体" w:cs="Times New Roman"/>
          <w:color w:val="auto"/>
          <w:kern w:val="2"/>
          <w:sz w:val="21"/>
          <w:szCs w:val="21"/>
          <w:highlight w:val="none"/>
          <w:lang w:val="en-US" w:eastAsia="zh-CN" w:bidi="ar-SA"/>
        </w:rPr>
        <w:t>3.1.1.4代收单位社保费日常缴费申报（客户端版）</w:t>
      </w:r>
      <w:bookmarkEnd w:id="205"/>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网上办客户端中代收单位代收管辖范围内的城乡居民社会保险费后，可在本功能依照相关法律法规规定，向税务机关申报代收单位管辖范围内的城乡居民社会保险费</w:t>
      </w:r>
      <w:bookmarkStart w:id="206" w:name="_Toc117633433"/>
      <w:r>
        <w:rPr>
          <w:rFonts w:hint="eastAsia" w:ascii="Times New Roman" w:hAnsi="Times New Roman" w:eastAsia="宋体" w:cs="Times New Roman"/>
          <w:color w:val="auto"/>
          <w:kern w:val="2"/>
          <w:sz w:val="21"/>
          <w:szCs w:val="21"/>
          <w:highlight w:val="none"/>
          <w:lang w:val="en-US" w:eastAsia="zh-CN" w:bidi="ar-SA"/>
        </w:rPr>
        <w:t>。</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3.1.1.5代收单位社保费特殊缴费申报（客户端版）</w:t>
      </w:r>
      <w:bookmarkEnd w:id="206"/>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网上办客户端中过了正常征缴期限后，城乡居民缴费人如需补缴以前年度的社保费，需要由人社部门确定城乡居民的征集信息，生成对应的特殊缴费申报的征集通知流水信息，传递给税务部门，税务部门以此履行征收职能。</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07" w:name="_Toc117633434"/>
      <w:r>
        <w:rPr>
          <w:rFonts w:hint="eastAsia" w:ascii="Times New Roman" w:hAnsi="Times New Roman" w:eastAsia="宋体" w:cs="Times New Roman"/>
          <w:color w:val="auto"/>
          <w:kern w:val="2"/>
          <w:sz w:val="21"/>
          <w:szCs w:val="21"/>
          <w:highlight w:val="none"/>
          <w:lang w:val="en-US" w:eastAsia="zh-CN" w:bidi="ar-SA"/>
        </w:rPr>
        <w:t>3.1.1.6社保费申报表作废（客户端版）</w:t>
      </w:r>
      <w:bookmarkEnd w:id="207"/>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网上办客户端中缴费人已完成的申报业务，可以通过电子税务局办理作废申报。</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08" w:name="_Toc117633435"/>
      <w:r>
        <w:rPr>
          <w:rFonts w:hint="eastAsia" w:ascii="Times New Roman" w:hAnsi="Times New Roman" w:eastAsia="宋体" w:cs="Times New Roman"/>
          <w:color w:val="auto"/>
          <w:kern w:val="2"/>
          <w:sz w:val="21"/>
          <w:szCs w:val="21"/>
          <w:highlight w:val="none"/>
          <w:lang w:val="en-US" w:eastAsia="zh-CN" w:bidi="ar-SA"/>
        </w:rPr>
        <w:t>3.1.1.7用人单位社保费费款缴纳（客户端版）</w:t>
      </w:r>
      <w:bookmarkEnd w:id="208"/>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网上办客户端中用人单位可通过三方协议缴费、银行端凭证缴费、银联缴款、第三方支付等方式缴纳各项社保费应缴费信息，包括申报产生的应纳税额、逾期未缴纳的欠费、滞纳金和违法违章罚款。</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3.1.1.8代收单位社保费费款缴纳（客户端版）</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网上办客户端中代收单位可通过三方协议缴费、银行端凭证缴费、银联缴款、第三方支付等方式缴纳各项社保费应缴费信息，包括申报产生的应纳税额、逾期未缴纳的欠费、滞纳金和违法违章罚款</w:t>
      </w:r>
      <w:bookmarkEnd w:id="203"/>
      <w:bookmarkStart w:id="209" w:name="_Toc24366"/>
      <w:bookmarkStart w:id="210" w:name="_Toc117633437"/>
      <w:r>
        <w:rPr>
          <w:rFonts w:hint="eastAsia" w:ascii="Times New Roman" w:hAnsi="Times New Roman" w:eastAsia="宋体" w:cs="Times New Roman"/>
          <w:color w:val="auto"/>
          <w:kern w:val="2"/>
          <w:sz w:val="21"/>
          <w:szCs w:val="21"/>
          <w:highlight w:val="none"/>
          <w:lang w:val="en-US" w:eastAsia="zh-CN" w:bidi="ar-SA"/>
        </w:rPr>
        <w:t>。</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3.1.1.9用人单位参保信息查询</w:t>
      </w:r>
      <w:bookmarkEnd w:id="209"/>
      <w:r>
        <w:rPr>
          <w:rFonts w:hint="eastAsia" w:ascii="Times New Roman" w:hAnsi="Times New Roman" w:eastAsia="宋体" w:cs="Times New Roman"/>
          <w:color w:val="auto"/>
          <w:kern w:val="2"/>
          <w:sz w:val="21"/>
          <w:szCs w:val="21"/>
          <w:highlight w:val="none"/>
          <w:lang w:val="en-US" w:eastAsia="zh-CN" w:bidi="ar-SA"/>
        </w:rPr>
        <w:t>（客户端版）</w:t>
      </w:r>
      <w:bookmarkEnd w:id="210"/>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网上办客户端中缴费单位办理完成社保费缴费登记信息后，可在本模块查询更新单位参保登记信息。</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11" w:name="_Toc9053"/>
      <w:bookmarkStart w:id="212" w:name="_Toc117633438"/>
      <w:r>
        <w:rPr>
          <w:rFonts w:hint="eastAsia" w:ascii="Times New Roman" w:hAnsi="Times New Roman" w:eastAsia="宋体" w:cs="Times New Roman"/>
          <w:color w:val="auto"/>
          <w:kern w:val="2"/>
          <w:sz w:val="21"/>
          <w:szCs w:val="21"/>
          <w:highlight w:val="none"/>
          <w:lang w:val="en-US" w:eastAsia="zh-CN" w:bidi="ar-SA"/>
        </w:rPr>
        <w:t>3.1.1.10用人单位职工参保信息查询</w:t>
      </w:r>
      <w:bookmarkEnd w:id="211"/>
      <w:r>
        <w:rPr>
          <w:rFonts w:hint="eastAsia" w:ascii="Times New Roman" w:hAnsi="Times New Roman" w:eastAsia="宋体" w:cs="Times New Roman"/>
          <w:color w:val="auto"/>
          <w:kern w:val="2"/>
          <w:sz w:val="21"/>
          <w:szCs w:val="21"/>
          <w:highlight w:val="none"/>
          <w:lang w:val="en-US" w:eastAsia="zh-CN" w:bidi="ar-SA"/>
        </w:rPr>
        <w:t>（客户端版）</w:t>
      </w:r>
      <w:bookmarkEnd w:id="212"/>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网上办客户端中单位职工完成参保登记信息后，缴费单位可通过本模块查询更新职工参保信息，后续社保费申报缴纳等业务需要根据本模块更新的职工参保信息办理。</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13" w:name="_Toc16601"/>
      <w:bookmarkStart w:id="214" w:name="_Toc117633439"/>
      <w:r>
        <w:rPr>
          <w:rFonts w:hint="eastAsia" w:ascii="Times New Roman" w:hAnsi="Times New Roman" w:eastAsia="宋体" w:cs="Times New Roman"/>
          <w:color w:val="auto"/>
          <w:kern w:val="2"/>
          <w:sz w:val="21"/>
          <w:szCs w:val="21"/>
          <w:highlight w:val="none"/>
          <w:lang w:val="en-US" w:eastAsia="zh-CN" w:bidi="ar-SA"/>
        </w:rPr>
        <w:t>3.1.1.11用人单位职工缴费工资查询</w:t>
      </w:r>
      <w:bookmarkEnd w:id="213"/>
      <w:r>
        <w:rPr>
          <w:rFonts w:hint="eastAsia" w:ascii="Times New Roman" w:hAnsi="Times New Roman" w:eastAsia="宋体" w:cs="Times New Roman"/>
          <w:color w:val="auto"/>
          <w:kern w:val="2"/>
          <w:sz w:val="21"/>
          <w:szCs w:val="21"/>
          <w:highlight w:val="none"/>
          <w:lang w:val="en-US" w:eastAsia="zh-CN" w:bidi="ar-SA"/>
        </w:rPr>
        <w:t>（客户端版）</w:t>
      </w:r>
      <w:bookmarkEnd w:id="214"/>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网上办客户端中单位职工缴费工资申报完成后，缴费单位可通过本模块查询了解职工最新的缴费工资信息。</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15" w:name="_Toc23036"/>
      <w:bookmarkStart w:id="216" w:name="_Toc117633440"/>
      <w:r>
        <w:rPr>
          <w:rFonts w:hint="eastAsia" w:ascii="Times New Roman" w:hAnsi="Times New Roman" w:eastAsia="宋体" w:cs="Times New Roman"/>
          <w:color w:val="auto"/>
          <w:kern w:val="2"/>
          <w:sz w:val="21"/>
          <w:szCs w:val="21"/>
          <w:highlight w:val="none"/>
          <w:lang w:val="en-US" w:eastAsia="zh-CN" w:bidi="ar-SA"/>
        </w:rPr>
        <w:t>3.1.1.12用人单位工资申报情况查询</w:t>
      </w:r>
      <w:bookmarkEnd w:id="215"/>
      <w:r>
        <w:rPr>
          <w:rFonts w:hint="eastAsia" w:ascii="Times New Roman" w:hAnsi="Times New Roman" w:eastAsia="宋体" w:cs="Times New Roman"/>
          <w:color w:val="auto"/>
          <w:kern w:val="2"/>
          <w:sz w:val="21"/>
          <w:szCs w:val="21"/>
          <w:highlight w:val="none"/>
          <w:lang w:val="en-US" w:eastAsia="zh-CN" w:bidi="ar-SA"/>
        </w:rPr>
        <w:t>（客户端版）</w:t>
      </w:r>
      <w:bookmarkEnd w:id="216"/>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网上办客户端中单位职工缴费工资申报后，缴费单位可通过本模块查询了解已提交的职工工资申报情况，方便缴费单位对于申报失败情况的数据及时作出处理。</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17" w:name="_Toc27325"/>
      <w:bookmarkStart w:id="218" w:name="_Toc117633441"/>
      <w:r>
        <w:rPr>
          <w:rFonts w:hint="eastAsia" w:ascii="Times New Roman" w:hAnsi="Times New Roman" w:eastAsia="宋体" w:cs="Times New Roman"/>
          <w:color w:val="auto"/>
          <w:kern w:val="2"/>
          <w:sz w:val="21"/>
          <w:szCs w:val="21"/>
          <w:highlight w:val="none"/>
          <w:lang w:val="en-US" w:eastAsia="zh-CN" w:bidi="ar-SA"/>
        </w:rPr>
        <w:t>3.1.1.13用人单位社保费申报情况查询</w:t>
      </w:r>
      <w:bookmarkEnd w:id="217"/>
      <w:r>
        <w:rPr>
          <w:rFonts w:hint="eastAsia" w:ascii="Times New Roman" w:hAnsi="Times New Roman" w:eastAsia="宋体" w:cs="Times New Roman"/>
          <w:color w:val="auto"/>
          <w:kern w:val="2"/>
          <w:sz w:val="21"/>
          <w:szCs w:val="21"/>
          <w:highlight w:val="none"/>
          <w:lang w:val="en-US" w:eastAsia="zh-CN" w:bidi="ar-SA"/>
        </w:rPr>
        <w:t>（客户端版）</w:t>
      </w:r>
      <w:bookmarkEnd w:id="218"/>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网上办客户端中缴费单位完成社保费申报后，可通过本模块查询社保费申报记录申报状态，本模块支持同步其他缴费渠道申报的社保费申报记录信息。</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19" w:name="_Toc20783"/>
      <w:bookmarkStart w:id="220" w:name="_Toc117633442"/>
      <w:r>
        <w:rPr>
          <w:rFonts w:hint="eastAsia" w:ascii="Times New Roman" w:hAnsi="Times New Roman" w:eastAsia="宋体" w:cs="Times New Roman"/>
          <w:color w:val="auto"/>
          <w:kern w:val="2"/>
          <w:sz w:val="21"/>
          <w:szCs w:val="21"/>
          <w:highlight w:val="none"/>
          <w:lang w:val="en-US" w:eastAsia="zh-CN" w:bidi="ar-SA"/>
        </w:rPr>
        <w:t>3.1.1.14用人单位社保费已缴费查询</w:t>
      </w:r>
      <w:bookmarkEnd w:id="219"/>
      <w:r>
        <w:rPr>
          <w:rFonts w:hint="eastAsia" w:ascii="Times New Roman" w:hAnsi="Times New Roman" w:eastAsia="宋体" w:cs="Times New Roman"/>
          <w:color w:val="auto"/>
          <w:kern w:val="2"/>
          <w:sz w:val="21"/>
          <w:szCs w:val="21"/>
          <w:highlight w:val="none"/>
          <w:lang w:val="en-US" w:eastAsia="zh-CN" w:bidi="ar-SA"/>
        </w:rPr>
        <w:t>（客户端版）</w:t>
      </w:r>
      <w:bookmarkEnd w:id="220"/>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网上办客户端中缴费单位完成社保费缴纳后，采用三方协议缴费方式的可在缴款记录模块查询缴费状态，采用银行端缴费凭证方式的可在缴款凭证打印记录查询缴费状态。</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21" w:name="_Toc3119"/>
      <w:bookmarkStart w:id="222" w:name="_Toc117633443"/>
      <w:r>
        <w:rPr>
          <w:rFonts w:hint="eastAsia" w:ascii="Times New Roman" w:hAnsi="Times New Roman" w:eastAsia="宋体" w:cs="Times New Roman"/>
          <w:color w:val="auto"/>
          <w:kern w:val="2"/>
          <w:sz w:val="21"/>
          <w:szCs w:val="21"/>
          <w:highlight w:val="none"/>
          <w:lang w:val="en-US" w:eastAsia="zh-CN" w:bidi="ar-SA"/>
        </w:rPr>
        <w:t>3.1.1.15代收单位参保信息查询</w:t>
      </w:r>
      <w:bookmarkEnd w:id="221"/>
      <w:r>
        <w:rPr>
          <w:rFonts w:hint="eastAsia" w:ascii="Times New Roman" w:hAnsi="Times New Roman" w:eastAsia="宋体" w:cs="Times New Roman"/>
          <w:color w:val="auto"/>
          <w:kern w:val="2"/>
          <w:sz w:val="21"/>
          <w:szCs w:val="21"/>
          <w:highlight w:val="none"/>
          <w:lang w:val="en-US" w:eastAsia="zh-CN" w:bidi="ar-SA"/>
        </w:rPr>
        <w:t>（客户端版）</w:t>
      </w:r>
      <w:bookmarkEnd w:id="222"/>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网上办客户端中代收单位办理完成社保费缴费登记信息后，可在本模块查询更新代收单位参保登记信息。</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23" w:name="_Toc9948"/>
      <w:bookmarkStart w:id="224" w:name="_Toc117633444"/>
      <w:r>
        <w:rPr>
          <w:rFonts w:hint="eastAsia" w:ascii="Times New Roman" w:hAnsi="Times New Roman" w:eastAsia="宋体" w:cs="Times New Roman"/>
          <w:color w:val="auto"/>
          <w:kern w:val="2"/>
          <w:sz w:val="21"/>
          <w:szCs w:val="21"/>
          <w:highlight w:val="none"/>
          <w:lang w:val="en-US" w:eastAsia="zh-CN" w:bidi="ar-SA"/>
        </w:rPr>
        <w:t>3.1.1.16代收单位社保费申报情况查询</w:t>
      </w:r>
      <w:bookmarkEnd w:id="223"/>
      <w:r>
        <w:rPr>
          <w:rFonts w:hint="eastAsia" w:ascii="Times New Roman" w:hAnsi="Times New Roman" w:eastAsia="宋体" w:cs="Times New Roman"/>
          <w:color w:val="auto"/>
          <w:kern w:val="2"/>
          <w:sz w:val="21"/>
          <w:szCs w:val="21"/>
          <w:highlight w:val="none"/>
          <w:lang w:val="en-US" w:eastAsia="zh-CN" w:bidi="ar-SA"/>
        </w:rPr>
        <w:t>（客户端版）</w:t>
      </w:r>
      <w:bookmarkEnd w:id="224"/>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网上办客户端中代收单位完成社保费申报后，可通过本模块查询社保费申报状态，系统支持同步代收单位在其他渠道申报的社保费申报状态信息。</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25" w:name="_Toc28601"/>
      <w:bookmarkStart w:id="226" w:name="_Toc117633445"/>
      <w:r>
        <w:rPr>
          <w:rFonts w:hint="eastAsia" w:ascii="Times New Roman" w:hAnsi="Times New Roman" w:eastAsia="宋体" w:cs="Times New Roman"/>
          <w:color w:val="auto"/>
          <w:kern w:val="2"/>
          <w:sz w:val="21"/>
          <w:szCs w:val="21"/>
          <w:highlight w:val="none"/>
          <w:lang w:val="en-US" w:eastAsia="zh-CN" w:bidi="ar-SA"/>
        </w:rPr>
        <w:t>3.1.1.17代收单位社保费已缴费查询</w:t>
      </w:r>
      <w:bookmarkEnd w:id="225"/>
      <w:r>
        <w:rPr>
          <w:rFonts w:hint="eastAsia" w:ascii="Times New Roman" w:hAnsi="Times New Roman" w:eastAsia="宋体" w:cs="Times New Roman"/>
          <w:color w:val="auto"/>
          <w:kern w:val="2"/>
          <w:sz w:val="21"/>
          <w:szCs w:val="21"/>
          <w:highlight w:val="none"/>
          <w:lang w:val="en-US" w:eastAsia="zh-CN" w:bidi="ar-SA"/>
        </w:rPr>
        <w:t>（客户端版）</w:t>
      </w:r>
      <w:bookmarkEnd w:id="226"/>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网上办客户端中代收单位完成社保费缴纳后，采用三方协议缴费方式的可在三方协议缴款记录模块查询缴费状态，采用银行端缴费凭证方式的可在缴款凭证打印记录查询缴费状态。</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27" w:name="_Toc117633446"/>
      <w:r>
        <w:rPr>
          <w:rFonts w:hint="eastAsia" w:ascii="Times New Roman" w:hAnsi="Times New Roman" w:eastAsia="宋体" w:cs="Times New Roman"/>
          <w:color w:val="auto"/>
          <w:kern w:val="2"/>
          <w:sz w:val="21"/>
          <w:szCs w:val="21"/>
          <w:highlight w:val="none"/>
          <w:lang w:val="en-US" w:eastAsia="zh-CN" w:bidi="ar-SA"/>
        </w:rPr>
        <w:t>3.1.2电子税务局（网页版）</w:t>
      </w:r>
      <w:bookmarkEnd w:id="227"/>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28" w:name="_Toc117633447"/>
      <w:r>
        <w:rPr>
          <w:rFonts w:hint="eastAsia" w:ascii="Times New Roman" w:hAnsi="Times New Roman" w:eastAsia="宋体" w:cs="Times New Roman"/>
          <w:color w:val="auto"/>
          <w:kern w:val="2"/>
          <w:sz w:val="21"/>
          <w:szCs w:val="21"/>
          <w:highlight w:val="none"/>
          <w:lang w:val="en-US" w:eastAsia="zh-CN" w:bidi="ar-SA"/>
        </w:rPr>
        <w:t>3.1.2.1用人单位日常缴费工资申报（网页版）</w:t>
      </w:r>
      <w:bookmarkEnd w:id="228"/>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网上办（网页版）中日常需要对本单位（含机关事业单位）职工的缴费工资进行调整的缴费单位，可在本功能依照相关法律法规规定进行缴费工资申报。</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29" w:name="_Toc117633448"/>
      <w:r>
        <w:rPr>
          <w:rFonts w:hint="eastAsia" w:ascii="Times New Roman" w:hAnsi="Times New Roman" w:eastAsia="宋体" w:cs="Times New Roman"/>
          <w:color w:val="auto"/>
          <w:kern w:val="2"/>
          <w:sz w:val="21"/>
          <w:szCs w:val="21"/>
          <w:highlight w:val="none"/>
          <w:lang w:val="en-US" w:eastAsia="zh-CN" w:bidi="ar-SA"/>
        </w:rPr>
        <w:t>3.1.2.2用人单位年度缴费工资申报（网页版）</w:t>
      </w:r>
      <w:bookmarkEnd w:id="229"/>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网上办（网页版）中需要对本单位（含机关事业单位）职工的进行年度缴费工资调整的缴费单位，可在本功能依照相关法律法规规定进行缴费工资申报。</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30" w:name="_Toc117633449"/>
      <w:r>
        <w:rPr>
          <w:rFonts w:hint="eastAsia" w:ascii="Times New Roman" w:hAnsi="Times New Roman" w:eastAsia="宋体" w:cs="Times New Roman"/>
          <w:color w:val="auto"/>
          <w:kern w:val="2"/>
          <w:sz w:val="21"/>
          <w:szCs w:val="21"/>
          <w:highlight w:val="none"/>
          <w:lang w:val="en-US" w:eastAsia="zh-CN" w:bidi="ar-SA"/>
        </w:rPr>
        <w:t>3.1.2.3用人单位社保费申报（网页版）</w:t>
      </w:r>
      <w:bookmarkEnd w:id="230"/>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网上办（网页版）中职工缴费基数确定后，由管理子系统生成社保费应缴信息，缴费单位可在本功能依照相关法律法规规定进行社保费申报。</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31" w:name="_Toc117633450"/>
      <w:r>
        <w:rPr>
          <w:rFonts w:hint="eastAsia" w:ascii="Times New Roman" w:hAnsi="Times New Roman" w:eastAsia="宋体" w:cs="Times New Roman"/>
          <w:color w:val="auto"/>
          <w:kern w:val="2"/>
          <w:sz w:val="21"/>
          <w:szCs w:val="21"/>
          <w:highlight w:val="none"/>
          <w:lang w:val="en-US" w:eastAsia="zh-CN" w:bidi="ar-SA"/>
        </w:rPr>
        <w:t>3.1.2.4代收单位社保费日常缴费申报（网页版）</w:t>
      </w:r>
      <w:bookmarkEnd w:id="231"/>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网上办（网页版）中代收单位代收管辖范围内的城乡居民社会保险费后，可在本功能依照相关法律法规规定，向税务机关申报代收单位管辖范围内的城乡居民社会保险费。</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32" w:name="_Toc117633451"/>
      <w:r>
        <w:rPr>
          <w:rFonts w:hint="eastAsia" w:ascii="Times New Roman" w:hAnsi="Times New Roman" w:eastAsia="宋体" w:cs="Times New Roman"/>
          <w:color w:val="auto"/>
          <w:kern w:val="2"/>
          <w:sz w:val="21"/>
          <w:szCs w:val="21"/>
          <w:highlight w:val="none"/>
          <w:lang w:val="en-US" w:eastAsia="zh-CN" w:bidi="ar-SA"/>
        </w:rPr>
        <w:t>3.1.2.5代收单位社保费特殊缴费申报（网页版）</w:t>
      </w:r>
      <w:bookmarkEnd w:id="232"/>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网上办（网页版）中过了正常征缴期限后，城乡居民缴费人如需补缴以前年度的社保费，需要由人社部门确定城乡居民的征集信息，生成对应的特殊缴费申报的征集通知流水信息，传递给税务部门，税务部门以此履行征收职能</w:t>
      </w:r>
      <w:bookmarkStart w:id="233" w:name="_Toc117633452"/>
      <w:r>
        <w:rPr>
          <w:rFonts w:hint="eastAsia" w:ascii="Times New Roman" w:hAnsi="Times New Roman" w:eastAsia="宋体" w:cs="Times New Roman"/>
          <w:color w:val="auto"/>
          <w:kern w:val="2"/>
          <w:sz w:val="21"/>
          <w:szCs w:val="21"/>
          <w:highlight w:val="none"/>
          <w:lang w:val="en-US" w:eastAsia="zh-CN" w:bidi="ar-SA"/>
        </w:rPr>
        <w:t>。</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3.1.2.6社保费申报表作废（网页版）</w:t>
      </w:r>
      <w:bookmarkEnd w:id="233"/>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网上办（网页版）中缴费人已完成的申报业务，可以通过电子税务局办理作废申报。</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34" w:name="_Toc117633453"/>
      <w:r>
        <w:rPr>
          <w:rFonts w:hint="eastAsia" w:ascii="Times New Roman" w:hAnsi="Times New Roman" w:eastAsia="宋体" w:cs="Times New Roman"/>
          <w:color w:val="auto"/>
          <w:kern w:val="2"/>
          <w:sz w:val="21"/>
          <w:szCs w:val="21"/>
          <w:highlight w:val="none"/>
          <w:lang w:val="en-US" w:eastAsia="zh-CN" w:bidi="ar-SA"/>
        </w:rPr>
        <w:t>3.1.2.7用人单位社保费费款缴纳（网页版）</w:t>
      </w:r>
      <w:bookmarkEnd w:id="234"/>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网上办（网页版）中用人单位可通过三方协议缴费、银行端凭证缴费、银联缴款、第三方支付等方式缴纳各项社保费应缴费信息，包括申报产生的应纳税额、逾期未缴纳的欠费、滞纳金和违法违章罚款。</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35" w:name="_Toc117633454"/>
      <w:r>
        <w:rPr>
          <w:rFonts w:hint="eastAsia" w:ascii="Times New Roman" w:hAnsi="Times New Roman" w:eastAsia="宋体" w:cs="Times New Roman"/>
          <w:color w:val="auto"/>
          <w:kern w:val="2"/>
          <w:sz w:val="21"/>
          <w:szCs w:val="21"/>
          <w:highlight w:val="none"/>
          <w:lang w:val="en-US" w:eastAsia="zh-CN" w:bidi="ar-SA"/>
        </w:rPr>
        <w:t>3.1.2.8代收单位社保费费款缴纳（网页版）</w:t>
      </w:r>
      <w:bookmarkEnd w:id="235"/>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网上办（网页版）中代收单位可通过三方协议缴费、银行端凭证缴费、银联缴款、第三方支付等方式缴纳各项社保费应缴费信息，包括申报产生的应纳税额、逾期未缴纳的欠费、滞纳金和违法违章罚款。</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36" w:name="_Toc117633455"/>
      <w:r>
        <w:rPr>
          <w:rFonts w:hint="eastAsia" w:ascii="Times New Roman" w:hAnsi="Times New Roman" w:eastAsia="宋体" w:cs="Times New Roman"/>
          <w:color w:val="auto"/>
          <w:kern w:val="2"/>
          <w:sz w:val="21"/>
          <w:szCs w:val="21"/>
          <w:highlight w:val="none"/>
          <w:lang w:val="en-US" w:eastAsia="zh-CN" w:bidi="ar-SA"/>
        </w:rPr>
        <w:t>3.1.2.9用人单位参保信息查询（网页版）</w:t>
      </w:r>
      <w:bookmarkEnd w:id="236"/>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网上办（网页版）中缴费单位办理完成社保费缴费登记信息后，可在本模块查询更新单位参保登记信息。</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37" w:name="_Toc117633456"/>
      <w:r>
        <w:rPr>
          <w:rFonts w:hint="eastAsia" w:ascii="Times New Roman" w:hAnsi="Times New Roman" w:eastAsia="宋体" w:cs="Times New Roman"/>
          <w:color w:val="auto"/>
          <w:kern w:val="2"/>
          <w:sz w:val="21"/>
          <w:szCs w:val="21"/>
          <w:highlight w:val="none"/>
          <w:lang w:val="en-US" w:eastAsia="zh-CN" w:bidi="ar-SA"/>
        </w:rPr>
        <w:t>3.1.2.10用人单位职工参保信息查询（网页版）</w:t>
      </w:r>
      <w:bookmarkEnd w:id="237"/>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网上办（网页版）中单位职工完成参保登记信息后，缴费单位可通过本模块查询更新职工参保信息，后续社保费申报缴纳等业务需要根据本模块更新的职工参保信息办理。</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38" w:name="_Toc117633457"/>
      <w:r>
        <w:rPr>
          <w:rFonts w:hint="eastAsia" w:ascii="Times New Roman" w:hAnsi="Times New Roman" w:eastAsia="宋体" w:cs="Times New Roman"/>
          <w:color w:val="auto"/>
          <w:kern w:val="2"/>
          <w:sz w:val="21"/>
          <w:szCs w:val="21"/>
          <w:highlight w:val="none"/>
          <w:lang w:val="en-US" w:eastAsia="zh-CN" w:bidi="ar-SA"/>
        </w:rPr>
        <w:t>3.1.2.11用人单位职工缴费工资查询（网页版）</w:t>
      </w:r>
      <w:bookmarkEnd w:id="238"/>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网上办（网页版）中单位职工缴费工资申报完成后，缴费单位可通过本模块查询了解职工最新的缴费工资信息。</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39" w:name="_Toc117633458"/>
      <w:r>
        <w:rPr>
          <w:rFonts w:hint="eastAsia" w:ascii="Times New Roman" w:hAnsi="Times New Roman" w:eastAsia="宋体" w:cs="Times New Roman"/>
          <w:color w:val="auto"/>
          <w:kern w:val="2"/>
          <w:sz w:val="21"/>
          <w:szCs w:val="21"/>
          <w:highlight w:val="none"/>
          <w:lang w:val="en-US" w:eastAsia="zh-CN" w:bidi="ar-SA"/>
        </w:rPr>
        <w:t>3.1.2.12用人单位工资申报情况查询（网页版）</w:t>
      </w:r>
      <w:bookmarkEnd w:id="239"/>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网上办（网页版）中单位职工缴费工资申报后，缴费单位可通过本模块查询了解已提交的职工工资申报情况，方便缴费单位对于申报失败情况的数据及时作出处理。</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40" w:name="_Toc117633459"/>
      <w:r>
        <w:rPr>
          <w:rFonts w:hint="eastAsia" w:ascii="Times New Roman" w:hAnsi="Times New Roman" w:eastAsia="宋体" w:cs="Times New Roman"/>
          <w:color w:val="auto"/>
          <w:kern w:val="2"/>
          <w:sz w:val="21"/>
          <w:szCs w:val="21"/>
          <w:highlight w:val="none"/>
          <w:lang w:val="en-US" w:eastAsia="zh-CN" w:bidi="ar-SA"/>
        </w:rPr>
        <w:t>3.1.2.13用人单位社保费申报情况查询（网页版）</w:t>
      </w:r>
      <w:bookmarkEnd w:id="240"/>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网上办（网页版）中缴费单位完成社保费申报后，可通过本模块查询社保费申报记录申报状态，本模块支持同步其他缴费渠道申报的社保费申报记录信息。</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41" w:name="_Toc117633460"/>
      <w:r>
        <w:rPr>
          <w:rFonts w:hint="eastAsia" w:ascii="Times New Roman" w:hAnsi="Times New Roman" w:eastAsia="宋体" w:cs="Times New Roman"/>
          <w:color w:val="auto"/>
          <w:kern w:val="2"/>
          <w:sz w:val="21"/>
          <w:szCs w:val="21"/>
          <w:highlight w:val="none"/>
          <w:lang w:val="en-US" w:eastAsia="zh-CN" w:bidi="ar-SA"/>
        </w:rPr>
        <w:t>3.1.2.14用人单位社保费已缴费查询（网页版）</w:t>
      </w:r>
      <w:bookmarkEnd w:id="241"/>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网上办（网页版）中缴费单位完成社保费缴纳后，采用三方协议缴费方式的可在缴款记录模块查询缴费状态，采用银行端缴费凭证方式的可在缴款凭证打印记录查询缴费状态。</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42" w:name="_Toc117633461"/>
      <w:r>
        <w:rPr>
          <w:rFonts w:hint="eastAsia" w:ascii="Times New Roman" w:hAnsi="Times New Roman" w:eastAsia="宋体" w:cs="Times New Roman"/>
          <w:color w:val="auto"/>
          <w:kern w:val="2"/>
          <w:sz w:val="21"/>
          <w:szCs w:val="21"/>
          <w:highlight w:val="none"/>
          <w:lang w:val="en-US" w:eastAsia="zh-CN" w:bidi="ar-SA"/>
        </w:rPr>
        <w:t>3.1.2.15代收单位参保信息查询（网页版）</w:t>
      </w:r>
      <w:bookmarkEnd w:id="242"/>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网上办（网页版）中代收单位办理完成社保费缴费登记信息后，可在本模块查询更新代收单位参保登记信息。</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43" w:name="_Toc117633462"/>
      <w:r>
        <w:rPr>
          <w:rFonts w:hint="eastAsia" w:ascii="Times New Roman" w:hAnsi="Times New Roman" w:eastAsia="宋体" w:cs="Times New Roman"/>
          <w:color w:val="auto"/>
          <w:kern w:val="2"/>
          <w:sz w:val="21"/>
          <w:szCs w:val="21"/>
          <w:highlight w:val="none"/>
          <w:lang w:val="en-US" w:eastAsia="zh-CN" w:bidi="ar-SA"/>
        </w:rPr>
        <w:t>3.1.2.16代收单位社保费申报情况查询（网页版）</w:t>
      </w:r>
      <w:bookmarkEnd w:id="243"/>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网上办（网页版）中代收单位完成社保费申报后，可通过本模块查询社保费申报状态，系统支持同步代收单位在其他渠道申报的社保费申报状态信息。</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44" w:name="_Toc117633463"/>
      <w:r>
        <w:rPr>
          <w:rFonts w:hint="eastAsia" w:ascii="Times New Roman" w:hAnsi="Times New Roman" w:eastAsia="宋体" w:cs="Times New Roman"/>
          <w:color w:val="auto"/>
          <w:kern w:val="2"/>
          <w:sz w:val="21"/>
          <w:szCs w:val="21"/>
          <w:highlight w:val="none"/>
          <w:lang w:val="en-US" w:eastAsia="zh-CN" w:bidi="ar-SA"/>
        </w:rPr>
        <w:t>3.1.2.17代收单位社保费已缴费查询（网页版）</w:t>
      </w:r>
      <w:bookmarkEnd w:id="244"/>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网上办（网页版）中代收单位完成社保费缴纳后，采用三方协议缴费方式的可在三方协议缴款记录模块查询缴费状态，采用银行端缴费凭证方式的可在缴款凭证打印记录查询缴费状态。</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45" w:name="_Toc117633464"/>
      <w:r>
        <w:rPr>
          <w:rFonts w:hint="eastAsia" w:ascii="Times New Roman" w:hAnsi="Times New Roman" w:eastAsia="宋体" w:cs="Times New Roman"/>
          <w:color w:val="auto"/>
          <w:kern w:val="2"/>
          <w:sz w:val="21"/>
          <w:szCs w:val="21"/>
          <w:highlight w:val="none"/>
          <w:lang w:val="en-US" w:eastAsia="zh-CN" w:bidi="ar-SA"/>
        </w:rPr>
        <w:t>3.2.社保费掌上办全责征收升级</w:t>
      </w:r>
      <w:bookmarkEnd w:id="245"/>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供自然人缴费人（灵活就业人员）实现税务全责征收的统模式征缴全流程。包括龙江税务APP、微信公众号、支付宝、微信小程序等4个渠道的优化升级。</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46" w:name="_Toc117633465"/>
      <w:r>
        <w:rPr>
          <w:rFonts w:hint="eastAsia" w:ascii="Times New Roman" w:hAnsi="Times New Roman" w:eastAsia="宋体" w:cs="Times New Roman"/>
          <w:color w:val="auto"/>
          <w:kern w:val="2"/>
          <w:sz w:val="21"/>
          <w:szCs w:val="21"/>
          <w:highlight w:val="none"/>
          <w:lang w:val="en-US" w:eastAsia="zh-CN" w:bidi="ar-SA"/>
        </w:rPr>
        <w:t>3.2.1龙江税务APP</w:t>
      </w:r>
      <w:bookmarkEnd w:id="246"/>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47" w:name="_Toc117633466"/>
      <w:r>
        <w:rPr>
          <w:rFonts w:hint="eastAsia" w:ascii="Times New Roman" w:hAnsi="Times New Roman" w:eastAsia="宋体" w:cs="Times New Roman"/>
          <w:color w:val="auto"/>
          <w:kern w:val="2"/>
          <w:sz w:val="21"/>
          <w:szCs w:val="21"/>
          <w:highlight w:val="none"/>
          <w:lang w:val="en-US" w:eastAsia="zh-CN" w:bidi="ar-SA"/>
        </w:rPr>
        <w:t>3.2.1.1灵活就业养老保险选档 （手机APP）</w:t>
      </w:r>
      <w:bookmarkEnd w:id="247"/>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48" w:name="_Toc117633467"/>
      <w:r>
        <w:rPr>
          <w:rFonts w:hint="eastAsia" w:ascii="Times New Roman" w:hAnsi="Times New Roman" w:eastAsia="宋体" w:cs="Times New Roman"/>
          <w:color w:val="auto"/>
          <w:kern w:val="2"/>
          <w:sz w:val="21"/>
          <w:szCs w:val="21"/>
          <w:highlight w:val="none"/>
          <w:lang w:val="en-US" w:eastAsia="zh-CN" w:bidi="ar-SA"/>
        </w:rPr>
        <w:t>3.2.1.1.1灵活就业养老保险缴费基数上下限及档次信息查询（手机APP）</w:t>
      </w:r>
      <w:bookmarkEnd w:id="248"/>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查询灵活就业养老保险参保缴费信息对应的缴费基数及档次信息，一条记录只对应缴费基数上下限或者缴费基数档次一种缴纳方式。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49" w:name="_Toc117633468"/>
      <w:r>
        <w:rPr>
          <w:rFonts w:hint="eastAsia" w:ascii="Times New Roman" w:hAnsi="Times New Roman" w:eastAsia="宋体" w:cs="Times New Roman"/>
          <w:color w:val="auto"/>
          <w:kern w:val="2"/>
          <w:sz w:val="21"/>
          <w:szCs w:val="21"/>
          <w:highlight w:val="none"/>
          <w:lang w:val="en-US" w:eastAsia="zh-CN" w:bidi="ar-SA"/>
        </w:rPr>
        <w:t>3.2.1.1.2灵活就业养老保险应缴费额确认（手机APP）</w:t>
      </w:r>
      <w:bookmarkEnd w:id="249"/>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提交灵活就业养老保险应缴费额的确认申请，一笔交易可以部分成功，状态在明细上。缴费金额确定是城乡居民缴费的前提。</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50" w:name="_Toc117633469"/>
      <w:r>
        <w:rPr>
          <w:rFonts w:hint="eastAsia" w:ascii="Times New Roman" w:hAnsi="Times New Roman" w:eastAsia="宋体" w:cs="Times New Roman"/>
          <w:color w:val="auto"/>
          <w:kern w:val="2"/>
          <w:sz w:val="21"/>
          <w:szCs w:val="21"/>
          <w:highlight w:val="none"/>
          <w:lang w:val="en-US" w:eastAsia="zh-CN" w:bidi="ar-SA"/>
        </w:rPr>
        <w:t>3.2.1.2灵活就业养老保险特殊缴费 （手机APP）</w:t>
      </w:r>
      <w:bookmarkEnd w:id="250"/>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过了正常征缴期限后，灵活就业缴费人如需补缴以前年度的灵活就业养老保险费，需要由人社部门确定灵活就业养老保险的征集信息，生成对应的特殊缴费申报的征集通知流水信息，传递给税务部门，税务部门以此履行征收职能。</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51" w:name="_Toc117633470"/>
      <w:r>
        <w:rPr>
          <w:rFonts w:hint="eastAsia" w:ascii="Times New Roman" w:hAnsi="Times New Roman" w:eastAsia="宋体" w:cs="Times New Roman"/>
          <w:color w:val="auto"/>
          <w:kern w:val="2"/>
          <w:sz w:val="21"/>
          <w:szCs w:val="21"/>
          <w:highlight w:val="none"/>
          <w:lang w:val="en-US" w:eastAsia="zh-CN" w:bidi="ar-SA"/>
        </w:rPr>
        <w:t>3.2.1.3灵活就业医疗保险选档（手机APP）</w:t>
      </w:r>
      <w:bookmarkEnd w:id="251"/>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52" w:name="_Toc117633471"/>
      <w:r>
        <w:rPr>
          <w:rFonts w:hint="eastAsia" w:ascii="Times New Roman" w:hAnsi="Times New Roman" w:eastAsia="宋体" w:cs="Times New Roman"/>
          <w:color w:val="auto"/>
          <w:kern w:val="2"/>
          <w:sz w:val="21"/>
          <w:szCs w:val="21"/>
          <w:highlight w:val="none"/>
          <w:lang w:val="en-US" w:eastAsia="zh-CN" w:bidi="ar-SA"/>
        </w:rPr>
        <w:t>3.2.1.3.1灵活就业医疗保险缴费基数上下限及档次信息查询（手机APP）</w:t>
      </w:r>
      <w:bookmarkEnd w:id="252"/>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查询灵活就业医疗保险参保缴费信息对应的缴费基数及档次信息，一条记录只对应缴费基数上下限或者缴费基数档次一种缴纳方式。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53" w:name="_Toc117633472"/>
      <w:r>
        <w:rPr>
          <w:rFonts w:hint="eastAsia" w:ascii="Times New Roman" w:hAnsi="Times New Roman" w:eastAsia="宋体" w:cs="Times New Roman"/>
          <w:color w:val="auto"/>
          <w:kern w:val="2"/>
          <w:sz w:val="21"/>
          <w:szCs w:val="21"/>
          <w:highlight w:val="none"/>
          <w:lang w:val="en-US" w:eastAsia="zh-CN" w:bidi="ar-SA"/>
        </w:rPr>
        <w:t>3.2.1.3.2灵活就业医疗保险应缴费额确认（手机APP）</w:t>
      </w:r>
      <w:bookmarkEnd w:id="253"/>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提交灵活就业医疗保险应缴费额的确认申请，一笔交易可以部分成功，状态在明细上。缴费金额确定是城乡居民缴费的前提。</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54" w:name="_Toc117633473"/>
      <w:r>
        <w:rPr>
          <w:rFonts w:hint="eastAsia" w:ascii="Times New Roman" w:hAnsi="Times New Roman" w:eastAsia="宋体" w:cs="Times New Roman"/>
          <w:color w:val="auto"/>
          <w:kern w:val="2"/>
          <w:sz w:val="21"/>
          <w:szCs w:val="21"/>
          <w:highlight w:val="none"/>
          <w:lang w:val="en-US" w:eastAsia="zh-CN" w:bidi="ar-SA"/>
        </w:rPr>
        <w:t>3.2.1.4灵活就业医疗保险特殊缴费（手机APP）</w:t>
      </w:r>
      <w:bookmarkEnd w:id="254"/>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过了正常征缴期限后，灵活就业缴费人如需补缴以前年度的灵活就业医疗保险费，需要由医保部门确定灵活就业医疗保险的征集信息，生成对应的特殊缴费申报的征集通知流水信息，传递给税务部门，税务部门以此履行征收职能。</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55" w:name="_Toc117633474"/>
      <w:r>
        <w:rPr>
          <w:rFonts w:hint="eastAsia" w:ascii="Times New Roman" w:hAnsi="Times New Roman" w:eastAsia="宋体" w:cs="Times New Roman"/>
          <w:color w:val="auto"/>
          <w:kern w:val="2"/>
          <w:sz w:val="21"/>
          <w:szCs w:val="21"/>
          <w:highlight w:val="none"/>
          <w:lang w:val="en-US" w:eastAsia="zh-CN" w:bidi="ar-SA"/>
        </w:rPr>
        <w:t>3.2.1.5城乡居民养老保险选档（手机APP）</w:t>
      </w:r>
      <w:bookmarkEnd w:id="255"/>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56" w:name="_Toc117633475"/>
      <w:r>
        <w:rPr>
          <w:rFonts w:hint="eastAsia" w:ascii="Times New Roman" w:hAnsi="Times New Roman" w:eastAsia="宋体" w:cs="Times New Roman"/>
          <w:color w:val="auto"/>
          <w:kern w:val="2"/>
          <w:sz w:val="21"/>
          <w:szCs w:val="21"/>
          <w:highlight w:val="none"/>
          <w:lang w:val="en-US" w:eastAsia="zh-CN" w:bidi="ar-SA"/>
        </w:rPr>
        <w:t>3.2.1.5.1城乡居民养老保险缴费基数上下限及档次信息查询（手机APP）</w:t>
      </w:r>
      <w:bookmarkEnd w:id="256"/>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查询城乡居民养老保险参保缴费信息对应的缴费基数及档次信息，一条记录只对应缴费基数上下限或者缴费基数档次一种缴纳方式。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57" w:name="_Toc117633476"/>
      <w:r>
        <w:rPr>
          <w:rFonts w:hint="eastAsia" w:ascii="Times New Roman" w:hAnsi="Times New Roman" w:eastAsia="宋体" w:cs="Times New Roman"/>
          <w:color w:val="auto"/>
          <w:kern w:val="2"/>
          <w:sz w:val="21"/>
          <w:szCs w:val="21"/>
          <w:highlight w:val="none"/>
          <w:lang w:val="en-US" w:eastAsia="zh-CN" w:bidi="ar-SA"/>
        </w:rPr>
        <w:t>3.2.1.5.2城乡居民养老保险应缴费额确认（手机APP）</w:t>
      </w:r>
      <w:bookmarkEnd w:id="257"/>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提交城乡居民养老保险应缴费额的确认申请，一笔交易可以部分成功，状态在明细上。缴费金额确定是城乡居民缴费的前提。</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58" w:name="_Toc117633477"/>
      <w:r>
        <w:rPr>
          <w:rFonts w:hint="eastAsia" w:ascii="Times New Roman" w:hAnsi="Times New Roman" w:eastAsia="宋体" w:cs="Times New Roman"/>
          <w:color w:val="auto"/>
          <w:kern w:val="2"/>
          <w:sz w:val="21"/>
          <w:szCs w:val="21"/>
          <w:highlight w:val="none"/>
          <w:lang w:val="en-US" w:eastAsia="zh-CN" w:bidi="ar-SA"/>
        </w:rPr>
        <w:t>3.2.1.6城乡居民养老保险特殊缴费 （手机APP）</w:t>
      </w:r>
      <w:bookmarkEnd w:id="258"/>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过了正常征缴期限后，城乡居民缴费人如需补缴以前年度的城乡居民养老保险费，需要由人社部门确定城乡居民养老保险的征集信息，生成对应的特殊缴费申报的征集通知流水信息，传递给税务部门，税务部门以此履行征收职能。</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59" w:name="_Toc117633478"/>
      <w:r>
        <w:rPr>
          <w:rFonts w:hint="eastAsia" w:ascii="Times New Roman" w:hAnsi="Times New Roman" w:eastAsia="宋体" w:cs="Times New Roman"/>
          <w:color w:val="auto"/>
          <w:kern w:val="2"/>
          <w:sz w:val="21"/>
          <w:szCs w:val="21"/>
          <w:highlight w:val="none"/>
          <w:lang w:val="en-US" w:eastAsia="zh-CN" w:bidi="ar-SA"/>
        </w:rPr>
        <w:t>3.2.1.7城乡居民医疗保险（手机APP）</w:t>
      </w:r>
      <w:bookmarkEnd w:id="259"/>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60" w:name="_Toc117633479"/>
      <w:r>
        <w:rPr>
          <w:rFonts w:hint="eastAsia" w:ascii="Times New Roman" w:hAnsi="Times New Roman" w:eastAsia="宋体" w:cs="Times New Roman"/>
          <w:color w:val="auto"/>
          <w:kern w:val="2"/>
          <w:sz w:val="21"/>
          <w:szCs w:val="21"/>
          <w:highlight w:val="none"/>
          <w:lang w:val="en-US" w:eastAsia="zh-CN" w:bidi="ar-SA"/>
        </w:rPr>
        <w:t>3.2.1.7.1城乡居民医疗保险缴费标准查询（手机APP）</w:t>
      </w:r>
      <w:bookmarkEnd w:id="260"/>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查询缴费年度的城乡居民医疗保险参保缴费标准信息，作为征缴城乡医保的依据。</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61" w:name="_Toc117633480"/>
      <w:r>
        <w:rPr>
          <w:rFonts w:hint="eastAsia" w:ascii="Times New Roman" w:hAnsi="Times New Roman" w:eastAsia="宋体" w:cs="Times New Roman"/>
          <w:color w:val="auto"/>
          <w:kern w:val="2"/>
          <w:sz w:val="21"/>
          <w:szCs w:val="21"/>
          <w:highlight w:val="none"/>
          <w:lang w:val="en-US" w:eastAsia="zh-CN" w:bidi="ar-SA"/>
        </w:rPr>
        <w:t>3.2.1.7.2城乡居民医疗保险应缴费额确认（手机APP）</w:t>
      </w:r>
      <w:bookmarkEnd w:id="261"/>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提交城乡居民医疗保险应缴费额的确认申请，一笔交易可以部分成功，状态在明细上。缴费金额确定是城乡居民缴费的前提。</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62" w:name="_Toc117633481"/>
      <w:r>
        <w:rPr>
          <w:rFonts w:hint="eastAsia" w:ascii="Times New Roman" w:hAnsi="Times New Roman" w:eastAsia="宋体" w:cs="Times New Roman"/>
          <w:color w:val="auto"/>
          <w:kern w:val="2"/>
          <w:sz w:val="21"/>
          <w:szCs w:val="21"/>
          <w:highlight w:val="none"/>
          <w:lang w:val="en-US" w:eastAsia="zh-CN" w:bidi="ar-SA"/>
        </w:rPr>
        <w:t>3.2.1.8城乡居民医疗保险特殊缴费 （手机APP）</w:t>
      </w:r>
      <w:bookmarkEnd w:id="262"/>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63" w:name="_Toc117633516"/>
      <w:r>
        <w:rPr>
          <w:rFonts w:hint="eastAsia" w:ascii="Times New Roman" w:hAnsi="Times New Roman" w:eastAsia="宋体" w:cs="Times New Roman"/>
          <w:color w:val="auto"/>
          <w:kern w:val="2"/>
          <w:sz w:val="21"/>
          <w:szCs w:val="21"/>
          <w:highlight w:val="none"/>
          <w:lang w:val="en-US" w:eastAsia="zh-CN" w:bidi="ar-SA"/>
        </w:rPr>
        <w:t>过了正常征缴期限后，城乡居民缴费人如需补缴以前年度的城乡居民医疗保险费，需要由医保部门确定城乡居民医保保险的征集信息，生成对应的特殊缴费申报的征集通知流水信息，传递给税务部门，税务部门以此履行征收职能。</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3.2.2微信公众号</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64" w:name="_Toc117633483"/>
      <w:r>
        <w:rPr>
          <w:rFonts w:hint="eastAsia" w:ascii="Times New Roman" w:hAnsi="Times New Roman" w:eastAsia="宋体" w:cs="Times New Roman"/>
          <w:color w:val="auto"/>
          <w:kern w:val="2"/>
          <w:sz w:val="21"/>
          <w:szCs w:val="21"/>
          <w:highlight w:val="none"/>
          <w:lang w:val="en-US" w:eastAsia="zh-CN" w:bidi="ar-SA"/>
        </w:rPr>
        <w:t>3.2.2.1灵活就业养老保险选档（微信公众号）</w:t>
      </w:r>
      <w:bookmarkEnd w:id="264"/>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65" w:name="_Toc117633484"/>
      <w:r>
        <w:rPr>
          <w:rFonts w:hint="eastAsia" w:ascii="Times New Roman" w:hAnsi="Times New Roman" w:eastAsia="宋体" w:cs="Times New Roman"/>
          <w:color w:val="auto"/>
          <w:kern w:val="2"/>
          <w:sz w:val="21"/>
          <w:szCs w:val="21"/>
          <w:highlight w:val="none"/>
          <w:lang w:val="en-US" w:eastAsia="zh-CN" w:bidi="ar-SA"/>
        </w:rPr>
        <w:t>3.2.2.1.1灵活就业养老保险缴费基数上下限及档次信息查询（微信公众号）</w:t>
      </w:r>
      <w:bookmarkEnd w:id="265"/>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查询灵活就业养老保险参保缴费信息对应的缴费基数及档次信息，一条记录只对应缴费基数上下限或者缴费基数档次一种缴纳方式。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66" w:name="_Toc117633485"/>
      <w:r>
        <w:rPr>
          <w:rFonts w:hint="eastAsia" w:ascii="Times New Roman" w:hAnsi="Times New Roman" w:eastAsia="宋体" w:cs="Times New Roman"/>
          <w:color w:val="auto"/>
          <w:kern w:val="2"/>
          <w:sz w:val="21"/>
          <w:szCs w:val="21"/>
          <w:highlight w:val="none"/>
          <w:lang w:val="en-US" w:eastAsia="zh-CN" w:bidi="ar-SA"/>
        </w:rPr>
        <w:t>3.2.2.1.2灵活就业养老保险应缴费额确认（微信公众号）</w:t>
      </w:r>
      <w:bookmarkEnd w:id="266"/>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提交灵活就业养老保险应缴费额的确认申请，一笔交易可以部分成功，状态在明细上。缴费金额确定是城乡居民缴费的前提。</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67" w:name="_Toc117633486"/>
      <w:r>
        <w:rPr>
          <w:rFonts w:hint="eastAsia" w:ascii="Times New Roman" w:hAnsi="Times New Roman" w:eastAsia="宋体" w:cs="Times New Roman"/>
          <w:color w:val="auto"/>
          <w:kern w:val="2"/>
          <w:sz w:val="21"/>
          <w:szCs w:val="21"/>
          <w:highlight w:val="none"/>
          <w:lang w:val="en-US" w:eastAsia="zh-CN" w:bidi="ar-SA"/>
        </w:rPr>
        <w:t>3.2.2.2灵活就业养老保险特殊缴费（微信公众号）</w:t>
      </w:r>
      <w:bookmarkEnd w:id="267"/>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过了正常征缴期限后，灵活就业缴费人如需补缴以前年度的灵活就业养老保险费，需要由人社部门确定灵活就业养老保险的征集信息，生成对应的特殊缴费申报的征集通知流水信息，传递给税务部门，税务部门以此履行征收职能。</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68" w:name="_Toc117633487"/>
      <w:r>
        <w:rPr>
          <w:rFonts w:hint="eastAsia" w:ascii="Times New Roman" w:hAnsi="Times New Roman" w:eastAsia="宋体" w:cs="Times New Roman"/>
          <w:color w:val="auto"/>
          <w:kern w:val="2"/>
          <w:sz w:val="21"/>
          <w:szCs w:val="21"/>
          <w:highlight w:val="none"/>
          <w:lang w:val="en-US" w:eastAsia="zh-CN" w:bidi="ar-SA"/>
        </w:rPr>
        <w:t>3.2.2.3灵活就业医疗保险选档（微信公众号）</w:t>
      </w:r>
      <w:bookmarkEnd w:id="268"/>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69" w:name="_Toc117633488"/>
      <w:r>
        <w:rPr>
          <w:rFonts w:hint="eastAsia" w:ascii="Times New Roman" w:hAnsi="Times New Roman" w:eastAsia="宋体" w:cs="Times New Roman"/>
          <w:color w:val="auto"/>
          <w:kern w:val="2"/>
          <w:sz w:val="21"/>
          <w:szCs w:val="21"/>
          <w:highlight w:val="none"/>
          <w:lang w:val="en-US" w:eastAsia="zh-CN" w:bidi="ar-SA"/>
        </w:rPr>
        <w:t>3.2.2.3.1灵活就业医疗保险缴费基数上下限及档次信息查询（微信公众号）</w:t>
      </w:r>
      <w:bookmarkEnd w:id="269"/>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查询灵活就业医疗保险参保缴费信息对应的缴费基数及档次信息，一条记录只对应缴费基数上下限或者缴费基数档次一种缴纳方式。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70" w:name="_Toc117633489"/>
      <w:r>
        <w:rPr>
          <w:rFonts w:hint="eastAsia" w:ascii="Times New Roman" w:hAnsi="Times New Roman" w:eastAsia="宋体" w:cs="Times New Roman"/>
          <w:color w:val="auto"/>
          <w:kern w:val="2"/>
          <w:sz w:val="21"/>
          <w:szCs w:val="21"/>
          <w:highlight w:val="none"/>
          <w:lang w:val="en-US" w:eastAsia="zh-CN" w:bidi="ar-SA"/>
        </w:rPr>
        <w:t>3.2.2.3.2灵活就业医疗保险应缴费额确认（微信公众号）</w:t>
      </w:r>
      <w:bookmarkEnd w:id="270"/>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提交灵活就业医疗保险应缴费额的确认申请，一笔交易可以部分成功，状态在明细上。缴费金额确定是城乡居民缴费的前提。</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71" w:name="_Toc117633490"/>
      <w:r>
        <w:rPr>
          <w:rFonts w:hint="eastAsia" w:ascii="Times New Roman" w:hAnsi="Times New Roman" w:eastAsia="宋体" w:cs="Times New Roman"/>
          <w:color w:val="auto"/>
          <w:kern w:val="2"/>
          <w:sz w:val="21"/>
          <w:szCs w:val="21"/>
          <w:highlight w:val="none"/>
          <w:lang w:val="en-US" w:eastAsia="zh-CN" w:bidi="ar-SA"/>
        </w:rPr>
        <w:t>3.2.2.4灵活就业医疗保险特殊缴费（微信公众号）</w:t>
      </w:r>
      <w:bookmarkEnd w:id="271"/>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过了正常征缴期限后，灵活就业缴费人如需补缴以前年度的灵活就业医疗保险费，需要由医保部门确定灵活就业医疗保险的征集信息，生成对应的特殊缴费申报的征集通知流水信息，传递给税务部门，税务部门以此履行征收职能。</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72" w:name="_Toc117633491"/>
      <w:r>
        <w:rPr>
          <w:rFonts w:hint="eastAsia" w:ascii="Times New Roman" w:hAnsi="Times New Roman" w:eastAsia="宋体" w:cs="Times New Roman"/>
          <w:color w:val="auto"/>
          <w:kern w:val="2"/>
          <w:sz w:val="21"/>
          <w:szCs w:val="21"/>
          <w:highlight w:val="none"/>
          <w:lang w:val="en-US" w:eastAsia="zh-CN" w:bidi="ar-SA"/>
        </w:rPr>
        <w:t>3.2.2.5城乡居民养老保险选档（微信公众号）</w:t>
      </w:r>
      <w:bookmarkEnd w:id="272"/>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73" w:name="_Toc117633492"/>
      <w:r>
        <w:rPr>
          <w:rFonts w:hint="eastAsia" w:ascii="Times New Roman" w:hAnsi="Times New Roman" w:eastAsia="宋体" w:cs="Times New Roman"/>
          <w:color w:val="auto"/>
          <w:kern w:val="2"/>
          <w:sz w:val="21"/>
          <w:szCs w:val="21"/>
          <w:highlight w:val="none"/>
          <w:lang w:val="en-US" w:eastAsia="zh-CN" w:bidi="ar-SA"/>
        </w:rPr>
        <w:t>3.2.2.5.1城乡居民养老保险缴费基数上下限及档次信息查询（微信公众号）</w:t>
      </w:r>
      <w:bookmarkEnd w:id="273"/>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查询城乡居民养老保险参保缴费信息对应的缴费基数及档次信息，一条记录只对应缴费基数上下限或者缴费基数档次一种缴纳方式。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74" w:name="_Toc117633493"/>
      <w:r>
        <w:rPr>
          <w:rFonts w:hint="eastAsia" w:ascii="Times New Roman" w:hAnsi="Times New Roman" w:eastAsia="宋体" w:cs="Times New Roman"/>
          <w:color w:val="auto"/>
          <w:kern w:val="2"/>
          <w:sz w:val="21"/>
          <w:szCs w:val="21"/>
          <w:highlight w:val="none"/>
          <w:lang w:val="en-US" w:eastAsia="zh-CN" w:bidi="ar-SA"/>
        </w:rPr>
        <w:t>3.2.2.5.2城乡居民养老保险应缴费额确认（微信公众号）</w:t>
      </w:r>
      <w:bookmarkEnd w:id="274"/>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提交城乡居民养老保险应缴费额的确认申请，一笔交易可以部分成功，状态在明细上。缴费金额确定是城乡居民缴费的前提。</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75" w:name="_Toc117633494"/>
      <w:r>
        <w:rPr>
          <w:rFonts w:hint="eastAsia" w:ascii="Times New Roman" w:hAnsi="Times New Roman" w:eastAsia="宋体" w:cs="Times New Roman"/>
          <w:color w:val="auto"/>
          <w:kern w:val="2"/>
          <w:sz w:val="21"/>
          <w:szCs w:val="21"/>
          <w:highlight w:val="none"/>
          <w:lang w:val="en-US" w:eastAsia="zh-CN" w:bidi="ar-SA"/>
        </w:rPr>
        <w:t>3.2.2.6城乡居民养老保险特殊缴费（微信公众号）</w:t>
      </w:r>
      <w:bookmarkEnd w:id="275"/>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过了正常征缴期限后，城乡居民缴费人如需补缴以前年度的城乡居民养老保险费，需要由人社部门确定城乡居民养老保险的征集信息，生成对应的特殊缴费申报的征集通知流水信息，传递给税务部门，税务部门以此履行征收职能。</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76" w:name="_Toc117633495"/>
      <w:r>
        <w:rPr>
          <w:rFonts w:hint="eastAsia" w:ascii="Times New Roman" w:hAnsi="Times New Roman" w:eastAsia="宋体" w:cs="Times New Roman"/>
          <w:color w:val="auto"/>
          <w:kern w:val="2"/>
          <w:sz w:val="21"/>
          <w:szCs w:val="21"/>
          <w:highlight w:val="none"/>
          <w:lang w:val="en-US" w:eastAsia="zh-CN" w:bidi="ar-SA"/>
        </w:rPr>
        <w:t>3.2.2.7城乡居民医疗保险（微信公众号）</w:t>
      </w:r>
      <w:bookmarkEnd w:id="276"/>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77" w:name="_Toc117633496"/>
      <w:r>
        <w:rPr>
          <w:rFonts w:hint="eastAsia" w:ascii="Times New Roman" w:hAnsi="Times New Roman" w:eastAsia="宋体" w:cs="Times New Roman"/>
          <w:color w:val="auto"/>
          <w:kern w:val="2"/>
          <w:sz w:val="21"/>
          <w:szCs w:val="21"/>
          <w:highlight w:val="none"/>
          <w:lang w:val="en-US" w:eastAsia="zh-CN" w:bidi="ar-SA"/>
        </w:rPr>
        <w:t>3.2.2.7.1城乡居民医疗保险缴费标准查询（微信公众号）</w:t>
      </w:r>
      <w:bookmarkEnd w:id="277"/>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查询缴费年度的城乡居民医疗保险参保缴费标准信息，作为征缴城乡医保的依据。</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78" w:name="_Toc117633497"/>
      <w:r>
        <w:rPr>
          <w:rFonts w:hint="eastAsia" w:ascii="Times New Roman" w:hAnsi="Times New Roman" w:eastAsia="宋体" w:cs="Times New Roman"/>
          <w:color w:val="auto"/>
          <w:kern w:val="2"/>
          <w:sz w:val="21"/>
          <w:szCs w:val="21"/>
          <w:highlight w:val="none"/>
          <w:lang w:val="en-US" w:eastAsia="zh-CN" w:bidi="ar-SA"/>
        </w:rPr>
        <w:t>3.2.2.7.2城乡居民医疗保险应缴费额确认（微信公众号）</w:t>
      </w:r>
      <w:bookmarkEnd w:id="278"/>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提交城乡居民医疗保险应缴费额的确认申请，一笔交易可以部分成功，状态在明细上。缴费金额确定是城乡居民缴费的前提。</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79" w:name="_Toc117633498"/>
      <w:r>
        <w:rPr>
          <w:rFonts w:hint="eastAsia" w:ascii="Times New Roman" w:hAnsi="Times New Roman" w:eastAsia="宋体" w:cs="Times New Roman"/>
          <w:color w:val="auto"/>
          <w:kern w:val="2"/>
          <w:sz w:val="21"/>
          <w:szCs w:val="21"/>
          <w:highlight w:val="none"/>
          <w:lang w:val="en-US" w:eastAsia="zh-CN" w:bidi="ar-SA"/>
        </w:rPr>
        <w:t>3.2.2.8城乡居民医疗保险特殊缴费（微信公众号）</w:t>
      </w:r>
      <w:bookmarkEnd w:id="279"/>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过了正常征缴期限后，城乡居民缴费人如需补缴以前年度的城乡居民医疗保险费，需要由医保部门确定城乡居民医保保险的征集信息，生成对应的特殊缴费申报的征集通知流水信息，传递给税务部门，税务部门以此履行征收职能。</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80" w:name="_Toc117633499"/>
      <w:r>
        <w:rPr>
          <w:rFonts w:hint="eastAsia" w:ascii="Times New Roman" w:hAnsi="Times New Roman" w:eastAsia="宋体" w:cs="Times New Roman"/>
          <w:color w:val="auto"/>
          <w:kern w:val="2"/>
          <w:sz w:val="21"/>
          <w:szCs w:val="21"/>
          <w:highlight w:val="none"/>
          <w:lang w:val="en-US" w:eastAsia="zh-CN" w:bidi="ar-SA"/>
        </w:rPr>
        <w:t>3.2.3支付宝</w:t>
      </w:r>
      <w:bookmarkEnd w:id="280"/>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81" w:name="_Toc117633500"/>
      <w:r>
        <w:rPr>
          <w:rFonts w:hint="eastAsia" w:ascii="Times New Roman" w:hAnsi="Times New Roman" w:eastAsia="宋体" w:cs="Times New Roman"/>
          <w:color w:val="auto"/>
          <w:kern w:val="2"/>
          <w:sz w:val="21"/>
          <w:szCs w:val="21"/>
          <w:highlight w:val="none"/>
          <w:lang w:val="en-US" w:eastAsia="zh-CN" w:bidi="ar-SA"/>
        </w:rPr>
        <w:t>3.2.3.1灵活就业养老保险选档（支付宝）</w:t>
      </w:r>
      <w:bookmarkEnd w:id="281"/>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82" w:name="_Toc117633501"/>
      <w:r>
        <w:rPr>
          <w:rFonts w:hint="eastAsia" w:ascii="Times New Roman" w:hAnsi="Times New Roman" w:eastAsia="宋体" w:cs="Times New Roman"/>
          <w:color w:val="auto"/>
          <w:kern w:val="2"/>
          <w:sz w:val="21"/>
          <w:szCs w:val="21"/>
          <w:highlight w:val="none"/>
          <w:lang w:val="en-US" w:eastAsia="zh-CN" w:bidi="ar-SA"/>
        </w:rPr>
        <w:t>3.2.3.1.1灵活就业养老保险缴费基数上下限及档次信息查询（支付宝）</w:t>
      </w:r>
      <w:bookmarkEnd w:id="282"/>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查询灵活就业养老保险参保缴费信息对应的缴费基数及档次信息，一条记录只对应缴费基数上下限或者缴费基数档次一种缴纳方式。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83" w:name="_Toc117633502"/>
      <w:r>
        <w:rPr>
          <w:rFonts w:hint="eastAsia" w:ascii="Times New Roman" w:hAnsi="Times New Roman" w:eastAsia="宋体" w:cs="Times New Roman"/>
          <w:color w:val="auto"/>
          <w:kern w:val="2"/>
          <w:sz w:val="21"/>
          <w:szCs w:val="21"/>
          <w:highlight w:val="none"/>
          <w:lang w:val="en-US" w:eastAsia="zh-CN" w:bidi="ar-SA"/>
        </w:rPr>
        <w:t>3.2.3.1.2灵活就业养老保险应缴费额确认（支付宝）</w:t>
      </w:r>
      <w:bookmarkEnd w:id="283"/>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提交灵活就业养老保险应缴费额的确认申请，一笔交易可以部分成功，状态在明细上。缴费金额确定是城乡居民缴费的前提。</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84" w:name="_Toc117633503"/>
      <w:r>
        <w:rPr>
          <w:rFonts w:hint="eastAsia" w:ascii="Times New Roman" w:hAnsi="Times New Roman" w:eastAsia="宋体" w:cs="Times New Roman"/>
          <w:color w:val="auto"/>
          <w:kern w:val="2"/>
          <w:sz w:val="21"/>
          <w:szCs w:val="21"/>
          <w:highlight w:val="none"/>
          <w:lang w:val="en-US" w:eastAsia="zh-CN" w:bidi="ar-SA"/>
        </w:rPr>
        <w:t>3.2.3.2灵活就业养老保险特殊缴费（支付宝）</w:t>
      </w:r>
      <w:bookmarkEnd w:id="284"/>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过了正常征缴期限后，灵活就业缴费人如需补缴以前年度的灵活就业养老保险费，需要由人社部门确定灵活就业养老保险的征集信息，生成对应的特殊缴费申报的征集通知流水信息，传递给税务部门，税务部门以此履行征收职能。</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85" w:name="_Toc117633504"/>
      <w:r>
        <w:rPr>
          <w:rFonts w:hint="eastAsia" w:ascii="Times New Roman" w:hAnsi="Times New Roman" w:eastAsia="宋体" w:cs="Times New Roman"/>
          <w:color w:val="auto"/>
          <w:kern w:val="2"/>
          <w:sz w:val="21"/>
          <w:szCs w:val="21"/>
          <w:highlight w:val="none"/>
          <w:lang w:val="en-US" w:eastAsia="zh-CN" w:bidi="ar-SA"/>
        </w:rPr>
        <w:t>3.2.3.3灵活就业医疗保险选档（支付宝）</w:t>
      </w:r>
      <w:bookmarkEnd w:id="285"/>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86" w:name="_Toc117633505"/>
      <w:r>
        <w:rPr>
          <w:rFonts w:hint="eastAsia" w:ascii="Times New Roman" w:hAnsi="Times New Roman" w:eastAsia="宋体" w:cs="Times New Roman"/>
          <w:color w:val="auto"/>
          <w:kern w:val="2"/>
          <w:sz w:val="21"/>
          <w:szCs w:val="21"/>
          <w:highlight w:val="none"/>
          <w:lang w:val="en-US" w:eastAsia="zh-CN" w:bidi="ar-SA"/>
        </w:rPr>
        <w:t>3.2.3.3.1灵活就业医疗保险缴费基数上下限及档次信息查询（支付宝）</w:t>
      </w:r>
      <w:bookmarkEnd w:id="286"/>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查询灵活就业医疗保险参保缴费信息对应的缴费基数及档次信息，一条记录只对应缴费基数上下限或者缴费基数档次一种缴纳方式。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87" w:name="_Toc117633506"/>
      <w:r>
        <w:rPr>
          <w:rFonts w:hint="eastAsia" w:ascii="Times New Roman" w:hAnsi="Times New Roman" w:eastAsia="宋体" w:cs="Times New Roman"/>
          <w:color w:val="auto"/>
          <w:kern w:val="2"/>
          <w:sz w:val="21"/>
          <w:szCs w:val="21"/>
          <w:highlight w:val="none"/>
          <w:lang w:val="en-US" w:eastAsia="zh-CN" w:bidi="ar-SA"/>
        </w:rPr>
        <w:t>3.2.3.3.2灵活就业医疗保险应缴费额确认（支付宝）</w:t>
      </w:r>
      <w:bookmarkEnd w:id="287"/>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提交灵活就业医疗保险应缴费额的确认申请，一笔交易可以部分成功，状态在明细上。缴费金额确定是城乡居民缴费的前提。</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88" w:name="_Toc117633507"/>
      <w:r>
        <w:rPr>
          <w:rFonts w:hint="eastAsia" w:ascii="Times New Roman" w:hAnsi="Times New Roman" w:eastAsia="宋体" w:cs="Times New Roman"/>
          <w:color w:val="auto"/>
          <w:kern w:val="2"/>
          <w:sz w:val="21"/>
          <w:szCs w:val="21"/>
          <w:highlight w:val="none"/>
          <w:lang w:val="en-US" w:eastAsia="zh-CN" w:bidi="ar-SA"/>
        </w:rPr>
        <w:t>3.2.3.4灵活就业医疗保险特殊缴费（支付宝）</w:t>
      </w:r>
      <w:bookmarkEnd w:id="288"/>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过了正常征缴期限后，灵活就业缴费人如需补缴以前年度的灵活就业医疗保险费，需要由医保部门确定灵活就业医疗保险的征集信息，生成对应的特殊缴费申报的征集通知流水信息，传递给税务部门，税务部门以此履行征收职能。</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89" w:name="_Toc117633508"/>
      <w:r>
        <w:rPr>
          <w:rFonts w:hint="eastAsia" w:ascii="Times New Roman" w:hAnsi="Times New Roman" w:eastAsia="宋体" w:cs="Times New Roman"/>
          <w:color w:val="auto"/>
          <w:kern w:val="2"/>
          <w:sz w:val="21"/>
          <w:szCs w:val="21"/>
          <w:highlight w:val="none"/>
          <w:lang w:val="en-US" w:eastAsia="zh-CN" w:bidi="ar-SA"/>
        </w:rPr>
        <w:t>3.2.3.5城乡居民养老保险选档（支付宝）</w:t>
      </w:r>
      <w:bookmarkEnd w:id="289"/>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90" w:name="_Toc117633509"/>
      <w:r>
        <w:rPr>
          <w:rFonts w:hint="eastAsia" w:ascii="Times New Roman" w:hAnsi="Times New Roman" w:eastAsia="宋体" w:cs="Times New Roman"/>
          <w:color w:val="auto"/>
          <w:kern w:val="2"/>
          <w:sz w:val="21"/>
          <w:szCs w:val="21"/>
          <w:highlight w:val="none"/>
          <w:lang w:val="en-US" w:eastAsia="zh-CN" w:bidi="ar-SA"/>
        </w:rPr>
        <w:t>3.2.3.5.1城乡居民养老保险缴费基数上下限及档次信息查询（支付宝）</w:t>
      </w:r>
      <w:bookmarkEnd w:id="290"/>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查询城乡居民养老保险参保缴费信息对应的缴费基数及档次信息，一条记录只对应缴费基数上下限或者缴费基数档次一种缴纳方式。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91" w:name="_Toc117633510"/>
      <w:r>
        <w:rPr>
          <w:rFonts w:hint="eastAsia" w:ascii="Times New Roman" w:hAnsi="Times New Roman" w:eastAsia="宋体" w:cs="Times New Roman"/>
          <w:color w:val="auto"/>
          <w:kern w:val="2"/>
          <w:sz w:val="21"/>
          <w:szCs w:val="21"/>
          <w:highlight w:val="none"/>
          <w:lang w:val="en-US" w:eastAsia="zh-CN" w:bidi="ar-SA"/>
        </w:rPr>
        <w:t>3.2.3.5.2城乡居民养老保险应缴费额确认（支付宝）</w:t>
      </w:r>
      <w:bookmarkEnd w:id="291"/>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提交城乡居民养老保险应缴费额的确认申请，一笔交易可以部分成功，状态在明细上。缴费金额确定是城乡居民缴费的前提。</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92" w:name="_Toc117633511"/>
      <w:r>
        <w:rPr>
          <w:rFonts w:hint="eastAsia" w:ascii="Times New Roman" w:hAnsi="Times New Roman" w:eastAsia="宋体" w:cs="Times New Roman"/>
          <w:color w:val="auto"/>
          <w:kern w:val="2"/>
          <w:sz w:val="21"/>
          <w:szCs w:val="21"/>
          <w:highlight w:val="none"/>
          <w:lang w:val="en-US" w:eastAsia="zh-CN" w:bidi="ar-SA"/>
        </w:rPr>
        <w:t>3.2.3.6城乡居民养老保险特殊缴费 （支付宝）</w:t>
      </w:r>
      <w:bookmarkEnd w:id="292"/>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过了正常征缴期限后，城乡居民缴费人如需补缴以前年度的城乡居民养老保险费，需要由人社部门确定城乡居民养老保险的征集信息，生成对应的特殊缴费申报的征集通知流水信息，传递给税务部门，税务部门以此履行征收职能。</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93" w:name="_Toc117633512"/>
      <w:r>
        <w:rPr>
          <w:rFonts w:hint="eastAsia" w:ascii="Times New Roman" w:hAnsi="Times New Roman" w:eastAsia="宋体" w:cs="Times New Roman"/>
          <w:color w:val="auto"/>
          <w:kern w:val="2"/>
          <w:sz w:val="21"/>
          <w:szCs w:val="21"/>
          <w:highlight w:val="none"/>
          <w:lang w:val="en-US" w:eastAsia="zh-CN" w:bidi="ar-SA"/>
        </w:rPr>
        <w:t>3.2.3.7城乡居民医疗保险（支付宝）</w:t>
      </w:r>
      <w:bookmarkEnd w:id="293"/>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94" w:name="_Toc117633513"/>
      <w:r>
        <w:rPr>
          <w:rFonts w:hint="eastAsia" w:ascii="Times New Roman" w:hAnsi="Times New Roman" w:eastAsia="宋体" w:cs="Times New Roman"/>
          <w:color w:val="auto"/>
          <w:kern w:val="2"/>
          <w:sz w:val="21"/>
          <w:szCs w:val="21"/>
          <w:highlight w:val="none"/>
          <w:lang w:val="en-US" w:eastAsia="zh-CN" w:bidi="ar-SA"/>
        </w:rPr>
        <w:t>3.2.3.7.1城乡居民医疗保险缴费标准查询（支付宝）</w:t>
      </w:r>
      <w:bookmarkEnd w:id="294"/>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查询缴费年度的城乡居民医疗保险参保缴费标准信息，作为征缴城乡医保的依据。</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95" w:name="_Toc117633514"/>
      <w:r>
        <w:rPr>
          <w:rFonts w:hint="eastAsia" w:ascii="Times New Roman" w:hAnsi="Times New Roman" w:eastAsia="宋体" w:cs="Times New Roman"/>
          <w:color w:val="auto"/>
          <w:kern w:val="2"/>
          <w:sz w:val="21"/>
          <w:szCs w:val="21"/>
          <w:highlight w:val="none"/>
          <w:lang w:val="en-US" w:eastAsia="zh-CN" w:bidi="ar-SA"/>
        </w:rPr>
        <w:t>3.2.3.7.2城乡居民医疗保险应缴费额确认（支付宝）</w:t>
      </w:r>
      <w:bookmarkEnd w:id="295"/>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提交城乡居民医疗保险应缴费额的确认申请，一笔交易可以部分成功，状态在明细上。缴费金额确定是城乡居民缴费的前提。</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96" w:name="_Toc117633515"/>
      <w:r>
        <w:rPr>
          <w:rFonts w:hint="eastAsia" w:ascii="Times New Roman" w:hAnsi="Times New Roman" w:eastAsia="宋体" w:cs="Times New Roman"/>
          <w:color w:val="auto"/>
          <w:kern w:val="2"/>
          <w:sz w:val="21"/>
          <w:szCs w:val="21"/>
          <w:highlight w:val="none"/>
          <w:lang w:val="en-US" w:eastAsia="zh-CN" w:bidi="ar-SA"/>
        </w:rPr>
        <w:t>3.2.3.8城乡居民医疗保险特殊缴费 （支付宝）</w:t>
      </w:r>
      <w:bookmarkEnd w:id="296"/>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过了正常征缴期限后，城乡居民缴费人如需补缴以前年度的城乡居民医疗保险费，需要由医保部门确定城乡居民医保保险的征集信息，生成对应的特殊缴费申报的征集通知流水信息，传递给税务部门，税务部门以此履行征收职能。</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3.2.3.9灵活就业养老保险（代他人）选档 （支付宝）</w:t>
      </w:r>
      <w:bookmarkEnd w:id="263"/>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97" w:name="_Toc117633517"/>
      <w:r>
        <w:rPr>
          <w:rFonts w:hint="eastAsia" w:ascii="Times New Roman" w:hAnsi="Times New Roman" w:eastAsia="宋体" w:cs="Times New Roman"/>
          <w:color w:val="auto"/>
          <w:kern w:val="2"/>
          <w:sz w:val="21"/>
          <w:szCs w:val="21"/>
          <w:highlight w:val="none"/>
          <w:lang w:val="en-US" w:eastAsia="zh-CN" w:bidi="ar-SA"/>
        </w:rPr>
        <w:t>3.2.3.9.1灵活就业养老保险（代他人）缴费基数上下限及档次信息查询（支付宝）</w:t>
      </w:r>
      <w:bookmarkEnd w:id="297"/>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本人代他人查询灵活就业养老保险参保缴费信息对应的缴费基数及档次信息，一条记录只对应缴费基数上下限或者缴费基数档次一种缴纳方式。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98" w:name="_Toc117633518"/>
      <w:r>
        <w:rPr>
          <w:rFonts w:hint="eastAsia" w:ascii="Times New Roman" w:hAnsi="Times New Roman" w:eastAsia="宋体" w:cs="Times New Roman"/>
          <w:color w:val="auto"/>
          <w:kern w:val="2"/>
          <w:sz w:val="21"/>
          <w:szCs w:val="21"/>
          <w:highlight w:val="none"/>
          <w:lang w:val="en-US" w:eastAsia="zh-CN" w:bidi="ar-SA"/>
        </w:rPr>
        <w:t>3.2.3.9.2灵活就业养老保险（代他人）应缴费额确认（支付宝）</w:t>
      </w:r>
      <w:bookmarkEnd w:id="298"/>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本人代他人提交灵活就业养老保险应缴费额的确认申请，一笔交易可以部分成功，状态在明细上。缴费金额确定是城乡居民缴费的前提。</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299" w:name="_Toc117633519"/>
      <w:r>
        <w:rPr>
          <w:rFonts w:hint="eastAsia" w:ascii="Times New Roman" w:hAnsi="Times New Roman" w:eastAsia="宋体" w:cs="Times New Roman"/>
          <w:color w:val="auto"/>
          <w:kern w:val="2"/>
          <w:sz w:val="21"/>
          <w:szCs w:val="21"/>
          <w:highlight w:val="none"/>
          <w:lang w:val="en-US" w:eastAsia="zh-CN" w:bidi="ar-SA"/>
        </w:rPr>
        <w:t>3.2.3.10灵活就业养老保险（代他人）特殊缴费 （支付宝）</w:t>
      </w:r>
      <w:bookmarkEnd w:id="299"/>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本人代他人特殊缴费，过了正常征缴期限后，灵活就业缴费人如需补缴以前年度的灵活就业养老保险费，需要由人社部门确定灵活就业养老保险的征集信息，生成对应的特殊缴费申报的征集通知流水信息，传递给税务部门，税务部门以此履行征收职能。</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00" w:name="_Toc117633520"/>
      <w:r>
        <w:rPr>
          <w:rFonts w:hint="eastAsia" w:ascii="Times New Roman" w:hAnsi="Times New Roman" w:eastAsia="宋体" w:cs="Times New Roman"/>
          <w:color w:val="auto"/>
          <w:kern w:val="2"/>
          <w:sz w:val="21"/>
          <w:szCs w:val="21"/>
          <w:highlight w:val="none"/>
          <w:lang w:val="en-US" w:eastAsia="zh-CN" w:bidi="ar-SA"/>
        </w:rPr>
        <w:t>3.2.3.11灵活就业医疗保险（代他人）选档（支付宝）</w:t>
      </w:r>
      <w:bookmarkEnd w:id="300"/>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01" w:name="_Toc117633521"/>
      <w:r>
        <w:rPr>
          <w:rFonts w:hint="eastAsia" w:ascii="Times New Roman" w:hAnsi="Times New Roman" w:eastAsia="宋体" w:cs="Times New Roman"/>
          <w:color w:val="auto"/>
          <w:kern w:val="2"/>
          <w:sz w:val="21"/>
          <w:szCs w:val="21"/>
          <w:highlight w:val="none"/>
          <w:lang w:val="en-US" w:eastAsia="zh-CN" w:bidi="ar-SA"/>
        </w:rPr>
        <w:t>3.2.3.11.1灵活就业医疗保险（代他人）缴费基数上下限及档次信息查询（支付宝）</w:t>
      </w:r>
      <w:bookmarkEnd w:id="301"/>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本人代他人查询灵活就业医疗保险参保缴费信息对应的缴费基数及档次信息，一条记录只对应缴费基数上下限或者缴费基数档次一种缴纳方式。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02" w:name="_Toc117633522"/>
      <w:r>
        <w:rPr>
          <w:rFonts w:hint="eastAsia" w:ascii="Times New Roman" w:hAnsi="Times New Roman" w:eastAsia="宋体" w:cs="Times New Roman"/>
          <w:color w:val="auto"/>
          <w:kern w:val="2"/>
          <w:sz w:val="21"/>
          <w:szCs w:val="21"/>
          <w:highlight w:val="none"/>
          <w:lang w:val="en-US" w:eastAsia="zh-CN" w:bidi="ar-SA"/>
        </w:rPr>
        <w:t>3.2.3.11.2灵活就业医疗保险（代他人）应缴费额确认（支付宝）</w:t>
      </w:r>
      <w:bookmarkEnd w:id="302"/>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本人代他人提交灵活就业医疗保险应缴费额的确认申请，一笔交易可以部分成功，状态在明细上。缴费金额确定是城乡居民缴费的前提。</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03" w:name="_Toc117633523"/>
      <w:r>
        <w:rPr>
          <w:rFonts w:hint="eastAsia" w:ascii="Times New Roman" w:hAnsi="Times New Roman" w:eastAsia="宋体" w:cs="Times New Roman"/>
          <w:color w:val="auto"/>
          <w:kern w:val="2"/>
          <w:sz w:val="21"/>
          <w:szCs w:val="21"/>
          <w:highlight w:val="none"/>
          <w:lang w:val="en-US" w:eastAsia="zh-CN" w:bidi="ar-SA"/>
        </w:rPr>
        <w:t>3.2.3.12灵活就业医疗保险（代他人）特殊缴费（支付宝）</w:t>
      </w:r>
      <w:bookmarkEnd w:id="303"/>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本人代他人特殊缴费，过了正常征缴期限后，灵活就业缴费人如需补缴以前年度的灵活就业医疗保险费，需要由医保部门确定灵活就业医疗保险的征集信息，生成对应的特殊缴费申报的征集通知流水信息，传递给税务部门，税务部门以此履行征收职能。</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04" w:name="_Toc117633524"/>
      <w:r>
        <w:rPr>
          <w:rFonts w:hint="eastAsia" w:ascii="Times New Roman" w:hAnsi="Times New Roman" w:eastAsia="宋体" w:cs="Times New Roman"/>
          <w:color w:val="auto"/>
          <w:kern w:val="2"/>
          <w:sz w:val="21"/>
          <w:szCs w:val="21"/>
          <w:highlight w:val="none"/>
          <w:lang w:val="en-US" w:eastAsia="zh-CN" w:bidi="ar-SA"/>
        </w:rPr>
        <w:t>3.2.3.13城乡居民养老保险（代他人）选档（支付宝）</w:t>
      </w:r>
      <w:bookmarkEnd w:id="304"/>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05" w:name="_Toc117633525"/>
      <w:r>
        <w:rPr>
          <w:rFonts w:hint="eastAsia" w:ascii="Times New Roman" w:hAnsi="Times New Roman" w:eastAsia="宋体" w:cs="Times New Roman"/>
          <w:color w:val="auto"/>
          <w:kern w:val="2"/>
          <w:sz w:val="21"/>
          <w:szCs w:val="21"/>
          <w:highlight w:val="none"/>
          <w:lang w:val="en-US" w:eastAsia="zh-CN" w:bidi="ar-SA"/>
        </w:rPr>
        <w:t>3.2.3.13.1城乡居民养老保险（代他人）缴费基数上下限及档次信息查询（支付宝）</w:t>
      </w:r>
      <w:bookmarkEnd w:id="305"/>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本人代他人查询城乡居民养老保险参保缴费信息对应的缴费基数及档次信息，一条记录只对应缴费基数上下限或者缴费基数档次一种缴纳方式。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06" w:name="_Toc117633526"/>
      <w:r>
        <w:rPr>
          <w:rFonts w:hint="eastAsia" w:ascii="Times New Roman" w:hAnsi="Times New Roman" w:eastAsia="宋体" w:cs="Times New Roman"/>
          <w:color w:val="auto"/>
          <w:kern w:val="2"/>
          <w:sz w:val="21"/>
          <w:szCs w:val="21"/>
          <w:highlight w:val="none"/>
          <w:lang w:val="en-US" w:eastAsia="zh-CN" w:bidi="ar-SA"/>
        </w:rPr>
        <w:t>3.2.3.13.2城乡居民养老保险（代他人）应缴费额确认（支付宝）</w:t>
      </w:r>
      <w:bookmarkEnd w:id="306"/>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本人代他人提交城乡居民养老保险应缴费额的确认申请，一笔交易可以部分成功，状态在明细上。缴费金额确定是城乡居民缴费的前提</w:t>
      </w:r>
      <w:bookmarkStart w:id="307" w:name="_Toc117633527"/>
      <w:r>
        <w:rPr>
          <w:rFonts w:hint="eastAsia" w:ascii="Times New Roman" w:hAnsi="Times New Roman" w:eastAsia="宋体" w:cs="Times New Roman"/>
          <w:color w:val="auto"/>
          <w:kern w:val="2"/>
          <w:sz w:val="21"/>
          <w:szCs w:val="21"/>
          <w:highlight w:val="none"/>
          <w:lang w:val="en-US" w:eastAsia="zh-CN" w:bidi="ar-SA"/>
        </w:rPr>
        <w:t>。</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3.2.3.14城乡居民医疗保险（代他人）（支付宝）</w:t>
      </w:r>
      <w:bookmarkEnd w:id="307"/>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08" w:name="_Toc117633528"/>
      <w:r>
        <w:rPr>
          <w:rFonts w:hint="eastAsia" w:ascii="Times New Roman" w:hAnsi="Times New Roman" w:eastAsia="宋体" w:cs="Times New Roman"/>
          <w:color w:val="auto"/>
          <w:kern w:val="2"/>
          <w:sz w:val="21"/>
          <w:szCs w:val="21"/>
          <w:highlight w:val="none"/>
          <w:lang w:val="en-US" w:eastAsia="zh-CN" w:bidi="ar-SA"/>
        </w:rPr>
        <w:t>3.2.3.14.1城乡居民医疗保险（代他人）缴费标准查询（支付宝）</w:t>
      </w:r>
      <w:bookmarkEnd w:id="308"/>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本人代他人查询缴费年度的城乡居民医疗保险参保缴费标准信息，作为征缴城乡医保的依据。</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09" w:name="_Toc117633529"/>
      <w:r>
        <w:rPr>
          <w:rFonts w:hint="eastAsia" w:ascii="Times New Roman" w:hAnsi="Times New Roman" w:eastAsia="宋体" w:cs="Times New Roman"/>
          <w:color w:val="auto"/>
          <w:kern w:val="2"/>
          <w:sz w:val="21"/>
          <w:szCs w:val="21"/>
          <w:highlight w:val="none"/>
          <w:lang w:val="en-US" w:eastAsia="zh-CN" w:bidi="ar-SA"/>
        </w:rPr>
        <w:t>3.2.3.14.2城乡居民医疗保险（代他人）应缴费额确认（支付宝）</w:t>
      </w:r>
      <w:bookmarkEnd w:id="309"/>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本人代他人提交城乡居民医疗保险应缴费额的确认申请，一笔交易可以部分成功，状态在明细上。缴费金额确定是城乡居民缴费的前提。</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10" w:name="_Toc117633530"/>
      <w:r>
        <w:rPr>
          <w:rFonts w:hint="eastAsia" w:ascii="Times New Roman" w:hAnsi="Times New Roman" w:eastAsia="宋体" w:cs="Times New Roman"/>
          <w:color w:val="auto"/>
          <w:kern w:val="2"/>
          <w:sz w:val="21"/>
          <w:szCs w:val="21"/>
          <w:highlight w:val="none"/>
          <w:lang w:val="en-US" w:eastAsia="zh-CN" w:bidi="ar-SA"/>
        </w:rPr>
        <w:t>3.2.3.15城乡居民养老保险（代他人）特殊缴费 （支付宝）</w:t>
      </w:r>
      <w:bookmarkEnd w:id="310"/>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本人代他人特殊缴费，过了正常征缴期限后，城乡居民缴费人如需补缴以前年度的城乡居民养老保险费，需要由人社部门确定城乡居民养老保险的征集信息，生成对应的特殊缴费申报的征集通知流水信息，传递给税务部门，税务部门以此履行征收职能。</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11" w:name="_Toc117633531"/>
      <w:r>
        <w:rPr>
          <w:rFonts w:hint="eastAsia" w:ascii="Times New Roman" w:hAnsi="Times New Roman" w:eastAsia="宋体" w:cs="Times New Roman"/>
          <w:color w:val="auto"/>
          <w:kern w:val="2"/>
          <w:sz w:val="21"/>
          <w:szCs w:val="21"/>
          <w:highlight w:val="none"/>
          <w:lang w:val="en-US" w:eastAsia="zh-CN" w:bidi="ar-SA"/>
        </w:rPr>
        <w:t>3.2.3.16城乡居民医疗保险（代他人）特殊缴费 （支付宝）</w:t>
      </w:r>
      <w:bookmarkEnd w:id="311"/>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本人代他人特殊缴费，过了正常征缴期限后，城乡居民缴费人如需补缴以前年度的城乡居民医疗保险费，需要由医保部门确定城乡居民医保保险的征集信息，生成对应的特殊缴费申报的征集通知流水信息，传递给税务部门，税务部门以此履行征收职能。</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12" w:name="_Toc117633532"/>
      <w:r>
        <w:rPr>
          <w:rFonts w:hint="eastAsia" w:ascii="Times New Roman" w:hAnsi="Times New Roman" w:eastAsia="宋体" w:cs="Times New Roman"/>
          <w:color w:val="auto"/>
          <w:kern w:val="2"/>
          <w:sz w:val="21"/>
          <w:szCs w:val="21"/>
          <w:highlight w:val="none"/>
          <w:lang w:val="en-US" w:eastAsia="zh-CN" w:bidi="ar-SA"/>
        </w:rPr>
        <w:t>3.2.4微信小程序</w:t>
      </w:r>
      <w:bookmarkEnd w:id="312"/>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13" w:name="_Toc117633533"/>
      <w:r>
        <w:rPr>
          <w:rFonts w:hint="eastAsia" w:ascii="Times New Roman" w:hAnsi="Times New Roman" w:eastAsia="宋体" w:cs="Times New Roman"/>
          <w:color w:val="auto"/>
          <w:kern w:val="2"/>
          <w:sz w:val="21"/>
          <w:szCs w:val="21"/>
          <w:highlight w:val="none"/>
          <w:lang w:val="en-US" w:eastAsia="zh-CN" w:bidi="ar-SA"/>
        </w:rPr>
        <w:t>3.2.4.1参保缴费登记核查</w:t>
      </w:r>
      <w:bookmarkEnd w:id="313"/>
      <w:r>
        <w:rPr>
          <w:rFonts w:hint="eastAsia" w:ascii="Times New Roman" w:hAnsi="Times New Roman" w:eastAsia="宋体" w:cs="Times New Roman"/>
          <w:color w:val="auto"/>
          <w:kern w:val="2"/>
          <w:sz w:val="21"/>
          <w:szCs w:val="21"/>
          <w:highlight w:val="none"/>
          <w:lang w:val="en-US" w:eastAsia="zh-CN" w:bidi="ar-SA"/>
        </w:rPr>
        <w:t>（微信小程序）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14" w:name="_Toc117633534"/>
      <w:r>
        <w:rPr>
          <w:rFonts w:hint="eastAsia" w:ascii="Times New Roman" w:hAnsi="Times New Roman" w:eastAsia="宋体" w:cs="Times New Roman"/>
          <w:color w:val="auto"/>
          <w:kern w:val="2"/>
          <w:sz w:val="21"/>
          <w:szCs w:val="21"/>
          <w:highlight w:val="none"/>
          <w:lang w:val="en-US" w:eastAsia="zh-CN" w:bidi="ar-SA"/>
        </w:rPr>
        <w:t>3.2.4.1.1灵活养老保险登记核查</w:t>
      </w:r>
      <w:bookmarkEnd w:id="314"/>
      <w:r>
        <w:rPr>
          <w:rFonts w:hint="eastAsia" w:ascii="Times New Roman" w:hAnsi="Times New Roman" w:eastAsia="宋体" w:cs="Times New Roman"/>
          <w:color w:val="auto"/>
          <w:kern w:val="2"/>
          <w:sz w:val="21"/>
          <w:szCs w:val="21"/>
          <w:highlight w:val="none"/>
          <w:lang w:val="en-US" w:eastAsia="zh-CN" w:bidi="ar-SA"/>
        </w:rPr>
        <w:t>（微信小程序）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缴费人办理完成社保费缴费登记信息后，可在查询核查参保登记信息，所有功能均按照社保费标准版规范进行升级改造，实现与社保费标准版的无缝对接。</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15" w:name="_Toc117633535"/>
      <w:r>
        <w:rPr>
          <w:rFonts w:hint="eastAsia" w:ascii="Times New Roman" w:hAnsi="Times New Roman" w:eastAsia="宋体" w:cs="Times New Roman"/>
          <w:color w:val="auto"/>
          <w:kern w:val="2"/>
          <w:sz w:val="21"/>
          <w:szCs w:val="21"/>
          <w:highlight w:val="none"/>
          <w:lang w:val="en-US" w:eastAsia="zh-CN" w:bidi="ar-SA"/>
        </w:rPr>
        <w:t>3.2.4.1.2城乡养老保险登记核查</w:t>
      </w:r>
      <w:bookmarkEnd w:id="315"/>
      <w:r>
        <w:rPr>
          <w:rFonts w:hint="eastAsia" w:ascii="Times New Roman" w:hAnsi="Times New Roman" w:eastAsia="宋体" w:cs="Times New Roman"/>
          <w:color w:val="auto"/>
          <w:kern w:val="2"/>
          <w:sz w:val="21"/>
          <w:szCs w:val="21"/>
          <w:highlight w:val="none"/>
          <w:lang w:val="en-US" w:eastAsia="zh-CN" w:bidi="ar-SA"/>
        </w:rPr>
        <w:t>（微信小程序）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缴费人办理完成社保费缴费登记信息后，可在本模块查询验证参保登记信息，所有功能均按照社保费标准版规范进行升级改造，实现与社保费标准版的无缝对接。</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16" w:name="_Toc117633536"/>
      <w:r>
        <w:rPr>
          <w:rFonts w:hint="eastAsia" w:ascii="Times New Roman" w:hAnsi="Times New Roman" w:eastAsia="宋体" w:cs="Times New Roman"/>
          <w:color w:val="auto"/>
          <w:kern w:val="2"/>
          <w:sz w:val="21"/>
          <w:szCs w:val="21"/>
          <w:highlight w:val="none"/>
          <w:lang w:val="en-US" w:eastAsia="zh-CN" w:bidi="ar-SA"/>
        </w:rPr>
        <w:t>3.2.4.1.3灵活医疗保险登记核查</w:t>
      </w:r>
      <w:bookmarkEnd w:id="316"/>
      <w:r>
        <w:rPr>
          <w:rFonts w:hint="eastAsia" w:ascii="Times New Roman" w:hAnsi="Times New Roman" w:eastAsia="宋体" w:cs="Times New Roman"/>
          <w:color w:val="auto"/>
          <w:kern w:val="2"/>
          <w:sz w:val="21"/>
          <w:szCs w:val="21"/>
          <w:highlight w:val="none"/>
          <w:lang w:val="en-US" w:eastAsia="zh-CN" w:bidi="ar-SA"/>
        </w:rPr>
        <w:t>（微信小程序）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缴费人办理完成社保费缴费登记信息后，可在本模块查询验证参保登记信息，所有功能均按照社保费标准版规范进行升级改造，实现与社保费标准版的无缝对接。</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17" w:name="_Toc117633537"/>
      <w:r>
        <w:rPr>
          <w:rFonts w:hint="eastAsia" w:ascii="Times New Roman" w:hAnsi="Times New Roman" w:eastAsia="宋体" w:cs="Times New Roman"/>
          <w:color w:val="auto"/>
          <w:kern w:val="2"/>
          <w:sz w:val="21"/>
          <w:szCs w:val="21"/>
          <w:highlight w:val="none"/>
          <w:lang w:val="en-US" w:eastAsia="zh-CN" w:bidi="ar-SA"/>
        </w:rPr>
        <w:t>3.2.4.1.4城乡医疗保险登记核查</w:t>
      </w:r>
      <w:bookmarkEnd w:id="317"/>
      <w:r>
        <w:rPr>
          <w:rFonts w:hint="eastAsia" w:ascii="Times New Roman" w:hAnsi="Times New Roman" w:eastAsia="宋体" w:cs="Times New Roman"/>
          <w:color w:val="auto"/>
          <w:kern w:val="2"/>
          <w:sz w:val="21"/>
          <w:szCs w:val="21"/>
          <w:highlight w:val="none"/>
          <w:lang w:val="en-US" w:eastAsia="zh-CN" w:bidi="ar-SA"/>
        </w:rPr>
        <w:t>（微信小程序）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缴费人办理完成社保费缴费登记信息后，可在本模块查询验证参保登记信息，所有功能均按照社保费标准版规范进行升级改造，实现与社保费标准版的无缝对接。</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18" w:name="_Toc117633538"/>
      <w:r>
        <w:rPr>
          <w:rFonts w:hint="eastAsia" w:ascii="Times New Roman" w:hAnsi="Times New Roman" w:eastAsia="宋体" w:cs="Times New Roman"/>
          <w:color w:val="auto"/>
          <w:kern w:val="2"/>
          <w:sz w:val="21"/>
          <w:szCs w:val="21"/>
          <w:highlight w:val="none"/>
          <w:lang w:val="en-US" w:eastAsia="zh-CN" w:bidi="ar-SA"/>
        </w:rPr>
        <w:t>3.2.4.2缴费档次确认</w:t>
      </w:r>
      <w:bookmarkEnd w:id="318"/>
      <w:r>
        <w:rPr>
          <w:rFonts w:hint="eastAsia" w:ascii="Times New Roman" w:hAnsi="Times New Roman" w:eastAsia="宋体" w:cs="Times New Roman"/>
          <w:color w:val="auto"/>
          <w:kern w:val="2"/>
          <w:sz w:val="21"/>
          <w:szCs w:val="21"/>
          <w:highlight w:val="none"/>
          <w:lang w:val="en-US" w:eastAsia="zh-CN" w:bidi="ar-SA"/>
        </w:rPr>
        <w:t>（微信小程序）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19" w:name="_Toc117633539"/>
      <w:r>
        <w:rPr>
          <w:rFonts w:hint="eastAsia" w:ascii="Times New Roman" w:hAnsi="Times New Roman" w:eastAsia="宋体" w:cs="Times New Roman"/>
          <w:color w:val="auto"/>
          <w:kern w:val="2"/>
          <w:sz w:val="21"/>
          <w:szCs w:val="21"/>
          <w:highlight w:val="none"/>
          <w:lang w:val="en-US" w:eastAsia="zh-CN" w:bidi="ar-SA"/>
        </w:rPr>
        <w:t>3.2.4.2.1城乡养老保险选档</w:t>
      </w:r>
      <w:bookmarkEnd w:id="319"/>
      <w:r>
        <w:rPr>
          <w:rFonts w:hint="eastAsia" w:ascii="Times New Roman" w:hAnsi="Times New Roman" w:eastAsia="宋体" w:cs="Times New Roman"/>
          <w:color w:val="auto"/>
          <w:kern w:val="2"/>
          <w:sz w:val="21"/>
          <w:szCs w:val="21"/>
          <w:highlight w:val="none"/>
          <w:lang w:val="en-US" w:eastAsia="zh-CN" w:bidi="ar-SA"/>
        </w:rPr>
        <w:t xml:space="preserve"> （微信小程序）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20" w:name="_Toc117633540"/>
      <w:r>
        <w:rPr>
          <w:rFonts w:hint="eastAsia" w:ascii="Times New Roman" w:hAnsi="Times New Roman" w:eastAsia="宋体" w:cs="Times New Roman"/>
          <w:color w:val="auto"/>
          <w:kern w:val="2"/>
          <w:sz w:val="21"/>
          <w:szCs w:val="21"/>
          <w:highlight w:val="none"/>
          <w:lang w:val="en-US" w:eastAsia="zh-CN" w:bidi="ar-SA"/>
        </w:rPr>
        <w:t>3.2.4.2.1.1城乡养老保险缴费基数上下限及档次信息查询</w:t>
      </w:r>
      <w:bookmarkEnd w:id="320"/>
      <w:r>
        <w:rPr>
          <w:rFonts w:hint="eastAsia" w:ascii="Times New Roman" w:hAnsi="Times New Roman" w:eastAsia="宋体" w:cs="Times New Roman"/>
          <w:color w:val="auto"/>
          <w:kern w:val="2"/>
          <w:sz w:val="21"/>
          <w:szCs w:val="21"/>
          <w:highlight w:val="none"/>
          <w:lang w:val="en-US" w:eastAsia="zh-CN" w:bidi="ar-SA"/>
        </w:rPr>
        <w:t>（微信小程序）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查询城乡居民养老保险参保缴费信息对应的缴费基数及档次信息，一条记录只对应缴费基数上下限或者缴费基数档次一种缴纳方式。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21" w:name="_Toc117633541"/>
      <w:r>
        <w:rPr>
          <w:rFonts w:hint="eastAsia" w:ascii="Times New Roman" w:hAnsi="Times New Roman" w:eastAsia="宋体" w:cs="Times New Roman"/>
          <w:color w:val="auto"/>
          <w:kern w:val="2"/>
          <w:sz w:val="21"/>
          <w:szCs w:val="21"/>
          <w:highlight w:val="none"/>
          <w:lang w:val="en-US" w:eastAsia="zh-CN" w:bidi="ar-SA"/>
        </w:rPr>
        <w:t>3.2.4.2.1.2城乡养老保险应缴费额确认</w:t>
      </w:r>
      <w:bookmarkEnd w:id="321"/>
      <w:r>
        <w:rPr>
          <w:rFonts w:hint="eastAsia" w:ascii="Times New Roman" w:hAnsi="Times New Roman" w:eastAsia="宋体" w:cs="Times New Roman"/>
          <w:color w:val="auto"/>
          <w:kern w:val="2"/>
          <w:sz w:val="21"/>
          <w:szCs w:val="21"/>
          <w:highlight w:val="none"/>
          <w:lang w:val="en-US" w:eastAsia="zh-CN" w:bidi="ar-SA"/>
        </w:rPr>
        <w:t>（微信小程序）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提交城乡居民养老保险应缴费额的确认申请，一笔交易可以部分成功，状态在明细上。缴费金额确定是城乡居民缴费的前提。</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22" w:name="_Toc117633542"/>
      <w:r>
        <w:rPr>
          <w:rFonts w:hint="eastAsia" w:ascii="Times New Roman" w:hAnsi="Times New Roman" w:eastAsia="宋体" w:cs="Times New Roman"/>
          <w:color w:val="auto"/>
          <w:kern w:val="2"/>
          <w:sz w:val="21"/>
          <w:szCs w:val="21"/>
          <w:highlight w:val="none"/>
          <w:lang w:val="en-US" w:eastAsia="zh-CN" w:bidi="ar-SA"/>
        </w:rPr>
        <w:t>3.2.4.2.2城乡医疗保险确认</w:t>
      </w:r>
      <w:bookmarkEnd w:id="322"/>
      <w:r>
        <w:rPr>
          <w:rFonts w:hint="eastAsia" w:ascii="Times New Roman" w:hAnsi="Times New Roman" w:eastAsia="宋体" w:cs="Times New Roman"/>
          <w:color w:val="auto"/>
          <w:kern w:val="2"/>
          <w:sz w:val="21"/>
          <w:szCs w:val="21"/>
          <w:highlight w:val="none"/>
          <w:lang w:val="en-US" w:eastAsia="zh-CN" w:bidi="ar-SA"/>
        </w:rPr>
        <w:t>（微信小程序）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23" w:name="_Toc117633543"/>
      <w:r>
        <w:rPr>
          <w:rFonts w:hint="eastAsia" w:ascii="Times New Roman" w:hAnsi="Times New Roman" w:eastAsia="宋体" w:cs="Times New Roman"/>
          <w:color w:val="auto"/>
          <w:kern w:val="2"/>
          <w:sz w:val="21"/>
          <w:szCs w:val="21"/>
          <w:highlight w:val="none"/>
          <w:lang w:val="en-US" w:eastAsia="zh-CN" w:bidi="ar-SA"/>
        </w:rPr>
        <w:t>3.2.4.2.2.1城乡居民医疗保险缴费标准查询</w:t>
      </w:r>
      <w:bookmarkEnd w:id="323"/>
      <w:r>
        <w:rPr>
          <w:rFonts w:hint="eastAsia" w:ascii="Times New Roman" w:hAnsi="Times New Roman" w:eastAsia="宋体" w:cs="Times New Roman"/>
          <w:color w:val="auto"/>
          <w:kern w:val="2"/>
          <w:sz w:val="21"/>
          <w:szCs w:val="21"/>
          <w:highlight w:val="none"/>
          <w:lang w:val="en-US" w:eastAsia="zh-CN" w:bidi="ar-SA"/>
        </w:rPr>
        <w:t>（微信小程序）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查询缴费年度的城乡居民医疗保险参保缴费标准信息，作为征缴城乡医保的依据。</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24" w:name="_Toc117633544"/>
      <w:r>
        <w:rPr>
          <w:rFonts w:hint="eastAsia" w:ascii="Times New Roman" w:hAnsi="Times New Roman" w:eastAsia="宋体" w:cs="Times New Roman"/>
          <w:color w:val="auto"/>
          <w:kern w:val="2"/>
          <w:sz w:val="21"/>
          <w:szCs w:val="21"/>
          <w:highlight w:val="none"/>
          <w:lang w:val="en-US" w:eastAsia="zh-CN" w:bidi="ar-SA"/>
        </w:rPr>
        <w:t>3.2.4.2.2.2城乡医疗保险应缴费额确认</w:t>
      </w:r>
      <w:bookmarkEnd w:id="324"/>
      <w:r>
        <w:rPr>
          <w:rFonts w:hint="eastAsia" w:ascii="Times New Roman" w:hAnsi="Times New Roman" w:eastAsia="宋体" w:cs="Times New Roman"/>
          <w:color w:val="auto"/>
          <w:kern w:val="2"/>
          <w:sz w:val="21"/>
          <w:szCs w:val="21"/>
          <w:highlight w:val="none"/>
          <w:lang w:val="en-US" w:eastAsia="zh-CN" w:bidi="ar-SA"/>
        </w:rPr>
        <w:t>（微信小程序）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提交城乡居民医疗保险应缴费额的确认申请，一笔交易可以部分成功，状态在明细上。缴费金额确定是城乡居民缴费的前提。</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25" w:name="_Toc117633545"/>
      <w:r>
        <w:rPr>
          <w:rFonts w:hint="eastAsia" w:ascii="Times New Roman" w:hAnsi="Times New Roman" w:eastAsia="宋体" w:cs="Times New Roman"/>
          <w:color w:val="auto"/>
          <w:kern w:val="2"/>
          <w:sz w:val="21"/>
          <w:szCs w:val="21"/>
          <w:highlight w:val="none"/>
          <w:lang w:val="en-US" w:eastAsia="zh-CN" w:bidi="ar-SA"/>
        </w:rPr>
        <w:t>3.2.4.2.3灵活就业养老保险选档</w:t>
      </w:r>
      <w:bookmarkEnd w:id="325"/>
      <w:r>
        <w:rPr>
          <w:rFonts w:hint="eastAsia" w:ascii="Times New Roman" w:hAnsi="Times New Roman" w:eastAsia="宋体" w:cs="Times New Roman"/>
          <w:color w:val="auto"/>
          <w:kern w:val="2"/>
          <w:sz w:val="21"/>
          <w:szCs w:val="21"/>
          <w:highlight w:val="none"/>
          <w:lang w:val="en-US" w:eastAsia="zh-CN" w:bidi="ar-SA"/>
        </w:rPr>
        <w:t>（微信小程序）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26" w:name="_Toc117633546"/>
      <w:r>
        <w:rPr>
          <w:rFonts w:hint="eastAsia" w:ascii="Times New Roman" w:hAnsi="Times New Roman" w:eastAsia="宋体" w:cs="Times New Roman"/>
          <w:color w:val="auto"/>
          <w:kern w:val="2"/>
          <w:sz w:val="21"/>
          <w:szCs w:val="21"/>
          <w:highlight w:val="none"/>
          <w:lang w:val="en-US" w:eastAsia="zh-CN" w:bidi="ar-SA"/>
        </w:rPr>
        <w:t>3.2.4.2.3.1灵活就业养老保险缴费基数上下限及档次信息查询</w:t>
      </w:r>
      <w:bookmarkEnd w:id="326"/>
      <w:r>
        <w:rPr>
          <w:rFonts w:hint="eastAsia" w:ascii="Times New Roman" w:hAnsi="Times New Roman" w:eastAsia="宋体" w:cs="Times New Roman"/>
          <w:color w:val="auto"/>
          <w:kern w:val="2"/>
          <w:sz w:val="21"/>
          <w:szCs w:val="21"/>
          <w:highlight w:val="none"/>
          <w:lang w:val="en-US" w:eastAsia="zh-CN" w:bidi="ar-SA"/>
        </w:rPr>
        <w:t>（微信小程序）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查询灵活就业养老保险参保缴费信息对应的缴费基数及档次信息，一条记录只对应缴费基数上下限或者缴费基数档次一种缴纳方式。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27" w:name="_Toc117633547"/>
      <w:r>
        <w:rPr>
          <w:rFonts w:hint="eastAsia" w:ascii="Times New Roman" w:hAnsi="Times New Roman" w:eastAsia="宋体" w:cs="Times New Roman"/>
          <w:color w:val="auto"/>
          <w:kern w:val="2"/>
          <w:sz w:val="21"/>
          <w:szCs w:val="21"/>
          <w:highlight w:val="none"/>
          <w:lang w:val="en-US" w:eastAsia="zh-CN" w:bidi="ar-SA"/>
        </w:rPr>
        <w:t>3.2.4.2.3.2灵活就业养老保险应缴费额确认</w:t>
      </w:r>
      <w:bookmarkEnd w:id="327"/>
      <w:r>
        <w:rPr>
          <w:rFonts w:hint="eastAsia" w:ascii="Times New Roman" w:hAnsi="Times New Roman" w:eastAsia="宋体" w:cs="Times New Roman"/>
          <w:color w:val="auto"/>
          <w:kern w:val="2"/>
          <w:sz w:val="21"/>
          <w:szCs w:val="21"/>
          <w:highlight w:val="none"/>
          <w:lang w:val="en-US" w:eastAsia="zh-CN" w:bidi="ar-SA"/>
        </w:rPr>
        <w:t>（微信小程序）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提交灵活就业养老保险应缴费额的确认申请，一笔交易可以部分成功，状态在明细上。缴费金额确定是城乡居民缴费的前提。</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28" w:name="_Toc117633548"/>
      <w:r>
        <w:rPr>
          <w:rFonts w:hint="eastAsia" w:ascii="Times New Roman" w:hAnsi="Times New Roman" w:eastAsia="宋体" w:cs="Times New Roman"/>
          <w:color w:val="auto"/>
          <w:kern w:val="2"/>
          <w:sz w:val="21"/>
          <w:szCs w:val="21"/>
          <w:highlight w:val="none"/>
          <w:lang w:val="en-US" w:eastAsia="zh-CN" w:bidi="ar-SA"/>
        </w:rPr>
        <w:t>3.2.4.2.4灵活就业医疗保险选档</w:t>
      </w:r>
      <w:bookmarkEnd w:id="328"/>
      <w:r>
        <w:rPr>
          <w:rFonts w:hint="eastAsia" w:ascii="Times New Roman" w:hAnsi="Times New Roman" w:eastAsia="宋体" w:cs="Times New Roman"/>
          <w:color w:val="auto"/>
          <w:kern w:val="2"/>
          <w:sz w:val="21"/>
          <w:szCs w:val="21"/>
          <w:highlight w:val="none"/>
          <w:lang w:val="en-US" w:eastAsia="zh-CN" w:bidi="ar-SA"/>
        </w:rPr>
        <w:t xml:space="preserve"> （微信小程序）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29" w:name="_Toc117633549"/>
      <w:r>
        <w:rPr>
          <w:rFonts w:hint="eastAsia" w:ascii="Times New Roman" w:hAnsi="Times New Roman" w:eastAsia="宋体" w:cs="Times New Roman"/>
          <w:color w:val="auto"/>
          <w:kern w:val="2"/>
          <w:sz w:val="21"/>
          <w:szCs w:val="21"/>
          <w:highlight w:val="none"/>
          <w:lang w:val="en-US" w:eastAsia="zh-CN" w:bidi="ar-SA"/>
        </w:rPr>
        <w:t>3.2.4.2.4.1灵活就业医疗保险缴费基数上下限及档次信息查询</w:t>
      </w:r>
      <w:bookmarkEnd w:id="329"/>
      <w:r>
        <w:rPr>
          <w:rFonts w:hint="eastAsia" w:ascii="Times New Roman" w:hAnsi="Times New Roman" w:eastAsia="宋体" w:cs="Times New Roman"/>
          <w:color w:val="auto"/>
          <w:kern w:val="2"/>
          <w:sz w:val="21"/>
          <w:szCs w:val="21"/>
          <w:highlight w:val="none"/>
          <w:lang w:val="en-US" w:eastAsia="zh-CN" w:bidi="ar-SA"/>
        </w:rPr>
        <w:t>（微信小程序）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查询灵活就业医疗保险参保缴费信息对应的缴费基数及档次信息，一条记录只对应缴费基数上下限或者缴费基数档次一种缴纳方式。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30" w:name="_Toc117633550"/>
      <w:r>
        <w:rPr>
          <w:rFonts w:hint="eastAsia" w:ascii="Times New Roman" w:hAnsi="Times New Roman" w:eastAsia="宋体" w:cs="Times New Roman"/>
          <w:color w:val="auto"/>
          <w:kern w:val="2"/>
          <w:sz w:val="21"/>
          <w:szCs w:val="21"/>
          <w:highlight w:val="none"/>
          <w:lang w:val="en-US" w:eastAsia="zh-CN" w:bidi="ar-SA"/>
        </w:rPr>
        <w:t>3.2.4.2.4.2灵活就业医疗保险应缴费额确认</w:t>
      </w:r>
      <w:bookmarkEnd w:id="330"/>
      <w:r>
        <w:rPr>
          <w:rFonts w:hint="eastAsia" w:ascii="Times New Roman" w:hAnsi="Times New Roman" w:eastAsia="宋体" w:cs="Times New Roman"/>
          <w:color w:val="auto"/>
          <w:kern w:val="2"/>
          <w:sz w:val="21"/>
          <w:szCs w:val="21"/>
          <w:highlight w:val="none"/>
          <w:lang w:val="en-US" w:eastAsia="zh-CN" w:bidi="ar-SA"/>
        </w:rPr>
        <w:t>（微信小程序）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提交灵活就业医疗保险应缴费额的确认申请，一笔交易可以部分成功，状态在明细上。缴费金额确定是城乡居民缴费的前提。</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31" w:name="_Toc117633551"/>
      <w:r>
        <w:rPr>
          <w:rFonts w:hint="eastAsia" w:ascii="Times New Roman" w:hAnsi="Times New Roman" w:eastAsia="宋体" w:cs="Times New Roman"/>
          <w:color w:val="auto"/>
          <w:kern w:val="2"/>
          <w:sz w:val="21"/>
          <w:szCs w:val="21"/>
          <w:highlight w:val="none"/>
          <w:lang w:val="en-US" w:eastAsia="zh-CN" w:bidi="ar-SA"/>
        </w:rPr>
        <w:t>3.2.4.3提取应缴费信息</w:t>
      </w:r>
      <w:bookmarkEnd w:id="331"/>
      <w:r>
        <w:rPr>
          <w:rFonts w:hint="eastAsia" w:ascii="Times New Roman" w:hAnsi="Times New Roman" w:eastAsia="宋体" w:cs="Times New Roman"/>
          <w:color w:val="auto"/>
          <w:kern w:val="2"/>
          <w:sz w:val="21"/>
          <w:szCs w:val="21"/>
          <w:highlight w:val="none"/>
          <w:lang w:val="en-US" w:eastAsia="zh-CN" w:bidi="ar-SA"/>
        </w:rPr>
        <w:t>（微信小程序）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32" w:name="_Toc117633552"/>
      <w:r>
        <w:rPr>
          <w:rFonts w:hint="eastAsia" w:ascii="Times New Roman" w:hAnsi="Times New Roman" w:eastAsia="宋体" w:cs="Times New Roman"/>
          <w:color w:val="auto"/>
          <w:kern w:val="2"/>
          <w:sz w:val="21"/>
          <w:szCs w:val="21"/>
          <w:highlight w:val="none"/>
          <w:lang w:val="en-US" w:eastAsia="zh-CN" w:bidi="ar-SA"/>
        </w:rPr>
        <w:t>3.2.4.3.1灵活养老保险提取应缴费信息</w:t>
      </w:r>
      <w:bookmarkEnd w:id="332"/>
      <w:r>
        <w:rPr>
          <w:rFonts w:hint="eastAsia" w:ascii="Times New Roman" w:hAnsi="Times New Roman" w:eastAsia="宋体" w:cs="Times New Roman"/>
          <w:color w:val="auto"/>
          <w:kern w:val="2"/>
          <w:sz w:val="21"/>
          <w:szCs w:val="21"/>
          <w:highlight w:val="none"/>
          <w:lang w:val="en-US" w:eastAsia="zh-CN" w:bidi="ar-SA"/>
        </w:rPr>
        <w:t>（微信小程序）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社保经办机构相关渠道可以按照金税三期社保费标准版信息共享平台规范要求，提取到税务部门的应缴信息。依据社保费标准版缴费关联登记及认定信息等进行匹配和转换及生成指定的关键信息（UUID、征集ID等），将数据反馈给缴费人。</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33" w:name="_Toc117633553"/>
      <w:r>
        <w:rPr>
          <w:rFonts w:hint="eastAsia" w:ascii="Times New Roman" w:hAnsi="Times New Roman" w:eastAsia="宋体" w:cs="Times New Roman"/>
          <w:color w:val="auto"/>
          <w:kern w:val="2"/>
          <w:sz w:val="21"/>
          <w:szCs w:val="21"/>
          <w:highlight w:val="none"/>
          <w:lang w:val="en-US" w:eastAsia="zh-CN" w:bidi="ar-SA"/>
        </w:rPr>
        <w:t>3.2.4.3.2城乡养老保险提取应缴费信息</w:t>
      </w:r>
      <w:bookmarkEnd w:id="333"/>
      <w:r>
        <w:rPr>
          <w:rFonts w:hint="eastAsia" w:ascii="Times New Roman" w:hAnsi="Times New Roman" w:eastAsia="宋体" w:cs="Times New Roman"/>
          <w:color w:val="auto"/>
          <w:kern w:val="2"/>
          <w:sz w:val="21"/>
          <w:szCs w:val="21"/>
          <w:highlight w:val="none"/>
          <w:lang w:val="en-US" w:eastAsia="zh-CN" w:bidi="ar-SA"/>
        </w:rPr>
        <w:t>（微信小程序）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社保经办机构相关渠道可以按照金税三期社保费标准版信息共享平台规范要求，提取到税务部门的应缴信息。依据社保费标准版缴费关联登记及认定信息等进行匹配和转换及生成指定的关键信息（UUID、征集ID等），将数据反馈给缴费人。</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34" w:name="_Toc117633554"/>
      <w:r>
        <w:rPr>
          <w:rFonts w:hint="eastAsia" w:ascii="Times New Roman" w:hAnsi="Times New Roman" w:eastAsia="宋体" w:cs="Times New Roman"/>
          <w:color w:val="auto"/>
          <w:kern w:val="2"/>
          <w:sz w:val="21"/>
          <w:szCs w:val="21"/>
          <w:highlight w:val="none"/>
          <w:lang w:val="en-US" w:eastAsia="zh-CN" w:bidi="ar-SA"/>
        </w:rPr>
        <w:t>3.2.4.3.3灵活医疗保险提取应缴费信息</w:t>
      </w:r>
      <w:bookmarkEnd w:id="334"/>
      <w:r>
        <w:rPr>
          <w:rFonts w:hint="eastAsia" w:ascii="Times New Roman" w:hAnsi="Times New Roman" w:eastAsia="宋体" w:cs="Times New Roman"/>
          <w:color w:val="auto"/>
          <w:kern w:val="2"/>
          <w:sz w:val="21"/>
          <w:szCs w:val="21"/>
          <w:highlight w:val="none"/>
          <w:lang w:val="en-US" w:eastAsia="zh-CN" w:bidi="ar-SA"/>
        </w:rPr>
        <w:t>（微信小程序）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社保经办机构相关渠道可以按照金税三期社保费标准版信息共享平台规范要求，提取到税务部门的应缴信息。依据社保费标准版缴费关联登记及认定信息等进行匹配和转换及生成指定的关键信息（UUID、征集ID等），将数据反馈给缴费人。</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35" w:name="_Toc117633555"/>
      <w:r>
        <w:rPr>
          <w:rFonts w:hint="eastAsia" w:ascii="Times New Roman" w:hAnsi="Times New Roman" w:eastAsia="宋体" w:cs="Times New Roman"/>
          <w:color w:val="auto"/>
          <w:kern w:val="2"/>
          <w:sz w:val="21"/>
          <w:szCs w:val="21"/>
          <w:highlight w:val="none"/>
          <w:lang w:val="en-US" w:eastAsia="zh-CN" w:bidi="ar-SA"/>
        </w:rPr>
        <w:t>3.2.4.3.4城乡医疗保险提取应缴费信息</w:t>
      </w:r>
      <w:bookmarkEnd w:id="335"/>
      <w:r>
        <w:rPr>
          <w:rFonts w:hint="eastAsia" w:ascii="Times New Roman" w:hAnsi="Times New Roman" w:eastAsia="宋体" w:cs="Times New Roman"/>
          <w:color w:val="auto"/>
          <w:kern w:val="2"/>
          <w:sz w:val="21"/>
          <w:szCs w:val="21"/>
          <w:highlight w:val="none"/>
          <w:lang w:val="en-US" w:eastAsia="zh-CN" w:bidi="ar-SA"/>
        </w:rPr>
        <w:t>（微信小程序）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社保经办机构相关渠道可以按照金税三期社保费标准版信息共享平台规范要求，提取到税务部门的应缴信息。依据社保费标准版缴费关联登记及认定信息等进行匹配和转换及生成指定的关键信息（UUID、征集ID等），将数据反馈给缴费人。</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36" w:name="_Toc117633556"/>
      <w:r>
        <w:rPr>
          <w:rFonts w:hint="eastAsia" w:ascii="Times New Roman" w:hAnsi="Times New Roman" w:eastAsia="宋体" w:cs="Times New Roman"/>
          <w:color w:val="auto"/>
          <w:kern w:val="2"/>
          <w:sz w:val="21"/>
          <w:szCs w:val="21"/>
          <w:highlight w:val="none"/>
          <w:lang w:val="en-US" w:eastAsia="zh-CN" w:bidi="ar-SA"/>
        </w:rPr>
        <w:t>3.2.4.4缴费</w:t>
      </w:r>
      <w:bookmarkEnd w:id="336"/>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37" w:name="_Toc117633557"/>
      <w:r>
        <w:rPr>
          <w:rFonts w:hint="eastAsia" w:ascii="Times New Roman" w:hAnsi="Times New Roman" w:eastAsia="宋体" w:cs="Times New Roman"/>
          <w:color w:val="auto"/>
          <w:kern w:val="2"/>
          <w:sz w:val="21"/>
          <w:szCs w:val="21"/>
          <w:highlight w:val="none"/>
          <w:lang w:val="en-US" w:eastAsia="zh-CN" w:bidi="ar-SA"/>
        </w:rPr>
        <w:t>3.2.4.4.1灵活养老保险缴费</w:t>
      </w:r>
      <w:bookmarkEnd w:id="337"/>
      <w:r>
        <w:rPr>
          <w:rFonts w:hint="eastAsia" w:ascii="Times New Roman" w:hAnsi="Times New Roman" w:eastAsia="宋体" w:cs="Times New Roman"/>
          <w:color w:val="auto"/>
          <w:kern w:val="2"/>
          <w:sz w:val="21"/>
          <w:szCs w:val="21"/>
          <w:highlight w:val="none"/>
          <w:lang w:val="en-US" w:eastAsia="zh-CN" w:bidi="ar-SA"/>
        </w:rPr>
        <w:t>（微信小程序）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对未签订协议的灵活就业人员缴纳养老保险时，提供第三方支付缴费方式。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38" w:name="_Toc117633558"/>
      <w:r>
        <w:rPr>
          <w:rFonts w:hint="eastAsia" w:ascii="Times New Roman" w:hAnsi="Times New Roman" w:eastAsia="宋体" w:cs="Times New Roman"/>
          <w:color w:val="auto"/>
          <w:kern w:val="2"/>
          <w:sz w:val="21"/>
          <w:szCs w:val="21"/>
          <w:highlight w:val="none"/>
          <w:lang w:val="en-US" w:eastAsia="zh-CN" w:bidi="ar-SA"/>
        </w:rPr>
        <w:t>3.2.4.4.2灵活就业养老保险特殊缴费</w:t>
      </w:r>
      <w:bookmarkEnd w:id="338"/>
      <w:r>
        <w:rPr>
          <w:rFonts w:hint="eastAsia" w:ascii="Times New Roman" w:hAnsi="Times New Roman" w:eastAsia="宋体" w:cs="Times New Roman"/>
          <w:color w:val="auto"/>
          <w:kern w:val="2"/>
          <w:sz w:val="21"/>
          <w:szCs w:val="21"/>
          <w:highlight w:val="none"/>
          <w:lang w:val="en-US" w:eastAsia="zh-CN" w:bidi="ar-SA"/>
        </w:rPr>
        <w:t xml:space="preserve"> （微信小程序）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过了正常征缴期限后，灵活就业缴费人如需补缴以前年度的灵活就业养老保险费，需要由人社部门确定灵活就业养老保险的征集信息，生成对应的特殊缴费申报的征集通知流水信息，传递给税务部门，税务部门以此履行征收职能。</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39" w:name="_Toc117633559"/>
      <w:r>
        <w:rPr>
          <w:rFonts w:hint="eastAsia" w:ascii="Times New Roman" w:hAnsi="Times New Roman" w:eastAsia="宋体" w:cs="Times New Roman"/>
          <w:color w:val="auto"/>
          <w:kern w:val="2"/>
          <w:sz w:val="21"/>
          <w:szCs w:val="21"/>
          <w:highlight w:val="none"/>
          <w:lang w:val="en-US" w:eastAsia="zh-CN" w:bidi="ar-SA"/>
        </w:rPr>
        <w:t>3.2.4.4.3城乡养老保险缴费</w:t>
      </w:r>
      <w:bookmarkEnd w:id="339"/>
      <w:r>
        <w:rPr>
          <w:rFonts w:hint="eastAsia" w:ascii="Times New Roman" w:hAnsi="Times New Roman" w:eastAsia="宋体" w:cs="Times New Roman"/>
          <w:color w:val="auto"/>
          <w:kern w:val="2"/>
          <w:sz w:val="21"/>
          <w:szCs w:val="21"/>
          <w:highlight w:val="none"/>
          <w:lang w:val="en-US" w:eastAsia="zh-CN" w:bidi="ar-SA"/>
        </w:rPr>
        <w:t>（微信小程序）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对未签订协议的城乡居民缴纳养老保险时，提供第三方支付缴费方式。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40" w:name="_Toc117633560"/>
      <w:r>
        <w:rPr>
          <w:rFonts w:hint="eastAsia" w:ascii="Times New Roman" w:hAnsi="Times New Roman" w:eastAsia="宋体" w:cs="Times New Roman"/>
          <w:color w:val="auto"/>
          <w:kern w:val="2"/>
          <w:sz w:val="21"/>
          <w:szCs w:val="21"/>
          <w:highlight w:val="none"/>
          <w:lang w:val="en-US" w:eastAsia="zh-CN" w:bidi="ar-SA"/>
        </w:rPr>
        <w:t>3.2.4.4.4城乡养老保险特殊缴费</w:t>
      </w:r>
      <w:bookmarkEnd w:id="340"/>
      <w:r>
        <w:rPr>
          <w:rFonts w:hint="eastAsia" w:ascii="Times New Roman" w:hAnsi="Times New Roman" w:eastAsia="宋体" w:cs="Times New Roman"/>
          <w:color w:val="auto"/>
          <w:kern w:val="2"/>
          <w:sz w:val="21"/>
          <w:szCs w:val="21"/>
          <w:highlight w:val="none"/>
          <w:lang w:val="en-US" w:eastAsia="zh-CN" w:bidi="ar-SA"/>
        </w:rPr>
        <w:t>（微信小程序）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过了正常征缴期限后，城乡居民缴费人如需补缴以前年度的社保费，需要由人社部门确定城乡居民养老保险的征集信息，生成对应的特殊缴费申报的征集通知流水信息，传递给税务部门，税务部门以此履行征收职能。</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41" w:name="_Toc117633561"/>
      <w:r>
        <w:rPr>
          <w:rFonts w:hint="eastAsia" w:ascii="Times New Roman" w:hAnsi="Times New Roman" w:eastAsia="宋体" w:cs="Times New Roman"/>
          <w:color w:val="auto"/>
          <w:kern w:val="2"/>
          <w:sz w:val="21"/>
          <w:szCs w:val="21"/>
          <w:highlight w:val="none"/>
          <w:lang w:val="en-US" w:eastAsia="zh-CN" w:bidi="ar-SA"/>
        </w:rPr>
        <w:t>3.2.4.4.5灵活医疗保险缴费</w:t>
      </w:r>
      <w:bookmarkEnd w:id="341"/>
      <w:r>
        <w:rPr>
          <w:rFonts w:hint="eastAsia" w:ascii="Times New Roman" w:hAnsi="Times New Roman" w:eastAsia="宋体" w:cs="Times New Roman"/>
          <w:color w:val="auto"/>
          <w:kern w:val="2"/>
          <w:sz w:val="21"/>
          <w:szCs w:val="21"/>
          <w:highlight w:val="none"/>
          <w:lang w:val="en-US" w:eastAsia="zh-CN" w:bidi="ar-SA"/>
        </w:rPr>
        <w:t>（微信小程序）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对未签订协议的灵活就业人员缴纳医疗保险时，提供第三方支付缴费方式。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42" w:name="_Toc117633562"/>
      <w:r>
        <w:rPr>
          <w:rFonts w:hint="eastAsia" w:ascii="Times New Roman" w:hAnsi="Times New Roman" w:eastAsia="宋体" w:cs="Times New Roman"/>
          <w:color w:val="auto"/>
          <w:kern w:val="2"/>
          <w:sz w:val="21"/>
          <w:szCs w:val="21"/>
          <w:highlight w:val="none"/>
          <w:lang w:val="en-US" w:eastAsia="zh-CN" w:bidi="ar-SA"/>
        </w:rPr>
        <w:t>3.2.4.4.6灵活就业医疗保险特殊缴费</w:t>
      </w:r>
      <w:bookmarkEnd w:id="342"/>
      <w:r>
        <w:rPr>
          <w:rFonts w:hint="eastAsia" w:ascii="Times New Roman" w:hAnsi="Times New Roman" w:eastAsia="宋体" w:cs="Times New Roman"/>
          <w:color w:val="auto"/>
          <w:kern w:val="2"/>
          <w:sz w:val="21"/>
          <w:szCs w:val="21"/>
          <w:highlight w:val="none"/>
          <w:lang w:val="en-US" w:eastAsia="zh-CN" w:bidi="ar-SA"/>
        </w:rPr>
        <w:t xml:space="preserve"> （微信小程序）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过了正常征缴期限后，灵活就业缴费人如需补缴以前年度的灵活就业医疗保险费，需要由医保部门确定灵活就业医疗保险的征集信息，生成对应的特殊缴费申报的征集通知流水信息，传递给税务部门，税务部门以此履行征收职能。</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43" w:name="_Toc117633563"/>
      <w:r>
        <w:rPr>
          <w:rFonts w:hint="eastAsia" w:ascii="Times New Roman" w:hAnsi="Times New Roman" w:eastAsia="宋体" w:cs="Times New Roman"/>
          <w:color w:val="auto"/>
          <w:kern w:val="2"/>
          <w:sz w:val="21"/>
          <w:szCs w:val="21"/>
          <w:highlight w:val="none"/>
          <w:lang w:val="en-US" w:eastAsia="zh-CN" w:bidi="ar-SA"/>
        </w:rPr>
        <w:t>3.2.4.4.7城乡医疗保险缴费</w:t>
      </w:r>
      <w:bookmarkEnd w:id="343"/>
      <w:r>
        <w:rPr>
          <w:rFonts w:hint="eastAsia" w:ascii="Times New Roman" w:hAnsi="Times New Roman" w:eastAsia="宋体" w:cs="Times New Roman"/>
          <w:color w:val="auto"/>
          <w:kern w:val="2"/>
          <w:sz w:val="21"/>
          <w:szCs w:val="21"/>
          <w:highlight w:val="none"/>
          <w:lang w:val="en-US" w:eastAsia="zh-CN" w:bidi="ar-SA"/>
        </w:rPr>
        <w:t>（微信小程序）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对未签订协议的城乡居民缴纳医疗保险时，提供第三方支付缴费方式。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44" w:name="_Toc117633564"/>
      <w:r>
        <w:rPr>
          <w:rFonts w:hint="eastAsia" w:ascii="Times New Roman" w:hAnsi="Times New Roman" w:eastAsia="宋体" w:cs="Times New Roman"/>
          <w:color w:val="auto"/>
          <w:kern w:val="2"/>
          <w:sz w:val="21"/>
          <w:szCs w:val="21"/>
          <w:highlight w:val="none"/>
          <w:lang w:val="en-US" w:eastAsia="zh-CN" w:bidi="ar-SA"/>
        </w:rPr>
        <w:t>3.2.4.4.8城乡医疗保险特殊缴费</w:t>
      </w:r>
      <w:bookmarkEnd w:id="344"/>
      <w:r>
        <w:rPr>
          <w:rFonts w:hint="eastAsia" w:ascii="Times New Roman" w:hAnsi="Times New Roman" w:eastAsia="宋体" w:cs="Times New Roman"/>
          <w:color w:val="auto"/>
          <w:kern w:val="2"/>
          <w:sz w:val="21"/>
          <w:szCs w:val="21"/>
          <w:highlight w:val="none"/>
          <w:lang w:val="en-US" w:eastAsia="zh-CN" w:bidi="ar-SA"/>
        </w:rPr>
        <w:t>（微信小程序）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过了正常征缴期限后，城乡居民缴费人如需补缴以前年度的社保费，需要由医保部门确定城乡居民医疗保险的征集信息，生成对应的特殊缴费申报的征集通知流水信息，传递给税务部门，税务部门以此履行征收职能。</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45" w:name="_Toc117633565"/>
      <w:r>
        <w:rPr>
          <w:rFonts w:hint="eastAsia" w:ascii="Times New Roman" w:hAnsi="Times New Roman" w:eastAsia="宋体" w:cs="Times New Roman"/>
          <w:color w:val="auto"/>
          <w:kern w:val="2"/>
          <w:sz w:val="21"/>
          <w:szCs w:val="21"/>
          <w:highlight w:val="none"/>
          <w:lang w:val="en-US" w:eastAsia="zh-CN" w:bidi="ar-SA"/>
        </w:rPr>
        <w:t>3.2.4.5缴费人证明开具</w:t>
      </w:r>
      <w:bookmarkEnd w:id="345"/>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46" w:name="_Toc117633566"/>
      <w:r>
        <w:rPr>
          <w:rFonts w:hint="eastAsia" w:ascii="Times New Roman" w:hAnsi="Times New Roman" w:eastAsia="宋体" w:cs="Times New Roman"/>
          <w:color w:val="auto"/>
          <w:kern w:val="2"/>
          <w:sz w:val="21"/>
          <w:szCs w:val="21"/>
          <w:highlight w:val="none"/>
          <w:lang w:val="en-US" w:eastAsia="zh-CN" w:bidi="ar-SA"/>
        </w:rPr>
        <w:t>3.2.4.5.1灵活养老保险缴费证明开具</w:t>
      </w:r>
      <w:bookmarkEnd w:id="346"/>
      <w:r>
        <w:rPr>
          <w:rFonts w:hint="eastAsia" w:ascii="Times New Roman" w:hAnsi="Times New Roman" w:eastAsia="宋体" w:cs="Times New Roman"/>
          <w:color w:val="auto"/>
          <w:kern w:val="2"/>
          <w:sz w:val="21"/>
          <w:szCs w:val="21"/>
          <w:highlight w:val="none"/>
          <w:lang w:val="en-US" w:eastAsia="zh-CN" w:bidi="ar-SA"/>
        </w:rPr>
        <w:t>（微信小程序）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缴费人申报缴纳社保费后，如需打印社保费缴费证明，可通过本模块打印社保费缴费证明，所有功能均按照社保费标准版规范进行升级改造，实现与社保费标准版的无缝对接。</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47" w:name="_Toc117633567"/>
      <w:r>
        <w:rPr>
          <w:rFonts w:hint="eastAsia" w:ascii="Times New Roman" w:hAnsi="Times New Roman" w:eastAsia="宋体" w:cs="Times New Roman"/>
          <w:color w:val="auto"/>
          <w:kern w:val="2"/>
          <w:sz w:val="21"/>
          <w:szCs w:val="21"/>
          <w:highlight w:val="none"/>
          <w:lang w:val="en-US" w:eastAsia="zh-CN" w:bidi="ar-SA"/>
        </w:rPr>
        <w:t>3.2.4.5.2城乡养老保险缴费证明开具</w:t>
      </w:r>
      <w:bookmarkEnd w:id="347"/>
      <w:r>
        <w:rPr>
          <w:rFonts w:hint="eastAsia" w:ascii="Times New Roman" w:hAnsi="Times New Roman" w:eastAsia="宋体" w:cs="Times New Roman"/>
          <w:color w:val="auto"/>
          <w:kern w:val="2"/>
          <w:sz w:val="21"/>
          <w:szCs w:val="21"/>
          <w:highlight w:val="none"/>
          <w:lang w:val="en-US" w:eastAsia="zh-CN" w:bidi="ar-SA"/>
        </w:rPr>
        <w:t>（微信小程序）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缴费人申报缴纳社保费后，如需打印社保费缴费证明，可通过本模块打印社保费缴费证明，所有功能均按照社保费标准版规范进行升级改造，实现与社保费标准版的无缝对接。</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48" w:name="_Toc117633568"/>
      <w:r>
        <w:rPr>
          <w:rFonts w:hint="eastAsia" w:ascii="Times New Roman" w:hAnsi="Times New Roman" w:eastAsia="宋体" w:cs="Times New Roman"/>
          <w:color w:val="auto"/>
          <w:kern w:val="2"/>
          <w:sz w:val="21"/>
          <w:szCs w:val="21"/>
          <w:highlight w:val="none"/>
          <w:lang w:val="en-US" w:eastAsia="zh-CN" w:bidi="ar-SA"/>
        </w:rPr>
        <w:t>3.2.4.5.3灵活医疗保险缴费证明开具</w:t>
      </w:r>
      <w:bookmarkEnd w:id="348"/>
      <w:r>
        <w:rPr>
          <w:rFonts w:hint="eastAsia" w:ascii="Times New Roman" w:hAnsi="Times New Roman" w:eastAsia="宋体" w:cs="Times New Roman"/>
          <w:color w:val="auto"/>
          <w:kern w:val="2"/>
          <w:sz w:val="21"/>
          <w:szCs w:val="21"/>
          <w:highlight w:val="none"/>
          <w:lang w:val="en-US" w:eastAsia="zh-CN" w:bidi="ar-SA"/>
        </w:rPr>
        <w:t>（微信小程序）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缴费人申报缴纳社保费后，如需打印社保费缴费证明，可通过本模块打印社保费缴费证明，所有功能均按照社保费标准版规范进行升级改造，实现与社保费标准版的无缝对接。</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49" w:name="_Toc117633569"/>
      <w:r>
        <w:rPr>
          <w:rFonts w:hint="eastAsia" w:ascii="Times New Roman" w:hAnsi="Times New Roman" w:eastAsia="宋体" w:cs="Times New Roman"/>
          <w:color w:val="auto"/>
          <w:kern w:val="2"/>
          <w:sz w:val="21"/>
          <w:szCs w:val="21"/>
          <w:highlight w:val="none"/>
          <w:lang w:val="en-US" w:eastAsia="zh-CN" w:bidi="ar-SA"/>
        </w:rPr>
        <w:t>3.2.4.5.4城乡医疗保险缴费证明开具</w:t>
      </w:r>
      <w:bookmarkEnd w:id="349"/>
      <w:r>
        <w:rPr>
          <w:rFonts w:hint="eastAsia" w:ascii="Times New Roman" w:hAnsi="Times New Roman" w:eastAsia="宋体" w:cs="Times New Roman"/>
          <w:color w:val="auto"/>
          <w:kern w:val="2"/>
          <w:sz w:val="21"/>
          <w:szCs w:val="21"/>
          <w:highlight w:val="none"/>
          <w:lang w:val="en-US" w:eastAsia="zh-CN" w:bidi="ar-SA"/>
        </w:rPr>
        <w:t>（微信小程序）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缴费人申报缴纳社保费后，如需打印社保费缴费证明，可通过本模块打印社保费缴费证明，所有功能均按照社保费标准版规范进行升级改造，实现与社保费标准版的无缝对接。</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50" w:name="_Toc117633570"/>
      <w:r>
        <w:rPr>
          <w:rFonts w:hint="eastAsia" w:ascii="Times New Roman" w:hAnsi="Times New Roman" w:eastAsia="宋体" w:cs="Times New Roman"/>
          <w:color w:val="auto"/>
          <w:kern w:val="2"/>
          <w:sz w:val="21"/>
          <w:szCs w:val="21"/>
          <w:highlight w:val="none"/>
          <w:lang w:val="en-US" w:eastAsia="zh-CN" w:bidi="ar-SA"/>
        </w:rPr>
        <w:t>3.2.4.5.5灵活养老保险完税证明开具</w:t>
      </w:r>
      <w:bookmarkEnd w:id="350"/>
      <w:r>
        <w:rPr>
          <w:rFonts w:hint="eastAsia" w:ascii="Times New Roman" w:hAnsi="Times New Roman" w:eastAsia="宋体" w:cs="Times New Roman"/>
          <w:color w:val="auto"/>
          <w:kern w:val="2"/>
          <w:sz w:val="21"/>
          <w:szCs w:val="21"/>
          <w:highlight w:val="none"/>
          <w:lang w:val="en-US" w:eastAsia="zh-CN" w:bidi="ar-SA"/>
        </w:rPr>
        <w:t>（微信小程序）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缴费人申报缴纳社保费后，如需打印社保费缴费证明，可通过本模块打印社保费缴费证明，所有功能均按照社保费标准版规范进行升级改造，实现与社保费标准版的无缝对接。</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51" w:name="_Toc117633571"/>
      <w:r>
        <w:rPr>
          <w:rFonts w:hint="eastAsia" w:ascii="Times New Roman" w:hAnsi="Times New Roman" w:eastAsia="宋体" w:cs="Times New Roman"/>
          <w:color w:val="auto"/>
          <w:kern w:val="2"/>
          <w:sz w:val="21"/>
          <w:szCs w:val="21"/>
          <w:highlight w:val="none"/>
          <w:lang w:val="en-US" w:eastAsia="zh-CN" w:bidi="ar-SA"/>
        </w:rPr>
        <w:t>3.2.4.5.6城乡养老保险完税证明开具</w:t>
      </w:r>
      <w:bookmarkEnd w:id="351"/>
      <w:r>
        <w:rPr>
          <w:rFonts w:hint="eastAsia" w:ascii="Times New Roman" w:hAnsi="Times New Roman" w:eastAsia="宋体" w:cs="Times New Roman"/>
          <w:color w:val="auto"/>
          <w:kern w:val="2"/>
          <w:sz w:val="21"/>
          <w:szCs w:val="21"/>
          <w:highlight w:val="none"/>
          <w:lang w:val="en-US" w:eastAsia="zh-CN" w:bidi="ar-SA"/>
        </w:rPr>
        <w:t>（微信小程序）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缴费人申报缴纳社保费后，如需打印社保费缴费证明，可通过本模块打印社保费缴费证明，所有功能均按照社保费标准版规范进行升级改造，实现与社保费标准版的无缝对接</w:t>
      </w:r>
      <w:bookmarkStart w:id="352" w:name="_Toc117633572"/>
      <w:r>
        <w:rPr>
          <w:rFonts w:hint="eastAsia" w:ascii="Times New Roman" w:hAnsi="Times New Roman" w:eastAsia="宋体" w:cs="Times New Roman"/>
          <w:color w:val="auto"/>
          <w:kern w:val="2"/>
          <w:sz w:val="21"/>
          <w:szCs w:val="21"/>
          <w:highlight w:val="none"/>
          <w:lang w:val="en-US" w:eastAsia="zh-CN" w:bidi="ar-SA"/>
        </w:rPr>
        <w:t>。</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3.2.4.5.7灵活医疗保险完税证明开具</w:t>
      </w:r>
      <w:bookmarkEnd w:id="352"/>
      <w:r>
        <w:rPr>
          <w:rFonts w:hint="eastAsia" w:ascii="Times New Roman" w:hAnsi="Times New Roman" w:eastAsia="宋体" w:cs="Times New Roman"/>
          <w:color w:val="auto"/>
          <w:kern w:val="2"/>
          <w:sz w:val="21"/>
          <w:szCs w:val="21"/>
          <w:highlight w:val="none"/>
          <w:lang w:val="en-US" w:eastAsia="zh-CN" w:bidi="ar-SA"/>
        </w:rPr>
        <w:t>（微信小程序）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缴费人申报缴纳社保费后，如需打印社保费缴费证明，可通过本模块打印社保费缴费证明，所有功能均按照社保费标准版规范进行升级改造，实现与社保费标准版的无缝对接。</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53" w:name="_Toc117633573"/>
      <w:r>
        <w:rPr>
          <w:rFonts w:hint="eastAsia" w:ascii="Times New Roman" w:hAnsi="Times New Roman" w:eastAsia="宋体" w:cs="Times New Roman"/>
          <w:color w:val="auto"/>
          <w:kern w:val="2"/>
          <w:sz w:val="21"/>
          <w:szCs w:val="21"/>
          <w:highlight w:val="none"/>
          <w:lang w:val="en-US" w:eastAsia="zh-CN" w:bidi="ar-SA"/>
        </w:rPr>
        <w:t>3.2.4.5.8城乡医疗保险完税证明开具</w:t>
      </w:r>
      <w:bookmarkEnd w:id="353"/>
      <w:r>
        <w:rPr>
          <w:rFonts w:hint="eastAsia" w:ascii="Times New Roman" w:hAnsi="Times New Roman" w:eastAsia="宋体" w:cs="Times New Roman"/>
          <w:color w:val="auto"/>
          <w:kern w:val="2"/>
          <w:sz w:val="21"/>
          <w:szCs w:val="21"/>
          <w:highlight w:val="none"/>
          <w:lang w:val="en-US" w:eastAsia="zh-CN" w:bidi="ar-SA"/>
        </w:rPr>
        <w:t>（微信小程序）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缴费人申报缴纳社保费后，如需打印社保费缴费证明，可通过本模块打印社保费缴费证明，所有功能均按照社保费标准版规范进行升级改造，实现与社保费标准版的无缝对接。</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54" w:name="_Toc117633574"/>
      <w:r>
        <w:rPr>
          <w:rFonts w:hint="eastAsia" w:ascii="Times New Roman" w:hAnsi="Times New Roman" w:eastAsia="宋体" w:cs="Times New Roman"/>
          <w:color w:val="auto"/>
          <w:kern w:val="2"/>
          <w:sz w:val="21"/>
          <w:szCs w:val="21"/>
          <w:highlight w:val="none"/>
          <w:lang w:val="en-US" w:eastAsia="zh-CN" w:bidi="ar-SA"/>
        </w:rPr>
        <w:t>3.2.4.6查询</w:t>
      </w:r>
      <w:bookmarkEnd w:id="354"/>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55" w:name="_Toc117633575"/>
      <w:r>
        <w:rPr>
          <w:rFonts w:hint="eastAsia" w:ascii="Times New Roman" w:hAnsi="Times New Roman" w:eastAsia="宋体" w:cs="Times New Roman"/>
          <w:color w:val="auto"/>
          <w:kern w:val="2"/>
          <w:sz w:val="21"/>
          <w:szCs w:val="21"/>
          <w:highlight w:val="none"/>
          <w:lang w:val="en-US" w:eastAsia="zh-CN" w:bidi="ar-SA"/>
        </w:rPr>
        <w:t>3.2.4.6.1灵活养老保险基础登记查询</w:t>
      </w:r>
      <w:bookmarkEnd w:id="355"/>
      <w:r>
        <w:rPr>
          <w:rFonts w:hint="eastAsia" w:ascii="Times New Roman" w:hAnsi="Times New Roman" w:eastAsia="宋体" w:cs="Times New Roman"/>
          <w:color w:val="auto"/>
          <w:kern w:val="2"/>
          <w:sz w:val="21"/>
          <w:szCs w:val="21"/>
          <w:highlight w:val="none"/>
          <w:lang w:val="en-US" w:eastAsia="zh-CN" w:bidi="ar-SA"/>
        </w:rPr>
        <w:t>（微信小程序）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灵活就业人员完成社保费登记后，可通过本功能查询社保费基础登记情况。所有功能均按照社保费标准版规范进行开发。</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56" w:name="_Toc117633576"/>
      <w:r>
        <w:rPr>
          <w:rFonts w:hint="eastAsia" w:ascii="Times New Roman" w:hAnsi="Times New Roman" w:eastAsia="宋体" w:cs="Times New Roman"/>
          <w:color w:val="auto"/>
          <w:kern w:val="2"/>
          <w:sz w:val="21"/>
          <w:szCs w:val="21"/>
          <w:highlight w:val="none"/>
          <w:lang w:val="en-US" w:eastAsia="zh-CN" w:bidi="ar-SA"/>
        </w:rPr>
        <w:t>3.2.4.6.2灵活养老保险险种登记查询</w:t>
      </w:r>
      <w:bookmarkEnd w:id="356"/>
      <w:r>
        <w:rPr>
          <w:rFonts w:hint="eastAsia" w:ascii="Times New Roman" w:hAnsi="Times New Roman" w:eastAsia="宋体" w:cs="Times New Roman"/>
          <w:color w:val="auto"/>
          <w:kern w:val="2"/>
          <w:sz w:val="21"/>
          <w:szCs w:val="21"/>
          <w:highlight w:val="none"/>
          <w:lang w:val="en-US" w:eastAsia="zh-CN" w:bidi="ar-SA"/>
        </w:rPr>
        <w:t>（微信小程序）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灵活就业人员完成社保费登记后，可通过本功能查询社保费险种登记情况。所有功能均按照社保费标准版规范进行开发。</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57" w:name="_Toc117633577"/>
      <w:r>
        <w:rPr>
          <w:rFonts w:hint="eastAsia" w:ascii="Times New Roman" w:hAnsi="Times New Roman" w:eastAsia="宋体" w:cs="Times New Roman"/>
          <w:color w:val="auto"/>
          <w:kern w:val="2"/>
          <w:sz w:val="21"/>
          <w:szCs w:val="21"/>
          <w:highlight w:val="none"/>
          <w:lang w:val="en-US" w:eastAsia="zh-CN" w:bidi="ar-SA"/>
        </w:rPr>
        <w:t>3.2.4.6.3灵活养老保险应缴费查询</w:t>
      </w:r>
      <w:bookmarkEnd w:id="357"/>
      <w:r>
        <w:rPr>
          <w:rFonts w:hint="eastAsia" w:ascii="Times New Roman" w:hAnsi="Times New Roman" w:eastAsia="宋体" w:cs="Times New Roman"/>
          <w:color w:val="auto"/>
          <w:kern w:val="2"/>
          <w:sz w:val="21"/>
          <w:szCs w:val="21"/>
          <w:highlight w:val="none"/>
          <w:lang w:val="en-US" w:eastAsia="zh-CN" w:bidi="ar-SA"/>
        </w:rPr>
        <w:t>（微信小程序）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灵活就业人员完成社保费登记后，可通过本功能查询社保费征缴计划情况。所有功能均按照社保费标准版规范进行开发</w:t>
      </w:r>
      <w:bookmarkStart w:id="358" w:name="_Toc117633578"/>
      <w:r>
        <w:rPr>
          <w:rFonts w:hint="eastAsia" w:ascii="Times New Roman" w:hAnsi="Times New Roman" w:eastAsia="宋体" w:cs="Times New Roman"/>
          <w:color w:val="auto"/>
          <w:kern w:val="2"/>
          <w:sz w:val="21"/>
          <w:szCs w:val="21"/>
          <w:highlight w:val="none"/>
          <w:lang w:val="en-US" w:eastAsia="zh-CN" w:bidi="ar-SA"/>
        </w:rPr>
        <w:t>。</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3.2.4.6.4灵活养老保险入库明细查询</w:t>
      </w:r>
      <w:bookmarkEnd w:id="358"/>
      <w:r>
        <w:rPr>
          <w:rFonts w:hint="eastAsia" w:ascii="Times New Roman" w:hAnsi="Times New Roman" w:eastAsia="宋体" w:cs="Times New Roman"/>
          <w:color w:val="auto"/>
          <w:kern w:val="2"/>
          <w:sz w:val="21"/>
          <w:szCs w:val="21"/>
          <w:highlight w:val="none"/>
          <w:lang w:val="en-US" w:eastAsia="zh-CN" w:bidi="ar-SA"/>
        </w:rPr>
        <w:t>（微信小程序）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灵活就业人员完成社保费征收后，可通过本功能查询社保费征缴入库情况。所有功能均按照社保费标准版规范进行开发。</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59" w:name="_Toc117633579"/>
      <w:r>
        <w:rPr>
          <w:rFonts w:hint="eastAsia" w:ascii="Times New Roman" w:hAnsi="Times New Roman" w:eastAsia="宋体" w:cs="Times New Roman"/>
          <w:color w:val="auto"/>
          <w:kern w:val="2"/>
          <w:sz w:val="21"/>
          <w:szCs w:val="21"/>
          <w:highlight w:val="none"/>
          <w:lang w:val="en-US" w:eastAsia="zh-CN" w:bidi="ar-SA"/>
        </w:rPr>
        <w:t>3.2.4.6.5城乡养老保险基础登记查询</w:t>
      </w:r>
      <w:bookmarkEnd w:id="359"/>
      <w:r>
        <w:rPr>
          <w:rFonts w:hint="eastAsia" w:ascii="Times New Roman" w:hAnsi="Times New Roman" w:eastAsia="宋体" w:cs="Times New Roman"/>
          <w:color w:val="auto"/>
          <w:kern w:val="2"/>
          <w:sz w:val="21"/>
          <w:szCs w:val="21"/>
          <w:highlight w:val="none"/>
          <w:lang w:val="en-US" w:eastAsia="zh-CN" w:bidi="ar-SA"/>
        </w:rPr>
        <w:t>（微信小程序）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城乡居民完成社保费登记后，可通过本功能查询社保费基础登记情况。所有功能均按照社保费标准版规范进行开发。</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60" w:name="_Toc117633580"/>
      <w:r>
        <w:rPr>
          <w:rFonts w:hint="eastAsia" w:ascii="Times New Roman" w:hAnsi="Times New Roman" w:eastAsia="宋体" w:cs="Times New Roman"/>
          <w:color w:val="auto"/>
          <w:kern w:val="2"/>
          <w:sz w:val="21"/>
          <w:szCs w:val="21"/>
          <w:highlight w:val="none"/>
          <w:lang w:val="en-US" w:eastAsia="zh-CN" w:bidi="ar-SA"/>
        </w:rPr>
        <w:t>3.2.4.6.6城乡养老保险险种登记查询</w:t>
      </w:r>
      <w:bookmarkEnd w:id="360"/>
      <w:r>
        <w:rPr>
          <w:rFonts w:hint="eastAsia" w:ascii="Times New Roman" w:hAnsi="Times New Roman" w:eastAsia="宋体" w:cs="Times New Roman"/>
          <w:color w:val="auto"/>
          <w:kern w:val="2"/>
          <w:sz w:val="21"/>
          <w:szCs w:val="21"/>
          <w:highlight w:val="none"/>
          <w:lang w:val="en-US" w:eastAsia="zh-CN" w:bidi="ar-SA"/>
        </w:rPr>
        <w:t>（微信小程序）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城乡居民完成社保费登记后，可通过本功能查询社保费险种登记情况。所有功能均按照社保费标准版规范进行开发</w:t>
      </w:r>
      <w:bookmarkStart w:id="361" w:name="_Toc117633581"/>
      <w:r>
        <w:rPr>
          <w:rFonts w:hint="eastAsia" w:ascii="Times New Roman" w:hAnsi="Times New Roman" w:eastAsia="宋体" w:cs="Times New Roman"/>
          <w:color w:val="auto"/>
          <w:kern w:val="2"/>
          <w:sz w:val="21"/>
          <w:szCs w:val="21"/>
          <w:highlight w:val="none"/>
          <w:lang w:val="en-US" w:eastAsia="zh-CN" w:bidi="ar-SA"/>
        </w:rPr>
        <w:t>。</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3.2.4.6.7城乡养老保险应缴费查询</w:t>
      </w:r>
      <w:bookmarkEnd w:id="361"/>
      <w:r>
        <w:rPr>
          <w:rFonts w:hint="eastAsia" w:ascii="Times New Roman" w:hAnsi="Times New Roman" w:eastAsia="宋体" w:cs="Times New Roman"/>
          <w:color w:val="auto"/>
          <w:kern w:val="2"/>
          <w:sz w:val="21"/>
          <w:szCs w:val="21"/>
          <w:highlight w:val="none"/>
          <w:lang w:val="en-US" w:eastAsia="zh-CN" w:bidi="ar-SA"/>
        </w:rPr>
        <w:t>（微信小程序）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城乡居民完成社保费登记后，可通过本功能查询社保费征缴计划情况。所有功能均按照社保费标准版规范进行开发。</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62" w:name="_Toc117633582"/>
      <w:r>
        <w:rPr>
          <w:rFonts w:hint="eastAsia" w:ascii="Times New Roman" w:hAnsi="Times New Roman" w:eastAsia="宋体" w:cs="Times New Roman"/>
          <w:color w:val="auto"/>
          <w:kern w:val="2"/>
          <w:sz w:val="21"/>
          <w:szCs w:val="21"/>
          <w:highlight w:val="none"/>
          <w:lang w:val="en-US" w:eastAsia="zh-CN" w:bidi="ar-SA"/>
        </w:rPr>
        <w:t>3.2.4.6.8城乡养老保险入库明细查询</w:t>
      </w:r>
      <w:bookmarkEnd w:id="362"/>
      <w:r>
        <w:rPr>
          <w:rFonts w:hint="eastAsia" w:ascii="Times New Roman" w:hAnsi="Times New Roman" w:eastAsia="宋体" w:cs="Times New Roman"/>
          <w:color w:val="auto"/>
          <w:kern w:val="2"/>
          <w:sz w:val="21"/>
          <w:szCs w:val="21"/>
          <w:highlight w:val="none"/>
          <w:lang w:val="en-US" w:eastAsia="zh-CN" w:bidi="ar-SA"/>
        </w:rPr>
        <w:t>（微信小程序）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城乡居民完成社保费征收后，可通过本功能查询社保费征缴入库情况。所有功能均按照社保费标准版规范进行开发。</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63" w:name="_Toc117633583"/>
      <w:r>
        <w:rPr>
          <w:rFonts w:hint="eastAsia" w:ascii="Times New Roman" w:hAnsi="Times New Roman" w:eastAsia="宋体" w:cs="Times New Roman"/>
          <w:color w:val="auto"/>
          <w:kern w:val="2"/>
          <w:sz w:val="21"/>
          <w:szCs w:val="21"/>
          <w:highlight w:val="none"/>
          <w:lang w:val="en-US" w:eastAsia="zh-CN" w:bidi="ar-SA"/>
        </w:rPr>
        <w:t>3.2.4.6.9灵活医疗保险基础登记查询</w:t>
      </w:r>
      <w:bookmarkEnd w:id="363"/>
      <w:r>
        <w:rPr>
          <w:rFonts w:hint="eastAsia" w:ascii="Times New Roman" w:hAnsi="Times New Roman" w:eastAsia="宋体" w:cs="Times New Roman"/>
          <w:color w:val="auto"/>
          <w:kern w:val="2"/>
          <w:sz w:val="21"/>
          <w:szCs w:val="21"/>
          <w:highlight w:val="none"/>
          <w:lang w:val="en-US" w:eastAsia="zh-CN" w:bidi="ar-SA"/>
        </w:rPr>
        <w:t>（微信小程序）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灵活就业人员完成社保费登记后，可通过本功能查询社保费基础登记情况。所有功能均按照社保费标准版规范进行开发。</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64" w:name="_Toc117633584"/>
      <w:r>
        <w:rPr>
          <w:rFonts w:hint="eastAsia" w:ascii="Times New Roman" w:hAnsi="Times New Roman" w:eastAsia="宋体" w:cs="Times New Roman"/>
          <w:color w:val="auto"/>
          <w:kern w:val="2"/>
          <w:sz w:val="21"/>
          <w:szCs w:val="21"/>
          <w:highlight w:val="none"/>
          <w:lang w:val="en-US" w:eastAsia="zh-CN" w:bidi="ar-SA"/>
        </w:rPr>
        <w:t>3.2.4.6.10灵活医疗保险险种登记查询</w:t>
      </w:r>
      <w:bookmarkEnd w:id="364"/>
      <w:r>
        <w:rPr>
          <w:rFonts w:hint="eastAsia" w:ascii="Times New Roman" w:hAnsi="Times New Roman" w:eastAsia="宋体" w:cs="Times New Roman"/>
          <w:color w:val="auto"/>
          <w:kern w:val="2"/>
          <w:sz w:val="21"/>
          <w:szCs w:val="21"/>
          <w:highlight w:val="none"/>
          <w:lang w:val="en-US" w:eastAsia="zh-CN" w:bidi="ar-SA"/>
        </w:rPr>
        <w:t>（微信小程序）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灵活就业人员完成社保费登记后，可通过本功能查询社保费险种登记情况。所有功能均按照社保费标准版规范进行开发。</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65" w:name="_Toc117633585"/>
      <w:r>
        <w:rPr>
          <w:rFonts w:hint="eastAsia" w:ascii="Times New Roman" w:hAnsi="Times New Roman" w:eastAsia="宋体" w:cs="Times New Roman"/>
          <w:color w:val="auto"/>
          <w:kern w:val="2"/>
          <w:sz w:val="21"/>
          <w:szCs w:val="21"/>
          <w:highlight w:val="none"/>
          <w:lang w:val="en-US" w:eastAsia="zh-CN" w:bidi="ar-SA"/>
        </w:rPr>
        <w:t>3.2.4.6.11灵活医疗保险应缴费查询</w:t>
      </w:r>
      <w:bookmarkEnd w:id="365"/>
      <w:r>
        <w:rPr>
          <w:rFonts w:hint="eastAsia" w:ascii="Times New Roman" w:hAnsi="Times New Roman" w:eastAsia="宋体" w:cs="Times New Roman"/>
          <w:color w:val="auto"/>
          <w:kern w:val="2"/>
          <w:sz w:val="21"/>
          <w:szCs w:val="21"/>
          <w:highlight w:val="none"/>
          <w:lang w:val="en-US" w:eastAsia="zh-CN" w:bidi="ar-SA"/>
        </w:rPr>
        <w:t>（微信小程序）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灵活就业人员完成社保费登记后，可通过本功能查询社保费征缴计划情况。所有功能均按照社保费标准版规范进行开发。</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66" w:name="_Toc117633586"/>
      <w:r>
        <w:rPr>
          <w:rFonts w:hint="eastAsia" w:ascii="Times New Roman" w:hAnsi="Times New Roman" w:eastAsia="宋体" w:cs="Times New Roman"/>
          <w:color w:val="auto"/>
          <w:kern w:val="2"/>
          <w:sz w:val="21"/>
          <w:szCs w:val="21"/>
          <w:highlight w:val="none"/>
          <w:lang w:val="en-US" w:eastAsia="zh-CN" w:bidi="ar-SA"/>
        </w:rPr>
        <w:t>3.2.4.6.12灵活医疗保险入库明细查询</w:t>
      </w:r>
      <w:bookmarkEnd w:id="366"/>
      <w:r>
        <w:rPr>
          <w:rFonts w:hint="eastAsia" w:ascii="Times New Roman" w:hAnsi="Times New Roman" w:eastAsia="宋体" w:cs="Times New Roman"/>
          <w:color w:val="auto"/>
          <w:kern w:val="2"/>
          <w:sz w:val="21"/>
          <w:szCs w:val="21"/>
          <w:highlight w:val="none"/>
          <w:lang w:val="en-US" w:eastAsia="zh-CN" w:bidi="ar-SA"/>
        </w:rPr>
        <w:t>（微信小程序）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灵活就业人员完成社保费征收后，可通过本功能查询社保费征缴入库情况。所有功能均按照社保费标准版规范进行开发。</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67" w:name="_Toc117633587"/>
      <w:r>
        <w:rPr>
          <w:rFonts w:hint="eastAsia" w:ascii="Times New Roman" w:hAnsi="Times New Roman" w:eastAsia="宋体" w:cs="Times New Roman"/>
          <w:color w:val="auto"/>
          <w:kern w:val="2"/>
          <w:sz w:val="21"/>
          <w:szCs w:val="21"/>
          <w:highlight w:val="none"/>
          <w:lang w:val="en-US" w:eastAsia="zh-CN" w:bidi="ar-SA"/>
        </w:rPr>
        <w:t>3.2.4.6.13城乡医疗保险基础登记查询</w:t>
      </w:r>
      <w:bookmarkEnd w:id="367"/>
      <w:r>
        <w:rPr>
          <w:rFonts w:hint="eastAsia" w:ascii="Times New Roman" w:hAnsi="Times New Roman" w:eastAsia="宋体" w:cs="Times New Roman"/>
          <w:color w:val="auto"/>
          <w:kern w:val="2"/>
          <w:sz w:val="21"/>
          <w:szCs w:val="21"/>
          <w:highlight w:val="none"/>
          <w:lang w:val="en-US" w:eastAsia="zh-CN" w:bidi="ar-SA"/>
        </w:rPr>
        <w:t>（微信小程序）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城乡居民完成社保费登记后，可通过本功能查询社保费基础登记情况。所有功能均按照社保费标准版规范进行开发。</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68" w:name="_Toc117633588"/>
      <w:r>
        <w:rPr>
          <w:rFonts w:hint="eastAsia" w:ascii="Times New Roman" w:hAnsi="Times New Roman" w:eastAsia="宋体" w:cs="Times New Roman"/>
          <w:color w:val="auto"/>
          <w:kern w:val="2"/>
          <w:sz w:val="21"/>
          <w:szCs w:val="21"/>
          <w:highlight w:val="none"/>
          <w:lang w:val="en-US" w:eastAsia="zh-CN" w:bidi="ar-SA"/>
        </w:rPr>
        <w:t>3.2.4.6.14城乡医疗保险险种登记查询</w:t>
      </w:r>
      <w:bookmarkEnd w:id="368"/>
      <w:r>
        <w:rPr>
          <w:rFonts w:hint="eastAsia" w:ascii="Times New Roman" w:hAnsi="Times New Roman" w:eastAsia="宋体" w:cs="Times New Roman"/>
          <w:color w:val="auto"/>
          <w:kern w:val="2"/>
          <w:sz w:val="21"/>
          <w:szCs w:val="21"/>
          <w:highlight w:val="none"/>
          <w:lang w:val="en-US" w:eastAsia="zh-CN" w:bidi="ar-SA"/>
        </w:rPr>
        <w:t>（微信小程序）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城乡居民完成社保费登记后，可通过本功能查询社保费险种登记情况。所有功能均按照社保费标准版规范进行开发。</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69" w:name="_Toc117633589"/>
      <w:r>
        <w:rPr>
          <w:rFonts w:hint="eastAsia" w:ascii="Times New Roman" w:hAnsi="Times New Roman" w:eastAsia="宋体" w:cs="Times New Roman"/>
          <w:color w:val="auto"/>
          <w:kern w:val="2"/>
          <w:sz w:val="21"/>
          <w:szCs w:val="21"/>
          <w:highlight w:val="none"/>
          <w:lang w:val="en-US" w:eastAsia="zh-CN" w:bidi="ar-SA"/>
        </w:rPr>
        <w:t>3.2.4.6.15城乡医疗保险应缴费查询</w:t>
      </w:r>
      <w:bookmarkEnd w:id="369"/>
      <w:r>
        <w:rPr>
          <w:rFonts w:hint="eastAsia" w:ascii="Times New Roman" w:hAnsi="Times New Roman" w:eastAsia="宋体" w:cs="Times New Roman"/>
          <w:color w:val="auto"/>
          <w:kern w:val="2"/>
          <w:sz w:val="21"/>
          <w:szCs w:val="21"/>
          <w:highlight w:val="none"/>
          <w:lang w:val="en-US" w:eastAsia="zh-CN" w:bidi="ar-SA"/>
        </w:rPr>
        <w:t>（微信小程序）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城乡居民完成社保费登记后，可通过本功能查询社保费征缴计划情况。所有功能均按照社保费标准版规范进行开发。</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70" w:name="_Toc117633590"/>
      <w:r>
        <w:rPr>
          <w:rFonts w:hint="eastAsia" w:ascii="Times New Roman" w:hAnsi="Times New Roman" w:eastAsia="宋体" w:cs="Times New Roman"/>
          <w:color w:val="auto"/>
          <w:kern w:val="2"/>
          <w:sz w:val="21"/>
          <w:szCs w:val="21"/>
          <w:highlight w:val="none"/>
          <w:lang w:val="en-US" w:eastAsia="zh-CN" w:bidi="ar-SA"/>
        </w:rPr>
        <w:t>3.2.4.6.16城乡医疗保险入库明细查询</w:t>
      </w:r>
      <w:bookmarkEnd w:id="370"/>
      <w:r>
        <w:rPr>
          <w:rFonts w:hint="eastAsia" w:ascii="Times New Roman" w:hAnsi="Times New Roman" w:eastAsia="宋体" w:cs="Times New Roman"/>
          <w:color w:val="auto"/>
          <w:kern w:val="2"/>
          <w:sz w:val="21"/>
          <w:szCs w:val="21"/>
          <w:highlight w:val="none"/>
          <w:lang w:val="en-US" w:eastAsia="zh-CN" w:bidi="ar-SA"/>
        </w:rPr>
        <w:t>（微信小程序）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城乡居民完成社保费征收后，可通过本功能查询社保费征缴入库情况。所有功能均按照社保费标准版规范进行开发。</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71" w:name="_Toc117633591"/>
      <w:r>
        <w:rPr>
          <w:rFonts w:hint="eastAsia" w:ascii="Times New Roman" w:hAnsi="Times New Roman" w:eastAsia="宋体" w:cs="Times New Roman"/>
          <w:color w:val="auto"/>
          <w:kern w:val="2"/>
          <w:sz w:val="21"/>
          <w:szCs w:val="21"/>
          <w:highlight w:val="none"/>
          <w:lang w:val="en-US" w:eastAsia="zh-CN" w:bidi="ar-SA"/>
        </w:rPr>
        <w:t>3.2.4.7代他人办理</w:t>
      </w:r>
      <w:bookmarkEnd w:id="371"/>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72" w:name="_Toc117633592"/>
      <w:r>
        <w:rPr>
          <w:rFonts w:hint="eastAsia" w:ascii="Times New Roman" w:hAnsi="Times New Roman" w:eastAsia="宋体" w:cs="Times New Roman"/>
          <w:color w:val="auto"/>
          <w:kern w:val="2"/>
          <w:sz w:val="21"/>
          <w:szCs w:val="21"/>
          <w:highlight w:val="none"/>
          <w:lang w:val="en-US" w:eastAsia="zh-CN" w:bidi="ar-SA"/>
        </w:rPr>
        <w:t>3.2.4.7.1参保缴费登记核查（代他人）</w:t>
      </w:r>
      <w:bookmarkEnd w:id="372"/>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缴费人为他人办理完成社保费缴费登记信息后，可在本模块查询验证他人的参保登记信息，所有功能均按照社保费标准版规范进行升级改造，实现与社保费标准版的无缝对接。</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73" w:name="_Toc117633593"/>
      <w:r>
        <w:rPr>
          <w:rFonts w:hint="eastAsia" w:ascii="Times New Roman" w:hAnsi="Times New Roman" w:eastAsia="宋体" w:cs="Times New Roman"/>
          <w:color w:val="auto"/>
          <w:kern w:val="2"/>
          <w:sz w:val="21"/>
          <w:szCs w:val="21"/>
          <w:highlight w:val="none"/>
          <w:lang w:val="en-US" w:eastAsia="zh-CN" w:bidi="ar-SA"/>
        </w:rPr>
        <w:t>3.2.4.7.2提取应缴费信息（代他人）</w:t>
      </w:r>
      <w:bookmarkEnd w:id="373"/>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社保经办机构相关渠道可以按照金税三期社保费标准版信息共享平台规范要求，提取到税务部门的应缴信息。依据社保费标准版缴费关联登记及认定信息等进行匹配和转换及生成指定的关键信息（UUID、征集ID等），将数据反馈给缴费人。</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74" w:name="_Toc117633594"/>
      <w:r>
        <w:rPr>
          <w:rFonts w:hint="eastAsia" w:ascii="Times New Roman" w:hAnsi="Times New Roman" w:eastAsia="宋体" w:cs="Times New Roman"/>
          <w:color w:val="auto"/>
          <w:kern w:val="2"/>
          <w:sz w:val="21"/>
          <w:szCs w:val="21"/>
          <w:highlight w:val="none"/>
          <w:lang w:val="en-US" w:eastAsia="zh-CN" w:bidi="ar-SA"/>
        </w:rPr>
        <w:t>3.2.4.7.3第三方支付平台缴费（代他人）</w:t>
      </w:r>
      <w:bookmarkEnd w:id="374"/>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本人代他人缴费，对未签订协议的灵活就业人员缴纳养老保险时，提供第三方支付缴费方式。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75" w:name="_Toc117633595"/>
      <w:r>
        <w:rPr>
          <w:rFonts w:hint="eastAsia" w:ascii="Times New Roman" w:hAnsi="Times New Roman" w:eastAsia="宋体" w:cs="Times New Roman"/>
          <w:color w:val="auto"/>
          <w:kern w:val="2"/>
          <w:sz w:val="21"/>
          <w:szCs w:val="21"/>
          <w:highlight w:val="none"/>
          <w:lang w:val="en-US" w:eastAsia="zh-CN" w:bidi="ar-SA"/>
        </w:rPr>
        <w:t>3.2.4.7.4缴费证明开具（代他人）</w:t>
      </w:r>
      <w:bookmarkEnd w:id="375"/>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缴费人申报缴纳社保费后，如需打印社保费缴费证明，可通过本模块打印社保费缴费证明，所有功能均按照社保费标准版规范进行升级改造，实现与社保费标准版的无缝对接。</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76" w:name="_Toc117633596"/>
      <w:r>
        <w:rPr>
          <w:rFonts w:hint="eastAsia" w:ascii="Times New Roman" w:hAnsi="Times New Roman" w:eastAsia="宋体" w:cs="Times New Roman"/>
          <w:color w:val="auto"/>
          <w:kern w:val="2"/>
          <w:sz w:val="21"/>
          <w:szCs w:val="21"/>
          <w:highlight w:val="none"/>
          <w:lang w:val="en-US" w:eastAsia="zh-CN" w:bidi="ar-SA"/>
        </w:rPr>
        <w:t>3.2.4.7.5完税证明开具（代他人）</w:t>
      </w:r>
      <w:bookmarkEnd w:id="376"/>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缴费人申报缴纳社保费后，如需打印社保费缴费证明，可通过本模块打印社保费缴费证明，所有功能均按照社保费标准版规范进行升级改造，实现与社保费标准版的无缝对接。</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77" w:name="_Toc117633597"/>
      <w:r>
        <w:rPr>
          <w:rFonts w:hint="eastAsia" w:ascii="Times New Roman" w:hAnsi="Times New Roman" w:eastAsia="宋体" w:cs="Times New Roman"/>
          <w:color w:val="auto"/>
          <w:kern w:val="2"/>
          <w:sz w:val="21"/>
          <w:szCs w:val="21"/>
          <w:highlight w:val="none"/>
          <w:lang w:val="en-US" w:eastAsia="zh-CN" w:bidi="ar-SA"/>
        </w:rPr>
        <w:t>3.2.4.7.6查询（代他人）</w:t>
      </w:r>
      <w:bookmarkEnd w:id="377"/>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所有查询功能均实现本人代他人查询，查询结果同本人查询结果相同。</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78" w:name="_Toc117633598"/>
      <w:r>
        <w:rPr>
          <w:rFonts w:hint="eastAsia" w:ascii="Times New Roman" w:hAnsi="Times New Roman" w:eastAsia="宋体" w:cs="Times New Roman"/>
          <w:color w:val="auto"/>
          <w:kern w:val="2"/>
          <w:sz w:val="21"/>
          <w:szCs w:val="21"/>
          <w:highlight w:val="none"/>
          <w:lang w:val="en-US" w:eastAsia="zh-CN" w:bidi="ar-SA"/>
        </w:rPr>
        <w:t>3.2.4.7.7绑定他人信息</w:t>
      </w:r>
      <w:bookmarkEnd w:id="378"/>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本人微信认证后，可以绑定他人信息。绑定后，本人才可以代他人办理业务。</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79" w:name="_Toc117633599"/>
      <w:r>
        <w:rPr>
          <w:rFonts w:hint="eastAsia" w:ascii="Times New Roman" w:hAnsi="Times New Roman" w:eastAsia="宋体" w:cs="Times New Roman"/>
          <w:color w:val="auto"/>
          <w:kern w:val="2"/>
          <w:sz w:val="21"/>
          <w:szCs w:val="21"/>
          <w:highlight w:val="none"/>
          <w:lang w:val="en-US" w:eastAsia="zh-CN" w:bidi="ar-SA"/>
        </w:rPr>
        <w:t>3.2.4.7.8灵活就业养老保险选档（代他人）</w:t>
      </w:r>
      <w:bookmarkEnd w:id="379"/>
      <w:r>
        <w:rPr>
          <w:rFonts w:hint="eastAsia" w:ascii="Times New Roman" w:hAnsi="Times New Roman" w:eastAsia="宋体" w:cs="Times New Roman"/>
          <w:color w:val="auto"/>
          <w:kern w:val="2"/>
          <w:sz w:val="21"/>
          <w:szCs w:val="21"/>
          <w:highlight w:val="none"/>
          <w:lang w:val="en-US" w:eastAsia="zh-CN" w:bidi="ar-SA"/>
        </w:rPr>
        <w:t xml:space="preserve"> </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80" w:name="_Toc117633600"/>
      <w:r>
        <w:rPr>
          <w:rFonts w:hint="eastAsia" w:ascii="Times New Roman" w:hAnsi="Times New Roman" w:eastAsia="宋体" w:cs="Times New Roman"/>
          <w:color w:val="auto"/>
          <w:kern w:val="2"/>
          <w:sz w:val="21"/>
          <w:szCs w:val="21"/>
          <w:highlight w:val="none"/>
          <w:lang w:val="en-US" w:eastAsia="zh-CN" w:bidi="ar-SA"/>
        </w:rPr>
        <w:t>3.2.4.7.8.1灵活就业养老保险（代他人）缴费基数上下限及档次信息查询</w:t>
      </w:r>
      <w:bookmarkEnd w:id="380"/>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本人代他人查询灵活就业养老保险参保缴费信息对应的缴费基数及档次信息，一条记录只对应缴费基数上下限或者缴费基数档次一种缴纳方式。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81" w:name="_Toc117633601"/>
      <w:r>
        <w:rPr>
          <w:rFonts w:hint="eastAsia" w:ascii="Times New Roman" w:hAnsi="Times New Roman" w:eastAsia="宋体" w:cs="Times New Roman"/>
          <w:color w:val="auto"/>
          <w:kern w:val="2"/>
          <w:sz w:val="21"/>
          <w:szCs w:val="21"/>
          <w:highlight w:val="none"/>
          <w:lang w:val="en-US" w:eastAsia="zh-CN" w:bidi="ar-SA"/>
        </w:rPr>
        <w:t>3.2.4.7.8.2灵活就业养老保险（代他人）应缴费额确认</w:t>
      </w:r>
      <w:bookmarkEnd w:id="381"/>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本人代他人提交灵活就业养老保险应缴费额的确认申请，一笔交易可以部分成功，状态在明细上。缴费金额确定是城乡居民缴费的前提。</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82" w:name="_Toc117633602"/>
      <w:r>
        <w:rPr>
          <w:rFonts w:hint="eastAsia" w:ascii="Times New Roman" w:hAnsi="Times New Roman" w:eastAsia="宋体" w:cs="Times New Roman"/>
          <w:color w:val="auto"/>
          <w:kern w:val="2"/>
          <w:sz w:val="21"/>
          <w:szCs w:val="21"/>
          <w:highlight w:val="none"/>
          <w:lang w:val="en-US" w:eastAsia="zh-CN" w:bidi="ar-SA"/>
        </w:rPr>
        <w:t>3.2.4.7.9灵活就业医疗保险选档 （代他人）</w:t>
      </w:r>
      <w:bookmarkEnd w:id="382"/>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83" w:name="_Toc117633603"/>
      <w:r>
        <w:rPr>
          <w:rFonts w:hint="eastAsia" w:ascii="Times New Roman" w:hAnsi="Times New Roman" w:eastAsia="宋体" w:cs="Times New Roman"/>
          <w:color w:val="auto"/>
          <w:kern w:val="2"/>
          <w:sz w:val="21"/>
          <w:szCs w:val="21"/>
          <w:highlight w:val="none"/>
          <w:lang w:val="en-US" w:eastAsia="zh-CN" w:bidi="ar-SA"/>
        </w:rPr>
        <w:t>3.2.4.7.9.1灵活就业医疗保险（代他人）缴费基数上下限及档次信息查询</w:t>
      </w:r>
      <w:bookmarkEnd w:id="383"/>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本人代他人查询灵活就业医疗保险参保缴费信息对应的缴费基数及档次信息，一条记录只对应缴费基数上下限或者缴费基数档次一种缴纳方式。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84" w:name="_Toc117633604"/>
      <w:r>
        <w:rPr>
          <w:rFonts w:hint="eastAsia" w:ascii="Times New Roman" w:hAnsi="Times New Roman" w:eastAsia="宋体" w:cs="Times New Roman"/>
          <w:color w:val="auto"/>
          <w:kern w:val="2"/>
          <w:sz w:val="21"/>
          <w:szCs w:val="21"/>
          <w:highlight w:val="none"/>
          <w:lang w:val="en-US" w:eastAsia="zh-CN" w:bidi="ar-SA"/>
        </w:rPr>
        <w:t>3.2.4.7.9.2灵活就业医疗保险（代他人）应缴费额确认</w:t>
      </w:r>
      <w:bookmarkEnd w:id="384"/>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本人代他人提交灵活就业医疗保险应缴费额的确认申请，一笔交易可以部分成功，状态在明细上。缴费金额确定是城乡居民缴费的前提。</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85" w:name="_Toc117633605"/>
      <w:r>
        <w:rPr>
          <w:rFonts w:hint="eastAsia" w:ascii="Times New Roman" w:hAnsi="Times New Roman" w:eastAsia="宋体" w:cs="Times New Roman"/>
          <w:color w:val="auto"/>
          <w:kern w:val="2"/>
          <w:sz w:val="21"/>
          <w:szCs w:val="21"/>
          <w:highlight w:val="none"/>
          <w:lang w:val="en-US" w:eastAsia="zh-CN" w:bidi="ar-SA"/>
        </w:rPr>
        <w:t>3.2.4.7.10灵活就业养老保险（代他人）特殊缴费</w:t>
      </w:r>
      <w:bookmarkEnd w:id="385"/>
      <w:r>
        <w:rPr>
          <w:rFonts w:hint="eastAsia" w:ascii="Times New Roman" w:hAnsi="Times New Roman" w:eastAsia="宋体" w:cs="Times New Roman"/>
          <w:color w:val="auto"/>
          <w:kern w:val="2"/>
          <w:sz w:val="21"/>
          <w:szCs w:val="21"/>
          <w:highlight w:val="none"/>
          <w:lang w:val="en-US" w:eastAsia="zh-CN" w:bidi="ar-SA"/>
        </w:rPr>
        <w:t xml:space="preserve"> </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本人代他人进行特殊缴费，过了正常征缴期限后，本人代他人灵活就业缴费人如需补缴以前年度的灵活就业养老保险费，需要由人社部门确定灵活就业养老保险的征集信息，生成对应的特殊缴费申报的征集通知流水信息，传递给税务部门，税务部门以此履行征收职能。</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86" w:name="_Toc117633606"/>
      <w:r>
        <w:rPr>
          <w:rFonts w:hint="eastAsia" w:ascii="Times New Roman" w:hAnsi="Times New Roman" w:eastAsia="宋体" w:cs="Times New Roman"/>
          <w:color w:val="auto"/>
          <w:kern w:val="2"/>
          <w:sz w:val="21"/>
          <w:szCs w:val="21"/>
          <w:highlight w:val="none"/>
          <w:lang w:val="en-US" w:eastAsia="zh-CN" w:bidi="ar-SA"/>
        </w:rPr>
        <w:t>3.2.4.7.11灵活就业医疗保险（代他人）特殊缴费</w:t>
      </w:r>
      <w:bookmarkEnd w:id="386"/>
      <w:r>
        <w:rPr>
          <w:rFonts w:hint="eastAsia" w:ascii="Times New Roman" w:hAnsi="Times New Roman" w:eastAsia="宋体" w:cs="Times New Roman"/>
          <w:color w:val="auto"/>
          <w:kern w:val="2"/>
          <w:sz w:val="21"/>
          <w:szCs w:val="21"/>
          <w:highlight w:val="none"/>
          <w:lang w:val="en-US" w:eastAsia="zh-CN" w:bidi="ar-SA"/>
        </w:rPr>
        <w:t xml:space="preserve"> </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本人代他人进行特殊缴费，过了正常征缴期限后，灵活就业缴费人如需补缴以前年度的灵活就业医疗保险费，需要由医保部门确定灵活就业医疗保险的征集信息，生成对应的特殊缴费申报的征集通知流水信息，传递给税务部门，税务部门以此履行征收职能。</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87" w:name="_Toc117633607"/>
      <w:r>
        <w:rPr>
          <w:rFonts w:hint="eastAsia" w:ascii="Times New Roman" w:hAnsi="Times New Roman" w:eastAsia="宋体" w:cs="Times New Roman"/>
          <w:color w:val="auto"/>
          <w:kern w:val="2"/>
          <w:sz w:val="21"/>
          <w:szCs w:val="21"/>
          <w:highlight w:val="none"/>
          <w:lang w:val="en-US" w:eastAsia="zh-CN" w:bidi="ar-SA"/>
        </w:rPr>
        <w:t>3.3.社保费掌上办配套管理</w:t>
      </w:r>
      <w:bookmarkEnd w:id="387"/>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为社保费掌上办平台需要具备完善的平台管理功能，对平台进行管理和监控，确保平台稳定运行和业务顺畅。便于各地税务部门掌握掌上办注册、验证、征收、对账情况。</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88" w:name="_Toc117633608"/>
      <w:r>
        <w:rPr>
          <w:rFonts w:hint="eastAsia" w:ascii="Times New Roman" w:hAnsi="Times New Roman" w:eastAsia="宋体" w:cs="Times New Roman"/>
          <w:color w:val="auto"/>
          <w:kern w:val="2"/>
          <w:sz w:val="21"/>
          <w:szCs w:val="21"/>
          <w:highlight w:val="none"/>
          <w:lang w:val="en-US" w:eastAsia="zh-CN" w:bidi="ar-SA"/>
        </w:rPr>
        <w:t>3.3.1缴费人注册管理</w:t>
      </w:r>
      <w:bookmarkEnd w:id="388"/>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89" w:name="_Toc117633609"/>
      <w:r>
        <w:rPr>
          <w:rFonts w:hint="eastAsia" w:ascii="Times New Roman" w:hAnsi="Times New Roman" w:eastAsia="宋体" w:cs="Times New Roman"/>
          <w:color w:val="auto"/>
          <w:kern w:val="2"/>
          <w:sz w:val="21"/>
          <w:szCs w:val="21"/>
          <w:highlight w:val="none"/>
          <w:lang w:val="en-US" w:eastAsia="zh-CN" w:bidi="ar-SA"/>
        </w:rPr>
        <w:t>3.3.1.1注销注册</w:t>
      </w:r>
      <w:bookmarkEnd w:id="389"/>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对于已经注册过的缴费人，如果存在注册信息错误或错误注册，由税务人员进行注册注销，缴费人可以重新注册。</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90" w:name="_Toc117633610"/>
      <w:r>
        <w:rPr>
          <w:rFonts w:hint="eastAsia" w:ascii="Times New Roman" w:hAnsi="Times New Roman" w:eastAsia="宋体" w:cs="Times New Roman"/>
          <w:color w:val="auto"/>
          <w:kern w:val="2"/>
          <w:sz w:val="21"/>
          <w:szCs w:val="21"/>
          <w:highlight w:val="none"/>
          <w:lang w:val="en-US" w:eastAsia="zh-CN" w:bidi="ar-SA"/>
        </w:rPr>
        <w:t>3.3.1.2密码初始化</w:t>
      </w:r>
      <w:bookmarkEnd w:id="390"/>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如果已经注册的缴费人，密码忘记或需将原密码撤掉，税务人员可以进行密码初始化，由缴费人再自行设置密码。</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91" w:name="_Toc117633611"/>
      <w:r>
        <w:rPr>
          <w:rFonts w:hint="eastAsia" w:ascii="Times New Roman" w:hAnsi="Times New Roman" w:eastAsia="宋体" w:cs="Times New Roman"/>
          <w:color w:val="auto"/>
          <w:kern w:val="2"/>
          <w:sz w:val="21"/>
          <w:szCs w:val="21"/>
          <w:highlight w:val="none"/>
          <w:lang w:val="en-US" w:eastAsia="zh-CN" w:bidi="ar-SA"/>
        </w:rPr>
        <w:t>3.3.1.3缴费一查验证（参保登记）</w:t>
      </w:r>
      <w:bookmarkEnd w:id="391"/>
      <w:r>
        <w:rPr>
          <w:rFonts w:hint="eastAsia" w:ascii="Times New Roman" w:hAnsi="Times New Roman" w:eastAsia="宋体" w:cs="Times New Roman"/>
          <w:color w:val="auto"/>
          <w:kern w:val="2"/>
          <w:sz w:val="21"/>
          <w:szCs w:val="21"/>
          <w:highlight w:val="none"/>
          <w:lang w:val="en-US" w:eastAsia="zh-CN" w:bidi="ar-SA"/>
        </w:rPr>
        <w:tab/>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在各险种缴费环节有缴费人反映参保登记不存在等问题，税务人员可以在管理平台模拟缴费人进行缴费一查（参保登记）操作，掌握缴费一查（参保登记）验证的结果，便于向缴费人解释。</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92" w:name="_Toc117633612"/>
      <w:r>
        <w:rPr>
          <w:rFonts w:hint="eastAsia" w:ascii="Times New Roman" w:hAnsi="Times New Roman" w:eastAsia="宋体" w:cs="Times New Roman"/>
          <w:color w:val="auto"/>
          <w:kern w:val="2"/>
          <w:sz w:val="21"/>
          <w:szCs w:val="21"/>
          <w:highlight w:val="none"/>
          <w:lang w:val="en-US" w:eastAsia="zh-CN" w:bidi="ar-SA"/>
        </w:rPr>
        <w:t>3.3.1.4缴费二查验证（计划查询）</w:t>
      </w:r>
      <w:bookmarkEnd w:id="392"/>
      <w:r>
        <w:rPr>
          <w:rFonts w:hint="eastAsia" w:ascii="Times New Roman" w:hAnsi="Times New Roman" w:eastAsia="宋体" w:cs="Times New Roman"/>
          <w:color w:val="auto"/>
          <w:kern w:val="2"/>
          <w:sz w:val="21"/>
          <w:szCs w:val="21"/>
          <w:highlight w:val="none"/>
          <w:lang w:val="en-US" w:eastAsia="zh-CN" w:bidi="ar-SA"/>
        </w:rPr>
        <w:tab/>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在各险种缴费环节有缴费人反映C03没有待缴费计划等问题，税务人员可以在管理平台模拟缴费人进行缴费二查（计划查询）操作，掌握缴费二查（计划查询）验证的结果，便于向缴费人解释。</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93" w:name="_Toc117633613"/>
      <w:r>
        <w:rPr>
          <w:rFonts w:hint="eastAsia" w:ascii="Times New Roman" w:hAnsi="Times New Roman" w:eastAsia="宋体" w:cs="Times New Roman"/>
          <w:color w:val="auto"/>
          <w:kern w:val="2"/>
          <w:sz w:val="21"/>
          <w:szCs w:val="21"/>
          <w:highlight w:val="none"/>
          <w:lang w:val="en-US" w:eastAsia="zh-CN" w:bidi="ar-SA"/>
        </w:rPr>
        <w:t>3.3.2查询</w:t>
      </w:r>
      <w:bookmarkEnd w:id="393"/>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94" w:name="_Toc117633614"/>
      <w:r>
        <w:rPr>
          <w:rFonts w:hint="eastAsia" w:ascii="Times New Roman" w:hAnsi="Times New Roman" w:eastAsia="宋体" w:cs="Times New Roman"/>
          <w:color w:val="auto"/>
          <w:kern w:val="2"/>
          <w:sz w:val="21"/>
          <w:szCs w:val="21"/>
          <w:highlight w:val="none"/>
          <w:lang w:val="en-US" w:eastAsia="zh-CN" w:bidi="ar-SA"/>
        </w:rPr>
        <w:t>3.3.2.1用户注册查询</w:t>
      </w:r>
      <w:bookmarkEnd w:id="394"/>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根据身份证号码、姓名、税务机关、经办机构等信息查询已经注册用户信息。</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95" w:name="_Toc117633615"/>
      <w:r>
        <w:rPr>
          <w:rFonts w:hint="eastAsia" w:ascii="Times New Roman" w:hAnsi="Times New Roman" w:eastAsia="宋体" w:cs="Times New Roman"/>
          <w:color w:val="auto"/>
          <w:kern w:val="2"/>
          <w:sz w:val="21"/>
          <w:szCs w:val="21"/>
          <w:highlight w:val="none"/>
          <w:lang w:val="en-US" w:eastAsia="zh-CN" w:bidi="ar-SA"/>
        </w:rPr>
        <w:t>3.3.2.2平台登录日志查询</w:t>
      </w:r>
      <w:bookmarkEnd w:id="395"/>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根据身份证号码、姓名、税务机关、经办机构、日期范围等信息查询用户登陆日志痕迹信息。</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96" w:name="_Toc117633616"/>
      <w:r>
        <w:rPr>
          <w:rFonts w:hint="eastAsia" w:ascii="Times New Roman" w:hAnsi="Times New Roman" w:eastAsia="宋体" w:cs="Times New Roman"/>
          <w:color w:val="auto"/>
          <w:kern w:val="2"/>
          <w:sz w:val="21"/>
          <w:szCs w:val="21"/>
          <w:highlight w:val="none"/>
          <w:lang w:val="en-US" w:eastAsia="zh-CN" w:bidi="ar-SA"/>
        </w:rPr>
        <w:t>3.3.2.3税务业务办理明细查询</w:t>
      </w:r>
      <w:bookmarkEnd w:id="396"/>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按照税务业务类别、日期范围等条件查询税务业务办理的明细信息，包括缴费人、业务类别、缴费日期、险种、金额等信息。</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97" w:name="_Toc117633617"/>
      <w:r>
        <w:rPr>
          <w:rFonts w:hint="eastAsia" w:ascii="Times New Roman" w:hAnsi="Times New Roman" w:eastAsia="宋体" w:cs="Times New Roman"/>
          <w:color w:val="auto"/>
          <w:kern w:val="2"/>
          <w:sz w:val="21"/>
          <w:szCs w:val="21"/>
          <w:highlight w:val="none"/>
          <w:lang w:val="en-US" w:eastAsia="zh-CN" w:bidi="ar-SA"/>
        </w:rPr>
        <w:t>3.3.2.4缴费进度查询</w:t>
      </w:r>
      <w:bookmarkEnd w:id="397"/>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按照险种、日期范围、缴费人等条件查询缴费进度的明细信息，包括缴费人、缴费日期、险种、金额、是否已缴费等信息。</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98" w:name="_Toc117633618"/>
      <w:r>
        <w:rPr>
          <w:rFonts w:hint="eastAsia" w:ascii="Times New Roman" w:hAnsi="Times New Roman" w:eastAsia="宋体" w:cs="Times New Roman"/>
          <w:color w:val="auto"/>
          <w:kern w:val="2"/>
          <w:sz w:val="21"/>
          <w:szCs w:val="21"/>
          <w:highlight w:val="none"/>
          <w:lang w:val="en-US" w:eastAsia="zh-CN" w:bidi="ar-SA"/>
        </w:rPr>
        <w:t>3.3.2.5缴费已对账查询</w:t>
      </w:r>
      <w:bookmarkEnd w:id="398"/>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按照险种、日期范围、缴费人等条件查询缴费已对账的明细信息，包括缴费人、缴费日期、险种、金额、对账日期等信息。</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399" w:name="_Toc117633619"/>
      <w:r>
        <w:rPr>
          <w:rFonts w:hint="eastAsia" w:ascii="Times New Roman" w:hAnsi="Times New Roman" w:eastAsia="宋体" w:cs="Times New Roman"/>
          <w:color w:val="auto"/>
          <w:kern w:val="2"/>
          <w:sz w:val="21"/>
          <w:szCs w:val="21"/>
          <w:highlight w:val="none"/>
          <w:lang w:val="en-US" w:eastAsia="zh-CN" w:bidi="ar-SA"/>
        </w:rPr>
        <w:t>3.3.2.6缴费未记账查询</w:t>
      </w:r>
      <w:bookmarkEnd w:id="399"/>
      <w:r>
        <w:rPr>
          <w:rFonts w:hint="eastAsia" w:ascii="Times New Roman" w:hAnsi="Times New Roman" w:eastAsia="宋体" w:cs="Times New Roman"/>
          <w:color w:val="auto"/>
          <w:kern w:val="2"/>
          <w:sz w:val="21"/>
          <w:szCs w:val="21"/>
          <w:highlight w:val="none"/>
          <w:lang w:val="en-US" w:eastAsia="zh-CN" w:bidi="ar-SA"/>
        </w:rPr>
        <w:tab/>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按照险种、日期范围、缴费人等条件查询缴费成功但未记账的明细信息，包括缴费人、缴费日期、险种、金额、缴费日期、未记账原因等信息。</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00" w:name="_Toc117633620"/>
      <w:r>
        <w:rPr>
          <w:rFonts w:hint="eastAsia" w:ascii="Times New Roman" w:hAnsi="Times New Roman" w:eastAsia="宋体" w:cs="Times New Roman"/>
          <w:color w:val="auto"/>
          <w:kern w:val="2"/>
          <w:sz w:val="21"/>
          <w:szCs w:val="21"/>
          <w:highlight w:val="none"/>
          <w:lang w:val="en-US" w:eastAsia="zh-CN" w:bidi="ar-SA"/>
        </w:rPr>
        <w:t>3.3.3统计</w:t>
      </w:r>
      <w:bookmarkEnd w:id="400"/>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01" w:name="_Toc117633621"/>
      <w:r>
        <w:rPr>
          <w:rFonts w:hint="eastAsia" w:ascii="Times New Roman" w:hAnsi="Times New Roman" w:eastAsia="宋体" w:cs="Times New Roman"/>
          <w:color w:val="auto"/>
          <w:kern w:val="2"/>
          <w:sz w:val="21"/>
          <w:szCs w:val="21"/>
          <w:highlight w:val="none"/>
          <w:lang w:val="en-US" w:eastAsia="zh-CN" w:bidi="ar-SA"/>
        </w:rPr>
        <w:t>3.3.3.1注册信息统计</w:t>
      </w:r>
      <w:bookmarkEnd w:id="401"/>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按税务机关、日期范围等条件汇总注册用户统计表。</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02" w:name="_Toc117633622"/>
      <w:r>
        <w:rPr>
          <w:rFonts w:hint="eastAsia" w:ascii="Times New Roman" w:hAnsi="Times New Roman" w:eastAsia="宋体" w:cs="Times New Roman"/>
          <w:color w:val="auto"/>
          <w:kern w:val="2"/>
          <w:sz w:val="21"/>
          <w:szCs w:val="21"/>
          <w:highlight w:val="none"/>
          <w:lang w:val="en-US" w:eastAsia="zh-CN" w:bidi="ar-SA"/>
        </w:rPr>
        <w:t>3.3.3.2平台日志统计</w:t>
      </w:r>
      <w:bookmarkEnd w:id="402"/>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统计日期范围内的平台的登录及业务办理的日志汇总。</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03" w:name="_Toc117633623"/>
      <w:r>
        <w:rPr>
          <w:rFonts w:hint="eastAsia" w:ascii="Times New Roman" w:hAnsi="Times New Roman" w:eastAsia="宋体" w:cs="Times New Roman"/>
          <w:color w:val="auto"/>
          <w:kern w:val="2"/>
          <w:sz w:val="21"/>
          <w:szCs w:val="21"/>
          <w:highlight w:val="none"/>
          <w:lang w:val="en-US" w:eastAsia="zh-CN" w:bidi="ar-SA"/>
        </w:rPr>
        <w:t>3.3.3.3业务办理统计</w:t>
      </w:r>
      <w:bookmarkEnd w:id="403"/>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按照日期范围统计分税务业务类型的业务办理统计表。</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04" w:name="_Toc117633624"/>
      <w:r>
        <w:rPr>
          <w:rFonts w:hint="eastAsia" w:ascii="Times New Roman" w:hAnsi="Times New Roman" w:eastAsia="宋体" w:cs="Times New Roman"/>
          <w:color w:val="auto"/>
          <w:kern w:val="2"/>
          <w:sz w:val="21"/>
          <w:szCs w:val="21"/>
          <w:highlight w:val="none"/>
          <w:lang w:val="en-US" w:eastAsia="zh-CN" w:bidi="ar-SA"/>
        </w:rPr>
        <w:t>3.3.3.4缴费已对账统计</w:t>
      </w:r>
      <w:bookmarkEnd w:id="404"/>
      <w:r>
        <w:rPr>
          <w:rFonts w:hint="eastAsia" w:ascii="Times New Roman" w:hAnsi="Times New Roman" w:eastAsia="宋体" w:cs="Times New Roman"/>
          <w:color w:val="auto"/>
          <w:kern w:val="2"/>
          <w:sz w:val="21"/>
          <w:szCs w:val="21"/>
          <w:highlight w:val="none"/>
          <w:lang w:val="en-US" w:eastAsia="zh-CN" w:bidi="ar-SA"/>
        </w:rPr>
        <w:tab/>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按照险种、日期范围等条件统计缴费已对账汇总表</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05" w:name="_Toc117633625"/>
      <w:r>
        <w:rPr>
          <w:rFonts w:hint="eastAsia" w:ascii="Times New Roman" w:hAnsi="Times New Roman" w:eastAsia="宋体" w:cs="Times New Roman"/>
          <w:color w:val="auto"/>
          <w:kern w:val="2"/>
          <w:sz w:val="21"/>
          <w:szCs w:val="21"/>
          <w:highlight w:val="none"/>
          <w:lang w:val="en-US" w:eastAsia="zh-CN" w:bidi="ar-SA"/>
        </w:rPr>
        <w:t>3.3.4监控类</w:t>
      </w:r>
      <w:bookmarkEnd w:id="405"/>
      <w:r>
        <w:rPr>
          <w:rFonts w:hint="eastAsia" w:ascii="Times New Roman" w:hAnsi="Times New Roman" w:eastAsia="宋体" w:cs="Times New Roman"/>
          <w:color w:val="auto"/>
          <w:kern w:val="2"/>
          <w:sz w:val="21"/>
          <w:szCs w:val="21"/>
          <w:highlight w:val="none"/>
          <w:lang w:val="en-US" w:eastAsia="zh-CN" w:bidi="ar-SA"/>
        </w:rPr>
        <w:tab/>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06" w:name="_Toc117633626"/>
      <w:r>
        <w:rPr>
          <w:rFonts w:hint="eastAsia" w:ascii="Times New Roman" w:hAnsi="Times New Roman" w:eastAsia="宋体" w:cs="Times New Roman"/>
          <w:color w:val="auto"/>
          <w:kern w:val="2"/>
          <w:sz w:val="21"/>
          <w:szCs w:val="21"/>
          <w:highlight w:val="none"/>
          <w:lang w:val="en-US" w:eastAsia="zh-CN" w:bidi="ar-SA"/>
        </w:rPr>
        <w:t>3.3.4.1流量监控</w:t>
      </w:r>
      <w:bookmarkEnd w:id="406"/>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监控社保费一体化平台线上及线下的访问流量，及时做好流量访问控制。</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07" w:name="_Toc117633627"/>
      <w:r>
        <w:rPr>
          <w:rFonts w:hint="eastAsia" w:ascii="Times New Roman" w:hAnsi="Times New Roman" w:eastAsia="宋体" w:cs="Times New Roman"/>
          <w:color w:val="auto"/>
          <w:kern w:val="2"/>
          <w:sz w:val="21"/>
          <w:szCs w:val="21"/>
          <w:highlight w:val="none"/>
          <w:lang w:val="en-US" w:eastAsia="zh-CN" w:bidi="ar-SA"/>
        </w:rPr>
        <w:t>3.3.4.2日志跟踪</w:t>
      </w:r>
      <w:bookmarkEnd w:id="407"/>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平台所有访问日志进行跟踪管理，便于监控缴费人咨询事项的操作定位。</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08" w:name="_Toc117633628"/>
      <w:r>
        <w:rPr>
          <w:rFonts w:hint="eastAsia" w:ascii="Times New Roman" w:hAnsi="Times New Roman" w:eastAsia="宋体" w:cs="Times New Roman"/>
          <w:color w:val="auto"/>
          <w:kern w:val="2"/>
          <w:sz w:val="21"/>
          <w:szCs w:val="21"/>
          <w:highlight w:val="none"/>
          <w:lang w:val="en-US" w:eastAsia="zh-CN" w:bidi="ar-SA"/>
        </w:rPr>
        <w:t>3.3.5设置类</w:t>
      </w:r>
      <w:bookmarkEnd w:id="408"/>
      <w:r>
        <w:rPr>
          <w:rFonts w:hint="eastAsia" w:ascii="Times New Roman" w:hAnsi="Times New Roman" w:eastAsia="宋体" w:cs="Times New Roman"/>
          <w:color w:val="auto"/>
          <w:kern w:val="2"/>
          <w:sz w:val="21"/>
          <w:szCs w:val="21"/>
          <w:highlight w:val="none"/>
          <w:lang w:val="en-US" w:eastAsia="zh-CN" w:bidi="ar-SA"/>
        </w:rPr>
        <w:tab/>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09" w:name="_Toc117633629"/>
      <w:r>
        <w:rPr>
          <w:rFonts w:hint="eastAsia" w:ascii="Times New Roman" w:hAnsi="Times New Roman" w:eastAsia="宋体" w:cs="Times New Roman"/>
          <w:color w:val="auto"/>
          <w:kern w:val="2"/>
          <w:sz w:val="21"/>
          <w:szCs w:val="21"/>
          <w:highlight w:val="none"/>
          <w:lang w:val="en-US" w:eastAsia="zh-CN" w:bidi="ar-SA"/>
        </w:rPr>
        <w:t>3.3.5.1缴费证明开具打印次数设置</w:t>
      </w:r>
      <w:bookmarkEnd w:id="409"/>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社保费缴费证明最大可开具次数进行设置，防止无限制开具，浪费资源。</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10" w:name="_Toc117633630"/>
      <w:r>
        <w:rPr>
          <w:rFonts w:hint="eastAsia" w:ascii="Times New Roman" w:hAnsi="Times New Roman" w:eastAsia="宋体" w:cs="Times New Roman"/>
          <w:color w:val="auto"/>
          <w:kern w:val="2"/>
          <w:sz w:val="21"/>
          <w:szCs w:val="21"/>
          <w:highlight w:val="none"/>
          <w:lang w:val="en-US" w:eastAsia="zh-CN" w:bidi="ar-SA"/>
        </w:rPr>
        <w:t>3.3.5.2完税证明开具打印次数设置</w:t>
      </w:r>
      <w:bookmarkEnd w:id="410"/>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社保费缴费完税证明的最大可开具次数进行设置，防止无限制开具，浪费资源。</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11" w:name="_Toc117633631"/>
      <w:r>
        <w:rPr>
          <w:rFonts w:hint="eastAsia" w:ascii="Times New Roman" w:hAnsi="Times New Roman" w:eastAsia="宋体" w:cs="Times New Roman"/>
          <w:color w:val="auto"/>
          <w:kern w:val="2"/>
          <w:sz w:val="21"/>
          <w:szCs w:val="21"/>
          <w:highlight w:val="none"/>
          <w:lang w:val="en-US" w:eastAsia="zh-CN" w:bidi="ar-SA"/>
        </w:rPr>
        <w:t>3.3.5.3支付平台配置</w:t>
      </w:r>
      <w:bookmarkEnd w:id="411"/>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依据支付平台的商户开户信息，按税务机关配置支付所需的APPID、商户号等信息。</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12" w:name="_Toc117633632"/>
      <w:r>
        <w:rPr>
          <w:rFonts w:hint="eastAsia" w:ascii="Times New Roman" w:hAnsi="Times New Roman" w:eastAsia="宋体" w:cs="Times New Roman"/>
          <w:color w:val="auto"/>
          <w:kern w:val="2"/>
          <w:sz w:val="21"/>
          <w:szCs w:val="21"/>
          <w:highlight w:val="none"/>
          <w:lang w:val="en-US" w:eastAsia="zh-CN" w:bidi="ar-SA"/>
        </w:rPr>
        <w:t>3.3.5.4其他配置</w:t>
      </w:r>
      <w:bookmarkEnd w:id="412"/>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预留其他配置功能。</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13" w:name="_Toc117633633"/>
      <w:r>
        <w:rPr>
          <w:rFonts w:hint="eastAsia" w:ascii="Times New Roman" w:hAnsi="Times New Roman" w:eastAsia="宋体" w:cs="Times New Roman"/>
          <w:color w:val="auto"/>
          <w:kern w:val="2"/>
          <w:sz w:val="21"/>
          <w:szCs w:val="21"/>
          <w:highlight w:val="none"/>
          <w:lang w:val="en-US" w:eastAsia="zh-CN" w:bidi="ar-SA"/>
        </w:rPr>
        <w:t>3.4. 社保费一窗通办</w:t>
      </w:r>
      <w:bookmarkEnd w:id="413"/>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14" w:name="_Toc89031232"/>
      <w:bookmarkStart w:id="415" w:name="_Toc88636134"/>
      <w:bookmarkStart w:id="416" w:name="_Toc117633634"/>
      <w:r>
        <w:rPr>
          <w:rFonts w:hint="eastAsia" w:ascii="Times New Roman" w:hAnsi="Times New Roman" w:eastAsia="宋体" w:cs="Times New Roman"/>
          <w:color w:val="auto"/>
          <w:kern w:val="2"/>
          <w:sz w:val="21"/>
          <w:szCs w:val="21"/>
          <w:highlight w:val="none"/>
          <w:lang w:val="en-US" w:eastAsia="zh-CN" w:bidi="ar-SA"/>
        </w:rPr>
        <w:t>3.4.1</w:t>
      </w:r>
      <w:bookmarkEnd w:id="414"/>
      <w:bookmarkEnd w:id="415"/>
      <w:r>
        <w:rPr>
          <w:rFonts w:hint="eastAsia" w:ascii="Times New Roman" w:hAnsi="Times New Roman" w:eastAsia="宋体" w:cs="Times New Roman"/>
          <w:color w:val="auto"/>
          <w:kern w:val="2"/>
          <w:sz w:val="21"/>
          <w:szCs w:val="21"/>
          <w:highlight w:val="none"/>
          <w:lang w:val="en-US" w:eastAsia="zh-CN" w:bidi="ar-SA"/>
        </w:rPr>
        <w:t>向人社部门提供税务征缴集成功能</w:t>
      </w:r>
      <w:bookmarkEnd w:id="416"/>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17" w:name="_Toc88636135"/>
      <w:bookmarkStart w:id="418" w:name="_Toc89031233"/>
      <w:bookmarkStart w:id="419" w:name="_Toc117633635"/>
      <w:r>
        <w:rPr>
          <w:rFonts w:hint="eastAsia" w:ascii="Times New Roman" w:hAnsi="Times New Roman" w:eastAsia="宋体" w:cs="Times New Roman"/>
          <w:color w:val="auto"/>
          <w:kern w:val="2"/>
          <w:sz w:val="21"/>
          <w:szCs w:val="21"/>
          <w:highlight w:val="none"/>
          <w:lang w:val="en-US" w:eastAsia="zh-CN" w:bidi="ar-SA"/>
        </w:rPr>
        <w:t>3.4.1.1</w:t>
      </w:r>
      <w:bookmarkEnd w:id="417"/>
      <w:bookmarkEnd w:id="418"/>
      <w:r>
        <w:rPr>
          <w:rFonts w:hint="eastAsia" w:ascii="Times New Roman" w:hAnsi="Times New Roman" w:eastAsia="宋体" w:cs="Times New Roman"/>
          <w:color w:val="auto"/>
          <w:kern w:val="2"/>
          <w:sz w:val="21"/>
          <w:szCs w:val="21"/>
          <w:highlight w:val="none"/>
          <w:lang w:val="en-US" w:eastAsia="zh-CN" w:bidi="ar-SA"/>
        </w:rPr>
        <w:t>微信小程序（人社）</w:t>
      </w:r>
      <w:bookmarkEnd w:id="419"/>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20" w:name="_Toc88636136"/>
      <w:bookmarkStart w:id="421" w:name="_Toc53391439"/>
      <w:bookmarkStart w:id="422" w:name="_Toc117633636"/>
      <w:r>
        <w:rPr>
          <w:rFonts w:hint="eastAsia" w:ascii="Times New Roman" w:hAnsi="Times New Roman" w:eastAsia="宋体" w:cs="Times New Roman"/>
          <w:color w:val="auto"/>
          <w:kern w:val="2"/>
          <w:sz w:val="21"/>
          <w:szCs w:val="21"/>
          <w:highlight w:val="none"/>
          <w:lang w:val="en-US" w:eastAsia="zh-CN" w:bidi="ar-SA"/>
        </w:rPr>
        <w:t>3.4.1.1.1</w:t>
      </w:r>
      <w:bookmarkEnd w:id="420"/>
      <w:bookmarkEnd w:id="421"/>
      <w:r>
        <w:rPr>
          <w:rFonts w:hint="eastAsia" w:ascii="Times New Roman" w:hAnsi="Times New Roman" w:eastAsia="宋体" w:cs="Times New Roman"/>
          <w:color w:val="auto"/>
          <w:kern w:val="2"/>
          <w:sz w:val="21"/>
          <w:szCs w:val="21"/>
          <w:highlight w:val="none"/>
          <w:lang w:val="en-US" w:eastAsia="zh-CN" w:bidi="ar-SA"/>
        </w:rPr>
        <w:t>参保登记验证（人社微信）</w:t>
      </w:r>
      <w:bookmarkEnd w:id="422"/>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23" w:name="_Toc117633637"/>
      <w:r>
        <w:rPr>
          <w:rFonts w:hint="eastAsia" w:ascii="Times New Roman" w:hAnsi="Times New Roman" w:eastAsia="宋体" w:cs="Times New Roman"/>
          <w:color w:val="auto"/>
          <w:kern w:val="2"/>
          <w:sz w:val="21"/>
          <w:szCs w:val="21"/>
          <w:highlight w:val="none"/>
          <w:lang w:val="en-US" w:eastAsia="zh-CN" w:bidi="ar-SA"/>
        </w:rPr>
        <w:t>3.4.1.1.1.1灵活就业人员养老保险参保登记验证（人社微信）</w:t>
      </w:r>
      <w:bookmarkEnd w:id="423"/>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在微信小程序中，缴费人办理完成社保费缴费登记信息后，可在本模块查询验证参保登记信息，所有功能均按照社保费标准版规范进行升级改造，实现与社保费标准版的无缝对接。</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24" w:name="_Toc117633638"/>
      <w:r>
        <w:rPr>
          <w:rFonts w:hint="eastAsia" w:ascii="Times New Roman" w:hAnsi="Times New Roman" w:eastAsia="宋体" w:cs="Times New Roman"/>
          <w:color w:val="auto"/>
          <w:kern w:val="2"/>
          <w:sz w:val="21"/>
          <w:szCs w:val="21"/>
          <w:highlight w:val="none"/>
          <w:lang w:val="en-US" w:eastAsia="zh-CN" w:bidi="ar-SA"/>
        </w:rPr>
        <w:t>3.4.1.1.1.2城乡居民养老保险参保登记验证（人社微信）</w:t>
      </w:r>
      <w:bookmarkEnd w:id="424"/>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在微信小程序中，缴费人办理完成社保费缴费登记信息后，可在本模块查询验证参保登记信息，所有功能均按照社保费标准版规范进行升级改造，实现与社保费标准版的无缝对接。</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25" w:name="_Toc117633639"/>
      <w:r>
        <w:rPr>
          <w:rFonts w:hint="eastAsia" w:ascii="Times New Roman" w:hAnsi="Times New Roman" w:eastAsia="宋体" w:cs="Times New Roman"/>
          <w:color w:val="auto"/>
          <w:kern w:val="2"/>
          <w:sz w:val="21"/>
          <w:szCs w:val="21"/>
          <w:highlight w:val="none"/>
          <w:lang w:val="en-US" w:eastAsia="zh-CN" w:bidi="ar-SA"/>
        </w:rPr>
        <w:t>3.4.1.1.2提取应缴费信息（人社微信）</w:t>
      </w:r>
      <w:bookmarkEnd w:id="425"/>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26" w:name="_Toc117633640"/>
      <w:r>
        <w:rPr>
          <w:rFonts w:hint="eastAsia" w:ascii="Times New Roman" w:hAnsi="Times New Roman" w:eastAsia="宋体" w:cs="Times New Roman"/>
          <w:color w:val="auto"/>
          <w:kern w:val="2"/>
          <w:sz w:val="21"/>
          <w:szCs w:val="21"/>
          <w:highlight w:val="none"/>
          <w:lang w:val="en-US" w:eastAsia="zh-CN" w:bidi="ar-SA"/>
        </w:rPr>
        <w:t>3.4.1.1.2.1灵活就业人员养老保险提取应缴费信息（人社微信）</w:t>
      </w:r>
      <w:bookmarkEnd w:id="426"/>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微信小程序中，社保经办机构相关渠道可以按照金税三期社保费标准版信息共享平台规范要求，提取到税务部门的应缴信息。依据社保费标准版缴费关联登记及认定信息等进行匹配和转换及生成指定的关键信息（UUID、征集ID等），将数据反馈给缴费人。</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27" w:name="_Toc117633641"/>
      <w:r>
        <w:rPr>
          <w:rFonts w:hint="eastAsia" w:ascii="Times New Roman" w:hAnsi="Times New Roman" w:eastAsia="宋体" w:cs="Times New Roman"/>
          <w:color w:val="auto"/>
          <w:kern w:val="2"/>
          <w:sz w:val="21"/>
          <w:szCs w:val="21"/>
          <w:highlight w:val="none"/>
          <w:lang w:val="en-US" w:eastAsia="zh-CN" w:bidi="ar-SA"/>
        </w:rPr>
        <w:t>3.4.1.1.2.2城乡居民养老保险提取应缴费信息（人社微信）</w:t>
      </w:r>
      <w:bookmarkEnd w:id="427"/>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微信小程序中，社保经办机构相关渠道可以按照金税三期社保费标准版信息共享平台规范要求，提取到税务部门的应缴信息。依据社保费标准版缴费关联登记及认定信息等进行匹配和转换及生成指定的关键信息（UUID、征集ID等），将数据反馈给缴费人。</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28" w:name="_Toc117633642"/>
      <w:r>
        <w:rPr>
          <w:rFonts w:hint="eastAsia" w:ascii="Times New Roman" w:hAnsi="Times New Roman" w:eastAsia="宋体" w:cs="Times New Roman"/>
          <w:color w:val="auto"/>
          <w:kern w:val="2"/>
          <w:sz w:val="21"/>
          <w:szCs w:val="21"/>
          <w:highlight w:val="none"/>
          <w:lang w:val="en-US" w:eastAsia="zh-CN" w:bidi="ar-SA"/>
        </w:rPr>
        <w:t>3.4.1.1.3第三方支付平台缴费（人社微信）</w:t>
      </w:r>
      <w:bookmarkEnd w:id="428"/>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29" w:name="_Toc117633643"/>
      <w:r>
        <w:rPr>
          <w:rFonts w:hint="eastAsia" w:ascii="Times New Roman" w:hAnsi="Times New Roman" w:eastAsia="宋体" w:cs="Times New Roman"/>
          <w:color w:val="auto"/>
          <w:kern w:val="2"/>
          <w:sz w:val="21"/>
          <w:szCs w:val="21"/>
          <w:highlight w:val="none"/>
          <w:lang w:val="en-US" w:eastAsia="zh-CN" w:bidi="ar-SA"/>
        </w:rPr>
        <w:t>3.4.1.1.3.1灵活就业人员养老保险第三方支付平台缴费（人社微信）</w:t>
      </w:r>
      <w:bookmarkEnd w:id="429"/>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在微信小程序中，对未签订协议的灵活就业人员缴纳养老保险时，提供第三方支付缴费方式</w:t>
      </w:r>
      <w:bookmarkStart w:id="430" w:name="_Toc117633644"/>
      <w:r>
        <w:rPr>
          <w:rFonts w:hint="eastAsia" w:ascii="Times New Roman" w:hAnsi="Times New Roman" w:eastAsia="宋体" w:cs="Times New Roman"/>
          <w:color w:val="auto"/>
          <w:kern w:val="2"/>
          <w:sz w:val="21"/>
          <w:szCs w:val="21"/>
          <w:highlight w:val="none"/>
          <w:lang w:val="en-US" w:eastAsia="zh-CN" w:bidi="ar-SA"/>
        </w:rPr>
        <w:t>。</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3.4.1.1.3.2城乡居民养老保险第三方支付平台缴费（人社微信）</w:t>
      </w:r>
      <w:bookmarkEnd w:id="430"/>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在微信小程序中，对未签订协议的城乡居民缴纳养老保险时，提供第三方支付缴费方式。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31" w:name="_Toc117633645"/>
      <w:r>
        <w:rPr>
          <w:rFonts w:hint="eastAsia" w:ascii="Times New Roman" w:hAnsi="Times New Roman" w:eastAsia="宋体" w:cs="Times New Roman"/>
          <w:color w:val="auto"/>
          <w:kern w:val="2"/>
          <w:sz w:val="21"/>
          <w:szCs w:val="21"/>
          <w:highlight w:val="none"/>
          <w:lang w:val="en-US" w:eastAsia="zh-CN" w:bidi="ar-SA"/>
        </w:rPr>
        <w:t>3.4.1.1.4证明开具（人社微信）</w:t>
      </w:r>
      <w:bookmarkEnd w:id="431"/>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32" w:name="_Toc117633646"/>
      <w:r>
        <w:rPr>
          <w:rFonts w:hint="eastAsia" w:ascii="Times New Roman" w:hAnsi="Times New Roman" w:eastAsia="宋体" w:cs="Times New Roman"/>
          <w:color w:val="auto"/>
          <w:kern w:val="2"/>
          <w:sz w:val="21"/>
          <w:szCs w:val="21"/>
          <w:highlight w:val="none"/>
          <w:lang w:val="en-US" w:eastAsia="zh-CN" w:bidi="ar-SA"/>
        </w:rPr>
        <w:t>3.4.1.1.4.1灵活就业人员养老保险缴费证明开具（人社微信）</w:t>
      </w:r>
      <w:bookmarkEnd w:id="432"/>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在微信小程序中，缴费人申报缴纳社保费后，如需打印社保费缴费证明，可通过本模块打印社保费缴费证明，所有功能均按照社保费标准版规范进行升级改造，实现与社保费标准版的无缝对接。</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33" w:name="_Toc117633647"/>
      <w:r>
        <w:rPr>
          <w:rFonts w:hint="eastAsia" w:ascii="Times New Roman" w:hAnsi="Times New Roman" w:eastAsia="宋体" w:cs="Times New Roman"/>
          <w:color w:val="auto"/>
          <w:kern w:val="2"/>
          <w:sz w:val="21"/>
          <w:szCs w:val="21"/>
          <w:highlight w:val="none"/>
          <w:lang w:val="en-US" w:eastAsia="zh-CN" w:bidi="ar-SA"/>
        </w:rPr>
        <w:t>3.4.1.1.4.2城乡居民养老保险缴费证明开具（人社微信）</w:t>
      </w:r>
      <w:bookmarkEnd w:id="433"/>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在微信小程序中，缴费人申报缴纳社保费后，如需打印社保费缴费证明，可通过本模块打印社保费缴费证明，所有功能均按照社保费标准版规范进行升级改造，实现与社保费标准版的无缝对接。</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34" w:name="_Toc117633648"/>
      <w:r>
        <w:rPr>
          <w:rFonts w:hint="eastAsia" w:ascii="Times New Roman" w:hAnsi="Times New Roman" w:eastAsia="宋体" w:cs="Times New Roman"/>
          <w:color w:val="auto"/>
          <w:kern w:val="2"/>
          <w:sz w:val="21"/>
          <w:szCs w:val="21"/>
          <w:highlight w:val="none"/>
          <w:lang w:val="en-US" w:eastAsia="zh-CN" w:bidi="ar-SA"/>
        </w:rPr>
        <w:t>3.4.1.1.4.3灵活就业人员养老保险完税证明开具（人社微信）</w:t>
      </w:r>
      <w:bookmarkEnd w:id="434"/>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在微信小程序中，缴费人申报缴纳社保费后，如需打印社保费缴费证明，可通过本模块打印社保费缴费证明，所有功能均按照社保费标准版规范进行升级改造，实现与社保费标准版的无缝对接。</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35" w:name="_Toc117633649"/>
      <w:r>
        <w:rPr>
          <w:rFonts w:hint="eastAsia" w:ascii="Times New Roman" w:hAnsi="Times New Roman" w:eastAsia="宋体" w:cs="Times New Roman"/>
          <w:color w:val="auto"/>
          <w:kern w:val="2"/>
          <w:sz w:val="21"/>
          <w:szCs w:val="21"/>
          <w:highlight w:val="none"/>
          <w:lang w:val="en-US" w:eastAsia="zh-CN" w:bidi="ar-SA"/>
        </w:rPr>
        <w:t>3.4.1.1.4.4城乡居民养老保险完税证明开具（人社微信）</w:t>
      </w:r>
      <w:bookmarkEnd w:id="435"/>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在微信小程序中，缴费人申报缴纳社保费后，如需打印社保费缴费证明，可通过本模块打印社保费缴费证明，所有功能均按照社保费标准版规范进行升级改造，实现与社保费标准版的无缝对接。</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36" w:name="_Toc117633650"/>
      <w:r>
        <w:rPr>
          <w:rFonts w:hint="eastAsia" w:ascii="Times New Roman" w:hAnsi="Times New Roman" w:eastAsia="宋体" w:cs="Times New Roman"/>
          <w:color w:val="auto"/>
          <w:kern w:val="2"/>
          <w:sz w:val="21"/>
          <w:szCs w:val="21"/>
          <w:highlight w:val="none"/>
          <w:lang w:val="en-US" w:eastAsia="zh-CN" w:bidi="ar-SA"/>
        </w:rPr>
        <w:t>3.4.1.1.5查询（人社微信）</w:t>
      </w:r>
      <w:bookmarkEnd w:id="436"/>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37" w:name="_Toc117633651"/>
      <w:r>
        <w:rPr>
          <w:rFonts w:hint="eastAsia" w:ascii="Times New Roman" w:hAnsi="Times New Roman" w:eastAsia="宋体" w:cs="Times New Roman"/>
          <w:color w:val="auto"/>
          <w:kern w:val="2"/>
          <w:sz w:val="21"/>
          <w:szCs w:val="21"/>
          <w:highlight w:val="none"/>
          <w:lang w:val="en-US" w:eastAsia="zh-CN" w:bidi="ar-SA"/>
        </w:rPr>
        <w:t>3.4.1.1.5.1灵活就业人员养老保险基础登记查询（人社微信）</w:t>
      </w:r>
      <w:bookmarkEnd w:id="437"/>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在微信小程序中，灵活就业人员完成社保费登记后，可通过本功能查询社保费基础登记情况。所有功能均按照社保费标准版规范进行开发。</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38" w:name="_Toc117633652"/>
      <w:r>
        <w:rPr>
          <w:rFonts w:hint="eastAsia" w:ascii="Times New Roman" w:hAnsi="Times New Roman" w:eastAsia="宋体" w:cs="Times New Roman"/>
          <w:color w:val="auto"/>
          <w:kern w:val="2"/>
          <w:sz w:val="21"/>
          <w:szCs w:val="21"/>
          <w:highlight w:val="none"/>
          <w:lang w:val="en-US" w:eastAsia="zh-CN" w:bidi="ar-SA"/>
        </w:rPr>
        <w:t>3.4.1.1.5.2灵活就业人员养老保险险种登记查询（人社微信）</w:t>
      </w:r>
      <w:bookmarkEnd w:id="438"/>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在微信小程序中，灵活就业人员完成社保费登记后，可通过本功能查询社保费险种登记情况。所有功能均按照社保费标准版规范进行开发。</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39" w:name="_Toc117633653"/>
      <w:r>
        <w:rPr>
          <w:rFonts w:hint="eastAsia" w:ascii="Times New Roman" w:hAnsi="Times New Roman" w:eastAsia="宋体" w:cs="Times New Roman"/>
          <w:color w:val="auto"/>
          <w:kern w:val="2"/>
          <w:sz w:val="21"/>
          <w:szCs w:val="21"/>
          <w:highlight w:val="none"/>
          <w:lang w:val="en-US" w:eastAsia="zh-CN" w:bidi="ar-SA"/>
        </w:rPr>
        <w:t>3.4.1.1.5.3灵活就业人员养老保险征缴计划查询（人社微信）</w:t>
      </w:r>
      <w:bookmarkEnd w:id="439"/>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在微信小程序中，灵活就业人员完成社保费登记后，可通过本功能查询社保费征缴计划情况。所有功能均按照社保费标准版规范进行开发。</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40" w:name="_Toc117633654"/>
      <w:r>
        <w:rPr>
          <w:rFonts w:hint="eastAsia" w:ascii="Times New Roman" w:hAnsi="Times New Roman" w:eastAsia="宋体" w:cs="Times New Roman"/>
          <w:color w:val="auto"/>
          <w:kern w:val="2"/>
          <w:sz w:val="21"/>
          <w:szCs w:val="21"/>
          <w:highlight w:val="none"/>
          <w:lang w:val="en-US" w:eastAsia="zh-CN" w:bidi="ar-SA"/>
        </w:rPr>
        <w:t>3.4.1.1.5.4灵活就业人员养老保险入库明细查询（人社微信）</w:t>
      </w:r>
      <w:bookmarkEnd w:id="440"/>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在微信小程序中，灵活就业人员完成社保费征收后，可通过本功能查询社保费征缴入库情况。所有功能均按照社保费标准版规范进行开发。</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41" w:name="_Toc117633655"/>
      <w:r>
        <w:rPr>
          <w:rFonts w:hint="eastAsia" w:ascii="Times New Roman" w:hAnsi="Times New Roman" w:eastAsia="宋体" w:cs="Times New Roman"/>
          <w:color w:val="auto"/>
          <w:kern w:val="2"/>
          <w:sz w:val="21"/>
          <w:szCs w:val="21"/>
          <w:highlight w:val="none"/>
          <w:lang w:val="en-US" w:eastAsia="zh-CN" w:bidi="ar-SA"/>
        </w:rPr>
        <w:t>3.4.1.1.5.5城乡居民养老保险基础登记查询（人社微信）</w:t>
      </w:r>
      <w:bookmarkEnd w:id="441"/>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在微信小程序中，城乡居民完成社保费登记后，可通过本功能查询社保费基础登记情况。所有功能均按照社保费标准版规范进行开发。</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42" w:name="_Toc117633656"/>
      <w:r>
        <w:rPr>
          <w:rFonts w:hint="eastAsia" w:ascii="Times New Roman" w:hAnsi="Times New Roman" w:eastAsia="宋体" w:cs="Times New Roman"/>
          <w:color w:val="auto"/>
          <w:kern w:val="2"/>
          <w:sz w:val="21"/>
          <w:szCs w:val="21"/>
          <w:highlight w:val="none"/>
          <w:lang w:val="en-US" w:eastAsia="zh-CN" w:bidi="ar-SA"/>
        </w:rPr>
        <w:t>3.4.1.1.5.6城乡居民养老保险险种登记查询（人社微信）</w:t>
      </w:r>
      <w:bookmarkEnd w:id="442"/>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在微信小程序中，城乡居民完成社保费登记后，可通过本功能查询社保费险种登记情况。所有功能均按照社保费标准版规范进行开发。</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43" w:name="_Toc117633657"/>
      <w:r>
        <w:rPr>
          <w:rFonts w:hint="eastAsia" w:ascii="Times New Roman" w:hAnsi="Times New Roman" w:eastAsia="宋体" w:cs="Times New Roman"/>
          <w:color w:val="auto"/>
          <w:kern w:val="2"/>
          <w:sz w:val="21"/>
          <w:szCs w:val="21"/>
          <w:highlight w:val="none"/>
          <w:lang w:val="en-US" w:eastAsia="zh-CN" w:bidi="ar-SA"/>
        </w:rPr>
        <w:t>3.4.1.1.5.7城乡居民养老保险征缴计划查询（人社微信）</w:t>
      </w:r>
      <w:bookmarkEnd w:id="443"/>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在微信小程序中，城乡居民完成社保费登记后，可通过本功能查询社保费征缴计划情况。所有功能均按照社保费标准版规范进行开发。</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44" w:name="_Toc117633658"/>
      <w:r>
        <w:rPr>
          <w:rFonts w:hint="eastAsia" w:ascii="Times New Roman" w:hAnsi="Times New Roman" w:eastAsia="宋体" w:cs="Times New Roman"/>
          <w:color w:val="auto"/>
          <w:kern w:val="2"/>
          <w:sz w:val="21"/>
          <w:szCs w:val="21"/>
          <w:highlight w:val="none"/>
          <w:lang w:val="en-US" w:eastAsia="zh-CN" w:bidi="ar-SA"/>
        </w:rPr>
        <w:t>3.4.1.1.5.8城乡居民养老保险入库明细查询（人社微信）</w:t>
      </w:r>
      <w:bookmarkEnd w:id="444"/>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在微信小程序中，城乡居民完成社保费征收后，可通过本功能查询社保费征缴入库情况。所有功能均按照社保费标准版规范进行开发。</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45" w:name="_Toc117633659"/>
      <w:r>
        <w:rPr>
          <w:rFonts w:hint="eastAsia" w:ascii="Times New Roman" w:hAnsi="Times New Roman" w:eastAsia="宋体" w:cs="Times New Roman"/>
          <w:color w:val="auto"/>
          <w:kern w:val="2"/>
          <w:sz w:val="21"/>
          <w:szCs w:val="21"/>
          <w:highlight w:val="none"/>
          <w:lang w:val="en-US" w:eastAsia="zh-CN" w:bidi="ar-SA"/>
        </w:rPr>
        <w:t>3.4.1.2支付宝程序（人社）</w:t>
      </w:r>
      <w:bookmarkEnd w:id="445"/>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46" w:name="_Toc117633660"/>
      <w:r>
        <w:rPr>
          <w:rFonts w:hint="eastAsia" w:ascii="Times New Roman" w:hAnsi="Times New Roman" w:eastAsia="宋体" w:cs="Times New Roman"/>
          <w:color w:val="auto"/>
          <w:kern w:val="2"/>
          <w:sz w:val="21"/>
          <w:szCs w:val="21"/>
          <w:highlight w:val="none"/>
          <w:lang w:val="en-US" w:eastAsia="zh-CN" w:bidi="ar-SA"/>
        </w:rPr>
        <w:t>3.4.1.2.1参保登记验证（人社支付宝）</w:t>
      </w:r>
      <w:bookmarkEnd w:id="446"/>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47" w:name="_Toc117633661"/>
      <w:r>
        <w:rPr>
          <w:rFonts w:hint="eastAsia" w:ascii="Times New Roman" w:hAnsi="Times New Roman" w:eastAsia="宋体" w:cs="Times New Roman"/>
          <w:color w:val="auto"/>
          <w:kern w:val="2"/>
          <w:sz w:val="21"/>
          <w:szCs w:val="21"/>
          <w:highlight w:val="none"/>
          <w:lang w:val="en-US" w:eastAsia="zh-CN" w:bidi="ar-SA"/>
        </w:rPr>
        <w:t>3.4.1.2.1.1灵活就业人员养老保险参保登记验证（人社支付宝）</w:t>
      </w:r>
      <w:bookmarkEnd w:id="447"/>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在支付宝程序中实现灵活就业人员养老保险参保登记验证，实现业务需求详见《3.4.1.1.1.1灵活就业人员养老保险参保登记验证》。</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48" w:name="_Toc117633662"/>
      <w:r>
        <w:rPr>
          <w:rFonts w:hint="eastAsia" w:ascii="Times New Roman" w:hAnsi="Times New Roman" w:eastAsia="宋体" w:cs="Times New Roman"/>
          <w:color w:val="auto"/>
          <w:kern w:val="2"/>
          <w:sz w:val="21"/>
          <w:szCs w:val="21"/>
          <w:highlight w:val="none"/>
          <w:lang w:val="en-US" w:eastAsia="zh-CN" w:bidi="ar-SA"/>
        </w:rPr>
        <w:t>3.4.1.2.1.2城乡居民养老保险参保登记验证（人社支付宝）</w:t>
      </w:r>
      <w:bookmarkEnd w:id="448"/>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在支付宝程序中实现城乡居民养老保险参保登记验证，实现业务需求详见《3.4.1.1.1.2城乡居民养老保险参保登记验证》。</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49" w:name="_Toc117633663"/>
      <w:r>
        <w:rPr>
          <w:rFonts w:hint="eastAsia" w:ascii="Times New Roman" w:hAnsi="Times New Roman" w:eastAsia="宋体" w:cs="Times New Roman"/>
          <w:color w:val="auto"/>
          <w:kern w:val="2"/>
          <w:sz w:val="21"/>
          <w:szCs w:val="21"/>
          <w:highlight w:val="none"/>
          <w:lang w:val="en-US" w:eastAsia="zh-CN" w:bidi="ar-SA"/>
        </w:rPr>
        <w:t>3.4.1.2.2提取应缴费信息（人社支付宝）</w:t>
      </w:r>
      <w:bookmarkEnd w:id="449"/>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50" w:name="_Toc117633664"/>
      <w:r>
        <w:rPr>
          <w:rFonts w:hint="eastAsia" w:ascii="Times New Roman" w:hAnsi="Times New Roman" w:eastAsia="宋体" w:cs="Times New Roman"/>
          <w:color w:val="auto"/>
          <w:kern w:val="2"/>
          <w:sz w:val="21"/>
          <w:szCs w:val="21"/>
          <w:highlight w:val="none"/>
          <w:lang w:val="en-US" w:eastAsia="zh-CN" w:bidi="ar-SA"/>
        </w:rPr>
        <w:t>3.4.1.2.2.1灵活就业人员养老保险提取应缴费信息（人社支付宝）</w:t>
      </w:r>
      <w:bookmarkEnd w:id="450"/>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在支付宝程序中实现灵活就业人员养老保险提取应缴费信息，实现业务需求详见《3.4.1.1.2.1灵活就业人员养老保险提取应缴费信息》。</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51" w:name="_Toc117633665"/>
      <w:r>
        <w:rPr>
          <w:rFonts w:hint="eastAsia" w:ascii="Times New Roman" w:hAnsi="Times New Roman" w:eastAsia="宋体" w:cs="Times New Roman"/>
          <w:color w:val="auto"/>
          <w:kern w:val="2"/>
          <w:sz w:val="21"/>
          <w:szCs w:val="21"/>
          <w:highlight w:val="none"/>
          <w:lang w:val="en-US" w:eastAsia="zh-CN" w:bidi="ar-SA"/>
        </w:rPr>
        <w:t>3.4.1.2.2.2城乡居民养老保险提取应缴费信息（人社支付宝）</w:t>
      </w:r>
      <w:bookmarkEnd w:id="451"/>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在支付宝程序中实现城乡居民养老保险提取应缴费信息，实现业务需求详见《3.4.1.1.2.2城乡居民养老保险提取应缴费信息》。</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52" w:name="_Toc117633666"/>
      <w:r>
        <w:rPr>
          <w:rFonts w:hint="eastAsia" w:ascii="Times New Roman" w:hAnsi="Times New Roman" w:eastAsia="宋体" w:cs="Times New Roman"/>
          <w:color w:val="auto"/>
          <w:kern w:val="2"/>
          <w:sz w:val="21"/>
          <w:szCs w:val="21"/>
          <w:highlight w:val="none"/>
          <w:lang w:val="en-US" w:eastAsia="zh-CN" w:bidi="ar-SA"/>
        </w:rPr>
        <w:t>3.4.1.2.3第三方支付平台缴费（人社支付宝）</w:t>
      </w:r>
      <w:bookmarkEnd w:id="452"/>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53" w:name="_Toc117633667"/>
      <w:r>
        <w:rPr>
          <w:rFonts w:hint="eastAsia" w:ascii="Times New Roman" w:hAnsi="Times New Roman" w:eastAsia="宋体" w:cs="Times New Roman"/>
          <w:color w:val="auto"/>
          <w:kern w:val="2"/>
          <w:sz w:val="21"/>
          <w:szCs w:val="21"/>
          <w:highlight w:val="none"/>
          <w:lang w:val="en-US" w:eastAsia="zh-CN" w:bidi="ar-SA"/>
        </w:rPr>
        <w:t>3.4.1.2.3.1灵活就业人员养老保险第三方支付平台缴费（人社支付宝）</w:t>
      </w:r>
      <w:bookmarkEnd w:id="453"/>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在支付宝程序中实现灵活就业人员养老保险第三方支付平台缴费，实现业务需求详见《3.4.1.1.3.1灵活就业人员养老保险第三方支付平台缴费》。</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54" w:name="_Toc117633668"/>
      <w:r>
        <w:rPr>
          <w:rFonts w:hint="eastAsia" w:ascii="Times New Roman" w:hAnsi="Times New Roman" w:eastAsia="宋体" w:cs="Times New Roman"/>
          <w:color w:val="auto"/>
          <w:kern w:val="2"/>
          <w:sz w:val="21"/>
          <w:szCs w:val="21"/>
          <w:highlight w:val="none"/>
          <w:lang w:val="en-US" w:eastAsia="zh-CN" w:bidi="ar-SA"/>
        </w:rPr>
        <w:t>3.4.1.2.3.2城乡居民养老保险第三方支付平台缴费（人社支付宝）</w:t>
      </w:r>
      <w:bookmarkEnd w:id="454"/>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在支付宝程序中实现城乡居民养老保险第三方支付平台缴费，实现业务需求详见《3.4.1.1.3.2城乡居民养老保险第三方支付平台缴费》。</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55" w:name="_Toc117633669"/>
      <w:r>
        <w:rPr>
          <w:rFonts w:hint="eastAsia" w:ascii="Times New Roman" w:hAnsi="Times New Roman" w:eastAsia="宋体" w:cs="Times New Roman"/>
          <w:color w:val="auto"/>
          <w:kern w:val="2"/>
          <w:sz w:val="21"/>
          <w:szCs w:val="21"/>
          <w:highlight w:val="none"/>
          <w:lang w:val="en-US" w:eastAsia="zh-CN" w:bidi="ar-SA"/>
        </w:rPr>
        <w:t>3.4.1.2.4证明开具（人社支付宝）</w:t>
      </w:r>
      <w:bookmarkEnd w:id="455"/>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56" w:name="_Toc117633670"/>
      <w:r>
        <w:rPr>
          <w:rFonts w:hint="eastAsia" w:ascii="Times New Roman" w:hAnsi="Times New Roman" w:eastAsia="宋体" w:cs="Times New Roman"/>
          <w:color w:val="auto"/>
          <w:kern w:val="2"/>
          <w:sz w:val="21"/>
          <w:szCs w:val="21"/>
          <w:highlight w:val="none"/>
          <w:lang w:val="en-US" w:eastAsia="zh-CN" w:bidi="ar-SA"/>
        </w:rPr>
        <w:t>3.4.1.2.4.1灵活就业人员养老保险缴费证明开具（人社支付宝）</w:t>
      </w:r>
      <w:bookmarkEnd w:id="456"/>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在支付宝程序中实现灵活就业人员养老保险缴费证明开具，实现业务需求详见《3.4.1.1.4.1灵活就业人员养老保险缴费证明开具》。</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57" w:name="_Toc117633671"/>
      <w:r>
        <w:rPr>
          <w:rFonts w:hint="eastAsia" w:ascii="Times New Roman" w:hAnsi="Times New Roman" w:eastAsia="宋体" w:cs="Times New Roman"/>
          <w:color w:val="auto"/>
          <w:kern w:val="2"/>
          <w:sz w:val="21"/>
          <w:szCs w:val="21"/>
          <w:highlight w:val="none"/>
          <w:lang w:val="en-US" w:eastAsia="zh-CN" w:bidi="ar-SA"/>
        </w:rPr>
        <w:t>3.4.1.2.4.2城乡居民养老保险缴费证明开具（人社支付宝）</w:t>
      </w:r>
      <w:bookmarkEnd w:id="457"/>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在支付宝程序中实现城乡居民养老保险缴费证明开具，实现业务需求详见《3.4.1.1.4.2城乡居民养老保险缴费证明开具》。</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58" w:name="_Toc117633672"/>
      <w:r>
        <w:rPr>
          <w:rFonts w:hint="eastAsia" w:ascii="Times New Roman" w:hAnsi="Times New Roman" w:eastAsia="宋体" w:cs="Times New Roman"/>
          <w:color w:val="auto"/>
          <w:kern w:val="2"/>
          <w:sz w:val="21"/>
          <w:szCs w:val="21"/>
          <w:highlight w:val="none"/>
          <w:lang w:val="en-US" w:eastAsia="zh-CN" w:bidi="ar-SA"/>
        </w:rPr>
        <w:t>3.4.1.2.4.3灵活就业人员养老保险完税证明开具（人社支付宝）</w:t>
      </w:r>
      <w:bookmarkEnd w:id="458"/>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在支付宝程序中实现灵活就业人员养老保险完税证明开具，实现业务需求详见《3.4.1.1.4.3灵活就业人员养老保险完税证明开具》。</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59" w:name="_Toc117633673"/>
      <w:r>
        <w:rPr>
          <w:rFonts w:hint="eastAsia" w:ascii="Times New Roman" w:hAnsi="Times New Roman" w:eastAsia="宋体" w:cs="Times New Roman"/>
          <w:color w:val="auto"/>
          <w:kern w:val="2"/>
          <w:sz w:val="21"/>
          <w:szCs w:val="21"/>
          <w:highlight w:val="none"/>
          <w:lang w:val="en-US" w:eastAsia="zh-CN" w:bidi="ar-SA"/>
        </w:rPr>
        <w:t>3.4.1.2.4.4城乡居民养老保险完税证明开具（人社支付宝）</w:t>
      </w:r>
      <w:bookmarkEnd w:id="459"/>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在支付宝程序中实现城乡居民养老保险完税证明开具，实现业务需求详见《3.4.1.1.4.4城乡居民养老保险完税证明开具》。</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60" w:name="_Toc117633674"/>
      <w:r>
        <w:rPr>
          <w:rFonts w:hint="eastAsia" w:ascii="Times New Roman" w:hAnsi="Times New Roman" w:eastAsia="宋体" w:cs="Times New Roman"/>
          <w:color w:val="auto"/>
          <w:kern w:val="2"/>
          <w:sz w:val="21"/>
          <w:szCs w:val="21"/>
          <w:highlight w:val="none"/>
          <w:lang w:val="en-US" w:eastAsia="zh-CN" w:bidi="ar-SA"/>
        </w:rPr>
        <w:t>3.4.1.2.5查询（人社支付宝）</w:t>
      </w:r>
      <w:bookmarkEnd w:id="460"/>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61" w:name="_Toc117633675"/>
      <w:r>
        <w:rPr>
          <w:rFonts w:hint="eastAsia" w:ascii="Times New Roman" w:hAnsi="Times New Roman" w:eastAsia="宋体" w:cs="Times New Roman"/>
          <w:color w:val="auto"/>
          <w:kern w:val="2"/>
          <w:sz w:val="21"/>
          <w:szCs w:val="21"/>
          <w:highlight w:val="none"/>
          <w:lang w:val="en-US" w:eastAsia="zh-CN" w:bidi="ar-SA"/>
        </w:rPr>
        <w:t>3.4.1.2.5.1灵活就业人员养老保险基础登记查询（人社支付宝）</w:t>
      </w:r>
      <w:bookmarkEnd w:id="461"/>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在支付宝程序中实现灵活就业人员养老保险基础登记查询，实现业务需求详见《3.4.1.1.5.1灵活就业人员养老保险基础登记查询》。</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62" w:name="_Toc117633676"/>
      <w:r>
        <w:rPr>
          <w:rFonts w:hint="eastAsia" w:ascii="Times New Roman" w:hAnsi="Times New Roman" w:eastAsia="宋体" w:cs="Times New Roman"/>
          <w:color w:val="auto"/>
          <w:kern w:val="2"/>
          <w:sz w:val="21"/>
          <w:szCs w:val="21"/>
          <w:highlight w:val="none"/>
          <w:lang w:val="en-US" w:eastAsia="zh-CN" w:bidi="ar-SA"/>
        </w:rPr>
        <w:t>3.4.1.2.5.2灵活就业人员养老保险险种登记查询（人社支付宝）</w:t>
      </w:r>
      <w:bookmarkEnd w:id="462"/>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在支付宝程序中实现灵活就业人员养老保险险种登记查询，实现业务需求详见《3.4.1.1.5.2灵活就业人员养老保险险种登记查询》。</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63" w:name="_Toc117633677"/>
      <w:r>
        <w:rPr>
          <w:rFonts w:hint="eastAsia" w:ascii="Times New Roman" w:hAnsi="Times New Roman" w:eastAsia="宋体" w:cs="Times New Roman"/>
          <w:color w:val="auto"/>
          <w:kern w:val="2"/>
          <w:sz w:val="21"/>
          <w:szCs w:val="21"/>
          <w:highlight w:val="none"/>
          <w:lang w:val="en-US" w:eastAsia="zh-CN" w:bidi="ar-SA"/>
        </w:rPr>
        <w:t>3.4.1.2.5.3灵活就业人员养老保险征缴计划查询（人社支付宝）</w:t>
      </w:r>
      <w:bookmarkEnd w:id="463"/>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在支付宝程序中实现灵活就业人员养老保险征缴计划查询，实现业务需求详见《3.4.1.1.5.3灵活就业人员养老保险征缴计划查询》。</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64" w:name="_Toc117633678"/>
      <w:r>
        <w:rPr>
          <w:rFonts w:hint="eastAsia" w:ascii="Times New Roman" w:hAnsi="Times New Roman" w:eastAsia="宋体" w:cs="Times New Roman"/>
          <w:color w:val="auto"/>
          <w:kern w:val="2"/>
          <w:sz w:val="21"/>
          <w:szCs w:val="21"/>
          <w:highlight w:val="none"/>
          <w:lang w:val="en-US" w:eastAsia="zh-CN" w:bidi="ar-SA"/>
        </w:rPr>
        <w:t>3.4.1.2.5.4灵活就业人员养老保险入库明细查询（人社支付宝）</w:t>
      </w:r>
      <w:bookmarkEnd w:id="464"/>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在支付宝程序中实现灵活就业人员养老保险入库明细查询，实现业务需求详见《3.4.1.1.5.4灵活就业人员养老保险入库明细查询》。</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65" w:name="_Toc117633679"/>
      <w:r>
        <w:rPr>
          <w:rFonts w:hint="eastAsia" w:ascii="Times New Roman" w:hAnsi="Times New Roman" w:eastAsia="宋体" w:cs="Times New Roman"/>
          <w:color w:val="auto"/>
          <w:kern w:val="2"/>
          <w:sz w:val="21"/>
          <w:szCs w:val="21"/>
          <w:highlight w:val="none"/>
          <w:lang w:val="en-US" w:eastAsia="zh-CN" w:bidi="ar-SA"/>
        </w:rPr>
        <w:t>3.4.1.2.5.5城乡居民养老保险基础登记查询（人社支付宝）</w:t>
      </w:r>
      <w:bookmarkEnd w:id="465"/>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在支付宝程序中实现城乡居民养老保险基础登记查询，实现业务需求详见《3.4.1.1.5.5城乡居民养老保险基础登记查询》。</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66" w:name="_Toc117633680"/>
      <w:r>
        <w:rPr>
          <w:rFonts w:hint="eastAsia" w:ascii="Times New Roman" w:hAnsi="Times New Roman" w:eastAsia="宋体" w:cs="Times New Roman"/>
          <w:color w:val="auto"/>
          <w:kern w:val="2"/>
          <w:sz w:val="21"/>
          <w:szCs w:val="21"/>
          <w:highlight w:val="none"/>
          <w:lang w:val="en-US" w:eastAsia="zh-CN" w:bidi="ar-SA"/>
        </w:rPr>
        <w:t>3.4.1.2.5.6城乡居民养老保险险种登记查询（人社支付宝）</w:t>
      </w:r>
      <w:bookmarkEnd w:id="466"/>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在支付宝程序中实现城乡居民养老保险险种登记查询，实现业务需求详见《3.4.1.1.4.6城乡居民养老保险险种登记查询》。</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67" w:name="_Toc117633681"/>
      <w:r>
        <w:rPr>
          <w:rFonts w:hint="eastAsia" w:ascii="Times New Roman" w:hAnsi="Times New Roman" w:eastAsia="宋体" w:cs="Times New Roman"/>
          <w:color w:val="auto"/>
          <w:kern w:val="2"/>
          <w:sz w:val="21"/>
          <w:szCs w:val="21"/>
          <w:highlight w:val="none"/>
          <w:lang w:val="en-US" w:eastAsia="zh-CN" w:bidi="ar-SA"/>
        </w:rPr>
        <w:t>3.4.1.2.5.7城乡居民养老保险征缴计划查询（人社支付宝）</w:t>
      </w:r>
      <w:bookmarkEnd w:id="467"/>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在支付宝程序中实现城乡居民养老保险征缴计划查询，实现业务需求详见《3.4.1.1.5.7城乡居民养老保险征缴计划查询》。</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68" w:name="_Toc117633682"/>
      <w:r>
        <w:rPr>
          <w:rFonts w:hint="eastAsia" w:ascii="Times New Roman" w:hAnsi="Times New Roman" w:eastAsia="宋体" w:cs="Times New Roman"/>
          <w:color w:val="auto"/>
          <w:kern w:val="2"/>
          <w:sz w:val="21"/>
          <w:szCs w:val="21"/>
          <w:highlight w:val="none"/>
          <w:lang w:val="en-US" w:eastAsia="zh-CN" w:bidi="ar-SA"/>
        </w:rPr>
        <w:t>3.4.1.2.5.8城乡居民养老保险入库明细查询（人社支付宝）</w:t>
      </w:r>
      <w:bookmarkEnd w:id="468"/>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在支付宝程序中实现城乡居民养老保险入库明细查询，实现业务需求详见《3.4.1.1.5.8城乡居民养老保险入库明细查询》。</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69" w:name="_Toc117633683"/>
      <w:r>
        <w:rPr>
          <w:rFonts w:hint="eastAsia" w:ascii="Times New Roman" w:hAnsi="Times New Roman" w:eastAsia="宋体" w:cs="Times New Roman"/>
          <w:color w:val="auto"/>
          <w:kern w:val="2"/>
          <w:sz w:val="21"/>
          <w:szCs w:val="21"/>
          <w:highlight w:val="none"/>
          <w:lang w:val="en-US" w:eastAsia="zh-CN" w:bidi="ar-SA"/>
        </w:rPr>
        <w:t>3.4.1.3网站（人社）</w:t>
      </w:r>
      <w:bookmarkEnd w:id="469"/>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70" w:name="_Toc117633684"/>
      <w:r>
        <w:rPr>
          <w:rFonts w:hint="eastAsia" w:ascii="Times New Roman" w:hAnsi="Times New Roman" w:eastAsia="宋体" w:cs="Times New Roman"/>
          <w:color w:val="auto"/>
          <w:kern w:val="2"/>
          <w:sz w:val="21"/>
          <w:szCs w:val="21"/>
          <w:highlight w:val="none"/>
          <w:lang w:val="en-US" w:eastAsia="zh-CN" w:bidi="ar-SA"/>
        </w:rPr>
        <w:t>3.4.1.3.1参保登记验证（人社网站）</w:t>
      </w:r>
      <w:bookmarkEnd w:id="470"/>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71" w:name="_Toc117633685"/>
      <w:r>
        <w:rPr>
          <w:rFonts w:hint="eastAsia" w:ascii="Times New Roman" w:hAnsi="Times New Roman" w:eastAsia="宋体" w:cs="Times New Roman"/>
          <w:color w:val="auto"/>
          <w:kern w:val="2"/>
          <w:sz w:val="21"/>
          <w:szCs w:val="21"/>
          <w:highlight w:val="none"/>
          <w:lang w:val="en-US" w:eastAsia="zh-CN" w:bidi="ar-SA"/>
        </w:rPr>
        <w:t>3.4.1.3.1.1灵活就业人员养老保险参保登记验证（人社网站）</w:t>
      </w:r>
      <w:bookmarkEnd w:id="471"/>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在网站中实现灵活就业人员养老保险参保登记验证，实现业务需求详见《3.4.1.1.1.1灵活就业人员养老保险参保登记验证》。</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72" w:name="_Toc117633686"/>
      <w:r>
        <w:rPr>
          <w:rFonts w:hint="eastAsia" w:ascii="Times New Roman" w:hAnsi="Times New Roman" w:eastAsia="宋体" w:cs="Times New Roman"/>
          <w:color w:val="auto"/>
          <w:kern w:val="2"/>
          <w:sz w:val="21"/>
          <w:szCs w:val="21"/>
          <w:highlight w:val="none"/>
          <w:lang w:val="en-US" w:eastAsia="zh-CN" w:bidi="ar-SA"/>
        </w:rPr>
        <w:t>3.4.1.3.1.2城乡居民养老保险参保登记验证（人社网站）</w:t>
      </w:r>
      <w:bookmarkEnd w:id="472"/>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在网站中实现城乡居民养老保险参保登记验证，实现业务需求详见《3.4.1.1.1.2城乡居民养老保险参保登记验证》。</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73" w:name="_Toc117633687"/>
      <w:r>
        <w:rPr>
          <w:rFonts w:hint="eastAsia" w:ascii="Times New Roman" w:hAnsi="Times New Roman" w:eastAsia="宋体" w:cs="Times New Roman"/>
          <w:color w:val="auto"/>
          <w:kern w:val="2"/>
          <w:sz w:val="21"/>
          <w:szCs w:val="21"/>
          <w:highlight w:val="none"/>
          <w:lang w:val="en-US" w:eastAsia="zh-CN" w:bidi="ar-SA"/>
        </w:rPr>
        <w:t>3.4.1.3.2提取应缴费信息（人社网站）</w:t>
      </w:r>
      <w:bookmarkEnd w:id="473"/>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74" w:name="_Toc117633688"/>
      <w:r>
        <w:rPr>
          <w:rFonts w:hint="eastAsia" w:ascii="Times New Roman" w:hAnsi="Times New Roman" w:eastAsia="宋体" w:cs="Times New Roman"/>
          <w:color w:val="auto"/>
          <w:kern w:val="2"/>
          <w:sz w:val="21"/>
          <w:szCs w:val="21"/>
          <w:highlight w:val="none"/>
          <w:lang w:val="en-US" w:eastAsia="zh-CN" w:bidi="ar-SA"/>
        </w:rPr>
        <w:t>3.4.1.3.2.1灵活就业人员养老保险提取应缴费信息（人社网站）</w:t>
      </w:r>
      <w:bookmarkEnd w:id="474"/>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在网站中实现灵活就业人员养老保险提取应缴费信息，实现业务需求详见《3.4.1.1.2.1灵活就业人员养老保险提取应缴费信息》。</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75" w:name="_Toc117633689"/>
      <w:r>
        <w:rPr>
          <w:rFonts w:hint="eastAsia" w:ascii="Times New Roman" w:hAnsi="Times New Roman" w:eastAsia="宋体" w:cs="Times New Roman"/>
          <w:color w:val="auto"/>
          <w:kern w:val="2"/>
          <w:sz w:val="21"/>
          <w:szCs w:val="21"/>
          <w:highlight w:val="none"/>
          <w:lang w:val="en-US" w:eastAsia="zh-CN" w:bidi="ar-SA"/>
        </w:rPr>
        <w:t>3.4.1.3.2.2城乡居民养老保险提取应缴费信息（人社网站）</w:t>
      </w:r>
      <w:bookmarkEnd w:id="475"/>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在网站中实现城乡居民养老保险提取应缴费信息，实现业务需求详见《3.4.1.1.2.2城乡居民养老保险提取应缴费信息》。</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76" w:name="_Toc117633690"/>
      <w:r>
        <w:rPr>
          <w:rFonts w:hint="eastAsia" w:ascii="Times New Roman" w:hAnsi="Times New Roman" w:eastAsia="宋体" w:cs="Times New Roman"/>
          <w:color w:val="auto"/>
          <w:kern w:val="2"/>
          <w:sz w:val="21"/>
          <w:szCs w:val="21"/>
          <w:highlight w:val="none"/>
          <w:lang w:val="en-US" w:eastAsia="zh-CN" w:bidi="ar-SA"/>
        </w:rPr>
        <w:t>3.4.1.3.3第三方支付平台缴费（人社网站）</w:t>
      </w:r>
      <w:bookmarkEnd w:id="476"/>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77" w:name="_Toc117633691"/>
      <w:r>
        <w:rPr>
          <w:rFonts w:hint="eastAsia" w:ascii="Times New Roman" w:hAnsi="Times New Roman" w:eastAsia="宋体" w:cs="Times New Roman"/>
          <w:color w:val="auto"/>
          <w:kern w:val="2"/>
          <w:sz w:val="21"/>
          <w:szCs w:val="21"/>
          <w:highlight w:val="none"/>
          <w:lang w:val="en-US" w:eastAsia="zh-CN" w:bidi="ar-SA"/>
        </w:rPr>
        <w:t>3.4.1.3.3.1灵活就业人员养老保险第三方支付平台缴费（人社网站）</w:t>
      </w:r>
      <w:bookmarkEnd w:id="477"/>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在网站中实现灵活就业人员养老保险第三方支付平台缴费，实现业务需求详见《3.4.1.1.3.1灵活就业人员养老保险第三方支付平台缴费》。</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78" w:name="_Toc117633692"/>
      <w:r>
        <w:rPr>
          <w:rFonts w:hint="eastAsia" w:ascii="Times New Roman" w:hAnsi="Times New Roman" w:eastAsia="宋体" w:cs="Times New Roman"/>
          <w:color w:val="auto"/>
          <w:kern w:val="2"/>
          <w:sz w:val="21"/>
          <w:szCs w:val="21"/>
          <w:highlight w:val="none"/>
          <w:lang w:val="en-US" w:eastAsia="zh-CN" w:bidi="ar-SA"/>
        </w:rPr>
        <w:t>3.4.1.3.3.2城乡居民养老保险第三方支付平台缴费（人社网站）</w:t>
      </w:r>
      <w:bookmarkEnd w:id="478"/>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在网站中实现城乡居民养老保险第三方支付平台缴费，实现业务需求详见《3.4.1.1.3.2城乡居民养老保险第三方支付平台缴费》。</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79" w:name="_Toc117633693"/>
      <w:r>
        <w:rPr>
          <w:rFonts w:hint="eastAsia" w:ascii="Times New Roman" w:hAnsi="Times New Roman" w:eastAsia="宋体" w:cs="Times New Roman"/>
          <w:color w:val="auto"/>
          <w:kern w:val="2"/>
          <w:sz w:val="21"/>
          <w:szCs w:val="21"/>
          <w:highlight w:val="none"/>
          <w:lang w:val="en-US" w:eastAsia="zh-CN" w:bidi="ar-SA"/>
        </w:rPr>
        <w:t>3.4.1.3.4证明开具（人社网站）</w:t>
      </w:r>
      <w:bookmarkEnd w:id="479"/>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80" w:name="_Toc117633694"/>
      <w:r>
        <w:rPr>
          <w:rFonts w:hint="eastAsia" w:ascii="Times New Roman" w:hAnsi="Times New Roman" w:eastAsia="宋体" w:cs="Times New Roman"/>
          <w:color w:val="auto"/>
          <w:kern w:val="2"/>
          <w:sz w:val="21"/>
          <w:szCs w:val="21"/>
          <w:highlight w:val="none"/>
          <w:lang w:val="en-US" w:eastAsia="zh-CN" w:bidi="ar-SA"/>
        </w:rPr>
        <w:t>3.4.1.3.4.1灵活就业人员养老保险缴费证明开具（人社网站）</w:t>
      </w:r>
      <w:bookmarkEnd w:id="480"/>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在网站中实现灵活就业人员养老保险缴费证明开具，实现业务需求详见《3.4.1.1.4.1灵活就业人员养老保险缴费证明开具》。</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81" w:name="_Toc117633695"/>
      <w:r>
        <w:rPr>
          <w:rFonts w:hint="eastAsia" w:ascii="Times New Roman" w:hAnsi="Times New Roman" w:eastAsia="宋体" w:cs="Times New Roman"/>
          <w:color w:val="auto"/>
          <w:kern w:val="2"/>
          <w:sz w:val="21"/>
          <w:szCs w:val="21"/>
          <w:highlight w:val="none"/>
          <w:lang w:val="en-US" w:eastAsia="zh-CN" w:bidi="ar-SA"/>
        </w:rPr>
        <w:t>3.4.1.3.4.2城乡居民养老保险缴费证明开具（人社网站）</w:t>
      </w:r>
      <w:bookmarkEnd w:id="481"/>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在网站中实现城乡居民养老保险缴费证明开具，实现业务需求详见《3.4.1.1.4.2城乡居民养老保险缴费证明开具》。</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82" w:name="_Toc117633696"/>
      <w:r>
        <w:rPr>
          <w:rFonts w:hint="eastAsia" w:ascii="Times New Roman" w:hAnsi="Times New Roman" w:eastAsia="宋体" w:cs="Times New Roman"/>
          <w:color w:val="auto"/>
          <w:kern w:val="2"/>
          <w:sz w:val="21"/>
          <w:szCs w:val="21"/>
          <w:highlight w:val="none"/>
          <w:lang w:val="en-US" w:eastAsia="zh-CN" w:bidi="ar-SA"/>
        </w:rPr>
        <w:t>3.4.1.3.4.3灵活就业人员养老保险完税证明开具（人社网站）</w:t>
      </w:r>
      <w:bookmarkEnd w:id="482"/>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在网站中实现灵活就业人员养老保险完税证明开具，实现业务需求详见《3.4.1.1.4.3灵活就业人员养老保险完税证明开具》。</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83" w:name="_Toc117633697"/>
      <w:r>
        <w:rPr>
          <w:rFonts w:hint="eastAsia" w:ascii="Times New Roman" w:hAnsi="Times New Roman" w:eastAsia="宋体" w:cs="Times New Roman"/>
          <w:color w:val="auto"/>
          <w:kern w:val="2"/>
          <w:sz w:val="21"/>
          <w:szCs w:val="21"/>
          <w:highlight w:val="none"/>
          <w:lang w:val="en-US" w:eastAsia="zh-CN" w:bidi="ar-SA"/>
        </w:rPr>
        <w:t>3.4.1.3.4.4城乡居民养老保险完税证明开具（人社网站）</w:t>
      </w:r>
      <w:bookmarkEnd w:id="483"/>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在网站中实现城乡居民养老保险完税证明开具，实现业务需求详见《3.4.1.1.4.4城乡居民养老保险完税证明开具》。</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84" w:name="_Toc117633698"/>
      <w:r>
        <w:rPr>
          <w:rFonts w:hint="eastAsia" w:ascii="Times New Roman" w:hAnsi="Times New Roman" w:eastAsia="宋体" w:cs="Times New Roman"/>
          <w:color w:val="auto"/>
          <w:kern w:val="2"/>
          <w:sz w:val="21"/>
          <w:szCs w:val="21"/>
          <w:highlight w:val="none"/>
          <w:lang w:val="en-US" w:eastAsia="zh-CN" w:bidi="ar-SA"/>
        </w:rPr>
        <w:t>3.4.1.3.5查询（人社网站）</w:t>
      </w:r>
      <w:bookmarkEnd w:id="484"/>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85" w:name="_Toc117633699"/>
      <w:r>
        <w:rPr>
          <w:rFonts w:hint="eastAsia" w:ascii="Times New Roman" w:hAnsi="Times New Roman" w:eastAsia="宋体" w:cs="Times New Roman"/>
          <w:color w:val="auto"/>
          <w:kern w:val="2"/>
          <w:sz w:val="21"/>
          <w:szCs w:val="21"/>
          <w:highlight w:val="none"/>
          <w:lang w:val="en-US" w:eastAsia="zh-CN" w:bidi="ar-SA"/>
        </w:rPr>
        <w:t>3.4.1.3.5.1灵活就业人员养老保险基础登记查询（人社网站）</w:t>
      </w:r>
      <w:bookmarkEnd w:id="485"/>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在网站中实现灵活就业人员养老保险基础登记查询，实现业务需求详见《3.4.1.1.5.1灵活就业人员养老保险基础登记查询》。</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86" w:name="_Toc117633700"/>
      <w:r>
        <w:rPr>
          <w:rFonts w:hint="eastAsia" w:ascii="Times New Roman" w:hAnsi="Times New Roman" w:eastAsia="宋体" w:cs="Times New Roman"/>
          <w:color w:val="auto"/>
          <w:kern w:val="2"/>
          <w:sz w:val="21"/>
          <w:szCs w:val="21"/>
          <w:highlight w:val="none"/>
          <w:lang w:val="en-US" w:eastAsia="zh-CN" w:bidi="ar-SA"/>
        </w:rPr>
        <w:t>3.4.1.3.5.2灵活就业人员养老保险险种登记查询（人社网站）</w:t>
      </w:r>
      <w:bookmarkEnd w:id="486"/>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在网站中实现灵活就业人员养老保险险种登记查询，实现业务需求详见《3.4.1.1.5.2灵活就业人员养老保险险种登记查询》。</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87" w:name="_Toc117633701"/>
      <w:r>
        <w:rPr>
          <w:rFonts w:hint="eastAsia" w:ascii="Times New Roman" w:hAnsi="Times New Roman" w:eastAsia="宋体" w:cs="Times New Roman"/>
          <w:color w:val="auto"/>
          <w:kern w:val="2"/>
          <w:sz w:val="21"/>
          <w:szCs w:val="21"/>
          <w:highlight w:val="none"/>
          <w:lang w:val="en-US" w:eastAsia="zh-CN" w:bidi="ar-SA"/>
        </w:rPr>
        <w:t>3.4.1.3.5.3灵活就业人员养老保险征缴计划查询（人社网站）</w:t>
      </w:r>
      <w:bookmarkEnd w:id="487"/>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在网站中实现灵活就业人员养老保险征缴计划查询，实现业务需求详见《3.4.1.1.5.3灵活就业人员养老保险征缴计划查询》。</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88" w:name="_Toc117633702"/>
      <w:r>
        <w:rPr>
          <w:rFonts w:hint="eastAsia" w:ascii="Times New Roman" w:hAnsi="Times New Roman" w:eastAsia="宋体" w:cs="Times New Roman"/>
          <w:color w:val="auto"/>
          <w:kern w:val="2"/>
          <w:sz w:val="21"/>
          <w:szCs w:val="21"/>
          <w:highlight w:val="none"/>
          <w:lang w:val="en-US" w:eastAsia="zh-CN" w:bidi="ar-SA"/>
        </w:rPr>
        <w:t>3.4.1.3.5.4灵活就业人员养老保险入库明细查询（人社网站）</w:t>
      </w:r>
      <w:bookmarkEnd w:id="488"/>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在网站中实现灵活就业人员养老保险入库明细查询，实现业务需求详见《3.4.1.1.5.4灵活就业人员养老保险入库明细查询》。</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89" w:name="_Toc117633703"/>
      <w:r>
        <w:rPr>
          <w:rFonts w:hint="eastAsia" w:ascii="Times New Roman" w:hAnsi="Times New Roman" w:eastAsia="宋体" w:cs="Times New Roman"/>
          <w:color w:val="auto"/>
          <w:kern w:val="2"/>
          <w:sz w:val="21"/>
          <w:szCs w:val="21"/>
          <w:highlight w:val="none"/>
          <w:lang w:val="en-US" w:eastAsia="zh-CN" w:bidi="ar-SA"/>
        </w:rPr>
        <w:t>3.4.1.3.5.5城乡居民养老保险基础登记查询（人社网站）</w:t>
      </w:r>
      <w:bookmarkEnd w:id="489"/>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在网站中实现城乡居民养老保险基础登记查询，实现业务需求详见《3.4.1.1.5.5城乡居民养老保险基础登记查询》。</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90" w:name="_Toc117633704"/>
      <w:r>
        <w:rPr>
          <w:rFonts w:hint="eastAsia" w:ascii="Times New Roman" w:hAnsi="Times New Roman" w:eastAsia="宋体" w:cs="Times New Roman"/>
          <w:color w:val="auto"/>
          <w:kern w:val="2"/>
          <w:sz w:val="21"/>
          <w:szCs w:val="21"/>
          <w:highlight w:val="none"/>
          <w:lang w:val="en-US" w:eastAsia="zh-CN" w:bidi="ar-SA"/>
        </w:rPr>
        <w:t>3.4.1.3.5.6城乡居民养老保险险种登记查询（人社网站）</w:t>
      </w:r>
      <w:bookmarkEnd w:id="490"/>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在网站中实现城乡居民养老保险险种登记查询，实现业务需求详见《3.4.1.1.4.6城乡居民养老保险险种登记查询》。</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91" w:name="_Toc117633705"/>
      <w:r>
        <w:rPr>
          <w:rFonts w:hint="eastAsia" w:ascii="Times New Roman" w:hAnsi="Times New Roman" w:eastAsia="宋体" w:cs="Times New Roman"/>
          <w:color w:val="auto"/>
          <w:kern w:val="2"/>
          <w:sz w:val="21"/>
          <w:szCs w:val="21"/>
          <w:highlight w:val="none"/>
          <w:lang w:val="en-US" w:eastAsia="zh-CN" w:bidi="ar-SA"/>
        </w:rPr>
        <w:t>3.4.1.3.5.7城乡居民养老保险征缴计划查询（人社网站）</w:t>
      </w:r>
      <w:bookmarkEnd w:id="491"/>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在网站中实现城乡居民养老保险征缴计划查询，实现业务需求详见《3.4.1.1.5.7城乡居民养老保险征缴计划查询》。</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92" w:name="_Toc117633706"/>
      <w:r>
        <w:rPr>
          <w:rFonts w:hint="eastAsia" w:ascii="Times New Roman" w:hAnsi="Times New Roman" w:eastAsia="宋体" w:cs="Times New Roman"/>
          <w:color w:val="auto"/>
          <w:kern w:val="2"/>
          <w:sz w:val="21"/>
          <w:szCs w:val="21"/>
          <w:highlight w:val="none"/>
          <w:lang w:val="en-US" w:eastAsia="zh-CN" w:bidi="ar-SA"/>
        </w:rPr>
        <w:t>3.4.1.3.5.8城乡居民养老保险入库明细查询（人社网站）</w:t>
      </w:r>
      <w:bookmarkEnd w:id="492"/>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在网站中实现城乡居民养老保险入库明细查询，实现业务需求详见《3.4.1.1.5.8城乡居民养老保险入库明细查询》。</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93" w:name="_Toc117633707"/>
      <w:r>
        <w:rPr>
          <w:rFonts w:hint="eastAsia" w:ascii="Times New Roman" w:hAnsi="Times New Roman" w:eastAsia="宋体" w:cs="Times New Roman"/>
          <w:color w:val="auto"/>
          <w:kern w:val="2"/>
          <w:sz w:val="21"/>
          <w:szCs w:val="21"/>
          <w:highlight w:val="none"/>
          <w:lang w:val="en-US" w:eastAsia="zh-CN" w:bidi="ar-SA"/>
        </w:rPr>
        <w:t>3.4.1.4手机APP程序（人社）</w:t>
      </w:r>
      <w:bookmarkEnd w:id="493"/>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94" w:name="_Toc117633708"/>
      <w:r>
        <w:rPr>
          <w:rFonts w:hint="eastAsia" w:ascii="Times New Roman" w:hAnsi="Times New Roman" w:eastAsia="宋体" w:cs="Times New Roman"/>
          <w:color w:val="auto"/>
          <w:kern w:val="2"/>
          <w:sz w:val="21"/>
          <w:szCs w:val="21"/>
          <w:highlight w:val="none"/>
          <w:lang w:val="en-US" w:eastAsia="zh-CN" w:bidi="ar-SA"/>
        </w:rPr>
        <w:t>3.4.1.4.1参保登记验证（人社APP）</w:t>
      </w:r>
      <w:bookmarkEnd w:id="494"/>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95" w:name="_Toc117633709"/>
      <w:r>
        <w:rPr>
          <w:rFonts w:hint="eastAsia" w:ascii="Times New Roman" w:hAnsi="Times New Roman" w:eastAsia="宋体" w:cs="Times New Roman"/>
          <w:color w:val="auto"/>
          <w:kern w:val="2"/>
          <w:sz w:val="21"/>
          <w:szCs w:val="21"/>
          <w:highlight w:val="none"/>
          <w:lang w:val="en-US" w:eastAsia="zh-CN" w:bidi="ar-SA"/>
        </w:rPr>
        <w:t>3.4.1.4.1.1灵活就业人员养老保险参保登记验证（人社APP）</w:t>
      </w:r>
      <w:bookmarkEnd w:id="495"/>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在手机APP中实现灵活就业人员养老保险参保登记验证，实现业务需求详见《3.4.1.1.1.1灵活就业人员养老保险参保登记验证》。</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96" w:name="_Toc117633710"/>
      <w:r>
        <w:rPr>
          <w:rFonts w:hint="eastAsia" w:ascii="Times New Roman" w:hAnsi="Times New Roman" w:eastAsia="宋体" w:cs="Times New Roman"/>
          <w:color w:val="auto"/>
          <w:kern w:val="2"/>
          <w:sz w:val="21"/>
          <w:szCs w:val="21"/>
          <w:highlight w:val="none"/>
          <w:lang w:val="en-US" w:eastAsia="zh-CN" w:bidi="ar-SA"/>
        </w:rPr>
        <w:t>3.4.1.4.1.2城乡居民养老保险参保登记验证（人社APP）</w:t>
      </w:r>
      <w:bookmarkEnd w:id="496"/>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在手机APP中实现城乡居民养老保险参保登记验证，实现业务需求详见《3.4.1.1.1.2城乡居民养老保险参保登记验证》。</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97" w:name="_Toc117633711"/>
      <w:r>
        <w:rPr>
          <w:rFonts w:hint="eastAsia" w:ascii="Times New Roman" w:hAnsi="Times New Roman" w:eastAsia="宋体" w:cs="Times New Roman"/>
          <w:color w:val="auto"/>
          <w:kern w:val="2"/>
          <w:sz w:val="21"/>
          <w:szCs w:val="21"/>
          <w:highlight w:val="none"/>
          <w:lang w:val="en-US" w:eastAsia="zh-CN" w:bidi="ar-SA"/>
        </w:rPr>
        <w:t>3.4.1.4.2提取应缴费信息（人社APP）</w:t>
      </w:r>
      <w:bookmarkEnd w:id="497"/>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98" w:name="_Toc117633712"/>
      <w:r>
        <w:rPr>
          <w:rFonts w:hint="eastAsia" w:ascii="Times New Roman" w:hAnsi="Times New Roman" w:eastAsia="宋体" w:cs="Times New Roman"/>
          <w:color w:val="auto"/>
          <w:kern w:val="2"/>
          <w:sz w:val="21"/>
          <w:szCs w:val="21"/>
          <w:highlight w:val="none"/>
          <w:lang w:val="en-US" w:eastAsia="zh-CN" w:bidi="ar-SA"/>
        </w:rPr>
        <w:t>3.4.1.4.2.1灵活就业人员养老保险提取应缴费信息（人社APP）</w:t>
      </w:r>
      <w:bookmarkEnd w:id="498"/>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在手机APP中实现灵活就业人员养老保险提取应缴费信息，实现业务需求详见《3.4.1.1.2.1灵活就业人员养老保险提取应缴费信息》。</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499" w:name="_Toc117633713"/>
      <w:r>
        <w:rPr>
          <w:rFonts w:hint="eastAsia" w:ascii="Times New Roman" w:hAnsi="Times New Roman" w:eastAsia="宋体" w:cs="Times New Roman"/>
          <w:color w:val="auto"/>
          <w:kern w:val="2"/>
          <w:sz w:val="21"/>
          <w:szCs w:val="21"/>
          <w:highlight w:val="none"/>
          <w:lang w:val="en-US" w:eastAsia="zh-CN" w:bidi="ar-SA"/>
        </w:rPr>
        <w:t>3.4.1.4.2.2城乡居民养老保险提取应缴费信息（人社APP）</w:t>
      </w:r>
      <w:bookmarkEnd w:id="499"/>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在手机APP中实现城乡居民养老保险提取应缴费信息，实现业务需求详见《3.4.1.1.2.2城乡居民养老保险提取应缴费信息》。</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00" w:name="_Toc117633714"/>
      <w:r>
        <w:rPr>
          <w:rFonts w:hint="eastAsia" w:ascii="Times New Roman" w:hAnsi="Times New Roman" w:eastAsia="宋体" w:cs="Times New Roman"/>
          <w:color w:val="auto"/>
          <w:kern w:val="2"/>
          <w:sz w:val="21"/>
          <w:szCs w:val="21"/>
          <w:highlight w:val="none"/>
          <w:lang w:val="en-US" w:eastAsia="zh-CN" w:bidi="ar-SA"/>
        </w:rPr>
        <w:t>3.4.1.4.3第三方支付平台缴费（人社APP）</w:t>
      </w:r>
      <w:bookmarkEnd w:id="500"/>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01" w:name="_Toc117633715"/>
      <w:r>
        <w:rPr>
          <w:rFonts w:hint="eastAsia" w:ascii="Times New Roman" w:hAnsi="Times New Roman" w:eastAsia="宋体" w:cs="Times New Roman"/>
          <w:color w:val="auto"/>
          <w:kern w:val="2"/>
          <w:sz w:val="21"/>
          <w:szCs w:val="21"/>
          <w:highlight w:val="none"/>
          <w:lang w:val="en-US" w:eastAsia="zh-CN" w:bidi="ar-SA"/>
        </w:rPr>
        <w:t>3.4.1.4.3.1灵活就业人员养老保险第三方支付平台缴费（人社APP）</w:t>
      </w:r>
      <w:bookmarkEnd w:id="501"/>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在手机APP中实现灵活就业人员养老保险第三方支付平台缴费，实现业务需求详见《3.4.1.1.3.1灵活就业人员养老保险第三方支付平台缴费》。</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02" w:name="_Toc117633716"/>
      <w:r>
        <w:rPr>
          <w:rFonts w:hint="eastAsia" w:ascii="Times New Roman" w:hAnsi="Times New Roman" w:eastAsia="宋体" w:cs="Times New Roman"/>
          <w:color w:val="auto"/>
          <w:kern w:val="2"/>
          <w:sz w:val="21"/>
          <w:szCs w:val="21"/>
          <w:highlight w:val="none"/>
          <w:lang w:val="en-US" w:eastAsia="zh-CN" w:bidi="ar-SA"/>
        </w:rPr>
        <w:t>3.4.1.4.3.2城乡居民养老保险第三方支付平台缴费（人社APP）</w:t>
      </w:r>
      <w:bookmarkEnd w:id="502"/>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在手机APP中实现城乡居民养老保险第三方支付平台缴费，实现业务需求详见《3.4.1.1.3.2城乡居民养老保险第三方支付平台缴费》。</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03" w:name="_Toc117633717"/>
      <w:r>
        <w:rPr>
          <w:rFonts w:hint="eastAsia" w:ascii="Times New Roman" w:hAnsi="Times New Roman" w:eastAsia="宋体" w:cs="Times New Roman"/>
          <w:color w:val="auto"/>
          <w:kern w:val="2"/>
          <w:sz w:val="21"/>
          <w:szCs w:val="21"/>
          <w:highlight w:val="none"/>
          <w:lang w:val="en-US" w:eastAsia="zh-CN" w:bidi="ar-SA"/>
        </w:rPr>
        <w:t>3.4.1.4.4证明开具（人社APP）</w:t>
      </w:r>
      <w:bookmarkEnd w:id="503"/>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04" w:name="_Toc117633718"/>
      <w:r>
        <w:rPr>
          <w:rFonts w:hint="eastAsia" w:ascii="Times New Roman" w:hAnsi="Times New Roman" w:eastAsia="宋体" w:cs="Times New Roman"/>
          <w:color w:val="auto"/>
          <w:kern w:val="2"/>
          <w:sz w:val="21"/>
          <w:szCs w:val="21"/>
          <w:highlight w:val="none"/>
          <w:lang w:val="en-US" w:eastAsia="zh-CN" w:bidi="ar-SA"/>
        </w:rPr>
        <w:t>3.4.1.4.4.1灵活就业人员养老保险缴费证明开具（人社APP）</w:t>
      </w:r>
      <w:bookmarkEnd w:id="504"/>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在手机APP中实现灵活就业人员养老保险缴费证明开具，实现业务需求详见《3.4.1.1.4.1灵活就业人员养老保险缴费证明开具》。</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05" w:name="_Toc117633719"/>
      <w:r>
        <w:rPr>
          <w:rFonts w:hint="eastAsia" w:ascii="Times New Roman" w:hAnsi="Times New Roman" w:eastAsia="宋体" w:cs="Times New Roman"/>
          <w:color w:val="auto"/>
          <w:kern w:val="2"/>
          <w:sz w:val="21"/>
          <w:szCs w:val="21"/>
          <w:highlight w:val="none"/>
          <w:lang w:val="en-US" w:eastAsia="zh-CN" w:bidi="ar-SA"/>
        </w:rPr>
        <w:t>3.4.1.4.4.2城乡居民养老保险缴费证明开具（人社APP）</w:t>
      </w:r>
      <w:bookmarkEnd w:id="505"/>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在手机APP中实现城乡居民养老保险缴费证明开具，实现业务需求详见《3.4.1.1.4.2城乡居民养老保险缴费证明开具》。</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06" w:name="_Toc117633720"/>
      <w:r>
        <w:rPr>
          <w:rFonts w:hint="eastAsia" w:ascii="Times New Roman" w:hAnsi="Times New Roman" w:eastAsia="宋体" w:cs="Times New Roman"/>
          <w:color w:val="auto"/>
          <w:kern w:val="2"/>
          <w:sz w:val="21"/>
          <w:szCs w:val="21"/>
          <w:highlight w:val="none"/>
          <w:lang w:val="en-US" w:eastAsia="zh-CN" w:bidi="ar-SA"/>
        </w:rPr>
        <w:t>3.4.1.4.4.3灵活就业人员养老保险完税证明开具（人社APP）</w:t>
      </w:r>
      <w:bookmarkEnd w:id="506"/>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在手机APP中实现灵活就业人员养老保险完税证明开具，实现业务需求详见《3.4.1.1.4.3灵活就业人员养老保险完税证明开具》。</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07" w:name="_Toc117633721"/>
      <w:r>
        <w:rPr>
          <w:rFonts w:hint="eastAsia" w:ascii="Times New Roman" w:hAnsi="Times New Roman" w:eastAsia="宋体" w:cs="Times New Roman"/>
          <w:color w:val="auto"/>
          <w:kern w:val="2"/>
          <w:sz w:val="21"/>
          <w:szCs w:val="21"/>
          <w:highlight w:val="none"/>
          <w:lang w:val="en-US" w:eastAsia="zh-CN" w:bidi="ar-SA"/>
        </w:rPr>
        <w:t>3.4.1.4.4.4城乡居民养老保险完税证明开具（人社APP）</w:t>
      </w:r>
      <w:bookmarkEnd w:id="507"/>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在手机APP中实现城乡居民养老保险完税证明开具，实现业务需求详见《3.4.1.1.4.4城乡居民养老保险完税证明开具》。</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08" w:name="_Toc117633722"/>
      <w:r>
        <w:rPr>
          <w:rFonts w:hint="eastAsia" w:ascii="Times New Roman" w:hAnsi="Times New Roman" w:eastAsia="宋体" w:cs="Times New Roman"/>
          <w:color w:val="auto"/>
          <w:kern w:val="2"/>
          <w:sz w:val="21"/>
          <w:szCs w:val="21"/>
          <w:highlight w:val="none"/>
          <w:lang w:val="en-US" w:eastAsia="zh-CN" w:bidi="ar-SA"/>
        </w:rPr>
        <w:t>3.4.1.4.5查询（人社APP）</w:t>
      </w:r>
      <w:bookmarkEnd w:id="508"/>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09" w:name="_Toc117633723"/>
      <w:r>
        <w:rPr>
          <w:rFonts w:hint="eastAsia" w:ascii="Times New Roman" w:hAnsi="Times New Roman" w:eastAsia="宋体" w:cs="Times New Roman"/>
          <w:color w:val="auto"/>
          <w:kern w:val="2"/>
          <w:sz w:val="21"/>
          <w:szCs w:val="21"/>
          <w:highlight w:val="none"/>
          <w:lang w:val="en-US" w:eastAsia="zh-CN" w:bidi="ar-SA"/>
        </w:rPr>
        <w:t>3.4.1.4.5.1灵活就业人员养老保险基础登记查询（人社APP）</w:t>
      </w:r>
      <w:bookmarkEnd w:id="509"/>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在手机APP中实现灵活就业人员养老保险基础登记查询，实现业务需求详见《3.4.1.1.5.1灵活就业人员养老保险基础登记查询》。</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10" w:name="_Toc117633724"/>
      <w:r>
        <w:rPr>
          <w:rFonts w:hint="eastAsia" w:ascii="Times New Roman" w:hAnsi="Times New Roman" w:eastAsia="宋体" w:cs="Times New Roman"/>
          <w:color w:val="auto"/>
          <w:kern w:val="2"/>
          <w:sz w:val="21"/>
          <w:szCs w:val="21"/>
          <w:highlight w:val="none"/>
          <w:lang w:val="en-US" w:eastAsia="zh-CN" w:bidi="ar-SA"/>
        </w:rPr>
        <w:t>3.4.1.4.5.2灵活就业人员养老保险险种登记查询（人社APP）</w:t>
      </w:r>
      <w:bookmarkEnd w:id="510"/>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在手机APP中实现灵活就业人员养老保险险种登记查询，实现业务需求详见《3.4.1.1.5.2灵活就业人员养老保险险种登记查询》。</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11" w:name="_Toc117633725"/>
      <w:r>
        <w:rPr>
          <w:rFonts w:hint="eastAsia" w:ascii="Times New Roman" w:hAnsi="Times New Roman" w:eastAsia="宋体" w:cs="Times New Roman"/>
          <w:color w:val="auto"/>
          <w:kern w:val="2"/>
          <w:sz w:val="21"/>
          <w:szCs w:val="21"/>
          <w:highlight w:val="none"/>
          <w:lang w:val="en-US" w:eastAsia="zh-CN" w:bidi="ar-SA"/>
        </w:rPr>
        <w:t>3.4.1.4.5.3灵活就业人员养老保险征缴计划查询（人社APP）</w:t>
      </w:r>
      <w:bookmarkEnd w:id="511"/>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在手机APP中实现灵活就业人员养老保险征缴计划查询，实现业务需求详见《3.4.1.1.5.3灵活就业人员养老保险征缴计划查询》。</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12" w:name="_Toc117633726"/>
      <w:r>
        <w:rPr>
          <w:rFonts w:hint="eastAsia" w:ascii="Times New Roman" w:hAnsi="Times New Roman" w:eastAsia="宋体" w:cs="Times New Roman"/>
          <w:color w:val="auto"/>
          <w:kern w:val="2"/>
          <w:sz w:val="21"/>
          <w:szCs w:val="21"/>
          <w:highlight w:val="none"/>
          <w:lang w:val="en-US" w:eastAsia="zh-CN" w:bidi="ar-SA"/>
        </w:rPr>
        <w:t>3.4.1.4.5.4灵活就业人员养老保险入库明细查询（人社APP）</w:t>
      </w:r>
      <w:bookmarkEnd w:id="512"/>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在手机APP中实现灵活就业人员养老保险入库明细查询，实现业务需求详见《3.4.1.1.5.4灵活就业人员养老保险入库明细查询》。</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13" w:name="_Toc117633727"/>
      <w:r>
        <w:rPr>
          <w:rFonts w:hint="eastAsia" w:ascii="Times New Roman" w:hAnsi="Times New Roman" w:eastAsia="宋体" w:cs="Times New Roman"/>
          <w:color w:val="auto"/>
          <w:kern w:val="2"/>
          <w:sz w:val="21"/>
          <w:szCs w:val="21"/>
          <w:highlight w:val="none"/>
          <w:lang w:val="en-US" w:eastAsia="zh-CN" w:bidi="ar-SA"/>
        </w:rPr>
        <w:t>3.4.1.4.5.5城乡居民养老保险基础登记查询（人社APP）</w:t>
      </w:r>
      <w:bookmarkEnd w:id="513"/>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在手机APP中实现城乡居民养老保险基础登记查询，实现业务需求详见《3.4.1.1.5.5城乡居民养老保险基础登记查询》。</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14" w:name="_Toc117633728"/>
      <w:r>
        <w:rPr>
          <w:rFonts w:hint="eastAsia" w:ascii="Times New Roman" w:hAnsi="Times New Roman" w:eastAsia="宋体" w:cs="Times New Roman"/>
          <w:color w:val="auto"/>
          <w:kern w:val="2"/>
          <w:sz w:val="21"/>
          <w:szCs w:val="21"/>
          <w:highlight w:val="none"/>
          <w:lang w:val="en-US" w:eastAsia="zh-CN" w:bidi="ar-SA"/>
        </w:rPr>
        <w:t>3.4.1.4.5.6城乡居民养老保险险种登记查询（人社APP）</w:t>
      </w:r>
      <w:bookmarkEnd w:id="514"/>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在手机APP中实现城乡居民养老保险险种登记查询，实现业务需求详见《3.4.1.1.4.6城乡居民养老保险险种登记查询》。</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15" w:name="_Toc117633729"/>
      <w:r>
        <w:rPr>
          <w:rFonts w:hint="eastAsia" w:ascii="Times New Roman" w:hAnsi="Times New Roman" w:eastAsia="宋体" w:cs="Times New Roman"/>
          <w:color w:val="auto"/>
          <w:kern w:val="2"/>
          <w:sz w:val="21"/>
          <w:szCs w:val="21"/>
          <w:highlight w:val="none"/>
          <w:lang w:val="en-US" w:eastAsia="zh-CN" w:bidi="ar-SA"/>
        </w:rPr>
        <w:t>3.4.1.4.5.7城乡居民养老保险征缴计划查询（人社APP）</w:t>
      </w:r>
      <w:bookmarkEnd w:id="515"/>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在手机APP中实现城乡居民养老保险征缴计划查询，实现业务需求详见《3.4.1.1.5.7城乡居民养老保险征缴计划查询》。</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16" w:name="_Toc117633730"/>
      <w:r>
        <w:rPr>
          <w:rFonts w:hint="eastAsia" w:ascii="Times New Roman" w:hAnsi="Times New Roman" w:eastAsia="宋体" w:cs="Times New Roman"/>
          <w:color w:val="auto"/>
          <w:kern w:val="2"/>
          <w:sz w:val="21"/>
          <w:szCs w:val="21"/>
          <w:highlight w:val="none"/>
          <w:lang w:val="en-US" w:eastAsia="zh-CN" w:bidi="ar-SA"/>
        </w:rPr>
        <w:t>3.4.1.4.5.8城乡居民养老保险入库明细查询（人社APP）</w:t>
      </w:r>
      <w:bookmarkEnd w:id="516"/>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在手机APP中实现城乡居民养老保险入库明细查询，实现业务需求详见《3.4.1.1.5.8城乡居民养老保险入库明细查询》。</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17" w:name="_Toc117633731"/>
      <w:r>
        <w:rPr>
          <w:rFonts w:hint="eastAsia" w:ascii="Times New Roman" w:hAnsi="Times New Roman" w:eastAsia="宋体" w:cs="Times New Roman"/>
          <w:color w:val="auto"/>
          <w:kern w:val="2"/>
          <w:sz w:val="21"/>
          <w:szCs w:val="21"/>
          <w:highlight w:val="none"/>
          <w:lang w:val="en-US" w:eastAsia="zh-CN" w:bidi="ar-SA"/>
        </w:rPr>
        <w:t>3.4.2向医保部门提供税务征缴集成功能</w:t>
      </w:r>
      <w:bookmarkEnd w:id="517"/>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18" w:name="_Toc117633732"/>
      <w:r>
        <w:rPr>
          <w:rFonts w:hint="eastAsia" w:ascii="Times New Roman" w:hAnsi="Times New Roman" w:eastAsia="宋体" w:cs="Times New Roman"/>
          <w:color w:val="auto"/>
          <w:kern w:val="2"/>
          <w:sz w:val="21"/>
          <w:szCs w:val="21"/>
          <w:highlight w:val="none"/>
          <w:lang w:val="en-US" w:eastAsia="zh-CN" w:bidi="ar-SA"/>
        </w:rPr>
        <w:t>3.4.2.1微信小程序（医保）</w:t>
      </w:r>
      <w:bookmarkEnd w:id="518"/>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19" w:name="_Toc117633733"/>
      <w:r>
        <w:rPr>
          <w:rFonts w:hint="eastAsia" w:ascii="Times New Roman" w:hAnsi="Times New Roman" w:eastAsia="宋体" w:cs="Times New Roman"/>
          <w:color w:val="auto"/>
          <w:kern w:val="2"/>
          <w:sz w:val="21"/>
          <w:szCs w:val="21"/>
          <w:highlight w:val="none"/>
          <w:lang w:val="en-US" w:eastAsia="zh-CN" w:bidi="ar-SA"/>
        </w:rPr>
        <w:t>3.4.2.1.1参保登记验证（医保微信）</w:t>
      </w:r>
      <w:bookmarkEnd w:id="519"/>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20" w:name="_Toc117633734"/>
      <w:r>
        <w:rPr>
          <w:rFonts w:hint="eastAsia" w:ascii="Times New Roman" w:hAnsi="Times New Roman" w:eastAsia="宋体" w:cs="Times New Roman"/>
          <w:color w:val="auto"/>
          <w:kern w:val="2"/>
          <w:sz w:val="21"/>
          <w:szCs w:val="21"/>
          <w:highlight w:val="none"/>
          <w:lang w:val="en-US" w:eastAsia="zh-CN" w:bidi="ar-SA"/>
        </w:rPr>
        <w:t>3.4.2.1.1.1灵活就业人员医疗保险参保登记验证（医保微信）</w:t>
      </w:r>
      <w:bookmarkEnd w:id="520"/>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在微信小程序中，缴费人办理完成社保费缴费登记信息后，可在本模块查询验证参保登记信息，所有功能均按照社保费标准版规范进行升级改造，实现与社保费标准版的无缝对接。</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21" w:name="_Toc117633735"/>
      <w:r>
        <w:rPr>
          <w:rFonts w:hint="eastAsia" w:ascii="Times New Roman" w:hAnsi="Times New Roman" w:eastAsia="宋体" w:cs="Times New Roman"/>
          <w:color w:val="auto"/>
          <w:kern w:val="2"/>
          <w:sz w:val="21"/>
          <w:szCs w:val="21"/>
          <w:highlight w:val="none"/>
          <w:lang w:val="en-US" w:eastAsia="zh-CN" w:bidi="ar-SA"/>
        </w:rPr>
        <w:t>3.4.2.1.1.2城乡居民医疗保险参保登记验证（医保微信）</w:t>
      </w:r>
      <w:bookmarkEnd w:id="521"/>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在微信小程序中，缴费人办理完成社保费缴费登记信息后，可在本模块查询验证参保登记信息，所有功能均按照社保费标准版规范进行升级改造，实现与社保费标准版的无缝对接。</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22" w:name="_Toc117633736"/>
      <w:r>
        <w:rPr>
          <w:rFonts w:hint="eastAsia" w:ascii="Times New Roman" w:hAnsi="Times New Roman" w:eastAsia="宋体" w:cs="Times New Roman"/>
          <w:color w:val="auto"/>
          <w:kern w:val="2"/>
          <w:sz w:val="21"/>
          <w:szCs w:val="21"/>
          <w:highlight w:val="none"/>
          <w:lang w:val="en-US" w:eastAsia="zh-CN" w:bidi="ar-SA"/>
        </w:rPr>
        <w:t>3.4.2.1.2提取应缴费信息（医保微信）</w:t>
      </w:r>
      <w:bookmarkEnd w:id="522"/>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23" w:name="_Toc117633737"/>
      <w:r>
        <w:rPr>
          <w:rFonts w:hint="eastAsia" w:ascii="Times New Roman" w:hAnsi="Times New Roman" w:eastAsia="宋体" w:cs="Times New Roman"/>
          <w:color w:val="auto"/>
          <w:kern w:val="2"/>
          <w:sz w:val="21"/>
          <w:szCs w:val="21"/>
          <w:highlight w:val="none"/>
          <w:lang w:val="en-US" w:eastAsia="zh-CN" w:bidi="ar-SA"/>
        </w:rPr>
        <w:t>3.4.2.1.2.1灵活就业人员医疗保险提取应缴费信息（医保微信）</w:t>
      </w:r>
      <w:bookmarkEnd w:id="523"/>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微信小程序中，社保经办机构相关渠道可以按照金税三期社保费标准版信息共享平台规范要求，提取到税务部门的应缴信息。依据社保费标准版缴费关联登记及认定信息等进行匹配和转换及生成指定的关键信息（UUID、征集ID等），将数据反馈给缴费人。</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24" w:name="_Toc117633738"/>
      <w:r>
        <w:rPr>
          <w:rFonts w:hint="eastAsia" w:ascii="Times New Roman" w:hAnsi="Times New Roman" w:eastAsia="宋体" w:cs="Times New Roman"/>
          <w:color w:val="auto"/>
          <w:kern w:val="2"/>
          <w:sz w:val="21"/>
          <w:szCs w:val="21"/>
          <w:highlight w:val="none"/>
          <w:lang w:val="en-US" w:eastAsia="zh-CN" w:bidi="ar-SA"/>
        </w:rPr>
        <w:t>3.4.2.1.2.2城乡居民医疗保险提取应缴费信息（医保微信）</w:t>
      </w:r>
      <w:bookmarkEnd w:id="524"/>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微信小程序中，社保经办机构相关渠道可以按照金税三期社保费标准版信息共享平台规范要求，提取到税务部门的应缴信息。依据社保费标准版缴费关联登记及认定信息等进行匹配和转换及生成指定的关键信息（UUID、征集ID等），将数据反馈给缴费人。</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25" w:name="_Toc117633739"/>
      <w:r>
        <w:rPr>
          <w:rFonts w:hint="eastAsia" w:ascii="Times New Roman" w:hAnsi="Times New Roman" w:eastAsia="宋体" w:cs="Times New Roman"/>
          <w:color w:val="auto"/>
          <w:kern w:val="2"/>
          <w:sz w:val="21"/>
          <w:szCs w:val="21"/>
          <w:highlight w:val="none"/>
          <w:lang w:val="en-US" w:eastAsia="zh-CN" w:bidi="ar-SA"/>
        </w:rPr>
        <w:t>3.4.2.1.3第三方支付平台缴费（医保微信）</w:t>
      </w:r>
      <w:bookmarkEnd w:id="525"/>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26" w:name="_Toc117633740"/>
      <w:r>
        <w:rPr>
          <w:rFonts w:hint="eastAsia" w:ascii="Times New Roman" w:hAnsi="Times New Roman" w:eastAsia="宋体" w:cs="Times New Roman"/>
          <w:color w:val="auto"/>
          <w:kern w:val="2"/>
          <w:sz w:val="21"/>
          <w:szCs w:val="21"/>
          <w:highlight w:val="none"/>
          <w:lang w:val="en-US" w:eastAsia="zh-CN" w:bidi="ar-SA"/>
        </w:rPr>
        <w:t>3.4.2.1.3.1灵活就业人员医疗保险第三方支付平台缴费（医保微信）</w:t>
      </w:r>
      <w:bookmarkEnd w:id="526"/>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在微信小程序中，对未签订协议的灵活就业人员缴纳医疗保险时，提供第三方支付缴费方式。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27" w:name="_Toc117633741"/>
      <w:r>
        <w:rPr>
          <w:rFonts w:hint="eastAsia" w:ascii="Times New Roman" w:hAnsi="Times New Roman" w:eastAsia="宋体" w:cs="Times New Roman"/>
          <w:color w:val="auto"/>
          <w:kern w:val="2"/>
          <w:sz w:val="21"/>
          <w:szCs w:val="21"/>
          <w:highlight w:val="none"/>
          <w:lang w:val="en-US" w:eastAsia="zh-CN" w:bidi="ar-SA"/>
        </w:rPr>
        <w:t>3.4.2.1.3.2城乡居民医疗保险第三方支付平台缴费（医保微信）</w:t>
      </w:r>
      <w:bookmarkEnd w:id="527"/>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在微信小程序中，对未签订协议的城乡居民缴纳医疗保险时，提供第三方支付缴费方式。</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28" w:name="_Toc117633742"/>
      <w:r>
        <w:rPr>
          <w:rFonts w:hint="eastAsia" w:ascii="Times New Roman" w:hAnsi="Times New Roman" w:eastAsia="宋体" w:cs="Times New Roman"/>
          <w:color w:val="auto"/>
          <w:kern w:val="2"/>
          <w:sz w:val="21"/>
          <w:szCs w:val="21"/>
          <w:highlight w:val="none"/>
          <w:lang w:val="en-US" w:eastAsia="zh-CN" w:bidi="ar-SA"/>
        </w:rPr>
        <w:t>3.4.2.1.4证明开具（医保微信）</w:t>
      </w:r>
      <w:bookmarkEnd w:id="528"/>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29" w:name="_Toc117633743"/>
      <w:r>
        <w:rPr>
          <w:rFonts w:hint="eastAsia" w:ascii="Times New Roman" w:hAnsi="Times New Roman" w:eastAsia="宋体" w:cs="Times New Roman"/>
          <w:color w:val="auto"/>
          <w:kern w:val="2"/>
          <w:sz w:val="21"/>
          <w:szCs w:val="21"/>
          <w:highlight w:val="none"/>
          <w:lang w:val="en-US" w:eastAsia="zh-CN" w:bidi="ar-SA"/>
        </w:rPr>
        <w:t>3.4.2.1.4.1灵活就业人员医疗保险缴费证明开具（医保微信）</w:t>
      </w:r>
      <w:bookmarkEnd w:id="529"/>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在微信小程序中，缴费人申报缴纳社保费后，如需打印社保费缴费证明，可通过本模块打印社保费缴费证明，所有功能均按照社保费标准版规范进行升级改造，实现与社保费标准版的无缝对接。</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30" w:name="_Toc117633744"/>
      <w:r>
        <w:rPr>
          <w:rFonts w:hint="eastAsia" w:ascii="Times New Roman" w:hAnsi="Times New Roman" w:eastAsia="宋体" w:cs="Times New Roman"/>
          <w:color w:val="auto"/>
          <w:kern w:val="2"/>
          <w:sz w:val="21"/>
          <w:szCs w:val="21"/>
          <w:highlight w:val="none"/>
          <w:lang w:val="en-US" w:eastAsia="zh-CN" w:bidi="ar-SA"/>
        </w:rPr>
        <w:t>3.4.2.1.4.2城乡居民医疗保险缴费证明开具（医保微信）</w:t>
      </w:r>
      <w:bookmarkEnd w:id="530"/>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在微信小程序中，缴费人申报缴纳社保费后，如需打印社保费缴费证明，可通过本模块打印社保费缴费证明，所有功能均按照社保费标准版规范进行升级改造，实现与社保费标准版的无缝对接。</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31" w:name="_Toc117633745"/>
      <w:r>
        <w:rPr>
          <w:rFonts w:hint="eastAsia" w:ascii="Times New Roman" w:hAnsi="Times New Roman" w:eastAsia="宋体" w:cs="Times New Roman"/>
          <w:color w:val="auto"/>
          <w:kern w:val="2"/>
          <w:sz w:val="21"/>
          <w:szCs w:val="21"/>
          <w:highlight w:val="none"/>
          <w:lang w:val="en-US" w:eastAsia="zh-CN" w:bidi="ar-SA"/>
        </w:rPr>
        <w:t>3.4.2.1.4.3灵活就业人员医疗保险完税证明开具（医保微信）</w:t>
      </w:r>
      <w:bookmarkEnd w:id="531"/>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在微信小程序中，缴费人申报缴纳社保费后，如需打印社保费缴费证明，可通过本模块打印社保费缴费证明，所有功能均按照社保费标准版规范进行升级改造，实现与社保费标准版的无缝对接。</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32" w:name="_Toc117633746"/>
      <w:r>
        <w:rPr>
          <w:rFonts w:hint="eastAsia" w:ascii="Times New Roman" w:hAnsi="Times New Roman" w:eastAsia="宋体" w:cs="Times New Roman"/>
          <w:color w:val="auto"/>
          <w:kern w:val="2"/>
          <w:sz w:val="21"/>
          <w:szCs w:val="21"/>
          <w:highlight w:val="none"/>
          <w:lang w:val="en-US" w:eastAsia="zh-CN" w:bidi="ar-SA"/>
        </w:rPr>
        <w:t>3.4.2.1.4.4城乡居民医疗保险完税证明开具（医保微信）</w:t>
      </w:r>
      <w:bookmarkEnd w:id="532"/>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在微信小程序中，缴费人申报缴纳社保费后，如需打印社保费缴费证明，可通过本模块打印社保费缴费证明，所有功能均按照社保费标准版规范进行升级改造，实现与社保费标准版的无缝对接。</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33" w:name="_Toc117633747"/>
      <w:r>
        <w:rPr>
          <w:rFonts w:hint="eastAsia" w:ascii="Times New Roman" w:hAnsi="Times New Roman" w:eastAsia="宋体" w:cs="Times New Roman"/>
          <w:color w:val="auto"/>
          <w:kern w:val="2"/>
          <w:sz w:val="21"/>
          <w:szCs w:val="21"/>
          <w:highlight w:val="none"/>
          <w:lang w:val="en-US" w:eastAsia="zh-CN" w:bidi="ar-SA"/>
        </w:rPr>
        <w:t>3.4.2.1.5查询（医保微信）</w:t>
      </w:r>
      <w:bookmarkEnd w:id="533"/>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34" w:name="_Toc117633748"/>
      <w:r>
        <w:rPr>
          <w:rFonts w:hint="eastAsia" w:ascii="Times New Roman" w:hAnsi="Times New Roman" w:eastAsia="宋体" w:cs="Times New Roman"/>
          <w:color w:val="auto"/>
          <w:kern w:val="2"/>
          <w:sz w:val="21"/>
          <w:szCs w:val="21"/>
          <w:highlight w:val="none"/>
          <w:lang w:val="en-US" w:eastAsia="zh-CN" w:bidi="ar-SA"/>
        </w:rPr>
        <w:t>3.4.2.1.5.1灵活就业人员医疗保险基础登记查询（医保微信）</w:t>
      </w:r>
      <w:bookmarkEnd w:id="534"/>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在微信小程序中，灵活就业人员完成社保费登记后，可通过本功能查询社保费基础登记情况。所有功能均按照社保费标准版规范进行开发。</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35" w:name="_Toc117633749"/>
      <w:r>
        <w:rPr>
          <w:rFonts w:hint="eastAsia" w:ascii="Times New Roman" w:hAnsi="Times New Roman" w:eastAsia="宋体" w:cs="Times New Roman"/>
          <w:color w:val="auto"/>
          <w:kern w:val="2"/>
          <w:sz w:val="21"/>
          <w:szCs w:val="21"/>
          <w:highlight w:val="none"/>
          <w:lang w:val="en-US" w:eastAsia="zh-CN" w:bidi="ar-SA"/>
        </w:rPr>
        <w:t>3.4.2.1.5.2灵活就业人员医疗保险险种登记查询（医保微信）</w:t>
      </w:r>
      <w:bookmarkEnd w:id="535"/>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在微信小程序中，灵活就业人员完成社保费登记后，可通过本功能查询社保费险种登记情况。所有功能均按照社保费标准版规范进行开发。</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36" w:name="_Toc117633750"/>
      <w:r>
        <w:rPr>
          <w:rFonts w:hint="eastAsia" w:ascii="Times New Roman" w:hAnsi="Times New Roman" w:eastAsia="宋体" w:cs="Times New Roman"/>
          <w:color w:val="auto"/>
          <w:kern w:val="2"/>
          <w:sz w:val="21"/>
          <w:szCs w:val="21"/>
          <w:highlight w:val="none"/>
          <w:lang w:val="en-US" w:eastAsia="zh-CN" w:bidi="ar-SA"/>
        </w:rPr>
        <w:t>3.4.2.1.5.3灵活就业人员医疗保险征缴计划查询（医保微信）</w:t>
      </w:r>
      <w:bookmarkEnd w:id="536"/>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在微信小程序中，灵活就业人员完成社保费登记后，可通过本功能查询社保费征缴计划情况。所有功能均按照社保费标准版规范进行开发。</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37" w:name="_Toc117633751"/>
      <w:r>
        <w:rPr>
          <w:rFonts w:hint="eastAsia" w:ascii="Times New Roman" w:hAnsi="Times New Roman" w:eastAsia="宋体" w:cs="Times New Roman"/>
          <w:color w:val="auto"/>
          <w:kern w:val="2"/>
          <w:sz w:val="21"/>
          <w:szCs w:val="21"/>
          <w:highlight w:val="none"/>
          <w:lang w:val="en-US" w:eastAsia="zh-CN" w:bidi="ar-SA"/>
        </w:rPr>
        <w:t>3.4.2.1.5.4灵活就业人员医疗保险入库明细查询（医保微信）</w:t>
      </w:r>
      <w:bookmarkEnd w:id="537"/>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在微信小程序中，灵活就业人员完成社保费征收后，可通过本功能查询社保费征缴入库情况。所有功能均按照社保费标准版规范进行开发。</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38" w:name="_Toc117633752"/>
      <w:r>
        <w:rPr>
          <w:rFonts w:hint="eastAsia" w:ascii="Times New Roman" w:hAnsi="Times New Roman" w:eastAsia="宋体" w:cs="Times New Roman"/>
          <w:color w:val="auto"/>
          <w:kern w:val="2"/>
          <w:sz w:val="21"/>
          <w:szCs w:val="21"/>
          <w:highlight w:val="none"/>
          <w:lang w:val="en-US" w:eastAsia="zh-CN" w:bidi="ar-SA"/>
        </w:rPr>
        <w:t>3.4.2.1.5.5城乡居民医疗保险基础登记查询（医保微信）</w:t>
      </w:r>
      <w:bookmarkEnd w:id="538"/>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在微信小程序中，城乡居民完成社保费登记后，可通过本功能查询社保费基础登记情况。所有功能均按照社保费标准版规范进行开发。</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39" w:name="_Toc117633753"/>
      <w:r>
        <w:rPr>
          <w:rFonts w:hint="eastAsia" w:ascii="Times New Roman" w:hAnsi="Times New Roman" w:eastAsia="宋体" w:cs="Times New Roman"/>
          <w:color w:val="auto"/>
          <w:kern w:val="2"/>
          <w:sz w:val="21"/>
          <w:szCs w:val="21"/>
          <w:highlight w:val="none"/>
          <w:lang w:val="en-US" w:eastAsia="zh-CN" w:bidi="ar-SA"/>
        </w:rPr>
        <w:t>3.4.2.1.5.6城乡居民医疗保险险种登记查询（医保微信）</w:t>
      </w:r>
      <w:bookmarkEnd w:id="539"/>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在微信小程序中，城乡居民完成社保费登记后，可通过本功能查询社保费险种登记情况。所有功能均按照社保费标准版规范进行开发。</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40" w:name="_Toc117633754"/>
      <w:r>
        <w:rPr>
          <w:rFonts w:hint="eastAsia" w:ascii="Times New Roman" w:hAnsi="Times New Roman" w:eastAsia="宋体" w:cs="Times New Roman"/>
          <w:color w:val="auto"/>
          <w:kern w:val="2"/>
          <w:sz w:val="21"/>
          <w:szCs w:val="21"/>
          <w:highlight w:val="none"/>
          <w:lang w:val="en-US" w:eastAsia="zh-CN" w:bidi="ar-SA"/>
        </w:rPr>
        <w:t>3.4.2.1.5.7城乡居民医疗保险征缴计划查询（医保微信）</w:t>
      </w:r>
      <w:bookmarkEnd w:id="540"/>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在微信小程序中，城乡居民完成社保费登记后，可通过本功能查询社保费征缴计划情况。所有功能均按照社保费标准版规范进行开发。</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41" w:name="_Toc117633755"/>
      <w:r>
        <w:rPr>
          <w:rFonts w:hint="eastAsia" w:ascii="Times New Roman" w:hAnsi="Times New Roman" w:eastAsia="宋体" w:cs="Times New Roman"/>
          <w:color w:val="auto"/>
          <w:kern w:val="2"/>
          <w:sz w:val="21"/>
          <w:szCs w:val="21"/>
          <w:highlight w:val="none"/>
          <w:lang w:val="en-US" w:eastAsia="zh-CN" w:bidi="ar-SA"/>
        </w:rPr>
        <w:t>3.4.2.1.5.8城乡居民医疗保险入库明细查询（医保微信）</w:t>
      </w:r>
      <w:bookmarkEnd w:id="541"/>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在微信小程序中，城乡居民完成社保费征收后，可通过本功能查询社保费征缴入库情况。所有功能均按照社保费标准版规范进行开发。</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42" w:name="_Toc117633756"/>
      <w:r>
        <w:rPr>
          <w:rFonts w:hint="eastAsia" w:ascii="Times New Roman" w:hAnsi="Times New Roman" w:eastAsia="宋体" w:cs="Times New Roman"/>
          <w:color w:val="auto"/>
          <w:kern w:val="2"/>
          <w:sz w:val="21"/>
          <w:szCs w:val="21"/>
          <w:highlight w:val="none"/>
          <w:lang w:val="en-US" w:eastAsia="zh-CN" w:bidi="ar-SA"/>
        </w:rPr>
        <w:t>3.4.2.2支付宝程序（医保）</w:t>
      </w:r>
      <w:bookmarkEnd w:id="542"/>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43" w:name="_Toc117633757"/>
      <w:r>
        <w:rPr>
          <w:rFonts w:hint="eastAsia" w:ascii="Times New Roman" w:hAnsi="Times New Roman" w:eastAsia="宋体" w:cs="Times New Roman"/>
          <w:color w:val="auto"/>
          <w:kern w:val="2"/>
          <w:sz w:val="21"/>
          <w:szCs w:val="21"/>
          <w:highlight w:val="none"/>
          <w:lang w:val="en-US" w:eastAsia="zh-CN" w:bidi="ar-SA"/>
        </w:rPr>
        <w:t>3.4.2.2.1参保登记验证（医保支付宝）</w:t>
      </w:r>
      <w:bookmarkEnd w:id="543"/>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44" w:name="_Toc117633758"/>
      <w:r>
        <w:rPr>
          <w:rFonts w:hint="eastAsia" w:ascii="Times New Roman" w:hAnsi="Times New Roman" w:eastAsia="宋体" w:cs="Times New Roman"/>
          <w:color w:val="auto"/>
          <w:kern w:val="2"/>
          <w:sz w:val="21"/>
          <w:szCs w:val="21"/>
          <w:highlight w:val="none"/>
          <w:lang w:val="en-US" w:eastAsia="zh-CN" w:bidi="ar-SA"/>
        </w:rPr>
        <w:t>3.4.2.2.1.1灵活就业人员医疗保险参保登记验证（医保支付宝）</w:t>
      </w:r>
      <w:bookmarkEnd w:id="544"/>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在支付宝程序中实现灵活就业人员医疗保险参保登记验证，实现业务需求详见《3.4.2.1.1.1灵活就业人员医疗保险参保登记验证》。</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45" w:name="_Toc117633759"/>
      <w:r>
        <w:rPr>
          <w:rFonts w:hint="eastAsia" w:ascii="Times New Roman" w:hAnsi="Times New Roman" w:eastAsia="宋体" w:cs="Times New Roman"/>
          <w:color w:val="auto"/>
          <w:kern w:val="2"/>
          <w:sz w:val="21"/>
          <w:szCs w:val="21"/>
          <w:highlight w:val="none"/>
          <w:lang w:val="en-US" w:eastAsia="zh-CN" w:bidi="ar-SA"/>
        </w:rPr>
        <w:t>3.4.2.2.1.2城乡居民医疗保险参保登记验证（医保支付宝）</w:t>
      </w:r>
      <w:bookmarkEnd w:id="545"/>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在支付宝程序中实现城乡居民医疗保险参保登记验证，实现业务需求详见《3.4.2.1.1.2城乡居民医疗保险参保登记验证》。</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46" w:name="_Toc117633760"/>
      <w:r>
        <w:rPr>
          <w:rFonts w:hint="eastAsia" w:ascii="Times New Roman" w:hAnsi="Times New Roman" w:eastAsia="宋体" w:cs="Times New Roman"/>
          <w:color w:val="auto"/>
          <w:kern w:val="2"/>
          <w:sz w:val="21"/>
          <w:szCs w:val="21"/>
          <w:highlight w:val="none"/>
          <w:lang w:val="en-US" w:eastAsia="zh-CN" w:bidi="ar-SA"/>
        </w:rPr>
        <w:t>3.4.2.2.2提取应缴费信息（医保支付宝）</w:t>
      </w:r>
      <w:bookmarkEnd w:id="546"/>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47" w:name="_Toc117633761"/>
      <w:r>
        <w:rPr>
          <w:rFonts w:hint="eastAsia" w:ascii="Times New Roman" w:hAnsi="Times New Roman" w:eastAsia="宋体" w:cs="Times New Roman"/>
          <w:color w:val="auto"/>
          <w:kern w:val="2"/>
          <w:sz w:val="21"/>
          <w:szCs w:val="21"/>
          <w:highlight w:val="none"/>
          <w:lang w:val="en-US" w:eastAsia="zh-CN" w:bidi="ar-SA"/>
        </w:rPr>
        <w:t>3.4.2.2.2.1灵活就业人员医疗保险提取应缴费信息（医保支付宝）</w:t>
      </w:r>
      <w:bookmarkEnd w:id="547"/>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在支付宝程序中实现灵活就业人员医疗保险提取应缴费信息，实现业务需求详见《3.4.2.1.2.1灵活就业人员医疗保险提取应缴费信息》。</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48" w:name="_Toc117633762"/>
      <w:r>
        <w:rPr>
          <w:rFonts w:hint="eastAsia" w:ascii="Times New Roman" w:hAnsi="Times New Roman" w:eastAsia="宋体" w:cs="Times New Roman"/>
          <w:color w:val="auto"/>
          <w:kern w:val="2"/>
          <w:sz w:val="21"/>
          <w:szCs w:val="21"/>
          <w:highlight w:val="none"/>
          <w:lang w:val="en-US" w:eastAsia="zh-CN" w:bidi="ar-SA"/>
        </w:rPr>
        <w:t>3.4.2.2.2.2城乡居民医疗保险提取应缴费信息（医保支付宝）</w:t>
      </w:r>
      <w:bookmarkEnd w:id="548"/>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在支付宝程序中实现城乡居民医疗保险提取应缴费信息，实现业务需求详见《3.4.2.1.2.2城乡居民医疗保险提取应缴费信息》。</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49" w:name="_Toc117633763"/>
      <w:r>
        <w:rPr>
          <w:rFonts w:hint="eastAsia" w:ascii="Times New Roman" w:hAnsi="Times New Roman" w:eastAsia="宋体" w:cs="Times New Roman"/>
          <w:color w:val="auto"/>
          <w:kern w:val="2"/>
          <w:sz w:val="21"/>
          <w:szCs w:val="21"/>
          <w:highlight w:val="none"/>
          <w:lang w:val="en-US" w:eastAsia="zh-CN" w:bidi="ar-SA"/>
        </w:rPr>
        <w:t>3.4.2.2.3第三方支付平台缴费（医保支付宝）</w:t>
      </w:r>
      <w:bookmarkEnd w:id="549"/>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50" w:name="_Toc117633764"/>
      <w:r>
        <w:rPr>
          <w:rFonts w:hint="eastAsia" w:ascii="Times New Roman" w:hAnsi="Times New Roman" w:eastAsia="宋体" w:cs="Times New Roman"/>
          <w:color w:val="auto"/>
          <w:kern w:val="2"/>
          <w:sz w:val="21"/>
          <w:szCs w:val="21"/>
          <w:highlight w:val="none"/>
          <w:lang w:val="en-US" w:eastAsia="zh-CN" w:bidi="ar-SA"/>
        </w:rPr>
        <w:t>3.4.2.2.3.1灵活就业人员医疗保险第三方支付平台缴费（医保支付宝）</w:t>
      </w:r>
      <w:bookmarkEnd w:id="550"/>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在支付宝程序中实现灵活就业人员医疗保险第三方支付平台缴费，实现业务需求详见《3.4.2.1.3.1灵活就业人员医疗保险第三方支付平台缴费》。</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51" w:name="_Toc117633765"/>
      <w:r>
        <w:rPr>
          <w:rFonts w:hint="eastAsia" w:ascii="Times New Roman" w:hAnsi="Times New Roman" w:eastAsia="宋体" w:cs="Times New Roman"/>
          <w:color w:val="auto"/>
          <w:kern w:val="2"/>
          <w:sz w:val="21"/>
          <w:szCs w:val="21"/>
          <w:highlight w:val="none"/>
          <w:lang w:val="en-US" w:eastAsia="zh-CN" w:bidi="ar-SA"/>
        </w:rPr>
        <w:t>3.4.2.2.3.2城乡居民医疗保险第三方支付平台缴费（医保支付宝）</w:t>
      </w:r>
      <w:bookmarkEnd w:id="551"/>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在支付宝程序中实现城乡居民医疗保险第三方支付平台缴费，实现业务需求详见《3.4.2.1.3.2城乡居民医疗保险第三方支付平台缴费》。</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52" w:name="_Toc117633766"/>
      <w:r>
        <w:rPr>
          <w:rFonts w:hint="eastAsia" w:ascii="Times New Roman" w:hAnsi="Times New Roman" w:eastAsia="宋体" w:cs="Times New Roman"/>
          <w:color w:val="auto"/>
          <w:kern w:val="2"/>
          <w:sz w:val="21"/>
          <w:szCs w:val="21"/>
          <w:highlight w:val="none"/>
          <w:lang w:val="en-US" w:eastAsia="zh-CN" w:bidi="ar-SA"/>
        </w:rPr>
        <w:t>3.4.2.2.4证明开具（医保支付宝）</w:t>
      </w:r>
      <w:bookmarkEnd w:id="552"/>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53" w:name="_Toc117633767"/>
      <w:r>
        <w:rPr>
          <w:rFonts w:hint="eastAsia" w:ascii="Times New Roman" w:hAnsi="Times New Roman" w:eastAsia="宋体" w:cs="Times New Roman"/>
          <w:color w:val="auto"/>
          <w:kern w:val="2"/>
          <w:sz w:val="21"/>
          <w:szCs w:val="21"/>
          <w:highlight w:val="none"/>
          <w:lang w:val="en-US" w:eastAsia="zh-CN" w:bidi="ar-SA"/>
        </w:rPr>
        <w:t>3.4.2.2.4.1灵活就业人员医疗保险缴费证明开具（医保支付宝）</w:t>
      </w:r>
      <w:bookmarkEnd w:id="553"/>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在支付宝程序中实现灵活就业人员医疗保险缴费证明开具，实现业务需求详见《3.4.2.1.4.1灵活就业人员医疗保险缴费证明开具》。</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54" w:name="_Toc117633768"/>
      <w:r>
        <w:rPr>
          <w:rFonts w:hint="eastAsia" w:ascii="Times New Roman" w:hAnsi="Times New Roman" w:eastAsia="宋体" w:cs="Times New Roman"/>
          <w:color w:val="auto"/>
          <w:kern w:val="2"/>
          <w:sz w:val="21"/>
          <w:szCs w:val="21"/>
          <w:highlight w:val="none"/>
          <w:lang w:val="en-US" w:eastAsia="zh-CN" w:bidi="ar-SA"/>
        </w:rPr>
        <w:t>3.4.2.2.4.2城乡居民医疗保险缴费证明开具（医保支付宝）</w:t>
      </w:r>
      <w:bookmarkEnd w:id="554"/>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在支付宝程序中实现城乡居民医疗保险缴费证明开具，实现业务需求详见《3.4.2.1.4.2城乡居民医疗保险缴费证明开具》。</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55" w:name="_Toc117633769"/>
      <w:r>
        <w:rPr>
          <w:rFonts w:hint="eastAsia" w:ascii="Times New Roman" w:hAnsi="Times New Roman" w:eastAsia="宋体" w:cs="Times New Roman"/>
          <w:color w:val="auto"/>
          <w:kern w:val="2"/>
          <w:sz w:val="21"/>
          <w:szCs w:val="21"/>
          <w:highlight w:val="none"/>
          <w:lang w:val="en-US" w:eastAsia="zh-CN" w:bidi="ar-SA"/>
        </w:rPr>
        <w:t>3.4.2.2.4.3灵活就业人员医疗保险完税证明开具（医保支付宝）</w:t>
      </w:r>
      <w:bookmarkEnd w:id="555"/>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在支付宝程序中实现灵活就业人员医疗保险完税证明开具，实现业务需求详见《3.4.2.1.4.3灵活就业人员医疗保险完税证明开具》。</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56" w:name="_Toc117633770"/>
      <w:r>
        <w:rPr>
          <w:rFonts w:hint="eastAsia" w:ascii="Times New Roman" w:hAnsi="Times New Roman" w:eastAsia="宋体" w:cs="Times New Roman"/>
          <w:color w:val="auto"/>
          <w:kern w:val="2"/>
          <w:sz w:val="21"/>
          <w:szCs w:val="21"/>
          <w:highlight w:val="none"/>
          <w:lang w:val="en-US" w:eastAsia="zh-CN" w:bidi="ar-SA"/>
        </w:rPr>
        <w:t>3.4.2.2.4.4城乡居民医疗保险完税证明开具（医保支付宝）</w:t>
      </w:r>
      <w:bookmarkEnd w:id="556"/>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在支付宝程序中实现城乡居民医疗保险完税证明开具，实现业务需求详见《3.4.2.1.4.4城乡居民医疗保险完税证明开具》。</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57" w:name="_Toc117633771"/>
      <w:r>
        <w:rPr>
          <w:rFonts w:hint="eastAsia" w:ascii="Times New Roman" w:hAnsi="Times New Roman" w:eastAsia="宋体" w:cs="Times New Roman"/>
          <w:color w:val="auto"/>
          <w:kern w:val="2"/>
          <w:sz w:val="21"/>
          <w:szCs w:val="21"/>
          <w:highlight w:val="none"/>
          <w:lang w:val="en-US" w:eastAsia="zh-CN" w:bidi="ar-SA"/>
        </w:rPr>
        <w:t>3.4.2.2.5查询（医保支付宝）</w:t>
      </w:r>
      <w:bookmarkEnd w:id="557"/>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58" w:name="_Toc117633772"/>
      <w:r>
        <w:rPr>
          <w:rFonts w:hint="eastAsia" w:ascii="Times New Roman" w:hAnsi="Times New Roman" w:eastAsia="宋体" w:cs="Times New Roman"/>
          <w:color w:val="auto"/>
          <w:kern w:val="2"/>
          <w:sz w:val="21"/>
          <w:szCs w:val="21"/>
          <w:highlight w:val="none"/>
          <w:lang w:val="en-US" w:eastAsia="zh-CN" w:bidi="ar-SA"/>
        </w:rPr>
        <w:t>3.4.2.2.5.1灵活就业人员医疗保险基础登记查询（医保支付宝）</w:t>
      </w:r>
      <w:bookmarkEnd w:id="558"/>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在支付宝程序中实现灵活就业人员医疗保险基础登记查询，实现业务需求详见《3.4.2.1.5.1灵活就业人员医疗保险基础登记查询》。</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59" w:name="_Toc117633773"/>
      <w:r>
        <w:rPr>
          <w:rFonts w:hint="eastAsia" w:ascii="Times New Roman" w:hAnsi="Times New Roman" w:eastAsia="宋体" w:cs="Times New Roman"/>
          <w:color w:val="auto"/>
          <w:kern w:val="2"/>
          <w:sz w:val="21"/>
          <w:szCs w:val="21"/>
          <w:highlight w:val="none"/>
          <w:lang w:val="en-US" w:eastAsia="zh-CN" w:bidi="ar-SA"/>
        </w:rPr>
        <w:t>3.4.2.2.5.2灵活就业人员医疗保险险种登记查询（医保支付宝）</w:t>
      </w:r>
      <w:bookmarkEnd w:id="559"/>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在支付宝程序中实现灵活就业人员医疗保险险种登记查询，实现业务需求详见《3.4.2.1.5.2灵活就业人员医疗保险险种登记查询》。</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60" w:name="_Toc117633774"/>
      <w:r>
        <w:rPr>
          <w:rFonts w:hint="eastAsia" w:ascii="Times New Roman" w:hAnsi="Times New Roman" w:eastAsia="宋体" w:cs="Times New Roman"/>
          <w:color w:val="auto"/>
          <w:kern w:val="2"/>
          <w:sz w:val="21"/>
          <w:szCs w:val="21"/>
          <w:highlight w:val="none"/>
          <w:lang w:val="en-US" w:eastAsia="zh-CN" w:bidi="ar-SA"/>
        </w:rPr>
        <w:t>3.4.2.2.5.3灵活就业人员医疗保险征缴计划查询（医保支付宝）</w:t>
      </w:r>
      <w:bookmarkEnd w:id="560"/>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在支付宝程序中实现灵活就业人员医疗保险征缴计划查询，实现业务需求详见《3.4.2.1.5.3灵活就业人员医疗保险征缴计划查询》。</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61" w:name="_Toc117633775"/>
      <w:r>
        <w:rPr>
          <w:rFonts w:hint="eastAsia" w:ascii="Times New Roman" w:hAnsi="Times New Roman" w:eastAsia="宋体" w:cs="Times New Roman"/>
          <w:color w:val="auto"/>
          <w:kern w:val="2"/>
          <w:sz w:val="21"/>
          <w:szCs w:val="21"/>
          <w:highlight w:val="none"/>
          <w:lang w:val="en-US" w:eastAsia="zh-CN" w:bidi="ar-SA"/>
        </w:rPr>
        <w:t>3.4.2.2.5.4灵活就业人员医疗保险入库明细查询（医保支付宝）</w:t>
      </w:r>
      <w:bookmarkEnd w:id="561"/>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在支付宝程序中实现灵活就业人员医疗保险入库明细查询，实现业务需求详见《3.4.2.1.5.4灵活就业人员医疗保险入库明细查询》。</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62" w:name="_Toc117633776"/>
      <w:r>
        <w:rPr>
          <w:rFonts w:hint="eastAsia" w:ascii="Times New Roman" w:hAnsi="Times New Roman" w:eastAsia="宋体" w:cs="Times New Roman"/>
          <w:color w:val="auto"/>
          <w:kern w:val="2"/>
          <w:sz w:val="21"/>
          <w:szCs w:val="21"/>
          <w:highlight w:val="none"/>
          <w:lang w:val="en-US" w:eastAsia="zh-CN" w:bidi="ar-SA"/>
        </w:rPr>
        <w:t>3.4.2.2.5.5城乡居民医疗保险基础登记查询（医保支付宝）</w:t>
      </w:r>
      <w:bookmarkEnd w:id="562"/>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在支付宝程序中实现城乡居民医疗保险基础登记查询，实现业务需求详见《3.4.2.1.5.5城乡居民医疗保险基础登记查询》。</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63" w:name="_Toc117633777"/>
      <w:r>
        <w:rPr>
          <w:rFonts w:hint="eastAsia" w:ascii="Times New Roman" w:hAnsi="Times New Roman" w:eastAsia="宋体" w:cs="Times New Roman"/>
          <w:color w:val="auto"/>
          <w:kern w:val="2"/>
          <w:sz w:val="21"/>
          <w:szCs w:val="21"/>
          <w:highlight w:val="none"/>
          <w:lang w:val="en-US" w:eastAsia="zh-CN" w:bidi="ar-SA"/>
        </w:rPr>
        <w:t>3.4.2.2.5.6城乡居民医疗保险险种登记查询（医保支付宝）</w:t>
      </w:r>
      <w:bookmarkEnd w:id="563"/>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在支付宝程序中实现城乡居民医疗保险险种登记查询，实现业务需求详见《3.4.2.1.5.6城乡居民医疗保险险种登记查询》。</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64" w:name="_Toc117633778"/>
      <w:r>
        <w:rPr>
          <w:rFonts w:hint="eastAsia" w:ascii="Times New Roman" w:hAnsi="Times New Roman" w:eastAsia="宋体" w:cs="Times New Roman"/>
          <w:color w:val="auto"/>
          <w:kern w:val="2"/>
          <w:sz w:val="21"/>
          <w:szCs w:val="21"/>
          <w:highlight w:val="none"/>
          <w:lang w:val="en-US" w:eastAsia="zh-CN" w:bidi="ar-SA"/>
        </w:rPr>
        <w:t>3.4.2.2.5.7城乡居民医疗保险征缴计划查询（医保支付宝）</w:t>
      </w:r>
      <w:bookmarkEnd w:id="564"/>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在支付宝程序中实现城乡居民医疗保险征缴计划查询，实现业务需求详见《3.4.2.1.5.7城乡居民医疗保险征缴计划查询》。</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65" w:name="_Toc117633779"/>
      <w:r>
        <w:rPr>
          <w:rFonts w:hint="eastAsia" w:ascii="Times New Roman" w:hAnsi="Times New Roman" w:eastAsia="宋体" w:cs="Times New Roman"/>
          <w:color w:val="auto"/>
          <w:kern w:val="2"/>
          <w:sz w:val="21"/>
          <w:szCs w:val="21"/>
          <w:highlight w:val="none"/>
          <w:lang w:val="en-US" w:eastAsia="zh-CN" w:bidi="ar-SA"/>
        </w:rPr>
        <w:t>3.4.2.2.5.8城乡居民医疗保险入库明细查询（医保支付宝）</w:t>
      </w:r>
      <w:bookmarkEnd w:id="565"/>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在支付宝程序中实现城乡居民医疗保险入库明细查询，实现业务需求详见《3.4.2.1.5.8城乡居民医疗保险入库明细查询》。</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66" w:name="_Toc117633780"/>
      <w:r>
        <w:rPr>
          <w:rFonts w:hint="eastAsia" w:ascii="Times New Roman" w:hAnsi="Times New Roman" w:eastAsia="宋体" w:cs="Times New Roman"/>
          <w:color w:val="auto"/>
          <w:kern w:val="2"/>
          <w:sz w:val="21"/>
          <w:szCs w:val="21"/>
          <w:highlight w:val="none"/>
          <w:lang w:val="en-US" w:eastAsia="zh-CN" w:bidi="ar-SA"/>
        </w:rPr>
        <w:t>3.4.2.3网站（医保）</w:t>
      </w:r>
      <w:bookmarkEnd w:id="566"/>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67" w:name="_Toc117633781"/>
      <w:r>
        <w:rPr>
          <w:rFonts w:hint="eastAsia" w:ascii="Times New Roman" w:hAnsi="Times New Roman" w:eastAsia="宋体" w:cs="Times New Roman"/>
          <w:color w:val="auto"/>
          <w:kern w:val="2"/>
          <w:sz w:val="21"/>
          <w:szCs w:val="21"/>
          <w:highlight w:val="none"/>
          <w:lang w:val="en-US" w:eastAsia="zh-CN" w:bidi="ar-SA"/>
        </w:rPr>
        <w:t>3.4.2.3.1参保登记验证（医保网站）</w:t>
      </w:r>
      <w:bookmarkEnd w:id="567"/>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68" w:name="_Toc117633782"/>
      <w:r>
        <w:rPr>
          <w:rFonts w:hint="eastAsia" w:ascii="Times New Roman" w:hAnsi="Times New Roman" w:eastAsia="宋体" w:cs="Times New Roman"/>
          <w:color w:val="auto"/>
          <w:kern w:val="2"/>
          <w:sz w:val="21"/>
          <w:szCs w:val="21"/>
          <w:highlight w:val="none"/>
          <w:lang w:val="en-US" w:eastAsia="zh-CN" w:bidi="ar-SA"/>
        </w:rPr>
        <w:t>3.4.2.3.1.1灵活就业人员医疗保险参保登记验证（医保网站）</w:t>
      </w:r>
      <w:bookmarkEnd w:id="568"/>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在网站中实现灵活就业人员医疗保险参保登记验证，实现业务需求详见《3.4.2.1.1.1灵活就业人员医疗保险参保登记验证》。</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69" w:name="_Toc117633783"/>
      <w:r>
        <w:rPr>
          <w:rFonts w:hint="eastAsia" w:ascii="Times New Roman" w:hAnsi="Times New Roman" w:eastAsia="宋体" w:cs="Times New Roman"/>
          <w:color w:val="auto"/>
          <w:kern w:val="2"/>
          <w:sz w:val="21"/>
          <w:szCs w:val="21"/>
          <w:highlight w:val="none"/>
          <w:lang w:val="en-US" w:eastAsia="zh-CN" w:bidi="ar-SA"/>
        </w:rPr>
        <w:t>3.4.2.3.1.2城乡居民医疗保险参保登记验证（医保网站）</w:t>
      </w:r>
      <w:bookmarkEnd w:id="569"/>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在网站中实现城乡居民医疗保险参保登记验证，实现业务需求详见《3.4.2.1.1.2城乡居民医疗保险参保登记验证》。</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70" w:name="_Toc117633784"/>
      <w:r>
        <w:rPr>
          <w:rFonts w:hint="eastAsia" w:ascii="Times New Roman" w:hAnsi="Times New Roman" w:eastAsia="宋体" w:cs="Times New Roman"/>
          <w:color w:val="auto"/>
          <w:kern w:val="2"/>
          <w:sz w:val="21"/>
          <w:szCs w:val="21"/>
          <w:highlight w:val="none"/>
          <w:lang w:val="en-US" w:eastAsia="zh-CN" w:bidi="ar-SA"/>
        </w:rPr>
        <w:t>3.4.2.3.2提取应缴费信息（医保网站）</w:t>
      </w:r>
      <w:bookmarkEnd w:id="570"/>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71" w:name="_Toc117633785"/>
      <w:r>
        <w:rPr>
          <w:rFonts w:hint="eastAsia" w:ascii="Times New Roman" w:hAnsi="Times New Roman" w:eastAsia="宋体" w:cs="Times New Roman"/>
          <w:color w:val="auto"/>
          <w:kern w:val="2"/>
          <w:sz w:val="21"/>
          <w:szCs w:val="21"/>
          <w:highlight w:val="none"/>
          <w:lang w:val="en-US" w:eastAsia="zh-CN" w:bidi="ar-SA"/>
        </w:rPr>
        <w:t>3.4.2.3.2.1灵活就业人员医疗保险提取应缴费信息（医保网站）</w:t>
      </w:r>
      <w:bookmarkEnd w:id="571"/>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在网站中实现灵活就业人员医疗保险提取应缴费信息，实现业务需求详见《3.4.2.1.2.1灵活就业人员医疗保险提取应缴费信息》。</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72" w:name="_Toc117633786"/>
      <w:r>
        <w:rPr>
          <w:rFonts w:hint="eastAsia" w:ascii="Times New Roman" w:hAnsi="Times New Roman" w:eastAsia="宋体" w:cs="Times New Roman"/>
          <w:color w:val="auto"/>
          <w:kern w:val="2"/>
          <w:sz w:val="21"/>
          <w:szCs w:val="21"/>
          <w:highlight w:val="none"/>
          <w:lang w:val="en-US" w:eastAsia="zh-CN" w:bidi="ar-SA"/>
        </w:rPr>
        <w:t>3.4.2.3.2.2城乡居民医疗保险提取应缴费信息（医保网站）</w:t>
      </w:r>
      <w:bookmarkEnd w:id="572"/>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在网站中实现城乡居民医疗保险提取应缴费信息，实现业务需求详见《3.4.2.1.2.2城乡居民医疗保险提取应缴费信息》。</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73" w:name="_Toc117633787"/>
      <w:r>
        <w:rPr>
          <w:rFonts w:hint="eastAsia" w:ascii="Times New Roman" w:hAnsi="Times New Roman" w:eastAsia="宋体" w:cs="Times New Roman"/>
          <w:color w:val="auto"/>
          <w:kern w:val="2"/>
          <w:sz w:val="21"/>
          <w:szCs w:val="21"/>
          <w:highlight w:val="none"/>
          <w:lang w:val="en-US" w:eastAsia="zh-CN" w:bidi="ar-SA"/>
        </w:rPr>
        <w:t>3.4.2.3.3第三方支付平台缴费（医保网站）</w:t>
      </w:r>
      <w:bookmarkEnd w:id="573"/>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74" w:name="_Toc117633788"/>
      <w:r>
        <w:rPr>
          <w:rFonts w:hint="eastAsia" w:ascii="Times New Roman" w:hAnsi="Times New Roman" w:eastAsia="宋体" w:cs="Times New Roman"/>
          <w:color w:val="auto"/>
          <w:kern w:val="2"/>
          <w:sz w:val="21"/>
          <w:szCs w:val="21"/>
          <w:highlight w:val="none"/>
          <w:lang w:val="en-US" w:eastAsia="zh-CN" w:bidi="ar-SA"/>
        </w:rPr>
        <w:t>3.4.2.3.3.1灵活就业人员医疗保险第三方支付平台缴费（医保网站）</w:t>
      </w:r>
      <w:bookmarkEnd w:id="574"/>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在网站中实现灵活就业人员医疗保险第三方支付平台缴费，实现业务需求详见《3.4.2.1.3.1灵活就业人员医疗保险第三方支付平台缴费》。</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75" w:name="_Toc117633789"/>
      <w:r>
        <w:rPr>
          <w:rFonts w:hint="eastAsia" w:ascii="Times New Roman" w:hAnsi="Times New Roman" w:eastAsia="宋体" w:cs="Times New Roman"/>
          <w:color w:val="auto"/>
          <w:kern w:val="2"/>
          <w:sz w:val="21"/>
          <w:szCs w:val="21"/>
          <w:highlight w:val="none"/>
          <w:lang w:val="en-US" w:eastAsia="zh-CN" w:bidi="ar-SA"/>
        </w:rPr>
        <w:t>3.4.2.3.3.2城乡居民医疗保险第三方支付平台缴费（医保网站）</w:t>
      </w:r>
      <w:bookmarkEnd w:id="575"/>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在网站中实现城乡居民医疗保险第三方支付平台缴费，实现业务需求详见《3.4.2.1.3.2城乡居民医疗保险第三方支付平台缴费》。</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76" w:name="_Toc117633790"/>
      <w:r>
        <w:rPr>
          <w:rFonts w:hint="eastAsia" w:ascii="Times New Roman" w:hAnsi="Times New Roman" w:eastAsia="宋体" w:cs="Times New Roman"/>
          <w:color w:val="auto"/>
          <w:kern w:val="2"/>
          <w:sz w:val="21"/>
          <w:szCs w:val="21"/>
          <w:highlight w:val="none"/>
          <w:lang w:val="en-US" w:eastAsia="zh-CN" w:bidi="ar-SA"/>
        </w:rPr>
        <w:t>3.4.2.3.4证明开具（医保网站）</w:t>
      </w:r>
      <w:bookmarkEnd w:id="576"/>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77" w:name="_Toc117633791"/>
      <w:r>
        <w:rPr>
          <w:rFonts w:hint="eastAsia" w:ascii="Times New Roman" w:hAnsi="Times New Roman" w:eastAsia="宋体" w:cs="Times New Roman"/>
          <w:color w:val="auto"/>
          <w:kern w:val="2"/>
          <w:sz w:val="21"/>
          <w:szCs w:val="21"/>
          <w:highlight w:val="none"/>
          <w:lang w:val="en-US" w:eastAsia="zh-CN" w:bidi="ar-SA"/>
        </w:rPr>
        <w:t>3.4.2.3.4.1灵活就业人员医疗保险缴费证明开具（医保网站）</w:t>
      </w:r>
      <w:bookmarkEnd w:id="577"/>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在网站中实现灵活就业人员医疗保险缴费证明开具，实现业务需求详见《3.4.2.1.4.1灵活就业人员医疗保险缴费证明开具》。</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78" w:name="_Toc117633792"/>
      <w:r>
        <w:rPr>
          <w:rFonts w:hint="eastAsia" w:ascii="Times New Roman" w:hAnsi="Times New Roman" w:eastAsia="宋体" w:cs="Times New Roman"/>
          <w:color w:val="auto"/>
          <w:kern w:val="2"/>
          <w:sz w:val="21"/>
          <w:szCs w:val="21"/>
          <w:highlight w:val="none"/>
          <w:lang w:val="en-US" w:eastAsia="zh-CN" w:bidi="ar-SA"/>
        </w:rPr>
        <w:t>3.4.2.3.4.2城乡居民医疗保险缴费证明开具（医保网站）</w:t>
      </w:r>
      <w:bookmarkEnd w:id="578"/>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在网站中实现城乡居民医疗保险缴费证明开具，实现业务需求详见《3.4.2.1.4.2城乡居民医疗保险缴费证明开具》。</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79" w:name="_Toc117633793"/>
      <w:r>
        <w:rPr>
          <w:rFonts w:hint="eastAsia" w:ascii="Times New Roman" w:hAnsi="Times New Roman" w:eastAsia="宋体" w:cs="Times New Roman"/>
          <w:color w:val="auto"/>
          <w:kern w:val="2"/>
          <w:sz w:val="21"/>
          <w:szCs w:val="21"/>
          <w:highlight w:val="none"/>
          <w:lang w:val="en-US" w:eastAsia="zh-CN" w:bidi="ar-SA"/>
        </w:rPr>
        <w:t>3.4.2.3.4.3灵活就业人员医疗保险完税证明开具（医保网站）</w:t>
      </w:r>
      <w:bookmarkEnd w:id="579"/>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在网站中实现灵活就业人员医疗保险完税证明开具，实现业务需求详见《3.4.2.1.4.3灵活就业人员医疗保险完税证明开具》。</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80" w:name="_Toc117633794"/>
      <w:r>
        <w:rPr>
          <w:rFonts w:hint="eastAsia" w:ascii="Times New Roman" w:hAnsi="Times New Roman" w:eastAsia="宋体" w:cs="Times New Roman"/>
          <w:color w:val="auto"/>
          <w:kern w:val="2"/>
          <w:sz w:val="21"/>
          <w:szCs w:val="21"/>
          <w:highlight w:val="none"/>
          <w:lang w:val="en-US" w:eastAsia="zh-CN" w:bidi="ar-SA"/>
        </w:rPr>
        <w:t>3.4.2.3.4.4城乡居民医疗保险完税证明开具（医保网站）</w:t>
      </w:r>
      <w:bookmarkEnd w:id="580"/>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在网站中实现城乡居民医疗保险完税证明开具，实现业务需求详见《3.4.2.1.4.4城乡居民医疗保险完税证明开具》。</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81" w:name="_Toc117633795"/>
      <w:r>
        <w:rPr>
          <w:rFonts w:hint="eastAsia" w:ascii="Times New Roman" w:hAnsi="Times New Roman" w:eastAsia="宋体" w:cs="Times New Roman"/>
          <w:color w:val="auto"/>
          <w:kern w:val="2"/>
          <w:sz w:val="21"/>
          <w:szCs w:val="21"/>
          <w:highlight w:val="none"/>
          <w:lang w:val="en-US" w:eastAsia="zh-CN" w:bidi="ar-SA"/>
        </w:rPr>
        <w:t>3.4.2.3.5查询（医保网站）</w:t>
      </w:r>
      <w:bookmarkEnd w:id="581"/>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82" w:name="_Toc117633796"/>
      <w:r>
        <w:rPr>
          <w:rFonts w:hint="eastAsia" w:ascii="Times New Roman" w:hAnsi="Times New Roman" w:eastAsia="宋体" w:cs="Times New Roman"/>
          <w:color w:val="auto"/>
          <w:kern w:val="2"/>
          <w:sz w:val="21"/>
          <w:szCs w:val="21"/>
          <w:highlight w:val="none"/>
          <w:lang w:val="en-US" w:eastAsia="zh-CN" w:bidi="ar-SA"/>
        </w:rPr>
        <w:t>3.4.2.3.5.1灵活就业人员医疗保险基础登记查询（医保网站）</w:t>
      </w:r>
      <w:bookmarkEnd w:id="582"/>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在网站中实现灵活就业人员医疗保险基础登记查询，实现业务需求详见《3.4.2.1.5.1灵活就业人员医疗保险基础登记查询》。</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83" w:name="_Toc117633797"/>
      <w:r>
        <w:rPr>
          <w:rFonts w:hint="eastAsia" w:ascii="Times New Roman" w:hAnsi="Times New Roman" w:eastAsia="宋体" w:cs="Times New Roman"/>
          <w:color w:val="auto"/>
          <w:kern w:val="2"/>
          <w:sz w:val="21"/>
          <w:szCs w:val="21"/>
          <w:highlight w:val="none"/>
          <w:lang w:val="en-US" w:eastAsia="zh-CN" w:bidi="ar-SA"/>
        </w:rPr>
        <w:t>3.4.2.3.5.2灵活就业人员医疗保险险种登记查询（医保网站）</w:t>
      </w:r>
      <w:bookmarkEnd w:id="583"/>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在网站中实现灵活就业人员医疗保险险种登记查询，实现业务需求详见《3.4.2.1.5.2灵活就业人员医疗保险险种登记查询》。</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84" w:name="_Toc117633798"/>
      <w:r>
        <w:rPr>
          <w:rFonts w:hint="eastAsia" w:ascii="Times New Roman" w:hAnsi="Times New Roman" w:eastAsia="宋体" w:cs="Times New Roman"/>
          <w:color w:val="auto"/>
          <w:kern w:val="2"/>
          <w:sz w:val="21"/>
          <w:szCs w:val="21"/>
          <w:highlight w:val="none"/>
          <w:lang w:val="en-US" w:eastAsia="zh-CN" w:bidi="ar-SA"/>
        </w:rPr>
        <w:t>3.4.2.3.5.3灵活就业人员医疗保险征缴计划查询（医保网站）</w:t>
      </w:r>
      <w:bookmarkEnd w:id="584"/>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在网站中实现灵活就业人员医疗保险征缴计划查询，实现业务需求详见《3.4.2.1.5.3灵活就业人员医疗保险征缴计划查询》。</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85" w:name="_Toc117633799"/>
      <w:r>
        <w:rPr>
          <w:rFonts w:hint="eastAsia" w:ascii="Times New Roman" w:hAnsi="Times New Roman" w:eastAsia="宋体" w:cs="Times New Roman"/>
          <w:color w:val="auto"/>
          <w:kern w:val="2"/>
          <w:sz w:val="21"/>
          <w:szCs w:val="21"/>
          <w:highlight w:val="none"/>
          <w:lang w:val="en-US" w:eastAsia="zh-CN" w:bidi="ar-SA"/>
        </w:rPr>
        <w:t>3.4.2.3.5.4灵活就业人员医疗保险入库明细查询（医保网站）</w:t>
      </w:r>
      <w:bookmarkEnd w:id="585"/>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在网站中实现灵活就业人员医疗保险入库明细查询，实现业务需求详见《3.4.2.1.5.4灵活就业人员医疗保险入库明细查询》。</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86" w:name="_Toc117633800"/>
      <w:r>
        <w:rPr>
          <w:rFonts w:hint="eastAsia" w:ascii="Times New Roman" w:hAnsi="Times New Roman" w:eastAsia="宋体" w:cs="Times New Roman"/>
          <w:color w:val="auto"/>
          <w:kern w:val="2"/>
          <w:sz w:val="21"/>
          <w:szCs w:val="21"/>
          <w:highlight w:val="none"/>
          <w:lang w:val="en-US" w:eastAsia="zh-CN" w:bidi="ar-SA"/>
        </w:rPr>
        <w:t>3.4.2.3.5.5城乡居民医疗保险基础登记查询（医保网站）</w:t>
      </w:r>
      <w:bookmarkEnd w:id="586"/>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在网站中实现城乡居民医疗保险基础登记查询，实现业务需求详见《3.4.2.1.5.5城乡居民医疗保险基础登记查询》。</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87" w:name="_Toc117633801"/>
      <w:r>
        <w:rPr>
          <w:rFonts w:hint="eastAsia" w:ascii="Times New Roman" w:hAnsi="Times New Roman" w:eastAsia="宋体" w:cs="Times New Roman"/>
          <w:color w:val="auto"/>
          <w:kern w:val="2"/>
          <w:sz w:val="21"/>
          <w:szCs w:val="21"/>
          <w:highlight w:val="none"/>
          <w:lang w:val="en-US" w:eastAsia="zh-CN" w:bidi="ar-SA"/>
        </w:rPr>
        <w:t>3.4.2.3.5.6城乡居民医疗保险险种登记查询（医保网站）</w:t>
      </w:r>
      <w:bookmarkEnd w:id="587"/>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在网站中实现城乡居民医疗保险险种登记查询，实现业务需求详见《3.4.2.1.5.6城乡居民医疗保险险种登记查询》。</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88" w:name="_Toc117633802"/>
      <w:r>
        <w:rPr>
          <w:rFonts w:hint="eastAsia" w:ascii="Times New Roman" w:hAnsi="Times New Roman" w:eastAsia="宋体" w:cs="Times New Roman"/>
          <w:color w:val="auto"/>
          <w:kern w:val="2"/>
          <w:sz w:val="21"/>
          <w:szCs w:val="21"/>
          <w:highlight w:val="none"/>
          <w:lang w:val="en-US" w:eastAsia="zh-CN" w:bidi="ar-SA"/>
        </w:rPr>
        <w:t>3.4.2.3.5.7城乡居民医疗保险征缴计划查询（医保网站）</w:t>
      </w:r>
      <w:bookmarkEnd w:id="588"/>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在网站中实现城乡居民医疗保险征缴计划查询，实现业务需求详见《3.4.2.1.5.7城乡居民医疗保险征缴计划查询》。</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89" w:name="_Toc117633803"/>
      <w:r>
        <w:rPr>
          <w:rFonts w:hint="eastAsia" w:ascii="Times New Roman" w:hAnsi="Times New Roman" w:eastAsia="宋体" w:cs="Times New Roman"/>
          <w:color w:val="auto"/>
          <w:kern w:val="2"/>
          <w:sz w:val="21"/>
          <w:szCs w:val="21"/>
          <w:highlight w:val="none"/>
          <w:lang w:val="en-US" w:eastAsia="zh-CN" w:bidi="ar-SA"/>
        </w:rPr>
        <w:t>3.4.2.3.5.8城乡居民医疗保险入库明细查询（医保网站）</w:t>
      </w:r>
      <w:bookmarkEnd w:id="589"/>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在网站中实现城乡居民医疗保险入库明细查询，实现业务需求详见《3.4.2.1.5.8城乡居民医疗保险入库明细查询》。</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90" w:name="_Toc117633804"/>
      <w:r>
        <w:rPr>
          <w:rFonts w:hint="eastAsia" w:ascii="Times New Roman" w:hAnsi="Times New Roman" w:eastAsia="宋体" w:cs="Times New Roman"/>
          <w:color w:val="auto"/>
          <w:kern w:val="2"/>
          <w:sz w:val="21"/>
          <w:szCs w:val="21"/>
          <w:highlight w:val="none"/>
          <w:lang w:val="en-US" w:eastAsia="zh-CN" w:bidi="ar-SA"/>
        </w:rPr>
        <w:t>3.4.2.4手机APP程序（医保）</w:t>
      </w:r>
      <w:bookmarkEnd w:id="590"/>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91" w:name="_Toc117633805"/>
      <w:r>
        <w:rPr>
          <w:rFonts w:hint="eastAsia" w:ascii="Times New Roman" w:hAnsi="Times New Roman" w:eastAsia="宋体" w:cs="Times New Roman"/>
          <w:color w:val="auto"/>
          <w:kern w:val="2"/>
          <w:sz w:val="21"/>
          <w:szCs w:val="21"/>
          <w:highlight w:val="none"/>
          <w:lang w:val="en-US" w:eastAsia="zh-CN" w:bidi="ar-SA"/>
        </w:rPr>
        <w:t>3.4.2.4.1参保登记验证（医保APP）</w:t>
      </w:r>
      <w:bookmarkEnd w:id="591"/>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92" w:name="_Toc117633806"/>
      <w:r>
        <w:rPr>
          <w:rFonts w:hint="eastAsia" w:ascii="Times New Roman" w:hAnsi="Times New Roman" w:eastAsia="宋体" w:cs="Times New Roman"/>
          <w:color w:val="auto"/>
          <w:kern w:val="2"/>
          <w:sz w:val="21"/>
          <w:szCs w:val="21"/>
          <w:highlight w:val="none"/>
          <w:lang w:val="en-US" w:eastAsia="zh-CN" w:bidi="ar-SA"/>
        </w:rPr>
        <w:t>3.4.2.4.1.1灵活就业人员医疗保险参保登记验证（医保APP）</w:t>
      </w:r>
      <w:bookmarkEnd w:id="592"/>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在手机APP中实现灵活就业人员医疗保险参保登记验证，实现业务需求详见《3.4.2.1.1.1灵活就业人员医疗保险参保登记验证》。</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93" w:name="_Toc117633807"/>
      <w:r>
        <w:rPr>
          <w:rFonts w:hint="eastAsia" w:ascii="Times New Roman" w:hAnsi="Times New Roman" w:eastAsia="宋体" w:cs="Times New Roman"/>
          <w:color w:val="auto"/>
          <w:kern w:val="2"/>
          <w:sz w:val="21"/>
          <w:szCs w:val="21"/>
          <w:highlight w:val="none"/>
          <w:lang w:val="en-US" w:eastAsia="zh-CN" w:bidi="ar-SA"/>
        </w:rPr>
        <w:t>3.4.2.4.1.2城乡居民医疗保险参保登记验证（医保APP）</w:t>
      </w:r>
      <w:bookmarkEnd w:id="593"/>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在手机APP中实现城乡居民医疗保险参保登记验证，实现业务需求详见《3.4.2.1.1.2城乡居民医疗保险参保登记验证》。</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94" w:name="_Toc117633808"/>
      <w:r>
        <w:rPr>
          <w:rFonts w:hint="eastAsia" w:ascii="Times New Roman" w:hAnsi="Times New Roman" w:eastAsia="宋体" w:cs="Times New Roman"/>
          <w:color w:val="auto"/>
          <w:kern w:val="2"/>
          <w:sz w:val="21"/>
          <w:szCs w:val="21"/>
          <w:highlight w:val="none"/>
          <w:lang w:val="en-US" w:eastAsia="zh-CN" w:bidi="ar-SA"/>
        </w:rPr>
        <w:t>3.4.2.4.2提取应缴费信息（医保APP）</w:t>
      </w:r>
      <w:bookmarkEnd w:id="594"/>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95" w:name="_Toc117633809"/>
      <w:r>
        <w:rPr>
          <w:rFonts w:hint="eastAsia" w:ascii="Times New Roman" w:hAnsi="Times New Roman" w:eastAsia="宋体" w:cs="Times New Roman"/>
          <w:color w:val="auto"/>
          <w:kern w:val="2"/>
          <w:sz w:val="21"/>
          <w:szCs w:val="21"/>
          <w:highlight w:val="none"/>
          <w:lang w:val="en-US" w:eastAsia="zh-CN" w:bidi="ar-SA"/>
        </w:rPr>
        <w:t>3.4.2.4.2.1灵活就业人员医疗保险提取应缴费信息（医保APP）</w:t>
      </w:r>
      <w:bookmarkEnd w:id="595"/>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在手机APP中实现灵活就业人员医疗保险提取应缴费信息，实现业务需求详见《3.4.2.1.2.1灵活就业人员医疗保险提取应缴费信息》。</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96" w:name="_Toc117633810"/>
      <w:r>
        <w:rPr>
          <w:rFonts w:hint="eastAsia" w:ascii="Times New Roman" w:hAnsi="Times New Roman" w:eastAsia="宋体" w:cs="Times New Roman"/>
          <w:color w:val="auto"/>
          <w:kern w:val="2"/>
          <w:sz w:val="21"/>
          <w:szCs w:val="21"/>
          <w:highlight w:val="none"/>
          <w:lang w:val="en-US" w:eastAsia="zh-CN" w:bidi="ar-SA"/>
        </w:rPr>
        <w:t>3.4.2.4.2.2城乡居民医疗保险提取应缴费信息（医保APP）</w:t>
      </w:r>
      <w:bookmarkEnd w:id="596"/>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在手机APP中实现城乡居民医疗保险提取应缴费信息，实现业务需求详见《3.4.2.1.2.2城乡居民医疗保险提取应缴费信息》。</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97" w:name="_Toc117633811"/>
      <w:r>
        <w:rPr>
          <w:rFonts w:hint="eastAsia" w:ascii="Times New Roman" w:hAnsi="Times New Roman" w:eastAsia="宋体" w:cs="Times New Roman"/>
          <w:color w:val="auto"/>
          <w:kern w:val="2"/>
          <w:sz w:val="21"/>
          <w:szCs w:val="21"/>
          <w:highlight w:val="none"/>
          <w:lang w:val="en-US" w:eastAsia="zh-CN" w:bidi="ar-SA"/>
        </w:rPr>
        <w:t>3.4.2.4.3第三方支付平台缴费（医保APP）</w:t>
      </w:r>
      <w:bookmarkEnd w:id="597"/>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98" w:name="_Toc117633812"/>
      <w:r>
        <w:rPr>
          <w:rFonts w:hint="eastAsia" w:ascii="Times New Roman" w:hAnsi="Times New Roman" w:eastAsia="宋体" w:cs="Times New Roman"/>
          <w:color w:val="auto"/>
          <w:kern w:val="2"/>
          <w:sz w:val="21"/>
          <w:szCs w:val="21"/>
          <w:highlight w:val="none"/>
          <w:lang w:val="en-US" w:eastAsia="zh-CN" w:bidi="ar-SA"/>
        </w:rPr>
        <w:t>3.4.2.4.3.1灵活就业人员医疗保险第三方支付平台缴费（医保APP）</w:t>
      </w:r>
      <w:bookmarkEnd w:id="598"/>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在手机APP中实现灵活就业人员医疗保险第三方支付平台缴费，实现业务需求详见《3.4.2.1.3.1灵活就业人员医疗保险第三方支付平台缴费》。</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599" w:name="_Toc117633813"/>
      <w:r>
        <w:rPr>
          <w:rFonts w:hint="eastAsia" w:ascii="Times New Roman" w:hAnsi="Times New Roman" w:eastAsia="宋体" w:cs="Times New Roman"/>
          <w:color w:val="auto"/>
          <w:kern w:val="2"/>
          <w:sz w:val="21"/>
          <w:szCs w:val="21"/>
          <w:highlight w:val="none"/>
          <w:lang w:val="en-US" w:eastAsia="zh-CN" w:bidi="ar-SA"/>
        </w:rPr>
        <w:t>3.4.2.4.3.2城乡居民医疗保险第三方支付平台缴费（医保APP）</w:t>
      </w:r>
      <w:bookmarkEnd w:id="599"/>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在手机APP中实现城乡居民医疗保险第三方支付平台缴费，实现业务需求详见《3.4.2.1.3.2城乡居民医疗保险第三方支付平台缴费》。</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600" w:name="_Toc117633814"/>
      <w:r>
        <w:rPr>
          <w:rFonts w:hint="eastAsia" w:ascii="Times New Roman" w:hAnsi="Times New Roman" w:eastAsia="宋体" w:cs="Times New Roman"/>
          <w:color w:val="auto"/>
          <w:kern w:val="2"/>
          <w:sz w:val="21"/>
          <w:szCs w:val="21"/>
          <w:highlight w:val="none"/>
          <w:lang w:val="en-US" w:eastAsia="zh-CN" w:bidi="ar-SA"/>
        </w:rPr>
        <w:t>3.4.2.4.4证明开具（医保APP）</w:t>
      </w:r>
      <w:bookmarkEnd w:id="600"/>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601" w:name="_Toc117633815"/>
      <w:r>
        <w:rPr>
          <w:rFonts w:hint="eastAsia" w:ascii="Times New Roman" w:hAnsi="Times New Roman" w:eastAsia="宋体" w:cs="Times New Roman"/>
          <w:color w:val="auto"/>
          <w:kern w:val="2"/>
          <w:sz w:val="21"/>
          <w:szCs w:val="21"/>
          <w:highlight w:val="none"/>
          <w:lang w:val="en-US" w:eastAsia="zh-CN" w:bidi="ar-SA"/>
        </w:rPr>
        <w:t>3.4.2.4.4.1灵活就业人员医疗保险缴费证明开具（医保APP）</w:t>
      </w:r>
      <w:bookmarkEnd w:id="601"/>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在手机APP中实现灵活就业人员医疗保险缴费证明开具，实现业务需求详见《3.4.2.1.4.1灵活就业人员医疗保险缴费证明开具》。</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602" w:name="_Toc117633816"/>
      <w:r>
        <w:rPr>
          <w:rFonts w:hint="eastAsia" w:ascii="Times New Roman" w:hAnsi="Times New Roman" w:eastAsia="宋体" w:cs="Times New Roman"/>
          <w:color w:val="auto"/>
          <w:kern w:val="2"/>
          <w:sz w:val="21"/>
          <w:szCs w:val="21"/>
          <w:highlight w:val="none"/>
          <w:lang w:val="en-US" w:eastAsia="zh-CN" w:bidi="ar-SA"/>
        </w:rPr>
        <w:t>3.4.2.4.4.2城乡居民医疗保险缴费证明开具（医保APP）</w:t>
      </w:r>
      <w:bookmarkEnd w:id="602"/>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在手机APP中实现城乡居民医疗保险缴费证明开具，实现业务需求详见《3.4.2.1.4.2城乡居民医疗保险缴费证明开具》。</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603" w:name="_Toc117633817"/>
      <w:r>
        <w:rPr>
          <w:rFonts w:hint="eastAsia" w:ascii="Times New Roman" w:hAnsi="Times New Roman" w:eastAsia="宋体" w:cs="Times New Roman"/>
          <w:color w:val="auto"/>
          <w:kern w:val="2"/>
          <w:sz w:val="21"/>
          <w:szCs w:val="21"/>
          <w:highlight w:val="none"/>
          <w:lang w:val="en-US" w:eastAsia="zh-CN" w:bidi="ar-SA"/>
        </w:rPr>
        <w:t>3.4.2.4.4.3灵活就业人员医疗保险完税证明开具（医保APP）</w:t>
      </w:r>
      <w:bookmarkEnd w:id="603"/>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在手机APP中实现灵活就业人员医疗保险完税证明开具，实现业务需求详见《3.4.2.1.4.3灵活就业人员医疗保险完税证明开具》。</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604" w:name="_Toc117633818"/>
      <w:r>
        <w:rPr>
          <w:rFonts w:hint="eastAsia" w:ascii="Times New Roman" w:hAnsi="Times New Roman" w:eastAsia="宋体" w:cs="Times New Roman"/>
          <w:color w:val="auto"/>
          <w:kern w:val="2"/>
          <w:sz w:val="21"/>
          <w:szCs w:val="21"/>
          <w:highlight w:val="none"/>
          <w:lang w:val="en-US" w:eastAsia="zh-CN" w:bidi="ar-SA"/>
        </w:rPr>
        <w:t>3.4.2.4.4.4城乡居民医疗保险完税证明开具（医保APP）</w:t>
      </w:r>
      <w:bookmarkEnd w:id="604"/>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在手机APP中实现城乡居民医疗保险完税证明开具，实现业务需求详见《3.4.2.1.4.4城乡居民医疗保险完税证明开具》。</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605" w:name="_Toc117633819"/>
      <w:r>
        <w:rPr>
          <w:rFonts w:hint="eastAsia" w:ascii="Times New Roman" w:hAnsi="Times New Roman" w:eastAsia="宋体" w:cs="Times New Roman"/>
          <w:color w:val="auto"/>
          <w:kern w:val="2"/>
          <w:sz w:val="21"/>
          <w:szCs w:val="21"/>
          <w:highlight w:val="none"/>
          <w:lang w:val="en-US" w:eastAsia="zh-CN" w:bidi="ar-SA"/>
        </w:rPr>
        <w:t>3.4.2.4.5查询（医保APP）</w:t>
      </w:r>
      <w:bookmarkEnd w:id="605"/>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606" w:name="_Toc117633820"/>
      <w:r>
        <w:rPr>
          <w:rFonts w:hint="eastAsia" w:ascii="Times New Roman" w:hAnsi="Times New Roman" w:eastAsia="宋体" w:cs="Times New Roman"/>
          <w:color w:val="auto"/>
          <w:kern w:val="2"/>
          <w:sz w:val="21"/>
          <w:szCs w:val="21"/>
          <w:highlight w:val="none"/>
          <w:lang w:val="en-US" w:eastAsia="zh-CN" w:bidi="ar-SA"/>
        </w:rPr>
        <w:t>3.4.2.4.5.1灵活就业人员医疗保险基础登记查询（医保APP）</w:t>
      </w:r>
      <w:bookmarkEnd w:id="606"/>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在手机APP中实现灵活就业人员医疗保险基础登记查询，实现业务需求详见《3.4.2.1.5.1灵活就业人员医疗保险基础登记查询》。</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607" w:name="_Toc117633821"/>
      <w:r>
        <w:rPr>
          <w:rFonts w:hint="eastAsia" w:ascii="Times New Roman" w:hAnsi="Times New Roman" w:eastAsia="宋体" w:cs="Times New Roman"/>
          <w:color w:val="auto"/>
          <w:kern w:val="2"/>
          <w:sz w:val="21"/>
          <w:szCs w:val="21"/>
          <w:highlight w:val="none"/>
          <w:lang w:val="en-US" w:eastAsia="zh-CN" w:bidi="ar-SA"/>
        </w:rPr>
        <w:t>3.4.2.4.5.2灵活就业人员医疗保险险种登记查询（医保APP）</w:t>
      </w:r>
      <w:bookmarkEnd w:id="607"/>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在手机APP中实现灵活就业人员医疗保险险种登记查询，实现业务需求详见《3.4.2.1.5.2灵活就业人员医疗保险险种登记查询》。</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608" w:name="_Toc117633822"/>
      <w:r>
        <w:rPr>
          <w:rFonts w:hint="eastAsia" w:ascii="Times New Roman" w:hAnsi="Times New Roman" w:eastAsia="宋体" w:cs="Times New Roman"/>
          <w:color w:val="auto"/>
          <w:kern w:val="2"/>
          <w:sz w:val="21"/>
          <w:szCs w:val="21"/>
          <w:highlight w:val="none"/>
          <w:lang w:val="en-US" w:eastAsia="zh-CN" w:bidi="ar-SA"/>
        </w:rPr>
        <w:t>3.4.2.4.5.3灵活就业人员医疗保险征缴计划查询（医保APP）</w:t>
      </w:r>
      <w:bookmarkEnd w:id="608"/>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在手机APP中实现灵活就业人员医疗保险征缴计划查询，实现业务需求详见《3.4.2.1.5.3灵活就业人员医疗保险征缴计划查询》。</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609" w:name="_Toc117633823"/>
      <w:r>
        <w:rPr>
          <w:rFonts w:hint="eastAsia" w:ascii="Times New Roman" w:hAnsi="Times New Roman" w:eastAsia="宋体" w:cs="Times New Roman"/>
          <w:color w:val="auto"/>
          <w:kern w:val="2"/>
          <w:sz w:val="21"/>
          <w:szCs w:val="21"/>
          <w:highlight w:val="none"/>
          <w:lang w:val="en-US" w:eastAsia="zh-CN" w:bidi="ar-SA"/>
        </w:rPr>
        <w:t>3.4.2.4.5.4灵活就业人员医疗保险入库明细查询（医保APP）</w:t>
      </w:r>
      <w:bookmarkEnd w:id="609"/>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在手机APP中实现灵活就业人员医疗保险入库明细查询，实现业务需求详见《3.4.2.1.5.4灵活就业人员医疗保险入库明细查询》。</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610" w:name="_Toc117633824"/>
      <w:r>
        <w:rPr>
          <w:rFonts w:hint="eastAsia" w:ascii="Times New Roman" w:hAnsi="Times New Roman" w:eastAsia="宋体" w:cs="Times New Roman"/>
          <w:color w:val="auto"/>
          <w:kern w:val="2"/>
          <w:sz w:val="21"/>
          <w:szCs w:val="21"/>
          <w:highlight w:val="none"/>
          <w:lang w:val="en-US" w:eastAsia="zh-CN" w:bidi="ar-SA"/>
        </w:rPr>
        <w:t>3.4.2.4.5.5城乡居民医疗保险基础登记查询（医保APP）</w:t>
      </w:r>
      <w:bookmarkEnd w:id="610"/>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在手机APP中实现城乡居民医疗保险基础登记查询，实现业务需求详见《3.4.2.1.5.5城乡居民医疗保险基础登记查询》。</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611" w:name="_Toc117633825"/>
      <w:r>
        <w:rPr>
          <w:rFonts w:hint="eastAsia" w:ascii="Times New Roman" w:hAnsi="Times New Roman" w:eastAsia="宋体" w:cs="Times New Roman"/>
          <w:color w:val="auto"/>
          <w:kern w:val="2"/>
          <w:sz w:val="21"/>
          <w:szCs w:val="21"/>
          <w:highlight w:val="none"/>
          <w:lang w:val="en-US" w:eastAsia="zh-CN" w:bidi="ar-SA"/>
        </w:rPr>
        <w:t>3.4.2.4.5.6城乡居民医疗保险险种登记查询（医保APP）</w:t>
      </w:r>
      <w:bookmarkEnd w:id="611"/>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在手机APP中实现城乡居民医疗保险险种登记查询，实现业务需求详见《3.4.2.1.5.6城乡居民医疗保险险种登记查询》。</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612" w:name="_Toc117633826"/>
      <w:r>
        <w:rPr>
          <w:rFonts w:hint="eastAsia" w:ascii="Times New Roman" w:hAnsi="Times New Roman" w:eastAsia="宋体" w:cs="Times New Roman"/>
          <w:color w:val="auto"/>
          <w:kern w:val="2"/>
          <w:sz w:val="21"/>
          <w:szCs w:val="21"/>
          <w:highlight w:val="none"/>
          <w:lang w:val="en-US" w:eastAsia="zh-CN" w:bidi="ar-SA"/>
        </w:rPr>
        <w:t>3.4.2.4.5.7城乡居民医疗保险征缴计划查询（医保APP）</w:t>
      </w:r>
      <w:bookmarkEnd w:id="612"/>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在手机APP中实现城乡居民医疗保险征缴计划查询，实现业务需求详见《3.4.2.1.5.7城乡居民医疗保险征缴计划查询》。</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613" w:name="_Toc117633827"/>
      <w:r>
        <w:rPr>
          <w:rFonts w:hint="eastAsia" w:ascii="Times New Roman" w:hAnsi="Times New Roman" w:eastAsia="宋体" w:cs="Times New Roman"/>
          <w:color w:val="auto"/>
          <w:kern w:val="2"/>
          <w:sz w:val="21"/>
          <w:szCs w:val="21"/>
          <w:highlight w:val="none"/>
          <w:lang w:val="en-US" w:eastAsia="zh-CN" w:bidi="ar-SA"/>
        </w:rPr>
        <w:t>3.4.2.4.5.8城乡居民医疗保险入库明细查询（医保APP）</w:t>
      </w:r>
      <w:bookmarkEnd w:id="613"/>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在手机APP中实现城乡居民医疗保险入库明细查询，实现业务需求详见《3.4.2.1.5.8城乡居民医疗保险入库明细查询》。</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四、总体技术要求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4.1技术标准与规范要求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系统在建设过程中必须参照国家电子政务标准和税务系统信息化建设标准与规范的有关要求进行实施，符合国家税务总局金税三期系统建设相关标准规范要求。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4.2系统安全性要求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必须保证系统安全性，需要从系统级、应用级、管理级三个层次具有较好的安全性。需要按照国家税务总局《电子税务局规范-安全规范》、《税务系统信息安全等级保护基本要求》中等级保护三级要求、《网上办税系统技术要求》、《税务移动应用安全开发和评估规范》等规范要求，能够保证系统安全、网络安全以及数据安全。在稳定性方面，系统要求能够满足7×24小时无人值守的稳定工作，具备较强的系统安全性和灾难恢复能力，系统具备强有力的安全保障措施。</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4.3可靠性要求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系统无单点故障，系统具有动态负载均衡处理能力。保证7*24小时不间断工作。须保证即便某些节点发生了永久性的失败，系统架构也能够保证这些节点所处理和存储的数据也不会丢失。</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4.4系统兼容性要求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系统应支持多种硬件服务器，平台可兼容Linux，AIX，Windows Server等主流操作系统。</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系统应能有效支持各种主流的浏览器（IE8及以上、chrome、firefox、safari）与手机客户端操作系统（Android4.1及以上和IOS6及以上），并在不同的终端上提供一致的用户体验。</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系统应具备可伸缩性，提供横纵向扩展能力，增加硬件资源后，能有效提高系统的业务处理能力。</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614" w:name="_Toc53391456"/>
      <w:r>
        <w:rPr>
          <w:rFonts w:hint="eastAsia" w:ascii="Times New Roman" w:hAnsi="Times New Roman" w:eastAsia="宋体" w:cs="Times New Roman"/>
          <w:color w:val="auto"/>
          <w:kern w:val="2"/>
          <w:sz w:val="21"/>
          <w:szCs w:val="21"/>
          <w:highlight w:val="none"/>
          <w:lang w:val="en-US" w:eastAsia="zh-CN" w:bidi="ar-SA"/>
        </w:rPr>
        <w:t>4.5接口</w:t>
      </w:r>
      <w:bookmarkEnd w:id="614"/>
      <w:r>
        <w:rPr>
          <w:rFonts w:hint="eastAsia" w:ascii="Times New Roman" w:hAnsi="Times New Roman" w:eastAsia="宋体" w:cs="Times New Roman"/>
          <w:color w:val="auto"/>
          <w:kern w:val="2"/>
          <w:sz w:val="21"/>
          <w:szCs w:val="21"/>
          <w:highlight w:val="none"/>
          <w:lang w:val="en-US" w:eastAsia="zh-CN" w:bidi="ar-SA"/>
        </w:rPr>
        <w:t>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遵循现有电子税务局系统接口服务协议规则，采用标准的Webservice协议。考虑到交易的对称性，在接入规范中，将请求和响应的技术报文定义为统一的格式标准。</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五、服务要求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系统上线后，中标人需要按合同约定的期限进行技术支持保障工作，保证系统平稳运行。在服务期内，中标人提供的服务和技术支持包括但不限于以下内容：</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1.中标人应对软件使用过程中出现的各类问题进行解答；</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2.处理建议应以前台操作为主，能够通过前台操作完成的，尽量不在后台调整；</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3.操作中出现的常见问题，应及时通过技术支持渠道向用户发布；</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六、验收要求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验收工作由招标人组织实施，投标人应完成项目验收的相关验收场景和资料的准备。</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6.1验收标准</w:t>
      </w:r>
      <w:r>
        <w:rPr>
          <w:rFonts w:hint="eastAsia" w:ascii="Times New Roman" w:hAnsi="Times New Roman" w:eastAsia="宋体" w:cs="Times New Roman"/>
          <w:color w:val="auto"/>
          <w:kern w:val="2"/>
          <w:sz w:val="21"/>
          <w:szCs w:val="21"/>
          <w:highlight w:val="none"/>
          <w:lang w:val="en-US" w:eastAsia="zh-CN" w:bidi="ar-SA"/>
        </w:rPr>
        <w:tab/>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1.验收的原则和依据</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本着保证质量、注重应用、功能适用的原则，以本项目招标文件、合同和业务需求及相关技术标准规范为验收的主要依据。</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2.验收标准</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（一）系统运行正常。</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（二）招标文件和合同要求全部完成，并满足要求。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（三）各种技术文档和验收资料完备，符合合同的内容。</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（四）系统监控和数据处理符合信息安全的要求。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（五）合同或合同附件规定的其他验收条件。</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6.2项目验收</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投标人应根据合同约定验收的要求以及验收工作的内容，协助制定验收方案；</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投标人应为验收工作准备相应的验收环境和所需资料；</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协助招标人全面、准确验证软件的各项功能模块是否达到标准；</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协助招标人全面、准确验证软件的各项性能是否能达到要求；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投标人应对验收中发现的问题制定详细明确的处理方案并及时修改；</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投标人必须按招标人要求提交移交物清单及清单所列内容的最终版本（包括纸制和电子版），并经招标人签字确认；</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投标人协助编写并提交验收报告等文档。</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6.3交付物要求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1、验收方案</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内容包括但不限于：详细描述验收目的、验收内容、技术条件、验收方法、进度安排、人员组成、验收准则、验收数据准备等。</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2、验收报告</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内容包括但不仅限于：详细描述和总结验收依据、验收内容、验收过程、验收准则、验收报告结论存在问题、优化完善建议等。</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3、移交物清单及交付物</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内容包括但不局限于：管理文档、用户文档、上线相关文档等。</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七、其他要求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7.1保密要求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中标人参与项目的所有人员应严格遵守招标人的保密要求，签订保密协议，并由中标人担保；招标人对于中标人提供的资料，不得以任何形式向第三方传播。保密期限不受本项目期限的限制，在本项目履行完毕后，保密信息接受方仍应承担保密义务。</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7.2知识产权要求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招标人对项目实施过程中所产生的所有成果（包括相关技术资料、文档等）享有所有权（永久使用权、复制权和修改权等）。除本项目工作所需外，未经招标人书面同意，中标人不得擅自使用、复制招标人的标志、数据信息、文档及其他资料。</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2、中标人应保证在本项目中所有预装和为本项目安装的软件为在中国境内具有合法版权或使用权的正版软件且无质量瑕疵。</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3、中标人保证所提供的产品及服务不侵犯第三方的知识产权，否则，由此给招标人造成的一切损失由中标人承担。</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7.3归档要求</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中标人应对该项目所涉及的需求分析、联调测试、培训推广等各阶段工作文档，按招标人质量、数量、提供方式、提供时间等要求进行整理，并提交招标人归档。</w:t>
      </w:r>
    </w:p>
    <w:p>
      <w:pPr>
        <w:pStyle w:val="1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p>
    <w:p>
      <w:pPr>
        <w:pStyle w:val="18"/>
        <w:jc w:val="left"/>
        <w:rPr>
          <w:rFonts w:hint="eastAsia" w:ascii="Times New Roman" w:hAnsi="Times New Roman" w:eastAsia="宋体" w:cs="Times New Roman"/>
          <w:color w:val="auto"/>
          <w:kern w:val="2"/>
          <w:sz w:val="21"/>
          <w:szCs w:val="21"/>
          <w:highlight w:val="none"/>
          <w:lang w:val="en-US" w:eastAsia="zh-CN" w:bidi="ar-SA"/>
        </w:rPr>
        <w:sectPr>
          <w:pgSz w:w="11906" w:h="16838"/>
          <w:pgMar w:top="1440" w:right="1803" w:bottom="1440" w:left="1803" w:header="851" w:footer="992" w:gutter="0"/>
          <w:cols w:space="720" w:num="1"/>
          <w:docGrid w:linePitch="319" w:charSpace="0"/>
        </w:sectPr>
      </w:pPr>
    </w:p>
    <w:p>
      <w:pPr>
        <w:spacing w:before="200" w:after="200"/>
        <w:jc w:val="center"/>
        <w:outlineLvl w:val="0"/>
        <w:rPr>
          <w:color w:val="auto"/>
          <w:highlight w:val="none"/>
        </w:rPr>
      </w:pPr>
      <w:bookmarkStart w:id="615" w:name="_Toc17739"/>
      <w:r>
        <w:rPr>
          <w:rStyle w:val="34"/>
          <w:rFonts w:hint="eastAsia"/>
          <w:color w:val="auto"/>
          <w:highlight w:val="none"/>
        </w:rPr>
        <w:t>第四章 评标方法</w:t>
      </w:r>
      <w:bookmarkEnd w:id="111"/>
      <w:bookmarkEnd w:id="112"/>
      <w:bookmarkEnd w:id="615"/>
    </w:p>
    <w:p>
      <w:pPr>
        <w:adjustRightInd w:val="0"/>
        <w:snapToGrid w:val="0"/>
        <w:ind w:firstLine="422" w:firstLineChars="200"/>
        <w:rPr>
          <w:rFonts w:cs="宋体"/>
          <w:b/>
          <w:color w:val="auto"/>
          <w:kern w:val="0"/>
          <w:highlight w:val="none"/>
        </w:rPr>
      </w:pPr>
      <w:bookmarkStart w:id="616" w:name="_Toc22313_WPSOffice_Level2"/>
      <w:r>
        <w:rPr>
          <w:rFonts w:hint="eastAsia" w:cs="宋体"/>
          <w:b/>
          <w:color w:val="auto"/>
          <w:kern w:val="0"/>
          <w:highlight w:val="none"/>
        </w:rPr>
        <w:t>一、评标方法</w:t>
      </w:r>
      <w:bookmarkEnd w:id="616"/>
    </w:p>
    <w:p>
      <w:pPr>
        <w:adjustRightInd w:val="0"/>
        <w:snapToGrid w:val="0"/>
        <w:ind w:firstLine="420" w:firstLineChars="200"/>
        <w:textAlignment w:val="baseline"/>
        <w:rPr>
          <w:color w:val="auto"/>
          <w:highlight w:val="none"/>
        </w:rPr>
      </w:pPr>
      <w:bookmarkStart w:id="617" w:name="_Toc21368_WPSOffice_Level2"/>
      <w:r>
        <w:rPr>
          <w:rFonts w:hint="eastAsia"/>
          <w:color w:val="auto"/>
          <w:highlight w:val="none"/>
        </w:rPr>
        <w:t>本项目将按照招标文件第一章 供应商须知的相关要求及本章的规定评标。</w:t>
      </w:r>
    </w:p>
    <w:p>
      <w:pPr>
        <w:adjustRightInd w:val="0"/>
        <w:snapToGrid w:val="0"/>
        <w:ind w:firstLine="422" w:firstLineChars="200"/>
        <w:textAlignment w:val="baseline"/>
        <w:rPr>
          <w:rFonts w:cs="宋体"/>
          <w:b/>
          <w:color w:val="auto"/>
          <w:kern w:val="0"/>
          <w:highlight w:val="none"/>
        </w:rPr>
      </w:pPr>
      <w:r>
        <w:rPr>
          <w:rFonts w:hint="eastAsia" w:cs="宋体"/>
          <w:b/>
          <w:color w:val="auto"/>
          <w:kern w:val="0"/>
          <w:highlight w:val="none"/>
        </w:rPr>
        <w:t>二、评标原则及程序</w:t>
      </w:r>
      <w:bookmarkEnd w:id="617"/>
    </w:p>
    <w:p>
      <w:pPr>
        <w:adjustRightInd w:val="0"/>
        <w:snapToGrid w:val="0"/>
        <w:ind w:firstLine="422" w:firstLineChars="200"/>
        <w:textAlignment w:val="baseline"/>
        <w:rPr>
          <w:rFonts w:cs="宋体"/>
          <w:b/>
          <w:color w:val="auto"/>
          <w:kern w:val="0"/>
          <w:highlight w:val="none"/>
        </w:rPr>
      </w:pPr>
      <w:r>
        <w:rPr>
          <w:rFonts w:hint="eastAsia" w:cs="宋体"/>
          <w:b/>
          <w:color w:val="auto"/>
          <w:kern w:val="0"/>
          <w:highlight w:val="none"/>
        </w:rPr>
        <w:t>（一）评标原则</w:t>
      </w:r>
    </w:p>
    <w:p>
      <w:pPr>
        <w:adjustRightInd w:val="0"/>
        <w:snapToGrid w:val="0"/>
        <w:ind w:firstLine="420" w:firstLineChars="200"/>
        <w:textAlignment w:val="baseline"/>
        <w:rPr>
          <w:rFonts w:cs="宋体"/>
          <w:b/>
          <w:color w:val="auto"/>
          <w:kern w:val="0"/>
          <w:highlight w:val="none"/>
        </w:rPr>
      </w:pPr>
      <w:r>
        <w:rPr>
          <w:rFonts w:hint="eastAsia" w:cs="宋体"/>
          <w:color w:val="auto"/>
          <w:kern w:val="0"/>
          <w:highlight w:val="none"/>
        </w:rPr>
        <w:t>评标委员会应当按照客观、公正、审慎的原则，根据采购文件规定的评审程序、评审方法和评审标准进行独立评审。采购文件内容违反国家有关强制性规定的，评标委员会应当停止评审并向采购人或者采购代理机构说明情况。</w:t>
      </w:r>
    </w:p>
    <w:p>
      <w:pPr>
        <w:adjustRightInd w:val="0"/>
        <w:snapToGrid w:val="0"/>
        <w:ind w:firstLine="422" w:firstLineChars="200"/>
        <w:textAlignment w:val="baseline"/>
        <w:rPr>
          <w:rFonts w:cs="宋体"/>
          <w:b/>
          <w:color w:val="auto"/>
          <w:kern w:val="0"/>
          <w:highlight w:val="none"/>
        </w:rPr>
      </w:pPr>
      <w:r>
        <w:rPr>
          <w:rFonts w:hint="eastAsia" w:cs="宋体"/>
          <w:b/>
          <w:color w:val="auto"/>
          <w:kern w:val="0"/>
          <w:highlight w:val="none"/>
        </w:rPr>
        <w:t>（二）评标程序</w:t>
      </w:r>
    </w:p>
    <w:p>
      <w:pPr>
        <w:adjustRightInd w:val="0"/>
        <w:snapToGrid w:val="0"/>
        <w:ind w:firstLine="422" w:firstLineChars="200"/>
        <w:textAlignment w:val="baseline"/>
        <w:rPr>
          <w:rFonts w:cs="宋体"/>
          <w:b/>
          <w:color w:val="auto"/>
          <w:kern w:val="0"/>
          <w:highlight w:val="none"/>
        </w:rPr>
      </w:pPr>
      <w:r>
        <w:rPr>
          <w:rFonts w:hint="eastAsia" w:cs="宋体"/>
          <w:b/>
          <w:color w:val="auto"/>
          <w:kern w:val="0"/>
          <w:highlight w:val="none"/>
        </w:rPr>
        <w:t>★1、资格审查</w:t>
      </w:r>
    </w:p>
    <w:p>
      <w:pPr>
        <w:adjustRightInd w:val="0"/>
        <w:snapToGrid w:val="0"/>
        <w:ind w:firstLine="420" w:firstLineChars="200"/>
        <w:textAlignment w:val="baseline"/>
        <w:rPr>
          <w:rFonts w:cs="宋体"/>
          <w:color w:val="auto"/>
          <w:kern w:val="0"/>
          <w:highlight w:val="none"/>
        </w:rPr>
      </w:pPr>
      <w:r>
        <w:rPr>
          <w:rFonts w:hint="eastAsia" w:cs="宋体"/>
          <w:color w:val="auto"/>
          <w:kern w:val="0"/>
          <w:highlight w:val="none"/>
        </w:rPr>
        <w:t>1.1详见供应商须知22条。资格评审表详见本章附件1。</w:t>
      </w:r>
    </w:p>
    <w:p>
      <w:pPr>
        <w:adjustRightInd w:val="0"/>
        <w:snapToGrid w:val="0"/>
        <w:ind w:firstLine="422" w:firstLineChars="200"/>
        <w:rPr>
          <w:rFonts w:cs="宋体"/>
          <w:b/>
          <w:bCs/>
          <w:color w:val="auto"/>
          <w:kern w:val="0"/>
          <w:highlight w:val="none"/>
        </w:rPr>
      </w:pPr>
      <w:r>
        <w:rPr>
          <w:rFonts w:hint="eastAsia" w:cs="宋体"/>
          <w:b/>
          <w:color w:val="auto"/>
          <w:kern w:val="0"/>
          <w:highlight w:val="none"/>
        </w:rPr>
        <w:t>★</w:t>
      </w:r>
      <w:r>
        <w:rPr>
          <w:rFonts w:hint="eastAsia" w:cs="宋体"/>
          <w:b/>
          <w:bCs/>
          <w:color w:val="auto"/>
          <w:kern w:val="0"/>
          <w:highlight w:val="none"/>
        </w:rPr>
        <w:t>2、符合性审查</w:t>
      </w:r>
    </w:p>
    <w:p>
      <w:pPr>
        <w:adjustRightInd w:val="0"/>
        <w:snapToGrid w:val="0"/>
        <w:ind w:firstLine="420" w:firstLineChars="200"/>
        <w:rPr>
          <w:rFonts w:cs="宋体"/>
          <w:color w:val="auto"/>
          <w:kern w:val="0"/>
          <w:highlight w:val="none"/>
        </w:rPr>
      </w:pPr>
      <w:r>
        <w:rPr>
          <w:rFonts w:hint="eastAsia" w:cs="宋体"/>
          <w:color w:val="auto"/>
          <w:kern w:val="0"/>
          <w:highlight w:val="none"/>
        </w:rPr>
        <w:t>2.1详见供应商须知23条。符合性审查表详见本章附件2。</w:t>
      </w:r>
    </w:p>
    <w:p>
      <w:pPr>
        <w:adjustRightInd w:val="0"/>
        <w:snapToGrid w:val="0"/>
        <w:ind w:firstLine="422" w:firstLineChars="200"/>
        <w:rPr>
          <w:rFonts w:cs="宋体"/>
          <w:b/>
          <w:bCs/>
          <w:color w:val="auto"/>
          <w:kern w:val="0"/>
          <w:highlight w:val="none"/>
        </w:rPr>
      </w:pPr>
      <w:r>
        <w:rPr>
          <w:rFonts w:hint="eastAsia" w:cs="宋体"/>
          <w:b/>
          <w:bCs/>
          <w:color w:val="auto"/>
          <w:kern w:val="0"/>
          <w:highlight w:val="none"/>
        </w:rPr>
        <w:t>3、演示</w:t>
      </w:r>
    </w:p>
    <w:p>
      <w:pPr>
        <w:adjustRightInd w:val="0"/>
        <w:snapToGrid w:val="0"/>
        <w:ind w:firstLine="420" w:firstLineChars="200"/>
        <w:rPr>
          <w:rFonts w:cs="宋体"/>
          <w:color w:val="auto"/>
          <w:highlight w:val="none"/>
        </w:rPr>
      </w:pPr>
      <w:r>
        <w:rPr>
          <w:rFonts w:hint="eastAsia" w:cs="宋体"/>
          <w:color w:val="auto"/>
          <w:highlight w:val="none"/>
        </w:rPr>
        <w:t>3.1</w:t>
      </w:r>
      <w:r>
        <w:rPr>
          <w:rFonts w:hint="eastAsia" w:cs="宋体"/>
          <w:color w:val="auto"/>
          <w:kern w:val="0"/>
          <w:highlight w:val="none"/>
        </w:rPr>
        <w:t>供应商须知表11.3条</w:t>
      </w:r>
      <w:r>
        <w:rPr>
          <w:rFonts w:hint="eastAsia" w:cs="宋体"/>
          <w:color w:val="auto"/>
          <w:highlight w:val="none"/>
        </w:rPr>
        <w:t>中要求供应商提供演示的，按照</w:t>
      </w:r>
      <w:r>
        <w:rPr>
          <w:rFonts w:hint="eastAsia" w:cs="宋体"/>
          <w:color w:val="auto"/>
          <w:kern w:val="0"/>
          <w:highlight w:val="none"/>
        </w:rPr>
        <w:t>供应商须知表25.1条</w:t>
      </w:r>
      <w:r>
        <w:rPr>
          <w:rFonts w:hint="eastAsia" w:cs="宋体"/>
          <w:color w:val="auto"/>
          <w:highlight w:val="none"/>
        </w:rPr>
        <w:t>中确定的评审方法以及评审标准进行评审。</w:t>
      </w:r>
    </w:p>
    <w:p>
      <w:pPr>
        <w:adjustRightInd w:val="0"/>
        <w:snapToGrid w:val="0"/>
        <w:ind w:firstLine="422" w:firstLineChars="200"/>
        <w:rPr>
          <w:rFonts w:cs="宋体"/>
          <w:b/>
          <w:bCs/>
          <w:color w:val="auto"/>
          <w:kern w:val="0"/>
          <w:highlight w:val="none"/>
        </w:rPr>
      </w:pPr>
      <w:r>
        <w:rPr>
          <w:rFonts w:hint="eastAsia" w:cs="宋体"/>
          <w:b/>
          <w:color w:val="auto"/>
          <w:kern w:val="0"/>
          <w:highlight w:val="none"/>
        </w:rPr>
        <w:t>★4</w:t>
      </w:r>
      <w:r>
        <w:rPr>
          <w:rFonts w:hint="eastAsia" w:cs="宋体"/>
          <w:b/>
          <w:bCs/>
          <w:color w:val="auto"/>
          <w:kern w:val="0"/>
          <w:highlight w:val="none"/>
        </w:rPr>
        <w:t>、比较及评价</w:t>
      </w:r>
    </w:p>
    <w:p>
      <w:pPr>
        <w:adjustRightInd w:val="0"/>
        <w:snapToGrid w:val="0"/>
        <w:ind w:firstLine="420" w:firstLineChars="200"/>
        <w:rPr>
          <w:rFonts w:cs="宋体"/>
          <w:color w:val="auto"/>
          <w:kern w:val="0"/>
          <w:highlight w:val="none"/>
        </w:rPr>
      </w:pPr>
      <w:r>
        <w:rPr>
          <w:rFonts w:hint="eastAsia" w:cs="宋体"/>
          <w:color w:val="auto"/>
          <w:kern w:val="0"/>
          <w:highlight w:val="none"/>
        </w:rPr>
        <w:t>4.1评标委员会对通过符合性审查的投标文件进行比较和评价。</w:t>
      </w:r>
    </w:p>
    <w:p>
      <w:pPr>
        <w:adjustRightInd w:val="0"/>
        <w:snapToGrid w:val="0"/>
        <w:ind w:firstLine="420" w:firstLineChars="200"/>
        <w:rPr>
          <w:rFonts w:cs="宋体"/>
          <w:color w:val="auto"/>
          <w:kern w:val="0"/>
          <w:highlight w:val="none"/>
        </w:rPr>
      </w:pPr>
      <w:r>
        <w:rPr>
          <w:rFonts w:hint="eastAsia" w:cs="宋体"/>
          <w:color w:val="auto"/>
          <w:kern w:val="0"/>
          <w:highlight w:val="none"/>
        </w:rPr>
        <w:t>4.2在评标期间，对投标文件的澄清按供应商须知24条内容执行。</w:t>
      </w:r>
    </w:p>
    <w:p>
      <w:pPr>
        <w:adjustRightInd w:val="0"/>
        <w:snapToGrid w:val="0"/>
        <w:ind w:firstLine="420" w:firstLineChars="200"/>
        <w:rPr>
          <w:rFonts w:cs="宋体"/>
          <w:color w:val="auto"/>
          <w:highlight w:val="none"/>
        </w:rPr>
      </w:pPr>
      <w:r>
        <w:rPr>
          <w:rFonts w:hint="eastAsia" w:cs="宋体"/>
          <w:color w:val="auto"/>
          <w:highlight w:val="none"/>
        </w:rPr>
        <w:t>4.3评标委员会认为供应商的报价明显低于其他通过符合性审查的供应商报价，有可能影响</w:t>
      </w:r>
      <w:r>
        <w:rPr>
          <w:rFonts w:cs="宋体"/>
          <w:color w:val="auto"/>
          <w:highlight w:val="none"/>
        </w:rPr>
        <w:t>服务</w:t>
      </w:r>
      <w:r>
        <w:rPr>
          <w:rFonts w:hint="eastAsia" w:cs="宋体"/>
          <w:color w:val="auto"/>
          <w:highlight w:val="none"/>
        </w:rPr>
        <w:t>质量或者不能诚信履约的，评标委员会应当要求其在评标现场合理的时间内提供书面说明，并提交相关证明材料，</w:t>
      </w:r>
      <w:r>
        <w:rPr>
          <w:rFonts w:hint="eastAsia" w:cs="宋体"/>
          <w:color w:val="auto"/>
          <w:kern w:val="0"/>
          <w:highlight w:val="none"/>
        </w:rPr>
        <w:t>供应商不能证明其报价合理性的，评标委员会应当将</w:t>
      </w:r>
      <w:r>
        <w:rPr>
          <w:rFonts w:hint="eastAsia" w:cs="宋体"/>
          <w:color w:val="auto"/>
          <w:highlight w:val="none"/>
        </w:rPr>
        <w:t>其投标作为</w:t>
      </w:r>
      <w:r>
        <w:rPr>
          <w:rFonts w:hint="eastAsia" w:cs="宋体"/>
          <w:b/>
          <w:bCs/>
          <w:color w:val="auto"/>
          <w:highlight w:val="none"/>
        </w:rPr>
        <w:t>无效投标处理</w:t>
      </w:r>
      <w:r>
        <w:rPr>
          <w:rFonts w:hint="eastAsia" w:cs="宋体"/>
          <w:color w:val="auto"/>
          <w:highlight w:val="none"/>
        </w:rPr>
        <w:t>。</w:t>
      </w:r>
    </w:p>
    <w:p>
      <w:pPr>
        <w:adjustRightInd w:val="0"/>
        <w:snapToGrid w:val="0"/>
        <w:ind w:firstLine="420" w:firstLineChars="200"/>
        <w:rPr>
          <w:rFonts w:cs="宋体"/>
          <w:color w:val="auto"/>
          <w:highlight w:val="none"/>
        </w:rPr>
      </w:pPr>
      <w:r>
        <w:rPr>
          <w:rFonts w:hint="eastAsia" w:cs="宋体"/>
          <w:color w:val="auto"/>
          <w:highlight w:val="none"/>
        </w:rPr>
        <w:t>供应商的书面说明材料包含服务本身成本、人工费用、运输、税收等，以及报价不会影响服务质量或诚信履约能力的说明等。</w:t>
      </w:r>
    </w:p>
    <w:p>
      <w:pPr>
        <w:adjustRightInd w:val="0"/>
        <w:snapToGrid w:val="0"/>
        <w:ind w:firstLine="420" w:firstLineChars="200"/>
        <w:rPr>
          <w:rFonts w:cs="宋体"/>
          <w:color w:val="auto"/>
          <w:highlight w:val="none"/>
        </w:rPr>
      </w:pPr>
      <w:r>
        <w:rPr>
          <w:rFonts w:hint="eastAsia" w:cs="宋体"/>
          <w:color w:val="auto"/>
          <w:highlight w:val="none"/>
        </w:rPr>
        <w:t>供应商的书面说明应当签字确认或者加盖公章，否则无效。书面说明的签字确认，由其法定代表人（非法人单位负责人或自然人本人）或者其授权代表签字确认。</w:t>
      </w:r>
    </w:p>
    <w:p>
      <w:pPr>
        <w:adjustRightInd w:val="0"/>
        <w:snapToGrid w:val="0"/>
        <w:ind w:firstLine="420" w:firstLineChars="200"/>
        <w:rPr>
          <w:rFonts w:cs="宋体"/>
          <w:color w:val="auto"/>
          <w:highlight w:val="none"/>
        </w:rPr>
      </w:pPr>
      <w:r>
        <w:rPr>
          <w:rFonts w:hint="eastAsia" w:cs="宋体"/>
          <w:color w:val="auto"/>
          <w:highlight w:val="none"/>
        </w:rPr>
        <w:t>供应商提供书面说明后，评标委员会应当结合采购项目</w:t>
      </w:r>
      <w:r>
        <w:rPr>
          <w:rFonts w:cs="宋体"/>
          <w:color w:val="auto"/>
          <w:highlight w:val="none"/>
        </w:rPr>
        <w:t>服务</w:t>
      </w:r>
      <w:r>
        <w:rPr>
          <w:rFonts w:hint="eastAsia" w:cs="宋体"/>
          <w:color w:val="auto"/>
          <w:highlight w:val="none"/>
        </w:rPr>
        <w:t>需求、专业实际情况、供应商财务状况报告、与其他供应商比较情况等就供应商的书面说明进行审查评价。供应商如有下列情况的，评标委员会应当将其投标文件作为无效处理：</w:t>
      </w:r>
    </w:p>
    <w:p>
      <w:pPr>
        <w:numPr>
          <w:ilvl w:val="0"/>
          <w:numId w:val="5"/>
        </w:numPr>
        <w:adjustRightInd w:val="0"/>
        <w:snapToGrid w:val="0"/>
        <w:ind w:firstLine="420" w:firstLineChars="200"/>
        <w:rPr>
          <w:rFonts w:cs="宋体"/>
          <w:color w:val="auto"/>
          <w:highlight w:val="none"/>
        </w:rPr>
      </w:pPr>
      <w:r>
        <w:rPr>
          <w:rFonts w:hint="eastAsia" w:cs="宋体"/>
          <w:color w:val="auto"/>
          <w:highlight w:val="none"/>
        </w:rPr>
        <w:t>拒绝或者变相拒绝提供有效书面说明；</w:t>
      </w:r>
    </w:p>
    <w:p>
      <w:pPr>
        <w:numPr>
          <w:ilvl w:val="0"/>
          <w:numId w:val="5"/>
        </w:numPr>
        <w:adjustRightInd w:val="0"/>
        <w:snapToGrid w:val="0"/>
        <w:ind w:firstLine="420" w:firstLineChars="200"/>
        <w:rPr>
          <w:rFonts w:cs="宋体"/>
          <w:color w:val="auto"/>
          <w:highlight w:val="none"/>
        </w:rPr>
      </w:pPr>
      <w:r>
        <w:rPr>
          <w:rFonts w:hint="eastAsia" w:cs="宋体"/>
          <w:color w:val="auto"/>
          <w:highlight w:val="none"/>
        </w:rPr>
        <w:t>书面说明不能证明其报价合理性的；</w:t>
      </w:r>
    </w:p>
    <w:p>
      <w:pPr>
        <w:numPr>
          <w:ilvl w:val="0"/>
          <w:numId w:val="5"/>
        </w:numPr>
        <w:adjustRightInd w:val="0"/>
        <w:snapToGrid w:val="0"/>
        <w:ind w:firstLine="420" w:firstLineChars="200"/>
        <w:rPr>
          <w:rFonts w:cs="宋体"/>
          <w:color w:val="auto"/>
          <w:highlight w:val="none"/>
        </w:rPr>
      </w:pPr>
      <w:r>
        <w:rPr>
          <w:rFonts w:hint="eastAsia" w:cs="宋体"/>
          <w:color w:val="auto"/>
          <w:highlight w:val="none"/>
        </w:rPr>
        <w:t>未在规定时间内递交有效书面说明书的。</w:t>
      </w:r>
    </w:p>
    <w:p>
      <w:pPr>
        <w:adjustRightInd w:val="0"/>
        <w:snapToGrid w:val="0"/>
        <w:ind w:firstLine="422" w:firstLineChars="200"/>
        <w:rPr>
          <w:rFonts w:cs="宋体"/>
          <w:b/>
          <w:bCs/>
          <w:color w:val="auto"/>
          <w:kern w:val="0"/>
          <w:highlight w:val="none"/>
        </w:rPr>
      </w:pPr>
      <w:r>
        <w:rPr>
          <w:rFonts w:hint="eastAsia" w:cs="宋体"/>
          <w:b/>
          <w:color w:val="auto"/>
          <w:kern w:val="0"/>
          <w:highlight w:val="none"/>
        </w:rPr>
        <w:t>★5</w:t>
      </w:r>
      <w:r>
        <w:rPr>
          <w:rFonts w:hint="eastAsia" w:cs="宋体"/>
          <w:b/>
          <w:bCs/>
          <w:color w:val="auto"/>
          <w:kern w:val="0"/>
          <w:highlight w:val="none"/>
        </w:rPr>
        <w:t>、需落实的政府采购政策性规定：</w:t>
      </w:r>
    </w:p>
    <w:p>
      <w:pPr>
        <w:adjustRightInd w:val="0"/>
        <w:snapToGrid w:val="0"/>
        <w:ind w:firstLine="422" w:firstLineChars="200"/>
        <w:rPr>
          <w:rFonts w:cs="宋体"/>
          <w:b/>
          <w:color w:val="auto"/>
          <w:kern w:val="0"/>
          <w:highlight w:val="none"/>
        </w:rPr>
      </w:pPr>
      <w:r>
        <w:rPr>
          <w:rFonts w:hint="eastAsia" w:cs="宋体"/>
          <w:b/>
          <w:color w:val="auto"/>
          <w:kern w:val="0"/>
          <w:highlight w:val="none"/>
        </w:rPr>
        <w:t>5.1对于中小微企业（含监狱企业）的相关规定</w:t>
      </w:r>
    </w:p>
    <w:p>
      <w:pPr>
        <w:adjustRightInd w:val="0"/>
        <w:ind w:firstLine="420" w:firstLineChars="200"/>
        <w:jc w:val="left"/>
        <w:rPr>
          <w:rFonts w:cs="仿宋_GB2312"/>
          <w:b/>
          <w:color w:val="auto"/>
          <w:highlight w:val="none"/>
          <w:u w:val="single"/>
        </w:rPr>
      </w:pPr>
      <w:r>
        <w:rPr>
          <w:rFonts w:hint="eastAsia" w:cs="仿宋_GB2312"/>
          <w:color w:val="auto"/>
          <w:highlight w:val="none"/>
        </w:rPr>
        <w:t>对于非专门面向中小企业的项目，在满足价格扣除条件且在响应文件中按要求提交了《中小企业声明函》、《制造商企业（单位）类型声明函》</w:t>
      </w:r>
      <w:r>
        <w:rPr>
          <w:rFonts w:hint="eastAsia" w:cs="仿宋_GB2312"/>
          <w:color w:val="auto"/>
          <w:kern w:val="0"/>
          <w:highlight w:val="none"/>
        </w:rPr>
        <w:t>（</w:t>
      </w:r>
      <w:r>
        <w:rPr>
          <w:rFonts w:hint="eastAsia" w:cs="仿宋_GB2312"/>
          <w:color w:val="auto"/>
          <w:highlight w:val="none"/>
        </w:rPr>
        <w:t>响应</w:t>
      </w:r>
      <w:r>
        <w:rPr>
          <w:rFonts w:hint="eastAsia" w:cs="仿宋_GB2312"/>
          <w:color w:val="auto"/>
          <w:kern w:val="0"/>
          <w:highlight w:val="none"/>
        </w:rPr>
        <w:t>产品非供应商生产制造的须提供）</w:t>
      </w:r>
      <w:r>
        <w:rPr>
          <w:rFonts w:hint="eastAsia" w:cs="仿宋_GB2312"/>
          <w:color w:val="auto"/>
          <w:highlight w:val="none"/>
        </w:rPr>
        <w:t>或省级以上监狱管理局、戒毒管理局（含新疆生产建设兵团）出具的属于监狱企业的证明文件的供应商，对响应报价给予价格扣除，用扣除后的价格参与评审。</w:t>
      </w:r>
    </w:p>
    <w:p>
      <w:pPr>
        <w:adjustRightInd w:val="0"/>
        <w:ind w:firstLine="420" w:firstLineChars="200"/>
        <w:jc w:val="left"/>
        <w:rPr>
          <w:rFonts w:cs="仿宋_GB2312"/>
          <w:color w:val="auto"/>
          <w:highlight w:val="none"/>
        </w:rPr>
      </w:pPr>
      <w:r>
        <w:rPr>
          <w:rFonts w:hint="eastAsia" w:cs="仿宋_GB2312"/>
          <w:color w:val="auto"/>
          <w:highlight w:val="none"/>
        </w:rPr>
        <w:t>大中型企业和其他自然人、法人或者其他组织与小型、微型企业组成联合体共同参加非专门面向中小企业的政府采购活动的，联合体参加询价协议中约定，小型、微型企业的协议合同金额占到联合体参加询价协议合同总金额30%以上的，对响应报价给予价格扣除，用扣除后的价格参与评审。</w:t>
      </w:r>
    </w:p>
    <w:p>
      <w:pPr>
        <w:adjustRightInd w:val="0"/>
        <w:snapToGrid w:val="0"/>
        <w:ind w:firstLine="420" w:firstLineChars="200"/>
        <w:jc w:val="left"/>
        <w:rPr>
          <w:rFonts w:cs="仿宋_GB2312"/>
          <w:color w:val="auto"/>
          <w:highlight w:val="none"/>
        </w:rPr>
      </w:pPr>
      <w:r>
        <w:rPr>
          <w:rFonts w:hint="eastAsia" w:cs="仿宋_GB2312"/>
          <w:color w:val="auto"/>
          <w:highlight w:val="none"/>
        </w:rPr>
        <w:t>联合体各方均为小型、微型企业的，联合体视同为小型、微型企业享受规定的扶持政策。组成联合体的大中型企业和其他自然人、法人或者其他组织，与小型、微型企业之间不得存在投资关系。</w:t>
      </w:r>
    </w:p>
    <w:p>
      <w:pPr>
        <w:adjustRightInd w:val="0"/>
        <w:snapToGrid w:val="0"/>
        <w:ind w:firstLine="422" w:firstLineChars="200"/>
        <w:jc w:val="left"/>
        <w:rPr>
          <w:rFonts w:cs="宋体"/>
          <w:b/>
          <w:color w:val="auto"/>
          <w:kern w:val="0"/>
          <w:highlight w:val="none"/>
        </w:rPr>
      </w:pPr>
      <w:r>
        <w:rPr>
          <w:rFonts w:hint="eastAsia" w:cs="宋体"/>
          <w:b/>
          <w:color w:val="auto"/>
          <w:kern w:val="0"/>
          <w:highlight w:val="none"/>
        </w:rPr>
        <w:t>5.2对于促进残疾人就业政府采购政策的相关规定</w:t>
      </w:r>
    </w:p>
    <w:p>
      <w:pPr>
        <w:adjustRightInd w:val="0"/>
        <w:snapToGrid w:val="0"/>
        <w:ind w:firstLine="420" w:firstLineChars="200"/>
        <w:jc w:val="left"/>
        <w:rPr>
          <w:rFonts w:cs="宋体"/>
          <w:color w:val="auto"/>
          <w:highlight w:val="none"/>
        </w:rPr>
      </w:pPr>
      <w:r>
        <w:rPr>
          <w:rFonts w:hint="eastAsia" w:cs="宋体"/>
          <w:color w:val="auto"/>
          <w:kern w:val="0"/>
          <w:highlight w:val="none"/>
        </w:rPr>
        <w:t>（1）</w:t>
      </w:r>
      <w:r>
        <w:rPr>
          <w:rFonts w:hint="eastAsia" w:cs="宋体"/>
          <w:color w:val="auto"/>
          <w:highlight w:val="none"/>
        </w:rPr>
        <w:t>残疾人福利性单位视同小型、微型企业，对残疾人福利性单位的产品价格给</w:t>
      </w:r>
      <w:r>
        <w:rPr>
          <w:rFonts w:hint="eastAsia" w:cs="宋体"/>
          <w:color w:val="auto"/>
          <w:kern w:val="0"/>
          <w:highlight w:val="none"/>
        </w:rPr>
        <w:t>予相同的价格扣除，用扣除后的价格参与评审。</w:t>
      </w:r>
    </w:p>
    <w:p>
      <w:pPr>
        <w:adjustRightInd w:val="0"/>
        <w:snapToGrid w:val="0"/>
        <w:ind w:firstLine="420" w:firstLineChars="200"/>
        <w:rPr>
          <w:rFonts w:cs="宋体"/>
          <w:color w:val="auto"/>
          <w:highlight w:val="none"/>
        </w:rPr>
      </w:pPr>
      <w:r>
        <w:rPr>
          <w:rFonts w:hint="eastAsia" w:cs="宋体"/>
          <w:color w:val="auto"/>
          <w:kern w:val="0"/>
          <w:highlight w:val="none"/>
        </w:rPr>
        <w:t>（2）投标文件中必须提供《残疾人福利性单位声明函》（详见第二章 投标文件内容及格式），否则不予享受该政策性优惠，并对声明的真实性负责</w:t>
      </w:r>
      <w:r>
        <w:rPr>
          <w:rFonts w:hint="eastAsia" w:cs="宋体"/>
          <w:color w:val="auto"/>
          <w:highlight w:val="none"/>
        </w:rPr>
        <w:t>，如《残疾人福利性单位声明函》与事实不符的，将依照《</w:t>
      </w:r>
      <w:r>
        <w:rPr>
          <w:rFonts w:hint="eastAsia"/>
          <w:color w:val="auto"/>
          <w:highlight w:val="none"/>
        </w:rPr>
        <w:t>中华人民共和国</w:t>
      </w:r>
      <w:r>
        <w:rPr>
          <w:rFonts w:hint="eastAsia" w:cs="宋体"/>
          <w:color w:val="auto"/>
          <w:highlight w:val="none"/>
        </w:rPr>
        <w:t>政府采购法》第七十七条第一款的规定追究法律责任。</w:t>
      </w:r>
    </w:p>
    <w:p>
      <w:pPr>
        <w:adjustRightInd w:val="0"/>
        <w:snapToGrid w:val="0"/>
        <w:ind w:firstLine="422" w:firstLineChars="200"/>
        <w:rPr>
          <w:rFonts w:cs="宋体"/>
          <w:b/>
          <w:color w:val="auto"/>
          <w:highlight w:val="none"/>
        </w:rPr>
      </w:pPr>
      <w:r>
        <w:rPr>
          <w:rFonts w:hint="eastAsia" w:cs="宋体"/>
          <w:b/>
          <w:color w:val="auto"/>
          <w:highlight w:val="none"/>
        </w:rPr>
        <w:t>（3）残疾人福利性单位属于小型、微型企业的，不重复享受政策。</w:t>
      </w:r>
    </w:p>
    <w:p>
      <w:pPr>
        <w:adjustRightInd w:val="0"/>
        <w:snapToGrid w:val="0"/>
        <w:ind w:firstLine="422" w:firstLineChars="200"/>
        <w:rPr>
          <w:rFonts w:cs="宋体"/>
          <w:b/>
          <w:bCs/>
          <w:color w:val="auto"/>
          <w:kern w:val="0"/>
          <w:highlight w:val="none"/>
        </w:rPr>
      </w:pPr>
      <w:r>
        <w:rPr>
          <w:rFonts w:hint="eastAsia" w:cs="宋体"/>
          <w:b/>
          <w:color w:val="auto"/>
          <w:kern w:val="0"/>
          <w:highlight w:val="none"/>
        </w:rPr>
        <w:t>★6</w:t>
      </w:r>
      <w:r>
        <w:rPr>
          <w:rFonts w:hint="eastAsia" w:cs="宋体"/>
          <w:b/>
          <w:bCs/>
          <w:color w:val="auto"/>
          <w:kern w:val="0"/>
          <w:highlight w:val="none"/>
        </w:rPr>
        <w:t>、废标情况详见供应商须知28条。</w:t>
      </w:r>
    </w:p>
    <w:p>
      <w:pPr>
        <w:adjustRightInd w:val="0"/>
        <w:snapToGrid w:val="0"/>
        <w:ind w:firstLine="422" w:firstLineChars="200"/>
        <w:rPr>
          <w:rFonts w:cs="宋体"/>
          <w:b/>
          <w:bCs/>
          <w:color w:val="auto"/>
          <w:kern w:val="0"/>
          <w:highlight w:val="none"/>
        </w:rPr>
      </w:pPr>
      <w:r>
        <w:rPr>
          <w:rFonts w:hint="eastAsia" w:cs="宋体"/>
          <w:b/>
          <w:color w:val="auto"/>
          <w:kern w:val="0"/>
          <w:highlight w:val="none"/>
        </w:rPr>
        <w:t>★7</w:t>
      </w:r>
      <w:r>
        <w:rPr>
          <w:rFonts w:hint="eastAsia" w:cs="宋体"/>
          <w:b/>
          <w:bCs/>
          <w:color w:val="auto"/>
          <w:kern w:val="0"/>
          <w:highlight w:val="none"/>
        </w:rPr>
        <w:t>、推荐中标候选人的原则</w:t>
      </w:r>
    </w:p>
    <w:p>
      <w:pPr>
        <w:adjustRightInd w:val="0"/>
        <w:snapToGrid w:val="0"/>
        <w:ind w:firstLine="420" w:firstLineChars="200"/>
        <w:rPr>
          <w:rFonts w:cs="宋体"/>
          <w:color w:val="auto"/>
          <w:kern w:val="0"/>
          <w:highlight w:val="none"/>
        </w:rPr>
      </w:pPr>
      <w:r>
        <w:rPr>
          <w:rFonts w:hint="eastAsia" w:cs="宋体"/>
          <w:color w:val="auto"/>
          <w:kern w:val="0"/>
          <w:highlight w:val="none"/>
        </w:rPr>
        <w:t>详见第一章供应商须知第29条，报价相同的处理办法如下：</w:t>
      </w:r>
    </w:p>
    <w:p>
      <w:pPr>
        <w:numPr>
          <w:ilvl w:val="0"/>
          <w:numId w:val="6"/>
        </w:numPr>
        <w:adjustRightInd w:val="0"/>
        <w:snapToGrid w:val="0"/>
        <w:ind w:firstLine="420" w:firstLineChars="200"/>
        <w:rPr>
          <w:rFonts w:cs="宋体"/>
          <w:color w:val="auto"/>
          <w:highlight w:val="none"/>
        </w:rPr>
      </w:pPr>
      <w:r>
        <w:rPr>
          <w:rFonts w:hint="eastAsia" w:cs="宋体"/>
          <w:color w:val="auto"/>
          <w:highlight w:val="none"/>
        </w:rPr>
        <w:t>采用最低评标价法的：</w:t>
      </w:r>
    </w:p>
    <w:p>
      <w:pPr>
        <w:adjustRightInd w:val="0"/>
        <w:snapToGrid w:val="0"/>
        <w:ind w:firstLine="420" w:firstLineChars="200"/>
        <w:rPr>
          <w:rFonts w:cs="宋体"/>
          <w:color w:val="auto"/>
          <w:highlight w:val="none"/>
        </w:rPr>
      </w:pPr>
      <w:r>
        <w:rPr>
          <w:rFonts w:hint="eastAsia" w:cs="宋体"/>
          <w:color w:val="auto"/>
          <w:highlight w:val="none"/>
        </w:rPr>
        <w:t>扣除后的投标报价相同时，按投标报价由低至高排序；</w:t>
      </w:r>
    </w:p>
    <w:p>
      <w:pPr>
        <w:adjustRightInd w:val="0"/>
        <w:snapToGrid w:val="0"/>
        <w:ind w:firstLine="420" w:firstLineChars="200"/>
        <w:rPr>
          <w:rFonts w:cs="宋体"/>
          <w:color w:val="auto"/>
          <w:highlight w:val="none"/>
        </w:rPr>
      </w:pPr>
      <w:r>
        <w:rPr>
          <w:rFonts w:hint="eastAsia" w:cs="宋体"/>
          <w:color w:val="auto"/>
          <w:highlight w:val="none"/>
        </w:rPr>
        <w:t>按前款不能区分的，优先采购节能产品、环境标志产品；</w:t>
      </w:r>
    </w:p>
    <w:p>
      <w:pPr>
        <w:adjustRightInd w:val="0"/>
        <w:snapToGrid w:val="0"/>
        <w:ind w:firstLine="420" w:firstLineChars="200"/>
        <w:rPr>
          <w:rFonts w:cs="宋体"/>
          <w:color w:val="auto"/>
          <w:highlight w:val="none"/>
        </w:rPr>
      </w:pPr>
      <w:r>
        <w:rPr>
          <w:rFonts w:hint="eastAsia" w:cs="宋体"/>
          <w:color w:val="auto"/>
          <w:highlight w:val="none"/>
        </w:rPr>
        <w:t>按前款不能区分的，按技术指标优劣排序；</w:t>
      </w:r>
    </w:p>
    <w:p>
      <w:pPr>
        <w:adjustRightInd w:val="0"/>
        <w:snapToGrid w:val="0"/>
        <w:ind w:firstLine="420" w:firstLineChars="200"/>
        <w:rPr>
          <w:rFonts w:cs="宋体"/>
          <w:color w:val="auto"/>
          <w:highlight w:val="none"/>
        </w:rPr>
      </w:pPr>
      <w:r>
        <w:rPr>
          <w:rFonts w:hint="eastAsia" w:cs="宋体"/>
          <w:color w:val="auto"/>
          <w:highlight w:val="none"/>
        </w:rPr>
        <w:t>其他情况，由评标委员会集体研究处理。</w:t>
      </w:r>
    </w:p>
    <w:p>
      <w:pPr>
        <w:numPr>
          <w:ilvl w:val="0"/>
          <w:numId w:val="6"/>
        </w:numPr>
        <w:adjustRightInd w:val="0"/>
        <w:snapToGrid w:val="0"/>
        <w:ind w:firstLine="420" w:firstLineChars="200"/>
        <w:rPr>
          <w:rFonts w:cs="宋体"/>
          <w:color w:val="auto"/>
          <w:highlight w:val="none"/>
        </w:rPr>
      </w:pPr>
      <w:r>
        <w:rPr>
          <w:rFonts w:hint="eastAsia" w:cs="宋体"/>
          <w:color w:val="auto"/>
          <w:highlight w:val="none"/>
        </w:rPr>
        <w:t>采用综合评分法的：</w:t>
      </w:r>
    </w:p>
    <w:p>
      <w:pPr>
        <w:adjustRightInd w:val="0"/>
        <w:snapToGrid w:val="0"/>
        <w:ind w:firstLine="420" w:firstLineChars="200"/>
        <w:rPr>
          <w:rFonts w:cs="宋体"/>
          <w:color w:val="auto"/>
          <w:highlight w:val="none"/>
        </w:rPr>
      </w:pPr>
      <w:r>
        <w:rPr>
          <w:rFonts w:hint="eastAsia" w:cs="宋体"/>
          <w:color w:val="auto"/>
          <w:highlight w:val="none"/>
        </w:rPr>
        <w:t>得分相同的，按扣除后的投标报价由低到高顺序排列；</w:t>
      </w:r>
    </w:p>
    <w:p>
      <w:pPr>
        <w:adjustRightInd w:val="0"/>
        <w:snapToGrid w:val="0"/>
        <w:ind w:firstLine="420" w:firstLineChars="200"/>
        <w:rPr>
          <w:rFonts w:cs="宋体"/>
          <w:color w:val="auto"/>
          <w:highlight w:val="none"/>
        </w:rPr>
      </w:pPr>
      <w:r>
        <w:rPr>
          <w:rFonts w:hint="eastAsia" w:cs="宋体"/>
          <w:color w:val="auto"/>
          <w:highlight w:val="none"/>
        </w:rPr>
        <w:t>按前款不能区分的，按投标报价由低至高顺序排序；</w:t>
      </w:r>
    </w:p>
    <w:p>
      <w:pPr>
        <w:adjustRightInd w:val="0"/>
        <w:snapToGrid w:val="0"/>
        <w:ind w:firstLine="420" w:firstLineChars="200"/>
        <w:rPr>
          <w:rFonts w:cs="宋体"/>
          <w:color w:val="auto"/>
          <w:highlight w:val="none"/>
        </w:rPr>
      </w:pPr>
      <w:r>
        <w:rPr>
          <w:rFonts w:hint="eastAsia" w:cs="宋体"/>
          <w:color w:val="auto"/>
          <w:highlight w:val="none"/>
        </w:rPr>
        <w:t>按前款不能区分的，按技术指标优劣排序；</w:t>
      </w:r>
    </w:p>
    <w:p>
      <w:pPr>
        <w:adjustRightInd w:val="0"/>
        <w:snapToGrid w:val="0"/>
        <w:ind w:firstLine="420" w:firstLineChars="200"/>
        <w:rPr>
          <w:rFonts w:cs="宋体"/>
          <w:color w:val="auto"/>
          <w:sz w:val="24"/>
          <w:highlight w:val="none"/>
        </w:rPr>
      </w:pPr>
      <w:r>
        <w:rPr>
          <w:rFonts w:hint="eastAsia" w:cs="宋体"/>
          <w:color w:val="auto"/>
          <w:highlight w:val="none"/>
        </w:rPr>
        <w:t>其他情况，由评标委员会集体研究处理。</w:t>
      </w:r>
    </w:p>
    <w:p>
      <w:pPr>
        <w:adjustRightInd w:val="0"/>
        <w:snapToGrid w:val="0"/>
        <w:ind w:firstLine="422" w:firstLineChars="200"/>
        <w:rPr>
          <w:rFonts w:cs="宋体"/>
          <w:b/>
          <w:color w:val="auto"/>
          <w:kern w:val="0"/>
          <w:highlight w:val="none"/>
        </w:rPr>
      </w:pPr>
      <w:bookmarkStart w:id="618" w:name="_Toc30297_WPSOffice_Level2"/>
      <w:r>
        <w:rPr>
          <w:rFonts w:hint="eastAsia" w:cs="宋体"/>
          <w:b/>
          <w:color w:val="auto"/>
          <w:highlight w:val="none"/>
        </w:rPr>
        <w:t>三、</w:t>
      </w:r>
      <w:r>
        <w:rPr>
          <w:rFonts w:hint="eastAsia" w:cs="宋体"/>
          <w:b/>
          <w:color w:val="auto"/>
          <w:kern w:val="0"/>
          <w:highlight w:val="none"/>
        </w:rPr>
        <w:t>确定中标人</w:t>
      </w:r>
      <w:bookmarkEnd w:id="618"/>
    </w:p>
    <w:p>
      <w:pPr>
        <w:adjustRightInd w:val="0"/>
        <w:snapToGrid w:val="0"/>
        <w:ind w:firstLine="420" w:firstLineChars="200"/>
        <w:rPr>
          <w:rFonts w:cs="宋体"/>
          <w:color w:val="auto"/>
          <w:highlight w:val="none"/>
        </w:rPr>
      </w:pPr>
      <w:r>
        <w:rPr>
          <w:rFonts w:hint="eastAsia" w:cs="宋体"/>
          <w:color w:val="auto"/>
          <w:highlight w:val="none"/>
        </w:rPr>
        <w:t>评标委员会根据全体评标委员会成员签字的原始评标记录和评标结果编写评标报告，并向采购人提交书面评标报告。</w:t>
      </w:r>
    </w:p>
    <w:p>
      <w:pPr>
        <w:adjustRightInd w:val="0"/>
        <w:snapToGrid w:val="0"/>
        <w:ind w:firstLine="420" w:firstLineChars="200"/>
        <w:rPr>
          <w:rFonts w:cs="宋体"/>
          <w:color w:val="auto"/>
          <w:highlight w:val="none"/>
        </w:rPr>
      </w:pPr>
      <w:r>
        <w:rPr>
          <w:rFonts w:hint="eastAsia" w:cs="宋体"/>
          <w:color w:val="auto"/>
          <w:highlight w:val="none"/>
        </w:rPr>
        <w:t>采购人按照评标报告确定的中标候选人名单按顺序确定中标人，或由采购人委托评标委员会按照第一章供应商须知第31条规定的方式确定中标人。</w:t>
      </w:r>
    </w:p>
    <w:p>
      <w:pPr>
        <w:pStyle w:val="5"/>
        <w:adjustRightInd w:val="0"/>
        <w:snapToGrid w:val="0"/>
        <w:spacing w:before="0" w:after="0" w:line="240" w:lineRule="auto"/>
        <w:jc w:val="left"/>
        <w:rPr>
          <w:rFonts w:eastAsia="仿宋_GB2312" w:cs="仿宋_GB2312"/>
          <w:color w:val="auto"/>
          <w:szCs w:val="28"/>
          <w:highlight w:val="none"/>
        </w:rPr>
      </w:pPr>
      <w:r>
        <w:rPr>
          <w:color w:val="auto"/>
          <w:highlight w:val="none"/>
        </w:rPr>
        <w:br w:type="page"/>
      </w:r>
      <w:bookmarkStart w:id="619" w:name="_Toc32318_WPSOffice_Level2"/>
      <w:r>
        <w:rPr>
          <w:rStyle w:val="36"/>
          <w:rFonts w:hint="eastAsia"/>
          <w:color w:val="auto"/>
          <w:highlight w:val="none"/>
        </w:rPr>
        <w:t xml:space="preserve">附件1 </w:t>
      </w:r>
      <w:r>
        <w:rPr>
          <w:rFonts w:hint="eastAsia" w:eastAsia="仿宋_GB2312" w:cs="仿宋_GB2312"/>
          <w:color w:val="auto"/>
          <w:szCs w:val="28"/>
          <w:highlight w:val="none"/>
        </w:rPr>
        <w:t xml:space="preserve">              </w:t>
      </w:r>
    </w:p>
    <w:p>
      <w:pPr>
        <w:pStyle w:val="5"/>
        <w:spacing w:before="0" w:after="0"/>
        <w:rPr>
          <w:color w:val="auto"/>
          <w:highlight w:val="none"/>
        </w:rPr>
      </w:pPr>
      <w:r>
        <w:rPr>
          <w:rFonts w:hint="eastAsia"/>
          <w:color w:val="auto"/>
          <w:highlight w:val="none"/>
        </w:rPr>
        <w:t>资格</w:t>
      </w:r>
      <w:r>
        <w:rPr>
          <w:color w:val="auto"/>
          <w:highlight w:val="none"/>
        </w:rPr>
        <w:t>评审</w:t>
      </w:r>
      <w:r>
        <w:rPr>
          <w:rFonts w:hint="eastAsia"/>
          <w:color w:val="auto"/>
          <w:highlight w:val="none"/>
        </w:rPr>
        <w:t>表</w:t>
      </w:r>
      <w:bookmarkEnd w:id="619"/>
    </w:p>
    <w:tbl>
      <w:tblPr>
        <w:tblStyle w:val="23"/>
        <w:tblW w:w="851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0"/>
        <w:gridCol w:w="3647"/>
        <w:gridCol w:w="1964"/>
        <w:gridCol w:w="695"/>
        <w:gridCol w:w="886"/>
        <w:gridCol w:w="8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9" w:hRule="atLeast"/>
        </w:trPr>
        <w:tc>
          <w:tcPr>
            <w:tcW w:w="500" w:type="dxa"/>
            <w:vMerge w:val="restart"/>
            <w:vAlign w:val="center"/>
          </w:tcPr>
          <w:p>
            <w:pPr>
              <w:spacing w:line="300" w:lineRule="exact"/>
              <w:jc w:val="center"/>
              <w:rPr>
                <w:b/>
                <w:bCs/>
                <w:color w:val="auto"/>
                <w:highlight w:val="none"/>
              </w:rPr>
            </w:pPr>
            <w:r>
              <w:rPr>
                <w:rFonts w:hint="eastAsia"/>
                <w:b/>
                <w:bCs/>
                <w:color w:val="auto"/>
                <w:highlight w:val="none"/>
              </w:rPr>
              <w:t>序号</w:t>
            </w:r>
          </w:p>
        </w:tc>
        <w:tc>
          <w:tcPr>
            <w:tcW w:w="3647" w:type="dxa"/>
            <w:vMerge w:val="restart"/>
            <w:vAlign w:val="center"/>
          </w:tcPr>
          <w:p>
            <w:pPr>
              <w:spacing w:line="300" w:lineRule="exact"/>
              <w:jc w:val="center"/>
              <w:rPr>
                <w:b/>
                <w:bCs/>
                <w:color w:val="auto"/>
                <w:highlight w:val="none"/>
              </w:rPr>
            </w:pPr>
            <w:r>
              <w:rPr>
                <w:rFonts w:hint="eastAsia"/>
                <w:b/>
                <w:bCs/>
                <w:color w:val="auto"/>
                <w:highlight w:val="none"/>
              </w:rPr>
              <w:t>评审因素</w:t>
            </w:r>
          </w:p>
        </w:tc>
        <w:tc>
          <w:tcPr>
            <w:tcW w:w="1964" w:type="dxa"/>
            <w:vMerge w:val="restart"/>
            <w:vAlign w:val="center"/>
          </w:tcPr>
          <w:p>
            <w:pPr>
              <w:spacing w:line="300" w:lineRule="exact"/>
              <w:jc w:val="center"/>
              <w:rPr>
                <w:b/>
                <w:bCs/>
                <w:color w:val="auto"/>
                <w:highlight w:val="none"/>
              </w:rPr>
            </w:pPr>
            <w:r>
              <w:rPr>
                <w:rFonts w:hint="eastAsia"/>
                <w:b/>
                <w:bCs/>
                <w:color w:val="auto"/>
                <w:highlight w:val="none"/>
              </w:rPr>
              <w:t>评审标准</w:t>
            </w:r>
          </w:p>
        </w:tc>
        <w:tc>
          <w:tcPr>
            <w:tcW w:w="2402" w:type="dxa"/>
            <w:gridSpan w:val="3"/>
            <w:vAlign w:val="center"/>
          </w:tcPr>
          <w:p>
            <w:pPr>
              <w:spacing w:line="300" w:lineRule="exact"/>
              <w:jc w:val="center"/>
              <w:rPr>
                <w:b/>
                <w:bCs/>
                <w:color w:val="auto"/>
                <w:highlight w:val="none"/>
              </w:rPr>
            </w:pPr>
            <w:r>
              <w:rPr>
                <w:rFonts w:hint="eastAsia"/>
                <w:b/>
                <w:bCs/>
                <w:color w:val="auto"/>
                <w:highlight w:val="none"/>
              </w:rPr>
              <w:t>供应商名称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34" w:hRule="atLeast"/>
        </w:trPr>
        <w:tc>
          <w:tcPr>
            <w:tcW w:w="500" w:type="dxa"/>
            <w:vMerge w:val="continue"/>
            <w:vAlign w:val="center"/>
          </w:tcPr>
          <w:p>
            <w:pPr>
              <w:spacing w:line="300" w:lineRule="exact"/>
              <w:rPr>
                <w:color w:val="auto"/>
                <w:highlight w:val="none"/>
              </w:rPr>
            </w:pPr>
          </w:p>
        </w:tc>
        <w:tc>
          <w:tcPr>
            <w:tcW w:w="3647" w:type="dxa"/>
            <w:vMerge w:val="continue"/>
            <w:vAlign w:val="center"/>
          </w:tcPr>
          <w:p>
            <w:pPr>
              <w:spacing w:line="300" w:lineRule="exact"/>
              <w:rPr>
                <w:color w:val="auto"/>
                <w:highlight w:val="none"/>
              </w:rPr>
            </w:pPr>
          </w:p>
        </w:tc>
        <w:tc>
          <w:tcPr>
            <w:tcW w:w="1964" w:type="dxa"/>
            <w:vMerge w:val="continue"/>
            <w:vAlign w:val="center"/>
          </w:tcPr>
          <w:p>
            <w:pPr>
              <w:spacing w:line="300" w:lineRule="exact"/>
              <w:rPr>
                <w:color w:val="auto"/>
                <w:highlight w:val="none"/>
              </w:rPr>
            </w:pPr>
          </w:p>
        </w:tc>
        <w:tc>
          <w:tcPr>
            <w:tcW w:w="695" w:type="dxa"/>
            <w:vAlign w:val="center"/>
          </w:tcPr>
          <w:p>
            <w:pPr>
              <w:spacing w:line="300" w:lineRule="exact"/>
              <w:rPr>
                <w:color w:val="auto"/>
                <w:highlight w:val="none"/>
              </w:rPr>
            </w:pPr>
          </w:p>
        </w:tc>
        <w:tc>
          <w:tcPr>
            <w:tcW w:w="886" w:type="dxa"/>
            <w:vAlign w:val="center"/>
          </w:tcPr>
          <w:p>
            <w:pPr>
              <w:spacing w:line="300" w:lineRule="exact"/>
              <w:rPr>
                <w:color w:val="auto"/>
                <w:highlight w:val="none"/>
              </w:rPr>
            </w:pPr>
          </w:p>
        </w:tc>
        <w:tc>
          <w:tcPr>
            <w:tcW w:w="821" w:type="dxa"/>
            <w:vAlign w:val="center"/>
          </w:tcPr>
          <w:p>
            <w:pPr>
              <w:spacing w:line="300" w:lineRule="exact"/>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500" w:type="dxa"/>
            <w:vAlign w:val="center"/>
          </w:tcPr>
          <w:p>
            <w:pPr>
              <w:spacing w:line="300" w:lineRule="exact"/>
              <w:rPr>
                <w:color w:val="auto"/>
                <w:highlight w:val="none"/>
              </w:rPr>
            </w:pPr>
            <w:r>
              <w:rPr>
                <w:rFonts w:hint="eastAsia"/>
                <w:color w:val="auto"/>
                <w:highlight w:val="none"/>
              </w:rPr>
              <w:t>1</w:t>
            </w:r>
          </w:p>
        </w:tc>
        <w:tc>
          <w:tcPr>
            <w:tcW w:w="3647" w:type="dxa"/>
            <w:vAlign w:val="center"/>
          </w:tcPr>
          <w:p>
            <w:pPr>
              <w:spacing w:line="300" w:lineRule="exact"/>
              <w:rPr>
                <w:color w:val="auto"/>
                <w:highlight w:val="none"/>
              </w:rPr>
            </w:pPr>
            <w:r>
              <w:rPr>
                <w:rFonts w:hint="eastAsia"/>
                <w:color w:val="auto"/>
                <w:highlight w:val="none"/>
              </w:rPr>
              <w:t>营业执照或事业单位法人证书或执业许可证等证明文件或自然人的身份证明</w:t>
            </w:r>
          </w:p>
        </w:tc>
        <w:tc>
          <w:tcPr>
            <w:tcW w:w="1964" w:type="dxa"/>
            <w:vAlign w:val="center"/>
          </w:tcPr>
          <w:p>
            <w:pPr>
              <w:spacing w:line="300" w:lineRule="exact"/>
              <w:rPr>
                <w:color w:val="auto"/>
                <w:highlight w:val="none"/>
              </w:rPr>
            </w:pPr>
            <w:r>
              <w:rPr>
                <w:rFonts w:hint="eastAsia"/>
                <w:color w:val="auto"/>
                <w:highlight w:val="none"/>
              </w:rPr>
              <w:t>1、按要求提供</w:t>
            </w:r>
          </w:p>
          <w:p>
            <w:pPr>
              <w:spacing w:line="300" w:lineRule="exact"/>
              <w:rPr>
                <w:color w:val="auto"/>
                <w:highlight w:val="none"/>
              </w:rPr>
            </w:pPr>
            <w:r>
              <w:rPr>
                <w:rFonts w:hint="eastAsia"/>
                <w:color w:val="auto"/>
                <w:highlight w:val="none"/>
              </w:rPr>
              <w:t>2、合法有效</w:t>
            </w:r>
          </w:p>
        </w:tc>
        <w:tc>
          <w:tcPr>
            <w:tcW w:w="695" w:type="dxa"/>
            <w:vAlign w:val="center"/>
          </w:tcPr>
          <w:p>
            <w:pPr>
              <w:spacing w:line="300" w:lineRule="exact"/>
              <w:rPr>
                <w:color w:val="auto"/>
                <w:highlight w:val="none"/>
              </w:rPr>
            </w:pPr>
          </w:p>
        </w:tc>
        <w:tc>
          <w:tcPr>
            <w:tcW w:w="886" w:type="dxa"/>
            <w:vAlign w:val="center"/>
          </w:tcPr>
          <w:p>
            <w:pPr>
              <w:spacing w:line="300" w:lineRule="exact"/>
              <w:rPr>
                <w:color w:val="auto"/>
                <w:highlight w:val="none"/>
              </w:rPr>
            </w:pPr>
          </w:p>
        </w:tc>
        <w:tc>
          <w:tcPr>
            <w:tcW w:w="821" w:type="dxa"/>
            <w:vAlign w:val="center"/>
          </w:tcPr>
          <w:p>
            <w:pPr>
              <w:spacing w:line="300" w:lineRule="exact"/>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5" w:hRule="atLeast"/>
        </w:trPr>
        <w:tc>
          <w:tcPr>
            <w:tcW w:w="500" w:type="dxa"/>
            <w:vAlign w:val="center"/>
          </w:tcPr>
          <w:p>
            <w:pPr>
              <w:spacing w:line="300" w:lineRule="exact"/>
              <w:rPr>
                <w:color w:val="auto"/>
                <w:highlight w:val="none"/>
              </w:rPr>
            </w:pPr>
            <w:r>
              <w:rPr>
                <w:rFonts w:hint="eastAsia"/>
                <w:color w:val="auto"/>
                <w:highlight w:val="none"/>
              </w:rPr>
              <w:t>2</w:t>
            </w:r>
          </w:p>
        </w:tc>
        <w:tc>
          <w:tcPr>
            <w:tcW w:w="3647" w:type="dxa"/>
            <w:vAlign w:val="center"/>
          </w:tcPr>
          <w:p>
            <w:pPr>
              <w:spacing w:line="300" w:lineRule="exact"/>
              <w:rPr>
                <w:color w:val="auto"/>
                <w:highlight w:val="none"/>
              </w:rPr>
            </w:pPr>
            <w:r>
              <w:rPr>
                <w:rFonts w:hint="eastAsia"/>
                <w:color w:val="auto"/>
                <w:highlight w:val="none"/>
              </w:rPr>
              <w:t>法定代表人（或非法人组织负责人）身份证明书</w:t>
            </w:r>
          </w:p>
        </w:tc>
        <w:tc>
          <w:tcPr>
            <w:tcW w:w="1964" w:type="dxa"/>
          </w:tcPr>
          <w:p>
            <w:pPr>
              <w:spacing w:line="300" w:lineRule="exact"/>
              <w:rPr>
                <w:color w:val="auto"/>
                <w:highlight w:val="none"/>
              </w:rPr>
            </w:pPr>
            <w:r>
              <w:rPr>
                <w:rFonts w:hint="eastAsia"/>
                <w:color w:val="auto"/>
                <w:highlight w:val="none"/>
              </w:rPr>
              <w:t>1、按给定格式填写</w:t>
            </w:r>
          </w:p>
          <w:p>
            <w:pPr>
              <w:spacing w:line="300" w:lineRule="exact"/>
              <w:rPr>
                <w:color w:val="auto"/>
                <w:highlight w:val="none"/>
              </w:rPr>
            </w:pPr>
            <w:r>
              <w:rPr>
                <w:rFonts w:hint="eastAsia"/>
                <w:color w:val="auto"/>
                <w:highlight w:val="none"/>
              </w:rPr>
              <w:t>2、按规定签章</w:t>
            </w:r>
          </w:p>
        </w:tc>
        <w:tc>
          <w:tcPr>
            <w:tcW w:w="695" w:type="dxa"/>
          </w:tcPr>
          <w:p>
            <w:pPr>
              <w:spacing w:line="300" w:lineRule="exact"/>
              <w:rPr>
                <w:color w:val="auto"/>
                <w:highlight w:val="none"/>
              </w:rPr>
            </w:pPr>
          </w:p>
        </w:tc>
        <w:tc>
          <w:tcPr>
            <w:tcW w:w="886" w:type="dxa"/>
          </w:tcPr>
          <w:p>
            <w:pPr>
              <w:spacing w:line="300" w:lineRule="exact"/>
              <w:rPr>
                <w:color w:val="auto"/>
                <w:highlight w:val="none"/>
              </w:rPr>
            </w:pPr>
          </w:p>
        </w:tc>
        <w:tc>
          <w:tcPr>
            <w:tcW w:w="821" w:type="dxa"/>
          </w:tcPr>
          <w:p>
            <w:pPr>
              <w:spacing w:line="300" w:lineRule="exact"/>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500" w:type="dxa"/>
            <w:vAlign w:val="center"/>
          </w:tcPr>
          <w:p>
            <w:pPr>
              <w:spacing w:line="300" w:lineRule="exact"/>
              <w:rPr>
                <w:color w:val="auto"/>
                <w:highlight w:val="none"/>
              </w:rPr>
            </w:pPr>
            <w:r>
              <w:rPr>
                <w:rFonts w:hint="eastAsia"/>
                <w:color w:val="auto"/>
                <w:highlight w:val="none"/>
              </w:rPr>
              <w:t>3</w:t>
            </w:r>
          </w:p>
        </w:tc>
        <w:tc>
          <w:tcPr>
            <w:tcW w:w="3647" w:type="dxa"/>
            <w:vAlign w:val="center"/>
          </w:tcPr>
          <w:p>
            <w:pPr>
              <w:spacing w:line="300" w:lineRule="exact"/>
              <w:rPr>
                <w:color w:val="auto"/>
                <w:highlight w:val="none"/>
              </w:rPr>
            </w:pPr>
            <w:r>
              <w:rPr>
                <w:rFonts w:hint="eastAsia"/>
                <w:color w:val="auto"/>
                <w:highlight w:val="none"/>
              </w:rPr>
              <w:t>法定代表人（或非法人组织负责人）授权委托书（授权委托人参加投标的须提供）</w:t>
            </w:r>
          </w:p>
        </w:tc>
        <w:tc>
          <w:tcPr>
            <w:tcW w:w="1964" w:type="dxa"/>
          </w:tcPr>
          <w:p>
            <w:pPr>
              <w:spacing w:line="300" w:lineRule="exact"/>
              <w:rPr>
                <w:color w:val="auto"/>
                <w:highlight w:val="none"/>
              </w:rPr>
            </w:pPr>
            <w:r>
              <w:rPr>
                <w:rFonts w:hint="eastAsia"/>
                <w:color w:val="auto"/>
                <w:highlight w:val="none"/>
              </w:rPr>
              <w:t>1、按给定格式填写</w:t>
            </w:r>
          </w:p>
          <w:p>
            <w:pPr>
              <w:spacing w:line="300" w:lineRule="exact"/>
              <w:rPr>
                <w:color w:val="auto"/>
                <w:highlight w:val="none"/>
              </w:rPr>
            </w:pPr>
            <w:r>
              <w:rPr>
                <w:rFonts w:hint="eastAsia"/>
                <w:color w:val="auto"/>
                <w:highlight w:val="none"/>
              </w:rPr>
              <w:t>2、按规定签章</w:t>
            </w:r>
          </w:p>
        </w:tc>
        <w:tc>
          <w:tcPr>
            <w:tcW w:w="695" w:type="dxa"/>
          </w:tcPr>
          <w:p>
            <w:pPr>
              <w:spacing w:line="300" w:lineRule="exact"/>
              <w:rPr>
                <w:color w:val="auto"/>
                <w:highlight w:val="none"/>
              </w:rPr>
            </w:pPr>
          </w:p>
        </w:tc>
        <w:tc>
          <w:tcPr>
            <w:tcW w:w="886" w:type="dxa"/>
          </w:tcPr>
          <w:p>
            <w:pPr>
              <w:spacing w:line="300" w:lineRule="exact"/>
              <w:rPr>
                <w:color w:val="auto"/>
                <w:highlight w:val="none"/>
              </w:rPr>
            </w:pPr>
          </w:p>
        </w:tc>
        <w:tc>
          <w:tcPr>
            <w:tcW w:w="821" w:type="dxa"/>
          </w:tcPr>
          <w:p>
            <w:pPr>
              <w:spacing w:line="300" w:lineRule="exact"/>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500" w:type="dxa"/>
            <w:vAlign w:val="center"/>
          </w:tcPr>
          <w:p>
            <w:pPr>
              <w:spacing w:line="300" w:lineRule="exact"/>
              <w:rPr>
                <w:color w:val="auto"/>
                <w:highlight w:val="none"/>
              </w:rPr>
            </w:pPr>
            <w:r>
              <w:rPr>
                <w:rFonts w:hint="eastAsia"/>
                <w:color w:val="auto"/>
                <w:highlight w:val="none"/>
              </w:rPr>
              <w:t>4</w:t>
            </w:r>
          </w:p>
        </w:tc>
        <w:tc>
          <w:tcPr>
            <w:tcW w:w="3647" w:type="dxa"/>
            <w:vAlign w:val="center"/>
          </w:tcPr>
          <w:p>
            <w:pPr>
              <w:spacing w:line="300" w:lineRule="exact"/>
              <w:rPr>
                <w:color w:val="auto"/>
                <w:highlight w:val="none"/>
              </w:rPr>
            </w:pPr>
            <w:r>
              <w:rPr>
                <w:rFonts w:hint="eastAsia"/>
                <w:color w:val="auto"/>
                <w:highlight w:val="none"/>
              </w:rPr>
              <w:t>具有良好的商业信誉和健全的财务会计制度的证明文件</w:t>
            </w:r>
          </w:p>
        </w:tc>
        <w:tc>
          <w:tcPr>
            <w:tcW w:w="1964" w:type="dxa"/>
            <w:vAlign w:val="center"/>
          </w:tcPr>
          <w:p>
            <w:pPr>
              <w:spacing w:line="300" w:lineRule="exact"/>
              <w:rPr>
                <w:color w:val="auto"/>
                <w:highlight w:val="none"/>
              </w:rPr>
            </w:pPr>
            <w:r>
              <w:rPr>
                <w:rFonts w:hint="eastAsia"/>
                <w:color w:val="auto"/>
                <w:highlight w:val="none"/>
              </w:rPr>
              <w:t>1、按要求提供</w:t>
            </w:r>
          </w:p>
          <w:p>
            <w:pPr>
              <w:spacing w:line="300" w:lineRule="exact"/>
              <w:rPr>
                <w:color w:val="auto"/>
                <w:highlight w:val="none"/>
              </w:rPr>
            </w:pPr>
            <w:r>
              <w:rPr>
                <w:rFonts w:hint="eastAsia"/>
                <w:color w:val="auto"/>
                <w:highlight w:val="none"/>
              </w:rPr>
              <w:t>2、合法有效</w:t>
            </w:r>
          </w:p>
        </w:tc>
        <w:tc>
          <w:tcPr>
            <w:tcW w:w="695" w:type="dxa"/>
          </w:tcPr>
          <w:p>
            <w:pPr>
              <w:spacing w:line="300" w:lineRule="exact"/>
              <w:rPr>
                <w:color w:val="auto"/>
                <w:highlight w:val="none"/>
              </w:rPr>
            </w:pPr>
          </w:p>
        </w:tc>
        <w:tc>
          <w:tcPr>
            <w:tcW w:w="886" w:type="dxa"/>
          </w:tcPr>
          <w:p>
            <w:pPr>
              <w:spacing w:line="300" w:lineRule="exact"/>
              <w:rPr>
                <w:color w:val="auto"/>
                <w:highlight w:val="none"/>
              </w:rPr>
            </w:pPr>
          </w:p>
        </w:tc>
        <w:tc>
          <w:tcPr>
            <w:tcW w:w="821" w:type="dxa"/>
          </w:tcPr>
          <w:p>
            <w:pPr>
              <w:spacing w:line="300" w:lineRule="exact"/>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500" w:type="dxa"/>
            <w:vAlign w:val="center"/>
          </w:tcPr>
          <w:p>
            <w:pPr>
              <w:spacing w:line="300" w:lineRule="exact"/>
              <w:rPr>
                <w:color w:val="auto"/>
                <w:highlight w:val="none"/>
              </w:rPr>
            </w:pPr>
            <w:r>
              <w:rPr>
                <w:rFonts w:hint="eastAsia"/>
                <w:color w:val="auto"/>
                <w:highlight w:val="none"/>
              </w:rPr>
              <w:t>5</w:t>
            </w:r>
          </w:p>
        </w:tc>
        <w:tc>
          <w:tcPr>
            <w:tcW w:w="3647" w:type="dxa"/>
            <w:vAlign w:val="center"/>
          </w:tcPr>
          <w:p>
            <w:pPr>
              <w:spacing w:line="300" w:lineRule="exact"/>
              <w:rPr>
                <w:color w:val="auto"/>
                <w:highlight w:val="none"/>
              </w:rPr>
            </w:pPr>
            <w:r>
              <w:rPr>
                <w:rFonts w:hint="eastAsia"/>
                <w:color w:val="auto"/>
                <w:highlight w:val="none"/>
              </w:rPr>
              <w:t>开标时间前一年内任一个月的依法缴纳税收的缴款凭据</w:t>
            </w:r>
          </w:p>
        </w:tc>
        <w:tc>
          <w:tcPr>
            <w:tcW w:w="1964" w:type="dxa"/>
            <w:vAlign w:val="center"/>
          </w:tcPr>
          <w:p>
            <w:pPr>
              <w:spacing w:line="300" w:lineRule="exact"/>
              <w:rPr>
                <w:color w:val="auto"/>
                <w:highlight w:val="none"/>
              </w:rPr>
            </w:pPr>
            <w:r>
              <w:rPr>
                <w:rFonts w:hint="eastAsia"/>
                <w:color w:val="auto"/>
                <w:highlight w:val="none"/>
              </w:rPr>
              <w:t>1、按要求提供</w:t>
            </w:r>
          </w:p>
          <w:p>
            <w:pPr>
              <w:spacing w:line="300" w:lineRule="exact"/>
              <w:rPr>
                <w:color w:val="auto"/>
                <w:highlight w:val="none"/>
              </w:rPr>
            </w:pPr>
            <w:r>
              <w:rPr>
                <w:rFonts w:hint="eastAsia"/>
                <w:color w:val="auto"/>
                <w:highlight w:val="none"/>
              </w:rPr>
              <w:t>2、合法有效</w:t>
            </w:r>
          </w:p>
        </w:tc>
        <w:tc>
          <w:tcPr>
            <w:tcW w:w="695" w:type="dxa"/>
          </w:tcPr>
          <w:p>
            <w:pPr>
              <w:spacing w:line="300" w:lineRule="exact"/>
              <w:rPr>
                <w:color w:val="auto"/>
                <w:highlight w:val="none"/>
              </w:rPr>
            </w:pPr>
          </w:p>
        </w:tc>
        <w:tc>
          <w:tcPr>
            <w:tcW w:w="886" w:type="dxa"/>
          </w:tcPr>
          <w:p>
            <w:pPr>
              <w:spacing w:line="300" w:lineRule="exact"/>
              <w:rPr>
                <w:color w:val="auto"/>
                <w:highlight w:val="none"/>
              </w:rPr>
            </w:pPr>
          </w:p>
        </w:tc>
        <w:tc>
          <w:tcPr>
            <w:tcW w:w="821" w:type="dxa"/>
          </w:tcPr>
          <w:p>
            <w:pPr>
              <w:spacing w:line="300" w:lineRule="exact"/>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6" w:hRule="atLeast"/>
        </w:trPr>
        <w:tc>
          <w:tcPr>
            <w:tcW w:w="500" w:type="dxa"/>
            <w:vAlign w:val="center"/>
          </w:tcPr>
          <w:p>
            <w:pPr>
              <w:spacing w:line="300" w:lineRule="exact"/>
              <w:rPr>
                <w:color w:val="auto"/>
                <w:highlight w:val="none"/>
              </w:rPr>
            </w:pPr>
            <w:r>
              <w:rPr>
                <w:rFonts w:hint="eastAsia"/>
                <w:color w:val="auto"/>
                <w:highlight w:val="none"/>
              </w:rPr>
              <w:t>6</w:t>
            </w:r>
          </w:p>
        </w:tc>
        <w:tc>
          <w:tcPr>
            <w:tcW w:w="3647" w:type="dxa"/>
            <w:vAlign w:val="center"/>
          </w:tcPr>
          <w:p>
            <w:pPr>
              <w:spacing w:line="300" w:lineRule="exact"/>
              <w:rPr>
                <w:color w:val="auto"/>
                <w:highlight w:val="none"/>
              </w:rPr>
            </w:pPr>
            <w:r>
              <w:rPr>
                <w:rFonts w:hint="eastAsia"/>
                <w:color w:val="auto"/>
                <w:highlight w:val="none"/>
              </w:rPr>
              <w:t>开标时间前一年内任一个月的依法缴纳社会保障资金的缴款凭据</w:t>
            </w:r>
          </w:p>
        </w:tc>
        <w:tc>
          <w:tcPr>
            <w:tcW w:w="1964" w:type="dxa"/>
            <w:vAlign w:val="center"/>
          </w:tcPr>
          <w:p>
            <w:pPr>
              <w:spacing w:line="300" w:lineRule="exact"/>
              <w:rPr>
                <w:color w:val="auto"/>
                <w:highlight w:val="none"/>
              </w:rPr>
            </w:pPr>
            <w:r>
              <w:rPr>
                <w:rFonts w:hint="eastAsia"/>
                <w:color w:val="auto"/>
                <w:highlight w:val="none"/>
              </w:rPr>
              <w:t>1、按要求提供</w:t>
            </w:r>
          </w:p>
          <w:p>
            <w:pPr>
              <w:spacing w:line="300" w:lineRule="exact"/>
              <w:rPr>
                <w:color w:val="auto"/>
                <w:highlight w:val="none"/>
              </w:rPr>
            </w:pPr>
            <w:r>
              <w:rPr>
                <w:rFonts w:hint="eastAsia"/>
                <w:color w:val="auto"/>
                <w:highlight w:val="none"/>
              </w:rPr>
              <w:t>2、合法有效</w:t>
            </w:r>
          </w:p>
        </w:tc>
        <w:tc>
          <w:tcPr>
            <w:tcW w:w="695" w:type="dxa"/>
          </w:tcPr>
          <w:p>
            <w:pPr>
              <w:spacing w:line="300" w:lineRule="exact"/>
              <w:rPr>
                <w:color w:val="auto"/>
                <w:highlight w:val="none"/>
              </w:rPr>
            </w:pPr>
          </w:p>
        </w:tc>
        <w:tc>
          <w:tcPr>
            <w:tcW w:w="886" w:type="dxa"/>
          </w:tcPr>
          <w:p>
            <w:pPr>
              <w:spacing w:line="300" w:lineRule="exact"/>
              <w:rPr>
                <w:color w:val="auto"/>
                <w:highlight w:val="none"/>
              </w:rPr>
            </w:pPr>
          </w:p>
        </w:tc>
        <w:tc>
          <w:tcPr>
            <w:tcW w:w="821" w:type="dxa"/>
          </w:tcPr>
          <w:p>
            <w:pPr>
              <w:spacing w:line="300" w:lineRule="exact"/>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500" w:type="dxa"/>
            <w:vAlign w:val="center"/>
          </w:tcPr>
          <w:p>
            <w:pPr>
              <w:spacing w:line="300" w:lineRule="exact"/>
              <w:rPr>
                <w:color w:val="auto"/>
                <w:highlight w:val="none"/>
              </w:rPr>
            </w:pPr>
            <w:r>
              <w:rPr>
                <w:rFonts w:hint="eastAsia"/>
                <w:color w:val="auto"/>
                <w:highlight w:val="none"/>
              </w:rPr>
              <w:t>7</w:t>
            </w:r>
          </w:p>
        </w:tc>
        <w:tc>
          <w:tcPr>
            <w:tcW w:w="3647" w:type="dxa"/>
            <w:vAlign w:val="center"/>
          </w:tcPr>
          <w:p>
            <w:pPr>
              <w:spacing w:line="300" w:lineRule="exact"/>
              <w:rPr>
                <w:color w:val="auto"/>
                <w:highlight w:val="none"/>
              </w:rPr>
            </w:pPr>
            <w:r>
              <w:rPr>
                <w:rFonts w:hint="eastAsia"/>
                <w:color w:val="auto"/>
                <w:highlight w:val="none"/>
              </w:rPr>
              <w:t>具备履行合同所必需的设备和专业技术能力声明函</w:t>
            </w:r>
          </w:p>
        </w:tc>
        <w:tc>
          <w:tcPr>
            <w:tcW w:w="1964" w:type="dxa"/>
          </w:tcPr>
          <w:p>
            <w:pPr>
              <w:spacing w:line="300" w:lineRule="exact"/>
              <w:rPr>
                <w:color w:val="auto"/>
                <w:highlight w:val="none"/>
              </w:rPr>
            </w:pPr>
            <w:r>
              <w:rPr>
                <w:rFonts w:hint="eastAsia"/>
                <w:color w:val="auto"/>
                <w:highlight w:val="none"/>
              </w:rPr>
              <w:t>1、按给定格式填写</w:t>
            </w:r>
          </w:p>
          <w:p>
            <w:pPr>
              <w:spacing w:line="300" w:lineRule="exact"/>
              <w:rPr>
                <w:color w:val="auto"/>
                <w:highlight w:val="none"/>
              </w:rPr>
            </w:pPr>
            <w:r>
              <w:rPr>
                <w:rFonts w:hint="eastAsia"/>
                <w:color w:val="auto"/>
                <w:highlight w:val="none"/>
              </w:rPr>
              <w:t>2、按规定签章</w:t>
            </w:r>
          </w:p>
        </w:tc>
        <w:tc>
          <w:tcPr>
            <w:tcW w:w="695" w:type="dxa"/>
          </w:tcPr>
          <w:p>
            <w:pPr>
              <w:spacing w:line="300" w:lineRule="exact"/>
              <w:rPr>
                <w:color w:val="auto"/>
                <w:highlight w:val="none"/>
              </w:rPr>
            </w:pPr>
          </w:p>
        </w:tc>
        <w:tc>
          <w:tcPr>
            <w:tcW w:w="886" w:type="dxa"/>
          </w:tcPr>
          <w:p>
            <w:pPr>
              <w:spacing w:line="300" w:lineRule="exact"/>
              <w:rPr>
                <w:color w:val="auto"/>
                <w:highlight w:val="none"/>
              </w:rPr>
            </w:pPr>
          </w:p>
        </w:tc>
        <w:tc>
          <w:tcPr>
            <w:tcW w:w="821" w:type="dxa"/>
          </w:tcPr>
          <w:p>
            <w:pPr>
              <w:spacing w:line="300" w:lineRule="exact"/>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500" w:type="dxa"/>
            <w:vAlign w:val="center"/>
          </w:tcPr>
          <w:p>
            <w:pPr>
              <w:spacing w:line="300" w:lineRule="exact"/>
              <w:rPr>
                <w:color w:val="auto"/>
                <w:highlight w:val="none"/>
              </w:rPr>
            </w:pPr>
            <w:r>
              <w:rPr>
                <w:rFonts w:hint="eastAsia"/>
                <w:color w:val="auto"/>
                <w:highlight w:val="none"/>
              </w:rPr>
              <w:t>8</w:t>
            </w:r>
          </w:p>
        </w:tc>
        <w:tc>
          <w:tcPr>
            <w:tcW w:w="3647" w:type="dxa"/>
            <w:vAlign w:val="center"/>
          </w:tcPr>
          <w:p>
            <w:pPr>
              <w:spacing w:line="300" w:lineRule="exact"/>
              <w:rPr>
                <w:color w:val="auto"/>
                <w:highlight w:val="none"/>
              </w:rPr>
            </w:pPr>
            <w:r>
              <w:rPr>
                <w:rFonts w:hint="eastAsia"/>
                <w:color w:val="auto"/>
                <w:highlight w:val="none"/>
              </w:rPr>
              <w:t>参加政府采购活动前3年内在经营活动中没有重大违法记录的书面声明</w:t>
            </w:r>
          </w:p>
        </w:tc>
        <w:tc>
          <w:tcPr>
            <w:tcW w:w="1964" w:type="dxa"/>
          </w:tcPr>
          <w:p>
            <w:pPr>
              <w:spacing w:line="300" w:lineRule="exact"/>
              <w:rPr>
                <w:color w:val="auto"/>
                <w:highlight w:val="none"/>
              </w:rPr>
            </w:pPr>
            <w:r>
              <w:rPr>
                <w:rFonts w:hint="eastAsia"/>
                <w:color w:val="auto"/>
                <w:highlight w:val="none"/>
              </w:rPr>
              <w:t>1、按给定格式填写</w:t>
            </w:r>
          </w:p>
          <w:p>
            <w:pPr>
              <w:spacing w:line="300" w:lineRule="exact"/>
              <w:rPr>
                <w:color w:val="auto"/>
                <w:highlight w:val="none"/>
              </w:rPr>
            </w:pPr>
            <w:r>
              <w:rPr>
                <w:rFonts w:hint="eastAsia"/>
                <w:color w:val="auto"/>
                <w:highlight w:val="none"/>
              </w:rPr>
              <w:t>2、按规定签章</w:t>
            </w:r>
          </w:p>
        </w:tc>
        <w:tc>
          <w:tcPr>
            <w:tcW w:w="695" w:type="dxa"/>
          </w:tcPr>
          <w:p>
            <w:pPr>
              <w:spacing w:line="300" w:lineRule="exact"/>
              <w:rPr>
                <w:color w:val="auto"/>
                <w:highlight w:val="none"/>
              </w:rPr>
            </w:pPr>
          </w:p>
        </w:tc>
        <w:tc>
          <w:tcPr>
            <w:tcW w:w="886" w:type="dxa"/>
          </w:tcPr>
          <w:p>
            <w:pPr>
              <w:spacing w:line="300" w:lineRule="exact"/>
              <w:rPr>
                <w:color w:val="auto"/>
                <w:highlight w:val="none"/>
              </w:rPr>
            </w:pPr>
          </w:p>
        </w:tc>
        <w:tc>
          <w:tcPr>
            <w:tcW w:w="821" w:type="dxa"/>
          </w:tcPr>
          <w:p>
            <w:pPr>
              <w:spacing w:line="300" w:lineRule="exact"/>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8" w:hRule="atLeast"/>
        </w:trPr>
        <w:tc>
          <w:tcPr>
            <w:tcW w:w="500" w:type="dxa"/>
            <w:vAlign w:val="center"/>
          </w:tcPr>
          <w:p>
            <w:pPr>
              <w:spacing w:line="300" w:lineRule="exact"/>
              <w:rPr>
                <w:color w:val="auto"/>
                <w:highlight w:val="none"/>
              </w:rPr>
            </w:pPr>
            <w:r>
              <w:rPr>
                <w:rFonts w:hint="eastAsia"/>
                <w:color w:val="auto"/>
                <w:highlight w:val="none"/>
              </w:rPr>
              <w:t>9</w:t>
            </w:r>
          </w:p>
        </w:tc>
        <w:tc>
          <w:tcPr>
            <w:tcW w:w="3647" w:type="dxa"/>
            <w:vAlign w:val="center"/>
          </w:tcPr>
          <w:p>
            <w:pPr>
              <w:spacing w:line="300" w:lineRule="exact"/>
              <w:rPr>
                <w:color w:val="auto"/>
                <w:highlight w:val="none"/>
              </w:rPr>
            </w:pPr>
            <w:r>
              <w:rPr>
                <w:rFonts w:hint="eastAsia"/>
                <w:color w:val="auto"/>
                <w:highlight w:val="none"/>
              </w:rPr>
              <w:t>其它资格证明文件（如适用，按供应商须知表1.3.4要求描述）</w:t>
            </w:r>
          </w:p>
        </w:tc>
        <w:tc>
          <w:tcPr>
            <w:tcW w:w="1964" w:type="dxa"/>
            <w:vAlign w:val="center"/>
          </w:tcPr>
          <w:p>
            <w:pPr>
              <w:spacing w:line="300" w:lineRule="exact"/>
              <w:rPr>
                <w:color w:val="auto"/>
                <w:highlight w:val="none"/>
              </w:rPr>
            </w:pPr>
            <w:r>
              <w:rPr>
                <w:rFonts w:hint="eastAsia"/>
                <w:color w:val="auto"/>
                <w:highlight w:val="none"/>
              </w:rPr>
              <w:t>1、按要求提供</w:t>
            </w:r>
          </w:p>
          <w:p>
            <w:pPr>
              <w:spacing w:line="300" w:lineRule="exact"/>
              <w:rPr>
                <w:color w:val="auto"/>
                <w:highlight w:val="none"/>
              </w:rPr>
            </w:pPr>
            <w:r>
              <w:rPr>
                <w:rFonts w:hint="eastAsia"/>
                <w:color w:val="auto"/>
                <w:highlight w:val="none"/>
              </w:rPr>
              <w:t>2、合法有效</w:t>
            </w:r>
          </w:p>
        </w:tc>
        <w:tc>
          <w:tcPr>
            <w:tcW w:w="695" w:type="dxa"/>
          </w:tcPr>
          <w:p>
            <w:pPr>
              <w:spacing w:line="300" w:lineRule="exact"/>
              <w:rPr>
                <w:color w:val="auto"/>
                <w:highlight w:val="none"/>
              </w:rPr>
            </w:pPr>
          </w:p>
        </w:tc>
        <w:tc>
          <w:tcPr>
            <w:tcW w:w="886" w:type="dxa"/>
          </w:tcPr>
          <w:p>
            <w:pPr>
              <w:spacing w:line="300" w:lineRule="exact"/>
              <w:rPr>
                <w:color w:val="auto"/>
                <w:highlight w:val="none"/>
              </w:rPr>
            </w:pPr>
          </w:p>
        </w:tc>
        <w:tc>
          <w:tcPr>
            <w:tcW w:w="821" w:type="dxa"/>
          </w:tcPr>
          <w:p>
            <w:pPr>
              <w:spacing w:line="300" w:lineRule="exact"/>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500" w:type="dxa"/>
            <w:vAlign w:val="center"/>
          </w:tcPr>
          <w:p>
            <w:pPr>
              <w:spacing w:line="300" w:lineRule="exact"/>
              <w:rPr>
                <w:color w:val="auto"/>
                <w:highlight w:val="none"/>
              </w:rPr>
            </w:pPr>
            <w:r>
              <w:rPr>
                <w:rFonts w:hint="eastAsia"/>
                <w:color w:val="auto"/>
                <w:highlight w:val="none"/>
              </w:rPr>
              <w:t>10</w:t>
            </w:r>
          </w:p>
        </w:tc>
        <w:tc>
          <w:tcPr>
            <w:tcW w:w="3647" w:type="dxa"/>
            <w:vAlign w:val="center"/>
          </w:tcPr>
          <w:p>
            <w:pPr>
              <w:spacing w:line="300" w:lineRule="exact"/>
              <w:rPr>
                <w:color w:val="auto"/>
                <w:highlight w:val="none"/>
              </w:rPr>
            </w:pPr>
            <w:r>
              <w:rPr>
                <w:rFonts w:hint="eastAsia"/>
                <w:color w:val="auto"/>
                <w:highlight w:val="none"/>
              </w:rPr>
              <w:t>信用记录（按照招标文件规定的审查期间内进行查询）</w:t>
            </w:r>
          </w:p>
        </w:tc>
        <w:tc>
          <w:tcPr>
            <w:tcW w:w="1964" w:type="dxa"/>
          </w:tcPr>
          <w:p>
            <w:pPr>
              <w:spacing w:line="300" w:lineRule="exact"/>
              <w:rPr>
                <w:color w:val="auto"/>
                <w:highlight w:val="none"/>
              </w:rPr>
            </w:pPr>
            <w:r>
              <w:rPr>
                <w:rFonts w:hint="eastAsia"/>
                <w:color w:val="auto"/>
                <w:highlight w:val="none"/>
              </w:rPr>
              <w:t>无投标须知22.2.1所述的不良记录</w:t>
            </w:r>
          </w:p>
        </w:tc>
        <w:tc>
          <w:tcPr>
            <w:tcW w:w="695" w:type="dxa"/>
          </w:tcPr>
          <w:p>
            <w:pPr>
              <w:spacing w:line="300" w:lineRule="exact"/>
              <w:rPr>
                <w:color w:val="auto"/>
                <w:highlight w:val="none"/>
              </w:rPr>
            </w:pPr>
          </w:p>
        </w:tc>
        <w:tc>
          <w:tcPr>
            <w:tcW w:w="886" w:type="dxa"/>
          </w:tcPr>
          <w:p>
            <w:pPr>
              <w:spacing w:line="300" w:lineRule="exact"/>
              <w:rPr>
                <w:color w:val="auto"/>
                <w:highlight w:val="none"/>
              </w:rPr>
            </w:pPr>
          </w:p>
        </w:tc>
        <w:tc>
          <w:tcPr>
            <w:tcW w:w="821" w:type="dxa"/>
          </w:tcPr>
          <w:p>
            <w:pPr>
              <w:spacing w:line="300" w:lineRule="exact"/>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6111" w:type="dxa"/>
            <w:gridSpan w:val="3"/>
            <w:vAlign w:val="center"/>
          </w:tcPr>
          <w:p>
            <w:pPr>
              <w:spacing w:line="300" w:lineRule="exact"/>
              <w:jc w:val="center"/>
              <w:rPr>
                <w:color w:val="auto"/>
                <w:highlight w:val="none"/>
              </w:rPr>
            </w:pPr>
            <w:r>
              <w:rPr>
                <w:rFonts w:hint="eastAsia"/>
                <w:color w:val="auto"/>
                <w:highlight w:val="none"/>
              </w:rPr>
              <w:t>结论</w:t>
            </w:r>
          </w:p>
        </w:tc>
        <w:tc>
          <w:tcPr>
            <w:tcW w:w="695" w:type="dxa"/>
          </w:tcPr>
          <w:p>
            <w:pPr>
              <w:spacing w:line="300" w:lineRule="exact"/>
              <w:rPr>
                <w:color w:val="auto"/>
                <w:highlight w:val="none"/>
              </w:rPr>
            </w:pPr>
          </w:p>
        </w:tc>
        <w:tc>
          <w:tcPr>
            <w:tcW w:w="886" w:type="dxa"/>
          </w:tcPr>
          <w:p>
            <w:pPr>
              <w:spacing w:line="300" w:lineRule="exact"/>
              <w:rPr>
                <w:color w:val="auto"/>
                <w:highlight w:val="none"/>
              </w:rPr>
            </w:pPr>
          </w:p>
        </w:tc>
        <w:tc>
          <w:tcPr>
            <w:tcW w:w="821" w:type="dxa"/>
          </w:tcPr>
          <w:p>
            <w:pPr>
              <w:spacing w:line="300" w:lineRule="exact"/>
              <w:rPr>
                <w:color w:val="auto"/>
                <w:highlight w:val="none"/>
              </w:rPr>
            </w:pPr>
          </w:p>
        </w:tc>
      </w:tr>
    </w:tbl>
    <w:p>
      <w:pPr>
        <w:rPr>
          <w:b/>
          <w:bCs/>
          <w:color w:val="auto"/>
          <w:highlight w:val="none"/>
        </w:rPr>
      </w:pPr>
      <w:r>
        <w:rPr>
          <w:rFonts w:hint="eastAsia"/>
          <w:b/>
          <w:bCs/>
          <w:color w:val="auto"/>
          <w:highlight w:val="none"/>
        </w:rPr>
        <w:t>填表说明：1、每项审查内容中填写“</w:t>
      </w:r>
      <w:r>
        <w:rPr>
          <w:b/>
          <w:bCs/>
          <w:color w:val="auto"/>
          <w:highlight w:val="none"/>
        </w:rPr>
        <w:t>√</w:t>
      </w:r>
      <w:r>
        <w:rPr>
          <w:rFonts w:hint="eastAsia"/>
          <w:b/>
          <w:bCs/>
          <w:color w:val="auto"/>
          <w:highlight w:val="none"/>
        </w:rPr>
        <w:t>”或“</w:t>
      </w:r>
      <w:r>
        <w:rPr>
          <w:b/>
          <w:bCs/>
          <w:color w:val="auto"/>
          <w:highlight w:val="none"/>
        </w:rPr>
        <w:t>×</w:t>
      </w:r>
      <w:r>
        <w:rPr>
          <w:rFonts w:hint="eastAsia"/>
          <w:b/>
          <w:bCs/>
          <w:color w:val="auto"/>
          <w:highlight w:val="none"/>
        </w:rPr>
        <w:t>”</w:t>
      </w:r>
    </w:p>
    <w:p>
      <w:pPr>
        <w:rPr>
          <w:b/>
          <w:bCs/>
          <w:color w:val="auto"/>
          <w:highlight w:val="none"/>
        </w:rPr>
      </w:pPr>
      <w:r>
        <w:rPr>
          <w:rFonts w:hint="eastAsia"/>
          <w:b/>
          <w:bCs/>
          <w:color w:val="auto"/>
          <w:highlight w:val="none"/>
        </w:rPr>
        <w:t xml:space="preserve">          2、结论填写“通过”或“不通过”</w:t>
      </w:r>
    </w:p>
    <w:p>
      <w:pPr>
        <w:keepNext/>
        <w:keepLines/>
        <w:adjustRightInd w:val="0"/>
        <w:snapToGrid w:val="0"/>
        <w:jc w:val="left"/>
        <w:rPr>
          <w:rFonts w:eastAsia="仿宋_GB2312" w:cs="仿宋_GB2312"/>
          <w:b/>
          <w:color w:val="auto"/>
          <w:highlight w:val="none"/>
        </w:rPr>
      </w:pPr>
    </w:p>
    <w:p>
      <w:pPr>
        <w:pStyle w:val="20"/>
        <w:widowControl w:val="0"/>
        <w:snapToGrid w:val="0"/>
        <w:spacing w:before="0" w:beforeAutospacing="0" w:after="0" w:afterAutospacing="0"/>
        <w:jc w:val="both"/>
        <w:rPr>
          <w:rFonts w:ascii="Times New Roman" w:eastAsia="仿宋_GB2312" w:cs="仿宋_GB2312"/>
          <w:color w:val="auto"/>
          <w:szCs w:val="28"/>
          <w:highlight w:val="none"/>
        </w:rPr>
      </w:pPr>
      <w:r>
        <w:rPr>
          <w:rFonts w:hint="eastAsia" w:ascii="Times New Roman" w:eastAsia="仿宋_GB2312" w:cs="仿宋_GB2312"/>
          <w:b/>
          <w:color w:val="auto"/>
          <w:sz w:val="21"/>
          <w:highlight w:val="none"/>
        </w:rPr>
        <w:br w:type="page"/>
      </w:r>
      <w:bookmarkStart w:id="620" w:name="_Toc11558_WPSOffice_Level2"/>
      <w:r>
        <w:rPr>
          <w:rStyle w:val="36"/>
          <w:rFonts w:hint="eastAsia" w:ascii="Times New Roman" w:cs="Times New Roman"/>
          <w:color w:val="auto"/>
          <w:highlight w:val="none"/>
        </w:rPr>
        <w:t>附件2</w:t>
      </w:r>
      <w:r>
        <w:rPr>
          <w:rFonts w:hint="eastAsia" w:ascii="Times New Roman" w:eastAsia="仿宋_GB2312" w:cs="仿宋_GB2312"/>
          <w:color w:val="auto"/>
          <w:szCs w:val="28"/>
          <w:highlight w:val="none"/>
        </w:rPr>
        <w:t xml:space="preserve">             </w:t>
      </w:r>
    </w:p>
    <w:p>
      <w:pPr>
        <w:pStyle w:val="20"/>
        <w:widowControl w:val="0"/>
        <w:snapToGrid w:val="0"/>
        <w:spacing w:before="0" w:beforeAutospacing="0" w:after="0" w:afterAutospacing="0"/>
        <w:jc w:val="center"/>
        <w:rPr>
          <w:rFonts w:ascii="Times New Roman" w:eastAsia="仿宋_GB2312" w:cs="仿宋_GB2312"/>
          <w:color w:val="auto"/>
          <w:highlight w:val="none"/>
        </w:rPr>
      </w:pPr>
      <w:r>
        <w:rPr>
          <w:rFonts w:hint="eastAsia" w:ascii="Times New Roman" w:eastAsia="仿宋_GB2312" w:cs="仿宋_GB2312"/>
          <w:color w:val="auto"/>
          <w:szCs w:val="28"/>
          <w:highlight w:val="none"/>
        </w:rPr>
        <w:t xml:space="preserve">    </w:t>
      </w:r>
      <w:r>
        <w:rPr>
          <w:rStyle w:val="35"/>
          <w:rFonts w:hint="eastAsia"/>
          <w:color w:val="auto"/>
          <w:highlight w:val="none"/>
        </w:rPr>
        <w:t xml:space="preserve"> 符合性审查表</w:t>
      </w:r>
      <w:bookmarkEnd w:id="620"/>
    </w:p>
    <w:tbl>
      <w:tblPr>
        <w:tblStyle w:val="23"/>
        <w:tblW w:w="851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5"/>
        <w:gridCol w:w="2258"/>
        <w:gridCol w:w="2755"/>
        <w:gridCol w:w="995"/>
        <w:gridCol w:w="969"/>
        <w:gridCol w:w="9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03" w:hRule="atLeast"/>
        </w:trPr>
        <w:tc>
          <w:tcPr>
            <w:tcW w:w="635" w:type="dxa"/>
            <w:vMerge w:val="restart"/>
            <w:vAlign w:val="center"/>
          </w:tcPr>
          <w:p>
            <w:pPr>
              <w:spacing w:line="300" w:lineRule="exact"/>
              <w:jc w:val="center"/>
              <w:rPr>
                <w:color w:val="auto"/>
                <w:highlight w:val="none"/>
              </w:rPr>
            </w:pPr>
            <w:r>
              <w:rPr>
                <w:rFonts w:hint="eastAsia"/>
                <w:color w:val="auto"/>
                <w:highlight w:val="none"/>
              </w:rPr>
              <w:t>序号</w:t>
            </w:r>
          </w:p>
        </w:tc>
        <w:tc>
          <w:tcPr>
            <w:tcW w:w="2258" w:type="dxa"/>
            <w:vMerge w:val="restart"/>
            <w:vAlign w:val="center"/>
          </w:tcPr>
          <w:p>
            <w:pPr>
              <w:spacing w:line="300" w:lineRule="exact"/>
              <w:jc w:val="center"/>
              <w:rPr>
                <w:color w:val="auto"/>
                <w:highlight w:val="none"/>
              </w:rPr>
            </w:pPr>
            <w:r>
              <w:rPr>
                <w:rFonts w:hint="eastAsia"/>
                <w:color w:val="auto"/>
                <w:highlight w:val="none"/>
              </w:rPr>
              <w:t>评审因素</w:t>
            </w:r>
          </w:p>
        </w:tc>
        <w:tc>
          <w:tcPr>
            <w:tcW w:w="2755" w:type="dxa"/>
            <w:vMerge w:val="restart"/>
            <w:vAlign w:val="center"/>
          </w:tcPr>
          <w:p>
            <w:pPr>
              <w:spacing w:line="300" w:lineRule="exact"/>
              <w:jc w:val="center"/>
              <w:rPr>
                <w:color w:val="auto"/>
                <w:highlight w:val="none"/>
              </w:rPr>
            </w:pPr>
            <w:r>
              <w:rPr>
                <w:rFonts w:hint="eastAsia"/>
                <w:color w:val="auto"/>
                <w:highlight w:val="none"/>
              </w:rPr>
              <w:t>评审标准</w:t>
            </w:r>
          </w:p>
        </w:tc>
        <w:tc>
          <w:tcPr>
            <w:tcW w:w="2865" w:type="dxa"/>
            <w:gridSpan w:val="3"/>
            <w:vAlign w:val="center"/>
          </w:tcPr>
          <w:p>
            <w:pPr>
              <w:pStyle w:val="5"/>
              <w:adjustRightInd w:val="0"/>
              <w:snapToGrid w:val="0"/>
              <w:spacing w:before="0" w:after="0" w:line="300" w:lineRule="exact"/>
              <w:rPr>
                <w:rFonts w:eastAsia="宋体"/>
                <w:color w:val="auto"/>
                <w:sz w:val="21"/>
                <w:szCs w:val="21"/>
                <w:highlight w:val="none"/>
              </w:rPr>
            </w:pPr>
            <w:r>
              <w:rPr>
                <w:rFonts w:hint="eastAsia" w:eastAsia="宋体"/>
                <w:color w:val="auto"/>
                <w:sz w:val="21"/>
                <w:szCs w:val="21"/>
                <w:highlight w:val="none"/>
              </w:rPr>
              <w:t>供应商名称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38" w:hRule="atLeast"/>
        </w:trPr>
        <w:tc>
          <w:tcPr>
            <w:tcW w:w="635" w:type="dxa"/>
            <w:vMerge w:val="continue"/>
            <w:vAlign w:val="center"/>
          </w:tcPr>
          <w:p>
            <w:pPr>
              <w:spacing w:line="300" w:lineRule="exact"/>
              <w:jc w:val="center"/>
              <w:rPr>
                <w:color w:val="auto"/>
                <w:highlight w:val="none"/>
              </w:rPr>
            </w:pPr>
          </w:p>
        </w:tc>
        <w:tc>
          <w:tcPr>
            <w:tcW w:w="2258" w:type="dxa"/>
            <w:vMerge w:val="continue"/>
            <w:vAlign w:val="center"/>
          </w:tcPr>
          <w:p>
            <w:pPr>
              <w:spacing w:line="300" w:lineRule="exact"/>
              <w:rPr>
                <w:color w:val="auto"/>
                <w:highlight w:val="none"/>
              </w:rPr>
            </w:pPr>
          </w:p>
        </w:tc>
        <w:tc>
          <w:tcPr>
            <w:tcW w:w="2755" w:type="dxa"/>
            <w:vMerge w:val="continue"/>
            <w:vAlign w:val="center"/>
          </w:tcPr>
          <w:p>
            <w:pPr>
              <w:spacing w:line="300" w:lineRule="exact"/>
              <w:rPr>
                <w:color w:val="auto"/>
                <w:highlight w:val="none"/>
              </w:rPr>
            </w:pPr>
          </w:p>
        </w:tc>
        <w:tc>
          <w:tcPr>
            <w:tcW w:w="995" w:type="dxa"/>
            <w:vAlign w:val="center"/>
          </w:tcPr>
          <w:p>
            <w:pPr>
              <w:pStyle w:val="5"/>
              <w:adjustRightInd w:val="0"/>
              <w:snapToGrid w:val="0"/>
              <w:spacing w:before="0" w:after="0" w:line="300" w:lineRule="exact"/>
              <w:rPr>
                <w:rFonts w:eastAsia="宋体"/>
                <w:color w:val="auto"/>
                <w:sz w:val="21"/>
                <w:szCs w:val="21"/>
                <w:highlight w:val="none"/>
              </w:rPr>
            </w:pPr>
          </w:p>
        </w:tc>
        <w:tc>
          <w:tcPr>
            <w:tcW w:w="969" w:type="dxa"/>
            <w:vAlign w:val="center"/>
          </w:tcPr>
          <w:p>
            <w:pPr>
              <w:pStyle w:val="5"/>
              <w:adjustRightInd w:val="0"/>
              <w:snapToGrid w:val="0"/>
              <w:spacing w:before="0" w:after="0" w:line="300" w:lineRule="exact"/>
              <w:rPr>
                <w:rFonts w:eastAsia="宋体"/>
                <w:color w:val="auto"/>
                <w:sz w:val="21"/>
                <w:szCs w:val="21"/>
                <w:highlight w:val="none"/>
              </w:rPr>
            </w:pPr>
          </w:p>
        </w:tc>
        <w:tc>
          <w:tcPr>
            <w:tcW w:w="901" w:type="dxa"/>
            <w:vAlign w:val="center"/>
          </w:tcPr>
          <w:p>
            <w:pPr>
              <w:pStyle w:val="5"/>
              <w:adjustRightInd w:val="0"/>
              <w:snapToGrid w:val="0"/>
              <w:spacing w:before="0" w:after="0" w:line="300" w:lineRule="exact"/>
              <w:rPr>
                <w:rFonts w:eastAsia="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62" w:hRule="atLeast"/>
        </w:trPr>
        <w:tc>
          <w:tcPr>
            <w:tcW w:w="635" w:type="dxa"/>
            <w:vAlign w:val="center"/>
          </w:tcPr>
          <w:p>
            <w:pPr>
              <w:spacing w:line="300" w:lineRule="exact"/>
              <w:jc w:val="center"/>
              <w:rPr>
                <w:color w:val="auto"/>
                <w:highlight w:val="none"/>
              </w:rPr>
            </w:pPr>
            <w:r>
              <w:rPr>
                <w:rFonts w:hint="eastAsia"/>
                <w:color w:val="auto"/>
                <w:highlight w:val="none"/>
              </w:rPr>
              <w:t>1</w:t>
            </w:r>
          </w:p>
        </w:tc>
        <w:tc>
          <w:tcPr>
            <w:tcW w:w="2258" w:type="dxa"/>
            <w:vAlign w:val="center"/>
          </w:tcPr>
          <w:p>
            <w:pPr>
              <w:spacing w:line="300" w:lineRule="exact"/>
              <w:rPr>
                <w:color w:val="auto"/>
                <w:highlight w:val="none"/>
              </w:rPr>
            </w:pPr>
            <w:r>
              <w:rPr>
                <w:rFonts w:hint="eastAsia"/>
                <w:color w:val="auto"/>
                <w:highlight w:val="none"/>
              </w:rPr>
              <w:t>投标函</w:t>
            </w:r>
          </w:p>
        </w:tc>
        <w:tc>
          <w:tcPr>
            <w:tcW w:w="2755" w:type="dxa"/>
          </w:tcPr>
          <w:p>
            <w:pPr>
              <w:pStyle w:val="5"/>
              <w:adjustRightInd w:val="0"/>
              <w:snapToGrid w:val="0"/>
              <w:spacing w:before="0" w:after="0" w:line="300" w:lineRule="exact"/>
              <w:jc w:val="left"/>
              <w:rPr>
                <w:rFonts w:eastAsia="宋体"/>
                <w:color w:val="auto"/>
                <w:sz w:val="21"/>
                <w:szCs w:val="21"/>
                <w:highlight w:val="none"/>
              </w:rPr>
            </w:pPr>
            <w:r>
              <w:rPr>
                <w:rFonts w:hint="eastAsia" w:eastAsia="宋体"/>
                <w:color w:val="auto"/>
                <w:sz w:val="21"/>
                <w:szCs w:val="21"/>
                <w:highlight w:val="none"/>
              </w:rPr>
              <w:t>1、按给定格式填写</w:t>
            </w:r>
          </w:p>
          <w:p>
            <w:pPr>
              <w:spacing w:line="300" w:lineRule="exact"/>
              <w:jc w:val="left"/>
              <w:rPr>
                <w:b/>
                <w:color w:val="auto"/>
                <w:highlight w:val="none"/>
              </w:rPr>
            </w:pPr>
            <w:r>
              <w:rPr>
                <w:rFonts w:hint="eastAsia"/>
                <w:b/>
                <w:color w:val="auto"/>
                <w:highlight w:val="none"/>
              </w:rPr>
              <w:t>2、响应招标文件实质性要求</w:t>
            </w:r>
          </w:p>
          <w:p>
            <w:pPr>
              <w:pStyle w:val="5"/>
              <w:adjustRightInd w:val="0"/>
              <w:snapToGrid w:val="0"/>
              <w:spacing w:before="0" w:after="0" w:line="300" w:lineRule="exact"/>
              <w:jc w:val="left"/>
              <w:rPr>
                <w:rFonts w:eastAsia="宋体"/>
                <w:color w:val="auto"/>
                <w:sz w:val="21"/>
                <w:szCs w:val="21"/>
                <w:highlight w:val="none"/>
              </w:rPr>
            </w:pPr>
            <w:r>
              <w:rPr>
                <w:rFonts w:hint="eastAsia" w:eastAsia="宋体"/>
                <w:color w:val="auto"/>
                <w:sz w:val="21"/>
                <w:szCs w:val="21"/>
                <w:highlight w:val="none"/>
              </w:rPr>
              <w:t>3、按规定签章</w:t>
            </w:r>
          </w:p>
        </w:tc>
        <w:tc>
          <w:tcPr>
            <w:tcW w:w="995" w:type="dxa"/>
            <w:vAlign w:val="center"/>
          </w:tcPr>
          <w:p>
            <w:pPr>
              <w:pStyle w:val="5"/>
              <w:adjustRightInd w:val="0"/>
              <w:snapToGrid w:val="0"/>
              <w:spacing w:before="0" w:after="0" w:line="300" w:lineRule="exact"/>
              <w:rPr>
                <w:rFonts w:eastAsia="宋体"/>
                <w:color w:val="auto"/>
                <w:sz w:val="21"/>
                <w:szCs w:val="21"/>
                <w:highlight w:val="none"/>
              </w:rPr>
            </w:pPr>
          </w:p>
        </w:tc>
        <w:tc>
          <w:tcPr>
            <w:tcW w:w="969" w:type="dxa"/>
            <w:vAlign w:val="center"/>
          </w:tcPr>
          <w:p>
            <w:pPr>
              <w:pStyle w:val="5"/>
              <w:adjustRightInd w:val="0"/>
              <w:snapToGrid w:val="0"/>
              <w:spacing w:before="0" w:after="0" w:line="300" w:lineRule="exact"/>
              <w:rPr>
                <w:rFonts w:eastAsia="宋体"/>
                <w:color w:val="auto"/>
                <w:sz w:val="21"/>
                <w:szCs w:val="21"/>
                <w:highlight w:val="none"/>
              </w:rPr>
            </w:pPr>
          </w:p>
        </w:tc>
        <w:tc>
          <w:tcPr>
            <w:tcW w:w="901" w:type="dxa"/>
            <w:vAlign w:val="center"/>
          </w:tcPr>
          <w:p>
            <w:pPr>
              <w:pStyle w:val="5"/>
              <w:adjustRightInd w:val="0"/>
              <w:snapToGrid w:val="0"/>
              <w:spacing w:before="0" w:after="0" w:line="300" w:lineRule="exact"/>
              <w:rPr>
                <w:rFonts w:eastAsia="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trPr>
        <w:tc>
          <w:tcPr>
            <w:tcW w:w="635" w:type="dxa"/>
            <w:vAlign w:val="center"/>
          </w:tcPr>
          <w:p>
            <w:pPr>
              <w:spacing w:line="300" w:lineRule="exact"/>
              <w:jc w:val="center"/>
              <w:rPr>
                <w:color w:val="auto"/>
                <w:highlight w:val="none"/>
              </w:rPr>
            </w:pPr>
            <w:r>
              <w:rPr>
                <w:rFonts w:hint="eastAsia"/>
                <w:color w:val="auto"/>
                <w:highlight w:val="none"/>
              </w:rPr>
              <w:t>2</w:t>
            </w:r>
          </w:p>
        </w:tc>
        <w:tc>
          <w:tcPr>
            <w:tcW w:w="2258" w:type="dxa"/>
            <w:vAlign w:val="center"/>
          </w:tcPr>
          <w:p>
            <w:pPr>
              <w:spacing w:line="300" w:lineRule="exact"/>
              <w:rPr>
                <w:color w:val="auto"/>
                <w:highlight w:val="none"/>
              </w:rPr>
            </w:pPr>
            <w:r>
              <w:rPr>
                <w:rFonts w:hint="eastAsia"/>
                <w:color w:val="auto"/>
                <w:highlight w:val="none"/>
              </w:rPr>
              <w:t>递交投标保证金证明</w:t>
            </w:r>
          </w:p>
        </w:tc>
        <w:tc>
          <w:tcPr>
            <w:tcW w:w="2755" w:type="dxa"/>
          </w:tcPr>
          <w:p>
            <w:pPr>
              <w:pStyle w:val="5"/>
              <w:adjustRightInd w:val="0"/>
              <w:snapToGrid w:val="0"/>
              <w:spacing w:before="0" w:after="0" w:line="300" w:lineRule="exact"/>
              <w:jc w:val="left"/>
              <w:rPr>
                <w:rFonts w:eastAsia="宋体"/>
                <w:color w:val="auto"/>
                <w:sz w:val="21"/>
                <w:szCs w:val="21"/>
                <w:highlight w:val="none"/>
              </w:rPr>
            </w:pPr>
            <w:r>
              <w:rPr>
                <w:rFonts w:hint="eastAsia" w:eastAsia="宋体"/>
                <w:color w:val="auto"/>
                <w:sz w:val="21"/>
                <w:szCs w:val="21"/>
                <w:highlight w:val="none"/>
              </w:rPr>
              <w:t>1、按要求提供</w:t>
            </w:r>
          </w:p>
          <w:p>
            <w:pPr>
              <w:pStyle w:val="5"/>
              <w:adjustRightInd w:val="0"/>
              <w:snapToGrid w:val="0"/>
              <w:spacing w:before="0" w:after="0" w:line="300" w:lineRule="exact"/>
              <w:jc w:val="left"/>
              <w:rPr>
                <w:rFonts w:eastAsia="宋体"/>
                <w:color w:val="auto"/>
                <w:sz w:val="21"/>
                <w:szCs w:val="21"/>
                <w:highlight w:val="none"/>
              </w:rPr>
            </w:pPr>
            <w:r>
              <w:rPr>
                <w:rFonts w:hint="eastAsia" w:eastAsia="宋体"/>
                <w:color w:val="auto"/>
                <w:sz w:val="21"/>
                <w:szCs w:val="21"/>
                <w:highlight w:val="none"/>
              </w:rPr>
              <w:t>2、合法有效</w:t>
            </w:r>
          </w:p>
        </w:tc>
        <w:tc>
          <w:tcPr>
            <w:tcW w:w="995" w:type="dxa"/>
          </w:tcPr>
          <w:p>
            <w:pPr>
              <w:pStyle w:val="5"/>
              <w:adjustRightInd w:val="0"/>
              <w:snapToGrid w:val="0"/>
              <w:spacing w:before="0" w:after="0" w:line="300" w:lineRule="exact"/>
              <w:rPr>
                <w:rFonts w:eastAsia="宋体"/>
                <w:color w:val="auto"/>
                <w:sz w:val="21"/>
                <w:szCs w:val="21"/>
                <w:highlight w:val="none"/>
              </w:rPr>
            </w:pPr>
          </w:p>
        </w:tc>
        <w:tc>
          <w:tcPr>
            <w:tcW w:w="969" w:type="dxa"/>
          </w:tcPr>
          <w:p>
            <w:pPr>
              <w:pStyle w:val="5"/>
              <w:adjustRightInd w:val="0"/>
              <w:snapToGrid w:val="0"/>
              <w:spacing w:before="0" w:after="0" w:line="300" w:lineRule="exact"/>
              <w:rPr>
                <w:rFonts w:eastAsia="宋体"/>
                <w:color w:val="auto"/>
                <w:sz w:val="21"/>
                <w:szCs w:val="21"/>
                <w:highlight w:val="none"/>
              </w:rPr>
            </w:pPr>
          </w:p>
        </w:tc>
        <w:tc>
          <w:tcPr>
            <w:tcW w:w="901" w:type="dxa"/>
          </w:tcPr>
          <w:p>
            <w:pPr>
              <w:pStyle w:val="5"/>
              <w:adjustRightInd w:val="0"/>
              <w:snapToGrid w:val="0"/>
              <w:spacing w:before="0" w:after="0" w:line="300" w:lineRule="exact"/>
              <w:rPr>
                <w:rFonts w:eastAsia="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62" w:hRule="atLeast"/>
        </w:trPr>
        <w:tc>
          <w:tcPr>
            <w:tcW w:w="635" w:type="dxa"/>
            <w:vAlign w:val="center"/>
          </w:tcPr>
          <w:p>
            <w:pPr>
              <w:spacing w:line="300" w:lineRule="exact"/>
              <w:jc w:val="center"/>
              <w:rPr>
                <w:color w:val="auto"/>
                <w:highlight w:val="none"/>
              </w:rPr>
            </w:pPr>
            <w:r>
              <w:rPr>
                <w:rFonts w:hint="eastAsia"/>
                <w:color w:val="auto"/>
                <w:highlight w:val="none"/>
              </w:rPr>
              <w:t>3</w:t>
            </w:r>
          </w:p>
        </w:tc>
        <w:tc>
          <w:tcPr>
            <w:tcW w:w="2258" w:type="dxa"/>
            <w:vAlign w:val="center"/>
          </w:tcPr>
          <w:p>
            <w:pPr>
              <w:spacing w:line="300" w:lineRule="exact"/>
              <w:rPr>
                <w:color w:val="auto"/>
                <w:highlight w:val="none"/>
              </w:rPr>
            </w:pPr>
            <w:r>
              <w:rPr>
                <w:rFonts w:hint="eastAsia"/>
                <w:color w:val="auto"/>
                <w:highlight w:val="none"/>
              </w:rPr>
              <w:t>开标一览表</w:t>
            </w:r>
          </w:p>
        </w:tc>
        <w:tc>
          <w:tcPr>
            <w:tcW w:w="2755" w:type="dxa"/>
          </w:tcPr>
          <w:p>
            <w:pPr>
              <w:pStyle w:val="5"/>
              <w:adjustRightInd w:val="0"/>
              <w:snapToGrid w:val="0"/>
              <w:spacing w:before="0" w:after="0" w:line="300" w:lineRule="exact"/>
              <w:jc w:val="left"/>
              <w:rPr>
                <w:rFonts w:eastAsia="宋体"/>
                <w:color w:val="auto"/>
                <w:sz w:val="21"/>
                <w:szCs w:val="21"/>
                <w:highlight w:val="none"/>
              </w:rPr>
            </w:pPr>
            <w:r>
              <w:rPr>
                <w:rFonts w:hint="eastAsia" w:eastAsia="宋体"/>
                <w:color w:val="auto"/>
                <w:sz w:val="21"/>
                <w:szCs w:val="21"/>
                <w:highlight w:val="none"/>
              </w:rPr>
              <w:t>1、按给定格式填写</w:t>
            </w:r>
          </w:p>
          <w:p>
            <w:pPr>
              <w:spacing w:line="300" w:lineRule="exact"/>
              <w:jc w:val="left"/>
              <w:rPr>
                <w:b/>
                <w:color w:val="auto"/>
                <w:highlight w:val="none"/>
              </w:rPr>
            </w:pPr>
            <w:r>
              <w:rPr>
                <w:rFonts w:hint="eastAsia"/>
                <w:b/>
                <w:color w:val="auto"/>
                <w:highlight w:val="none"/>
              </w:rPr>
              <w:t>2、响应招标文件实质性要求</w:t>
            </w:r>
          </w:p>
          <w:p>
            <w:pPr>
              <w:pStyle w:val="5"/>
              <w:adjustRightInd w:val="0"/>
              <w:snapToGrid w:val="0"/>
              <w:spacing w:before="0" w:after="0" w:line="300" w:lineRule="exact"/>
              <w:jc w:val="left"/>
              <w:rPr>
                <w:rFonts w:eastAsia="宋体"/>
                <w:color w:val="auto"/>
                <w:sz w:val="21"/>
                <w:szCs w:val="21"/>
                <w:highlight w:val="none"/>
              </w:rPr>
            </w:pPr>
            <w:r>
              <w:rPr>
                <w:rFonts w:hint="eastAsia" w:eastAsia="宋体"/>
                <w:color w:val="auto"/>
                <w:sz w:val="21"/>
                <w:szCs w:val="21"/>
                <w:highlight w:val="none"/>
              </w:rPr>
              <w:t>3、按规定签章</w:t>
            </w:r>
          </w:p>
        </w:tc>
        <w:tc>
          <w:tcPr>
            <w:tcW w:w="995" w:type="dxa"/>
          </w:tcPr>
          <w:p>
            <w:pPr>
              <w:pStyle w:val="5"/>
              <w:adjustRightInd w:val="0"/>
              <w:snapToGrid w:val="0"/>
              <w:spacing w:before="0" w:after="0" w:line="300" w:lineRule="exact"/>
              <w:rPr>
                <w:rFonts w:eastAsia="宋体"/>
                <w:color w:val="auto"/>
                <w:sz w:val="21"/>
                <w:szCs w:val="21"/>
                <w:highlight w:val="none"/>
              </w:rPr>
            </w:pPr>
          </w:p>
        </w:tc>
        <w:tc>
          <w:tcPr>
            <w:tcW w:w="969" w:type="dxa"/>
          </w:tcPr>
          <w:p>
            <w:pPr>
              <w:pStyle w:val="5"/>
              <w:adjustRightInd w:val="0"/>
              <w:snapToGrid w:val="0"/>
              <w:spacing w:before="0" w:after="0" w:line="300" w:lineRule="exact"/>
              <w:rPr>
                <w:rFonts w:eastAsia="宋体"/>
                <w:color w:val="auto"/>
                <w:sz w:val="21"/>
                <w:szCs w:val="21"/>
                <w:highlight w:val="none"/>
              </w:rPr>
            </w:pPr>
          </w:p>
        </w:tc>
        <w:tc>
          <w:tcPr>
            <w:tcW w:w="901" w:type="dxa"/>
          </w:tcPr>
          <w:p>
            <w:pPr>
              <w:pStyle w:val="5"/>
              <w:adjustRightInd w:val="0"/>
              <w:snapToGrid w:val="0"/>
              <w:spacing w:before="0" w:after="0" w:line="300" w:lineRule="exact"/>
              <w:rPr>
                <w:rFonts w:eastAsia="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62" w:hRule="atLeast"/>
        </w:trPr>
        <w:tc>
          <w:tcPr>
            <w:tcW w:w="635" w:type="dxa"/>
            <w:vAlign w:val="center"/>
          </w:tcPr>
          <w:p>
            <w:pPr>
              <w:spacing w:line="300" w:lineRule="exact"/>
              <w:jc w:val="center"/>
              <w:rPr>
                <w:color w:val="auto"/>
                <w:highlight w:val="none"/>
              </w:rPr>
            </w:pPr>
            <w:r>
              <w:rPr>
                <w:rFonts w:hint="eastAsia"/>
                <w:color w:val="auto"/>
                <w:highlight w:val="none"/>
              </w:rPr>
              <w:t>4</w:t>
            </w:r>
          </w:p>
        </w:tc>
        <w:tc>
          <w:tcPr>
            <w:tcW w:w="2258" w:type="dxa"/>
            <w:vAlign w:val="center"/>
          </w:tcPr>
          <w:p>
            <w:pPr>
              <w:spacing w:line="300" w:lineRule="exact"/>
              <w:rPr>
                <w:color w:val="auto"/>
                <w:highlight w:val="none"/>
              </w:rPr>
            </w:pPr>
            <w:r>
              <w:rPr>
                <w:rFonts w:hint="eastAsia"/>
                <w:color w:val="auto"/>
                <w:highlight w:val="none"/>
              </w:rPr>
              <w:t>服务价格明细报价表</w:t>
            </w:r>
          </w:p>
        </w:tc>
        <w:tc>
          <w:tcPr>
            <w:tcW w:w="2755" w:type="dxa"/>
          </w:tcPr>
          <w:p>
            <w:pPr>
              <w:pStyle w:val="5"/>
              <w:adjustRightInd w:val="0"/>
              <w:snapToGrid w:val="0"/>
              <w:spacing w:before="0" w:after="0" w:line="300" w:lineRule="exact"/>
              <w:jc w:val="left"/>
              <w:rPr>
                <w:rFonts w:eastAsia="宋体"/>
                <w:color w:val="auto"/>
                <w:sz w:val="21"/>
                <w:szCs w:val="21"/>
                <w:highlight w:val="none"/>
              </w:rPr>
            </w:pPr>
            <w:r>
              <w:rPr>
                <w:rFonts w:hint="eastAsia" w:eastAsia="宋体"/>
                <w:color w:val="auto"/>
                <w:sz w:val="21"/>
                <w:szCs w:val="21"/>
                <w:highlight w:val="none"/>
              </w:rPr>
              <w:t>1、按给定格式填写</w:t>
            </w:r>
          </w:p>
          <w:p>
            <w:pPr>
              <w:spacing w:line="300" w:lineRule="exact"/>
              <w:jc w:val="left"/>
              <w:rPr>
                <w:b/>
                <w:color w:val="auto"/>
                <w:highlight w:val="none"/>
              </w:rPr>
            </w:pPr>
            <w:r>
              <w:rPr>
                <w:rFonts w:hint="eastAsia"/>
                <w:b/>
                <w:color w:val="auto"/>
                <w:highlight w:val="none"/>
              </w:rPr>
              <w:t>2、响应招标文件实质性要求</w:t>
            </w:r>
          </w:p>
          <w:p>
            <w:pPr>
              <w:pStyle w:val="5"/>
              <w:adjustRightInd w:val="0"/>
              <w:snapToGrid w:val="0"/>
              <w:spacing w:before="0" w:after="0" w:line="300" w:lineRule="exact"/>
              <w:jc w:val="left"/>
              <w:rPr>
                <w:rFonts w:eastAsia="宋体"/>
                <w:color w:val="auto"/>
                <w:sz w:val="21"/>
                <w:szCs w:val="21"/>
                <w:highlight w:val="none"/>
              </w:rPr>
            </w:pPr>
            <w:r>
              <w:rPr>
                <w:rFonts w:hint="eastAsia" w:eastAsia="宋体"/>
                <w:color w:val="auto"/>
                <w:sz w:val="21"/>
                <w:szCs w:val="21"/>
                <w:highlight w:val="none"/>
              </w:rPr>
              <w:t>3、按规定签章</w:t>
            </w:r>
          </w:p>
        </w:tc>
        <w:tc>
          <w:tcPr>
            <w:tcW w:w="995" w:type="dxa"/>
          </w:tcPr>
          <w:p>
            <w:pPr>
              <w:pStyle w:val="5"/>
              <w:adjustRightInd w:val="0"/>
              <w:snapToGrid w:val="0"/>
              <w:spacing w:before="0" w:after="0" w:line="300" w:lineRule="exact"/>
              <w:rPr>
                <w:rFonts w:eastAsia="宋体"/>
                <w:color w:val="auto"/>
                <w:sz w:val="21"/>
                <w:szCs w:val="21"/>
                <w:highlight w:val="none"/>
              </w:rPr>
            </w:pPr>
          </w:p>
        </w:tc>
        <w:tc>
          <w:tcPr>
            <w:tcW w:w="969" w:type="dxa"/>
          </w:tcPr>
          <w:p>
            <w:pPr>
              <w:pStyle w:val="5"/>
              <w:adjustRightInd w:val="0"/>
              <w:snapToGrid w:val="0"/>
              <w:spacing w:before="0" w:after="0" w:line="300" w:lineRule="exact"/>
              <w:rPr>
                <w:rFonts w:eastAsia="宋体"/>
                <w:color w:val="auto"/>
                <w:sz w:val="21"/>
                <w:szCs w:val="21"/>
                <w:highlight w:val="none"/>
              </w:rPr>
            </w:pPr>
          </w:p>
        </w:tc>
        <w:tc>
          <w:tcPr>
            <w:tcW w:w="901" w:type="dxa"/>
          </w:tcPr>
          <w:p>
            <w:pPr>
              <w:pStyle w:val="5"/>
              <w:adjustRightInd w:val="0"/>
              <w:snapToGrid w:val="0"/>
              <w:spacing w:before="0" w:after="0" w:line="300" w:lineRule="exact"/>
              <w:rPr>
                <w:rFonts w:eastAsia="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31" w:hRule="atLeast"/>
        </w:trPr>
        <w:tc>
          <w:tcPr>
            <w:tcW w:w="635" w:type="dxa"/>
            <w:vAlign w:val="center"/>
          </w:tcPr>
          <w:p>
            <w:pPr>
              <w:spacing w:line="300" w:lineRule="exact"/>
              <w:jc w:val="center"/>
              <w:rPr>
                <w:color w:val="auto"/>
                <w:highlight w:val="none"/>
              </w:rPr>
            </w:pPr>
            <w:r>
              <w:rPr>
                <w:rFonts w:hint="eastAsia"/>
                <w:color w:val="auto"/>
                <w:highlight w:val="none"/>
              </w:rPr>
              <w:t>5</w:t>
            </w:r>
          </w:p>
        </w:tc>
        <w:tc>
          <w:tcPr>
            <w:tcW w:w="2258" w:type="dxa"/>
            <w:vAlign w:val="center"/>
          </w:tcPr>
          <w:p>
            <w:pPr>
              <w:spacing w:line="300" w:lineRule="exact"/>
              <w:rPr>
                <w:color w:val="auto"/>
                <w:highlight w:val="none"/>
              </w:rPr>
            </w:pPr>
            <w:r>
              <w:rPr>
                <w:rFonts w:hint="eastAsia"/>
                <w:color w:val="auto"/>
                <w:highlight w:val="none"/>
              </w:rPr>
              <w:t>服务需求响应表</w:t>
            </w:r>
          </w:p>
        </w:tc>
        <w:tc>
          <w:tcPr>
            <w:tcW w:w="2755" w:type="dxa"/>
          </w:tcPr>
          <w:p>
            <w:pPr>
              <w:pStyle w:val="5"/>
              <w:adjustRightInd w:val="0"/>
              <w:snapToGrid w:val="0"/>
              <w:spacing w:before="0" w:after="0" w:line="300" w:lineRule="exact"/>
              <w:jc w:val="left"/>
              <w:rPr>
                <w:rFonts w:eastAsia="宋体"/>
                <w:color w:val="auto"/>
                <w:sz w:val="21"/>
                <w:szCs w:val="21"/>
                <w:highlight w:val="none"/>
              </w:rPr>
            </w:pPr>
            <w:r>
              <w:rPr>
                <w:rFonts w:hint="eastAsia" w:eastAsia="宋体"/>
                <w:color w:val="auto"/>
                <w:sz w:val="21"/>
                <w:szCs w:val="21"/>
                <w:highlight w:val="none"/>
              </w:rPr>
              <w:t>1、按给定格式及填表要求填写</w:t>
            </w:r>
          </w:p>
          <w:p>
            <w:pPr>
              <w:spacing w:line="300" w:lineRule="exact"/>
              <w:jc w:val="left"/>
              <w:rPr>
                <w:b/>
                <w:color w:val="auto"/>
                <w:highlight w:val="none"/>
              </w:rPr>
            </w:pPr>
            <w:r>
              <w:rPr>
                <w:rFonts w:hint="eastAsia"/>
                <w:b/>
                <w:color w:val="auto"/>
                <w:highlight w:val="none"/>
              </w:rPr>
              <w:t>2、响应招标文件实质性要求</w:t>
            </w:r>
          </w:p>
          <w:p>
            <w:pPr>
              <w:pStyle w:val="5"/>
              <w:adjustRightInd w:val="0"/>
              <w:snapToGrid w:val="0"/>
              <w:spacing w:before="0" w:after="0" w:line="300" w:lineRule="exact"/>
              <w:jc w:val="left"/>
              <w:rPr>
                <w:rFonts w:eastAsia="宋体"/>
                <w:color w:val="auto"/>
                <w:sz w:val="21"/>
                <w:szCs w:val="21"/>
                <w:highlight w:val="none"/>
              </w:rPr>
            </w:pPr>
            <w:r>
              <w:rPr>
                <w:rFonts w:hint="eastAsia" w:eastAsia="宋体"/>
                <w:color w:val="auto"/>
                <w:sz w:val="21"/>
                <w:szCs w:val="21"/>
                <w:highlight w:val="none"/>
              </w:rPr>
              <w:t>3、按规定签章</w:t>
            </w:r>
          </w:p>
        </w:tc>
        <w:tc>
          <w:tcPr>
            <w:tcW w:w="995" w:type="dxa"/>
          </w:tcPr>
          <w:p>
            <w:pPr>
              <w:pStyle w:val="5"/>
              <w:adjustRightInd w:val="0"/>
              <w:snapToGrid w:val="0"/>
              <w:spacing w:before="0" w:after="0" w:line="300" w:lineRule="exact"/>
              <w:rPr>
                <w:rFonts w:eastAsia="宋体"/>
                <w:color w:val="auto"/>
                <w:sz w:val="21"/>
                <w:szCs w:val="21"/>
                <w:highlight w:val="none"/>
              </w:rPr>
            </w:pPr>
          </w:p>
        </w:tc>
        <w:tc>
          <w:tcPr>
            <w:tcW w:w="969" w:type="dxa"/>
          </w:tcPr>
          <w:p>
            <w:pPr>
              <w:pStyle w:val="5"/>
              <w:adjustRightInd w:val="0"/>
              <w:snapToGrid w:val="0"/>
              <w:spacing w:before="0" w:after="0" w:line="300" w:lineRule="exact"/>
              <w:rPr>
                <w:rFonts w:eastAsia="宋体"/>
                <w:color w:val="auto"/>
                <w:sz w:val="21"/>
                <w:szCs w:val="21"/>
                <w:highlight w:val="none"/>
              </w:rPr>
            </w:pPr>
          </w:p>
        </w:tc>
        <w:tc>
          <w:tcPr>
            <w:tcW w:w="901" w:type="dxa"/>
          </w:tcPr>
          <w:p>
            <w:pPr>
              <w:pStyle w:val="5"/>
              <w:adjustRightInd w:val="0"/>
              <w:snapToGrid w:val="0"/>
              <w:spacing w:before="0" w:after="0" w:line="300" w:lineRule="exact"/>
              <w:rPr>
                <w:rFonts w:eastAsia="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31" w:hRule="atLeast"/>
        </w:trPr>
        <w:tc>
          <w:tcPr>
            <w:tcW w:w="635" w:type="dxa"/>
            <w:vAlign w:val="center"/>
          </w:tcPr>
          <w:p>
            <w:pPr>
              <w:spacing w:line="300" w:lineRule="exact"/>
              <w:jc w:val="center"/>
              <w:rPr>
                <w:color w:val="auto"/>
                <w:highlight w:val="none"/>
              </w:rPr>
            </w:pPr>
            <w:r>
              <w:rPr>
                <w:rFonts w:hint="eastAsia"/>
                <w:color w:val="auto"/>
                <w:highlight w:val="none"/>
              </w:rPr>
              <w:t>6</w:t>
            </w:r>
          </w:p>
        </w:tc>
        <w:tc>
          <w:tcPr>
            <w:tcW w:w="2258" w:type="dxa"/>
            <w:vAlign w:val="center"/>
          </w:tcPr>
          <w:p>
            <w:pPr>
              <w:spacing w:line="300" w:lineRule="exact"/>
              <w:rPr>
                <w:color w:val="auto"/>
                <w:highlight w:val="none"/>
              </w:rPr>
            </w:pPr>
            <w:r>
              <w:rPr>
                <w:rFonts w:hint="eastAsia"/>
                <w:color w:val="auto"/>
                <w:highlight w:val="none"/>
              </w:rPr>
              <w:t>商务条款偏离表</w:t>
            </w:r>
          </w:p>
        </w:tc>
        <w:tc>
          <w:tcPr>
            <w:tcW w:w="2755" w:type="dxa"/>
          </w:tcPr>
          <w:p>
            <w:pPr>
              <w:pStyle w:val="5"/>
              <w:adjustRightInd w:val="0"/>
              <w:snapToGrid w:val="0"/>
              <w:spacing w:before="0" w:after="0" w:line="300" w:lineRule="exact"/>
              <w:jc w:val="left"/>
              <w:rPr>
                <w:rFonts w:eastAsia="宋体"/>
                <w:color w:val="auto"/>
                <w:sz w:val="21"/>
                <w:szCs w:val="21"/>
                <w:highlight w:val="none"/>
              </w:rPr>
            </w:pPr>
            <w:r>
              <w:rPr>
                <w:rFonts w:hint="eastAsia" w:eastAsia="宋体"/>
                <w:color w:val="auto"/>
                <w:sz w:val="21"/>
                <w:szCs w:val="21"/>
                <w:highlight w:val="none"/>
              </w:rPr>
              <w:t>1、按给定格式及填表要求填写</w:t>
            </w:r>
          </w:p>
          <w:p>
            <w:pPr>
              <w:spacing w:line="300" w:lineRule="exact"/>
              <w:jc w:val="left"/>
              <w:rPr>
                <w:b/>
                <w:color w:val="auto"/>
                <w:highlight w:val="none"/>
              </w:rPr>
            </w:pPr>
            <w:r>
              <w:rPr>
                <w:rFonts w:hint="eastAsia"/>
                <w:b/>
                <w:color w:val="auto"/>
                <w:highlight w:val="none"/>
              </w:rPr>
              <w:t>2、响应招标文件实质性要求</w:t>
            </w:r>
          </w:p>
          <w:p>
            <w:pPr>
              <w:pStyle w:val="5"/>
              <w:adjustRightInd w:val="0"/>
              <w:snapToGrid w:val="0"/>
              <w:spacing w:before="0" w:after="0" w:line="300" w:lineRule="exact"/>
              <w:jc w:val="left"/>
              <w:rPr>
                <w:rFonts w:eastAsia="宋体"/>
                <w:color w:val="auto"/>
                <w:sz w:val="21"/>
                <w:szCs w:val="21"/>
                <w:highlight w:val="none"/>
              </w:rPr>
            </w:pPr>
            <w:r>
              <w:rPr>
                <w:rFonts w:hint="eastAsia" w:eastAsia="宋体"/>
                <w:color w:val="auto"/>
                <w:sz w:val="21"/>
                <w:szCs w:val="21"/>
                <w:highlight w:val="none"/>
              </w:rPr>
              <w:t>3、按规定签章</w:t>
            </w:r>
          </w:p>
        </w:tc>
        <w:tc>
          <w:tcPr>
            <w:tcW w:w="995" w:type="dxa"/>
          </w:tcPr>
          <w:p>
            <w:pPr>
              <w:pStyle w:val="5"/>
              <w:adjustRightInd w:val="0"/>
              <w:snapToGrid w:val="0"/>
              <w:spacing w:before="0" w:after="0" w:line="300" w:lineRule="exact"/>
              <w:rPr>
                <w:rFonts w:eastAsia="宋体"/>
                <w:color w:val="auto"/>
                <w:sz w:val="21"/>
                <w:szCs w:val="21"/>
                <w:highlight w:val="none"/>
              </w:rPr>
            </w:pPr>
          </w:p>
        </w:tc>
        <w:tc>
          <w:tcPr>
            <w:tcW w:w="969" w:type="dxa"/>
          </w:tcPr>
          <w:p>
            <w:pPr>
              <w:pStyle w:val="5"/>
              <w:adjustRightInd w:val="0"/>
              <w:snapToGrid w:val="0"/>
              <w:spacing w:before="0" w:after="0" w:line="300" w:lineRule="exact"/>
              <w:rPr>
                <w:rFonts w:eastAsia="宋体"/>
                <w:color w:val="auto"/>
                <w:sz w:val="21"/>
                <w:szCs w:val="21"/>
                <w:highlight w:val="none"/>
              </w:rPr>
            </w:pPr>
          </w:p>
        </w:tc>
        <w:tc>
          <w:tcPr>
            <w:tcW w:w="901" w:type="dxa"/>
          </w:tcPr>
          <w:p>
            <w:pPr>
              <w:pStyle w:val="5"/>
              <w:adjustRightInd w:val="0"/>
              <w:snapToGrid w:val="0"/>
              <w:spacing w:before="0" w:after="0" w:line="300" w:lineRule="exact"/>
              <w:rPr>
                <w:rFonts w:eastAsia="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30" w:hRule="atLeast"/>
        </w:trPr>
        <w:tc>
          <w:tcPr>
            <w:tcW w:w="635" w:type="dxa"/>
            <w:vAlign w:val="center"/>
          </w:tcPr>
          <w:p>
            <w:pPr>
              <w:spacing w:line="300" w:lineRule="exact"/>
              <w:jc w:val="center"/>
              <w:rPr>
                <w:color w:val="auto"/>
                <w:highlight w:val="none"/>
              </w:rPr>
            </w:pPr>
            <w:r>
              <w:rPr>
                <w:rFonts w:hint="eastAsia"/>
                <w:color w:val="auto"/>
                <w:highlight w:val="none"/>
              </w:rPr>
              <w:t>7</w:t>
            </w:r>
          </w:p>
        </w:tc>
        <w:tc>
          <w:tcPr>
            <w:tcW w:w="2258" w:type="dxa"/>
            <w:vAlign w:val="center"/>
          </w:tcPr>
          <w:p>
            <w:pPr>
              <w:spacing w:line="300" w:lineRule="exact"/>
              <w:rPr>
                <w:color w:val="auto"/>
                <w:highlight w:val="none"/>
              </w:rPr>
            </w:pPr>
            <w:r>
              <w:rPr>
                <w:rFonts w:hint="eastAsia"/>
                <w:color w:val="auto"/>
                <w:highlight w:val="none"/>
              </w:rPr>
              <w:t>供应商关联单位说明</w:t>
            </w:r>
          </w:p>
        </w:tc>
        <w:tc>
          <w:tcPr>
            <w:tcW w:w="2755" w:type="dxa"/>
          </w:tcPr>
          <w:p>
            <w:pPr>
              <w:pStyle w:val="5"/>
              <w:adjustRightInd w:val="0"/>
              <w:snapToGrid w:val="0"/>
              <w:spacing w:before="0" w:after="0" w:line="300" w:lineRule="exact"/>
              <w:jc w:val="left"/>
              <w:rPr>
                <w:rFonts w:eastAsia="宋体"/>
                <w:color w:val="auto"/>
                <w:sz w:val="21"/>
                <w:szCs w:val="21"/>
                <w:highlight w:val="none"/>
              </w:rPr>
            </w:pPr>
            <w:r>
              <w:rPr>
                <w:rFonts w:hint="eastAsia" w:eastAsia="宋体"/>
                <w:color w:val="auto"/>
                <w:sz w:val="21"/>
                <w:szCs w:val="21"/>
                <w:highlight w:val="none"/>
              </w:rPr>
              <w:t>1、按给定格式填写</w:t>
            </w:r>
          </w:p>
          <w:p>
            <w:pPr>
              <w:pStyle w:val="5"/>
              <w:adjustRightInd w:val="0"/>
              <w:snapToGrid w:val="0"/>
              <w:spacing w:before="0" w:after="0" w:line="300" w:lineRule="exact"/>
              <w:jc w:val="left"/>
              <w:rPr>
                <w:rFonts w:eastAsia="宋体"/>
                <w:color w:val="auto"/>
                <w:sz w:val="21"/>
                <w:szCs w:val="21"/>
                <w:highlight w:val="none"/>
              </w:rPr>
            </w:pPr>
            <w:r>
              <w:rPr>
                <w:rFonts w:hint="eastAsia" w:eastAsia="宋体"/>
                <w:color w:val="auto"/>
                <w:sz w:val="21"/>
                <w:szCs w:val="21"/>
                <w:highlight w:val="none"/>
              </w:rPr>
              <w:t>2、按规定签章</w:t>
            </w:r>
          </w:p>
        </w:tc>
        <w:tc>
          <w:tcPr>
            <w:tcW w:w="995" w:type="dxa"/>
          </w:tcPr>
          <w:p>
            <w:pPr>
              <w:pStyle w:val="5"/>
              <w:adjustRightInd w:val="0"/>
              <w:snapToGrid w:val="0"/>
              <w:spacing w:before="0" w:after="0" w:line="300" w:lineRule="exact"/>
              <w:rPr>
                <w:rFonts w:eastAsia="宋体"/>
                <w:color w:val="auto"/>
                <w:sz w:val="21"/>
                <w:szCs w:val="21"/>
                <w:highlight w:val="none"/>
              </w:rPr>
            </w:pPr>
          </w:p>
        </w:tc>
        <w:tc>
          <w:tcPr>
            <w:tcW w:w="969" w:type="dxa"/>
          </w:tcPr>
          <w:p>
            <w:pPr>
              <w:pStyle w:val="5"/>
              <w:adjustRightInd w:val="0"/>
              <w:snapToGrid w:val="0"/>
              <w:spacing w:before="0" w:after="0" w:line="300" w:lineRule="exact"/>
              <w:rPr>
                <w:rFonts w:eastAsia="宋体"/>
                <w:color w:val="auto"/>
                <w:sz w:val="21"/>
                <w:szCs w:val="21"/>
                <w:highlight w:val="none"/>
              </w:rPr>
            </w:pPr>
          </w:p>
        </w:tc>
        <w:tc>
          <w:tcPr>
            <w:tcW w:w="901" w:type="dxa"/>
          </w:tcPr>
          <w:p>
            <w:pPr>
              <w:pStyle w:val="5"/>
              <w:adjustRightInd w:val="0"/>
              <w:snapToGrid w:val="0"/>
              <w:spacing w:before="0" w:after="0" w:line="300" w:lineRule="exact"/>
              <w:rPr>
                <w:rFonts w:eastAsia="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30" w:hRule="atLeast"/>
        </w:trPr>
        <w:tc>
          <w:tcPr>
            <w:tcW w:w="635" w:type="dxa"/>
            <w:vAlign w:val="center"/>
          </w:tcPr>
          <w:p>
            <w:pPr>
              <w:spacing w:line="300" w:lineRule="exact"/>
              <w:jc w:val="center"/>
              <w:rPr>
                <w:color w:val="auto"/>
                <w:highlight w:val="none"/>
              </w:rPr>
            </w:pPr>
            <w:r>
              <w:rPr>
                <w:rFonts w:hint="eastAsia"/>
                <w:color w:val="auto"/>
                <w:highlight w:val="none"/>
              </w:rPr>
              <w:t>8</w:t>
            </w:r>
          </w:p>
        </w:tc>
        <w:tc>
          <w:tcPr>
            <w:tcW w:w="2258" w:type="dxa"/>
            <w:vAlign w:val="center"/>
          </w:tcPr>
          <w:p>
            <w:pPr>
              <w:spacing w:line="300" w:lineRule="exact"/>
              <w:rPr>
                <w:color w:val="auto"/>
                <w:highlight w:val="none"/>
              </w:rPr>
            </w:pPr>
            <w:r>
              <w:rPr>
                <w:rFonts w:hint="eastAsia"/>
                <w:color w:val="auto"/>
                <w:highlight w:val="none"/>
              </w:rPr>
              <w:t>投标报价</w:t>
            </w:r>
          </w:p>
        </w:tc>
        <w:tc>
          <w:tcPr>
            <w:tcW w:w="2755" w:type="dxa"/>
          </w:tcPr>
          <w:p>
            <w:pPr>
              <w:pStyle w:val="5"/>
              <w:adjustRightInd w:val="0"/>
              <w:snapToGrid w:val="0"/>
              <w:spacing w:before="0" w:after="0" w:line="300" w:lineRule="exact"/>
              <w:jc w:val="left"/>
              <w:rPr>
                <w:rFonts w:eastAsia="宋体"/>
                <w:color w:val="auto"/>
                <w:sz w:val="21"/>
                <w:szCs w:val="21"/>
                <w:highlight w:val="none"/>
              </w:rPr>
            </w:pPr>
            <w:r>
              <w:rPr>
                <w:rFonts w:hint="eastAsia" w:eastAsia="宋体"/>
                <w:color w:val="auto"/>
                <w:sz w:val="21"/>
                <w:szCs w:val="21"/>
                <w:highlight w:val="none"/>
              </w:rPr>
              <w:t>1、响应招标文件实质性要求</w:t>
            </w:r>
          </w:p>
          <w:p>
            <w:pPr>
              <w:pStyle w:val="5"/>
              <w:adjustRightInd w:val="0"/>
              <w:snapToGrid w:val="0"/>
              <w:spacing w:before="0" w:after="0" w:line="300" w:lineRule="exact"/>
              <w:jc w:val="left"/>
              <w:rPr>
                <w:rFonts w:eastAsia="宋体"/>
                <w:color w:val="auto"/>
                <w:sz w:val="21"/>
                <w:szCs w:val="21"/>
                <w:highlight w:val="none"/>
              </w:rPr>
            </w:pPr>
            <w:r>
              <w:rPr>
                <w:rFonts w:hint="eastAsia" w:eastAsia="宋体"/>
                <w:color w:val="auto"/>
                <w:sz w:val="21"/>
                <w:szCs w:val="21"/>
                <w:highlight w:val="none"/>
              </w:rPr>
              <w:t>2、无投标须知26.2所述情形</w:t>
            </w:r>
          </w:p>
        </w:tc>
        <w:tc>
          <w:tcPr>
            <w:tcW w:w="995" w:type="dxa"/>
          </w:tcPr>
          <w:p>
            <w:pPr>
              <w:pStyle w:val="5"/>
              <w:adjustRightInd w:val="0"/>
              <w:snapToGrid w:val="0"/>
              <w:spacing w:before="0" w:after="0" w:line="300" w:lineRule="exact"/>
              <w:rPr>
                <w:rFonts w:eastAsia="宋体"/>
                <w:color w:val="auto"/>
                <w:sz w:val="21"/>
                <w:szCs w:val="21"/>
                <w:highlight w:val="none"/>
              </w:rPr>
            </w:pPr>
          </w:p>
        </w:tc>
        <w:tc>
          <w:tcPr>
            <w:tcW w:w="969" w:type="dxa"/>
          </w:tcPr>
          <w:p>
            <w:pPr>
              <w:pStyle w:val="5"/>
              <w:adjustRightInd w:val="0"/>
              <w:snapToGrid w:val="0"/>
              <w:spacing w:before="0" w:after="0" w:line="300" w:lineRule="exact"/>
              <w:rPr>
                <w:rFonts w:eastAsia="宋体"/>
                <w:color w:val="auto"/>
                <w:sz w:val="21"/>
                <w:szCs w:val="21"/>
                <w:highlight w:val="none"/>
              </w:rPr>
            </w:pPr>
          </w:p>
        </w:tc>
        <w:tc>
          <w:tcPr>
            <w:tcW w:w="901" w:type="dxa"/>
          </w:tcPr>
          <w:p>
            <w:pPr>
              <w:pStyle w:val="5"/>
              <w:adjustRightInd w:val="0"/>
              <w:snapToGrid w:val="0"/>
              <w:spacing w:before="0" w:after="0" w:line="300" w:lineRule="exact"/>
              <w:rPr>
                <w:rFonts w:eastAsia="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1" w:hRule="atLeast"/>
        </w:trPr>
        <w:tc>
          <w:tcPr>
            <w:tcW w:w="5648" w:type="dxa"/>
            <w:gridSpan w:val="3"/>
            <w:vAlign w:val="center"/>
          </w:tcPr>
          <w:p>
            <w:pPr>
              <w:pStyle w:val="5"/>
              <w:adjustRightInd w:val="0"/>
              <w:snapToGrid w:val="0"/>
              <w:spacing w:before="0" w:after="0" w:line="300" w:lineRule="exact"/>
              <w:rPr>
                <w:rFonts w:eastAsia="宋体"/>
                <w:color w:val="auto"/>
                <w:sz w:val="21"/>
                <w:szCs w:val="21"/>
                <w:highlight w:val="none"/>
              </w:rPr>
            </w:pPr>
            <w:r>
              <w:rPr>
                <w:rFonts w:hint="eastAsia" w:eastAsia="宋体"/>
                <w:color w:val="auto"/>
                <w:sz w:val="21"/>
                <w:highlight w:val="none"/>
              </w:rPr>
              <w:t>结论</w:t>
            </w:r>
          </w:p>
        </w:tc>
        <w:tc>
          <w:tcPr>
            <w:tcW w:w="995" w:type="dxa"/>
          </w:tcPr>
          <w:p>
            <w:pPr>
              <w:pStyle w:val="5"/>
              <w:adjustRightInd w:val="0"/>
              <w:snapToGrid w:val="0"/>
              <w:spacing w:before="0" w:after="0" w:line="300" w:lineRule="exact"/>
              <w:rPr>
                <w:rFonts w:eastAsia="宋体"/>
                <w:color w:val="auto"/>
                <w:sz w:val="21"/>
                <w:szCs w:val="21"/>
                <w:highlight w:val="none"/>
              </w:rPr>
            </w:pPr>
          </w:p>
        </w:tc>
        <w:tc>
          <w:tcPr>
            <w:tcW w:w="969" w:type="dxa"/>
          </w:tcPr>
          <w:p>
            <w:pPr>
              <w:pStyle w:val="5"/>
              <w:adjustRightInd w:val="0"/>
              <w:snapToGrid w:val="0"/>
              <w:spacing w:before="0" w:after="0" w:line="300" w:lineRule="exact"/>
              <w:rPr>
                <w:rFonts w:eastAsia="宋体"/>
                <w:color w:val="auto"/>
                <w:sz w:val="21"/>
                <w:szCs w:val="21"/>
                <w:highlight w:val="none"/>
              </w:rPr>
            </w:pPr>
          </w:p>
        </w:tc>
        <w:tc>
          <w:tcPr>
            <w:tcW w:w="901" w:type="dxa"/>
          </w:tcPr>
          <w:p>
            <w:pPr>
              <w:pStyle w:val="5"/>
              <w:adjustRightInd w:val="0"/>
              <w:snapToGrid w:val="0"/>
              <w:spacing w:before="0" w:after="0" w:line="300" w:lineRule="exact"/>
              <w:rPr>
                <w:rFonts w:eastAsia="宋体"/>
                <w:color w:val="auto"/>
                <w:sz w:val="21"/>
                <w:szCs w:val="21"/>
                <w:highlight w:val="none"/>
              </w:rPr>
            </w:pPr>
          </w:p>
        </w:tc>
      </w:tr>
    </w:tbl>
    <w:p>
      <w:pPr>
        <w:rPr>
          <w:b/>
          <w:bCs/>
          <w:color w:val="auto"/>
          <w:highlight w:val="none"/>
        </w:rPr>
      </w:pPr>
      <w:r>
        <w:rPr>
          <w:rFonts w:hint="eastAsia"/>
          <w:b/>
          <w:bCs/>
          <w:color w:val="auto"/>
          <w:highlight w:val="none"/>
        </w:rPr>
        <w:t>填表说明：1、每项审查内容中填写“有”或“无”</w:t>
      </w:r>
    </w:p>
    <w:p>
      <w:pPr>
        <w:rPr>
          <w:b/>
          <w:bCs/>
          <w:color w:val="auto"/>
          <w:highlight w:val="none"/>
        </w:rPr>
      </w:pPr>
      <w:r>
        <w:rPr>
          <w:rFonts w:hint="eastAsia"/>
          <w:b/>
          <w:bCs/>
          <w:color w:val="auto"/>
          <w:highlight w:val="none"/>
        </w:rPr>
        <w:t xml:space="preserve">          2、结论填写“通过”或“不通过”</w:t>
      </w:r>
    </w:p>
    <w:p>
      <w:pPr>
        <w:pStyle w:val="20"/>
        <w:widowControl w:val="0"/>
        <w:snapToGrid w:val="0"/>
        <w:spacing w:before="0" w:beforeAutospacing="0" w:after="0" w:afterAutospacing="0"/>
        <w:ind w:left="5880" w:hanging="5903" w:hangingChars="2800"/>
        <w:rPr>
          <w:rFonts w:ascii="Times New Roman" w:eastAsia="仿宋_GB2312" w:cs="仿宋_GB2312"/>
          <w:b/>
          <w:color w:val="auto"/>
          <w:sz w:val="21"/>
          <w:highlight w:val="none"/>
        </w:rPr>
      </w:pPr>
    </w:p>
    <w:p>
      <w:pPr>
        <w:pStyle w:val="20"/>
        <w:widowControl w:val="0"/>
        <w:snapToGrid w:val="0"/>
        <w:spacing w:before="0" w:beforeAutospacing="0" w:after="0" w:afterAutospacing="0"/>
        <w:ind w:left="7840" w:hanging="7871" w:hangingChars="2800"/>
        <w:rPr>
          <w:rFonts w:ascii="Times New Roman" w:eastAsia="仿宋_GB2312" w:cs="仿宋_GB2312"/>
          <w:b/>
          <w:color w:val="auto"/>
          <w:sz w:val="28"/>
          <w:szCs w:val="28"/>
          <w:highlight w:val="none"/>
        </w:rPr>
      </w:pPr>
      <w:r>
        <w:rPr>
          <w:rFonts w:ascii="Times New Roman" w:eastAsia="仿宋_GB2312" w:cs="仿宋_GB2312"/>
          <w:b/>
          <w:color w:val="auto"/>
          <w:sz w:val="28"/>
          <w:szCs w:val="28"/>
          <w:highlight w:val="none"/>
        </w:rPr>
        <w:br w:type="page"/>
      </w:r>
    </w:p>
    <w:p>
      <w:pPr>
        <w:pStyle w:val="20"/>
        <w:widowControl w:val="0"/>
        <w:snapToGrid w:val="0"/>
        <w:spacing w:before="0" w:beforeAutospacing="0" w:after="0" w:afterAutospacing="0"/>
        <w:ind w:left="7840" w:hanging="7871" w:hangingChars="2800"/>
        <w:rPr>
          <w:rFonts w:ascii="Times New Roman" w:eastAsia="仿宋_GB2312" w:cs="仿宋_GB2312"/>
          <w:b/>
          <w:color w:val="auto"/>
          <w:sz w:val="28"/>
          <w:szCs w:val="28"/>
          <w:highlight w:val="none"/>
        </w:rPr>
      </w:pPr>
    </w:p>
    <w:p>
      <w:pPr>
        <w:pStyle w:val="20"/>
        <w:widowControl w:val="0"/>
        <w:snapToGrid w:val="0"/>
        <w:spacing w:before="0" w:beforeAutospacing="0" w:after="0" w:afterAutospacing="0"/>
        <w:ind w:left="7840" w:hanging="7871" w:hangingChars="2800"/>
        <w:rPr>
          <w:rFonts w:ascii="Times New Roman" w:eastAsia="仿宋_GB2312" w:cs="仿宋_GB2312"/>
          <w:b/>
          <w:color w:val="auto"/>
          <w:sz w:val="28"/>
          <w:szCs w:val="28"/>
          <w:highlight w:val="none"/>
        </w:rPr>
      </w:pPr>
    </w:p>
    <w:p>
      <w:pPr>
        <w:pStyle w:val="5"/>
        <w:adjustRightInd w:val="0"/>
        <w:snapToGrid w:val="0"/>
        <w:spacing w:before="0" w:after="0" w:line="240" w:lineRule="auto"/>
        <w:jc w:val="left"/>
        <w:rPr>
          <w:rFonts w:eastAsia="宋体" w:cs="宋体"/>
          <w:color w:val="auto"/>
          <w:highlight w:val="none"/>
        </w:rPr>
      </w:pPr>
      <w:bookmarkStart w:id="621" w:name="_Toc17433_WPSOffice_Level2"/>
      <w:r>
        <w:rPr>
          <w:rStyle w:val="36"/>
          <w:rFonts w:hint="eastAsia"/>
          <w:color w:val="auto"/>
          <w:highlight w:val="none"/>
        </w:rPr>
        <w:t>附件</w:t>
      </w:r>
      <w:r>
        <w:rPr>
          <w:rStyle w:val="36"/>
          <w:color w:val="auto"/>
          <w:highlight w:val="none"/>
        </w:rPr>
        <w:t>3</w:t>
      </w:r>
      <w:r>
        <w:rPr>
          <w:rFonts w:eastAsia="仿宋_GB2312" w:cs="仿宋_GB2312"/>
          <w:color w:val="auto"/>
          <w:szCs w:val="28"/>
          <w:highlight w:val="none"/>
        </w:rPr>
        <w:t xml:space="preserve">  </w:t>
      </w:r>
      <w:r>
        <w:rPr>
          <w:rFonts w:hint="eastAsia" w:eastAsia="仿宋_GB2312" w:cs="仿宋_GB2312"/>
          <w:color w:val="auto"/>
          <w:szCs w:val="28"/>
          <w:highlight w:val="none"/>
        </w:rPr>
        <w:t xml:space="preserve">               </w:t>
      </w:r>
      <w:r>
        <w:rPr>
          <w:rFonts w:hint="eastAsia" w:eastAsia="宋体" w:cs="宋体"/>
          <w:color w:val="auto"/>
          <w:szCs w:val="28"/>
          <w:highlight w:val="none"/>
        </w:rPr>
        <w:t xml:space="preserve">   </w:t>
      </w:r>
      <w:r>
        <w:rPr>
          <w:rFonts w:hint="eastAsia" w:eastAsia="宋体" w:cs="宋体"/>
          <w:color w:val="auto"/>
          <w:highlight w:val="none"/>
        </w:rPr>
        <w:t xml:space="preserve"> </w:t>
      </w:r>
    </w:p>
    <w:p>
      <w:pPr>
        <w:pStyle w:val="5"/>
        <w:spacing w:before="0" w:after="0"/>
        <w:rPr>
          <w:rFonts w:hint="eastAsia" w:eastAsia="黑体" w:cs="宋体"/>
          <w:color w:val="auto"/>
          <w:highlight w:val="none"/>
          <w:lang w:eastAsia="zh-CN"/>
        </w:rPr>
      </w:pPr>
      <w:r>
        <w:rPr>
          <w:rFonts w:hint="eastAsia"/>
          <w:color w:val="auto"/>
          <w:highlight w:val="none"/>
        </w:rPr>
        <w:t>评分细则</w:t>
      </w:r>
      <w:bookmarkEnd w:id="621"/>
    </w:p>
    <w:tbl>
      <w:tblPr>
        <w:tblStyle w:val="23"/>
        <w:tblW w:w="9671"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1"/>
        <w:gridCol w:w="1056"/>
        <w:gridCol w:w="992"/>
        <w:gridCol w:w="992"/>
        <w:gridCol w:w="59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85" w:hRule="atLeast"/>
          <w:jc w:val="center"/>
        </w:trPr>
        <w:tc>
          <w:tcPr>
            <w:tcW w:w="691" w:type="dxa"/>
            <w:noWrap w:val="0"/>
            <w:vAlign w:val="center"/>
          </w:tcPr>
          <w:p>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rPr>
            </w:pPr>
            <w:r>
              <w:rPr>
                <w:rFonts w:hint="eastAsia" w:ascii="宋体" w:hAnsi="宋体" w:eastAsia="宋体" w:cs="宋体"/>
                <w:spacing w:val="-10"/>
                <w:sz w:val="21"/>
                <w:szCs w:val="21"/>
              </w:rPr>
              <w:t>序号</w:t>
            </w:r>
          </w:p>
        </w:tc>
        <w:tc>
          <w:tcPr>
            <w:tcW w:w="1056" w:type="dxa"/>
            <w:noWrap w:val="0"/>
            <w:vAlign w:val="center"/>
          </w:tcPr>
          <w:p>
            <w:pPr>
              <w:pStyle w:val="50"/>
              <w:keepNext w:val="0"/>
              <w:keepLines w:val="0"/>
              <w:pageBreakBefore w:val="0"/>
              <w:kinsoku/>
              <w:wordWrap/>
              <w:overflowPunct/>
              <w:topLinePunct w:val="0"/>
              <w:bidi w:val="0"/>
              <w:adjustRightInd w:val="0"/>
              <w:snapToGrid/>
              <w:spacing w:line="240" w:lineRule="auto"/>
              <w:ind w:firstLine="0" w:firstLineChars="0"/>
              <w:jc w:val="center"/>
              <w:textAlignment w:val="auto"/>
              <w:rPr>
                <w:rFonts w:hint="eastAsia" w:ascii="宋体" w:hAnsi="宋体" w:eastAsia="宋体" w:cs="宋体"/>
                <w:spacing w:val="-10"/>
                <w:sz w:val="21"/>
                <w:szCs w:val="21"/>
              </w:rPr>
            </w:pPr>
            <w:r>
              <w:rPr>
                <w:rFonts w:hint="eastAsia" w:ascii="宋体" w:hAnsi="宋体" w:eastAsia="宋体" w:cs="宋体"/>
                <w:sz w:val="21"/>
                <w:szCs w:val="21"/>
              </w:rPr>
              <w:t>评审项目</w:t>
            </w:r>
          </w:p>
        </w:tc>
        <w:tc>
          <w:tcPr>
            <w:tcW w:w="992" w:type="dxa"/>
            <w:noWrap w:val="0"/>
            <w:vAlign w:val="center"/>
          </w:tcPr>
          <w:p>
            <w:pPr>
              <w:pStyle w:val="50"/>
              <w:keepNext w:val="0"/>
              <w:keepLines w:val="0"/>
              <w:pageBreakBefore w:val="0"/>
              <w:kinsoku/>
              <w:wordWrap/>
              <w:overflowPunct/>
              <w:topLinePunct w:val="0"/>
              <w:bidi w:val="0"/>
              <w:adjustRightInd w:val="0"/>
              <w:snapToGrid/>
              <w:spacing w:line="240" w:lineRule="auto"/>
              <w:ind w:firstLine="0" w:firstLineChars="0"/>
              <w:jc w:val="center"/>
              <w:textAlignment w:val="auto"/>
              <w:rPr>
                <w:rFonts w:hint="eastAsia" w:ascii="宋体" w:hAnsi="宋体" w:eastAsia="宋体" w:cs="宋体"/>
                <w:spacing w:val="-10"/>
                <w:sz w:val="21"/>
                <w:szCs w:val="21"/>
              </w:rPr>
            </w:pPr>
            <w:r>
              <w:rPr>
                <w:rFonts w:hint="eastAsia" w:ascii="宋体" w:hAnsi="宋体" w:eastAsia="宋体" w:cs="宋体"/>
                <w:sz w:val="21"/>
                <w:szCs w:val="21"/>
              </w:rPr>
              <w:t>分项</w:t>
            </w:r>
          </w:p>
        </w:tc>
        <w:tc>
          <w:tcPr>
            <w:tcW w:w="992" w:type="dxa"/>
            <w:noWrap w:val="0"/>
            <w:vAlign w:val="center"/>
          </w:tcPr>
          <w:p>
            <w:pPr>
              <w:pStyle w:val="50"/>
              <w:keepNext w:val="0"/>
              <w:keepLines w:val="0"/>
              <w:pageBreakBefore w:val="0"/>
              <w:kinsoku/>
              <w:wordWrap/>
              <w:overflowPunct/>
              <w:topLinePunct w:val="0"/>
              <w:bidi w:val="0"/>
              <w:adjustRightInd w:val="0"/>
              <w:snapToGrid/>
              <w:spacing w:line="240" w:lineRule="auto"/>
              <w:ind w:firstLine="0" w:firstLineChars="0"/>
              <w:jc w:val="center"/>
              <w:textAlignment w:val="auto"/>
              <w:rPr>
                <w:rFonts w:hint="eastAsia" w:ascii="宋体" w:hAnsi="宋体" w:eastAsia="宋体" w:cs="宋体"/>
                <w:spacing w:val="-10"/>
                <w:sz w:val="21"/>
                <w:szCs w:val="21"/>
              </w:rPr>
            </w:pPr>
            <w:r>
              <w:rPr>
                <w:rFonts w:hint="eastAsia" w:ascii="宋体" w:hAnsi="宋体" w:eastAsia="宋体" w:cs="宋体"/>
                <w:sz w:val="21"/>
                <w:szCs w:val="21"/>
              </w:rPr>
              <w:t>分值</w:t>
            </w:r>
          </w:p>
        </w:tc>
        <w:tc>
          <w:tcPr>
            <w:tcW w:w="5940" w:type="dxa"/>
            <w:noWrap w:val="0"/>
            <w:vAlign w:val="center"/>
          </w:tcPr>
          <w:p>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rPr>
            </w:pPr>
            <w:r>
              <w:rPr>
                <w:rFonts w:hint="eastAsia" w:ascii="宋体" w:hAnsi="宋体" w:eastAsia="宋体" w:cs="宋体"/>
                <w:spacing w:val="-10"/>
                <w:sz w:val="21"/>
                <w:szCs w:val="21"/>
              </w:rPr>
              <w:t>指标要求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55" w:hRule="atLeast"/>
          <w:jc w:val="center"/>
        </w:trPr>
        <w:tc>
          <w:tcPr>
            <w:tcW w:w="691" w:type="dxa"/>
            <w:noWrap w:val="0"/>
            <w:vAlign w:val="center"/>
          </w:tcPr>
          <w:p>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rPr>
            </w:pPr>
            <w:r>
              <w:rPr>
                <w:rFonts w:hint="eastAsia" w:ascii="宋体" w:hAnsi="宋体" w:eastAsia="宋体" w:cs="宋体"/>
                <w:spacing w:val="-10"/>
                <w:sz w:val="21"/>
                <w:szCs w:val="21"/>
              </w:rPr>
              <w:t>1</w:t>
            </w:r>
          </w:p>
        </w:tc>
        <w:tc>
          <w:tcPr>
            <w:tcW w:w="1056" w:type="dxa"/>
            <w:noWrap w:val="0"/>
            <w:vAlign w:val="center"/>
          </w:tcPr>
          <w:p>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rPr>
            </w:pPr>
            <w:r>
              <w:rPr>
                <w:rFonts w:hint="eastAsia" w:ascii="宋体" w:hAnsi="宋体" w:eastAsia="宋体" w:cs="宋体"/>
                <w:spacing w:val="-10"/>
                <w:sz w:val="21"/>
                <w:szCs w:val="21"/>
              </w:rPr>
              <w:t>响应报价（</w:t>
            </w:r>
            <w:r>
              <w:rPr>
                <w:rFonts w:hint="eastAsia" w:ascii="宋体" w:hAnsi="宋体" w:eastAsia="宋体" w:cs="宋体"/>
                <w:spacing w:val="-10"/>
                <w:sz w:val="21"/>
                <w:szCs w:val="21"/>
                <w:lang w:val="en-US" w:eastAsia="zh-CN"/>
              </w:rPr>
              <w:t>3</w:t>
            </w:r>
            <w:r>
              <w:rPr>
                <w:rFonts w:hint="eastAsia" w:ascii="宋体" w:hAnsi="宋体" w:eastAsia="宋体" w:cs="宋体"/>
                <w:spacing w:val="-10"/>
                <w:sz w:val="21"/>
                <w:szCs w:val="21"/>
              </w:rPr>
              <w:t>0分）</w:t>
            </w:r>
          </w:p>
        </w:tc>
        <w:tc>
          <w:tcPr>
            <w:tcW w:w="992" w:type="dxa"/>
            <w:noWrap w:val="0"/>
            <w:vAlign w:val="center"/>
          </w:tcPr>
          <w:p>
            <w:pPr>
              <w:keepNext w:val="0"/>
              <w:keepLines w:val="0"/>
              <w:pageBreakBefore w:val="0"/>
              <w:widowControl w:val="0"/>
              <w:kinsoku/>
              <w:wordWrap/>
              <w:overflowPunct/>
              <w:topLinePunct w:val="0"/>
              <w:bidi w:val="0"/>
              <w:snapToGrid/>
              <w:spacing w:line="240" w:lineRule="auto"/>
              <w:ind w:firstLine="0" w:firstLineChars="0"/>
              <w:textAlignment w:val="auto"/>
              <w:rPr>
                <w:rFonts w:hint="eastAsia" w:ascii="宋体" w:hAnsi="宋体" w:eastAsia="宋体" w:cs="宋体"/>
                <w:spacing w:val="-10"/>
                <w:kern w:val="2"/>
                <w:sz w:val="21"/>
                <w:szCs w:val="21"/>
                <w:lang w:val="en-US" w:eastAsia="zh-CN" w:bidi="ar-SA"/>
              </w:rPr>
            </w:pPr>
            <w:r>
              <w:rPr>
                <w:rFonts w:hint="eastAsia" w:ascii="宋体" w:hAnsi="宋体" w:eastAsia="宋体" w:cs="宋体"/>
                <w:spacing w:val="-10"/>
                <w:sz w:val="21"/>
                <w:szCs w:val="21"/>
              </w:rPr>
              <w:t>报价</w:t>
            </w:r>
          </w:p>
        </w:tc>
        <w:tc>
          <w:tcPr>
            <w:tcW w:w="992" w:type="dxa"/>
            <w:noWrap w:val="0"/>
            <w:vAlign w:val="center"/>
          </w:tcPr>
          <w:p>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lang w:val="en-US" w:eastAsia="zh-CN"/>
              </w:rPr>
            </w:pPr>
            <w:r>
              <w:rPr>
                <w:rFonts w:hint="eastAsia" w:ascii="宋体" w:hAnsi="宋体" w:eastAsia="宋体" w:cs="宋体"/>
                <w:spacing w:val="-10"/>
                <w:sz w:val="21"/>
                <w:szCs w:val="21"/>
                <w:lang w:val="en-US" w:eastAsia="zh-CN"/>
              </w:rPr>
              <w:t>30</w:t>
            </w:r>
          </w:p>
        </w:tc>
        <w:tc>
          <w:tcPr>
            <w:tcW w:w="5940" w:type="dxa"/>
            <w:noWrap w:val="0"/>
            <w:vAlign w:val="center"/>
          </w:tcPr>
          <w:p>
            <w:pPr>
              <w:keepNext w:val="0"/>
              <w:keepLines w:val="0"/>
              <w:pageBreakBefore w:val="0"/>
              <w:widowControl w:val="0"/>
              <w:kinsoku/>
              <w:wordWrap/>
              <w:overflowPunct/>
              <w:topLinePunct w:val="0"/>
              <w:bidi w:val="0"/>
              <w:snapToGrid/>
              <w:spacing w:line="240" w:lineRule="auto"/>
              <w:ind w:firstLine="0" w:firstLineChars="0"/>
              <w:textAlignment w:val="auto"/>
              <w:rPr>
                <w:rFonts w:hint="eastAsia" w:ascii="宋体" w:hAnsi="宋体" w:eastAsia="宋体" w:cs="宋体"/>
                <w:spacing w:val="-10"/>
                <w:sz w:val="21"/>
                <w:szCs w:val="21"/>
              </w:rPr>
            </w:pPr>
            <w:r>
              <w:rPr>
                <w:rFonts w:hint="eastAsia" w:ascii="宋体" w:hAnsi="宋体" w:eastAsia="宋体" w:cs="宋体"/>
                <w:spacing w:val="-10"/>
                <w:sz w:val="21"/>
                <w:szCs w:val="21"/>
              </w:rPr>
              <w:t>采用低价优先法计算，即满足</w:t>
            </w:r>
            <w:r>
              <w:rPr>
                <w:rFonts w:hint="eastAsia" w:ascii="宋体" w:hAnsi="宋体" w:eastAsia="宋体" w:cs="宋体"/>
                <w:spacing w:val="-10"/>
                <w:sz w:val="21"/>
                <w:szCs w:val="21"/>
                <w:lang w:eastAsia="zh-CN"/>
              </w:rPr>
              <w:t>招标文件</w:t>
            </w:r>
            <w:r>
              <w:rPr>
                <w:rFonts w:hint="eastAsia" w:ascii="宋体" w:hAnsi="宋体" w:eastAsia="宋体" w:cs="宋体"/>
                <w:spacing w:val="-10"/>
                <w:sz w:val="21"/>
                <w:szCs w:val="21"/>
              </w:rPr>
              <w:t>要求且响应价格最低的报价为评标基准价，其价格分为满分，其他供应商的价格分统一按照下列公式计算：响应报价得分=（评标基准价/评标价）×价格权值×100</w:t>
            </w:r>
          </w:p>
          <w:p>
            <w:pPr>
              <w:keepNext w:val="0"/>
              <w:keepLines w:val="0"/>
              <w:pageBreakBefore w:val="0"/>
              <w:widowControl w:val="0"/>
              <w:kinsoku/>
              <w:wordWrap/>
              <w:overflowPunct/>
              <w:topLinePunct w:val="0"/>
              <w:bidi w:val="0"/>
              <w:snapToGrid/>
              <w:spacing w:line="240" w:lineRule="auto"/>
              <w:ind w:firstLine="0" w:firstLineChars="0"/>
              <w:textAlignment w:val="auto"/>
              <w:rPr>
                <w:rFonts w:hint="eastAsia" w:ascii="宋体" w:hAnsi="宋体" w:eastAsia="宋体" w:cs="宋体"/>
                <w:spacing w:val="-10"/>
                <w:sz w:val="21"/>
                <w:szCs w:val="21"/>
              </w:rPr>
            </w:pPr>
            <w:r>
              <w:rPr>
                <w:rFonts w:hint="eastAsia" w:ascii="宋体" w:hAnsi="宋体" w:eastAsia="宋体" w:cs="宋体"/>
                <w:spacing w:val="-10"/>
                <w:sz w:val="21"/>
                <w:szCs w:val="21"/>
              </w:rPr>
              <w:t>注明：</w:t>
            </w:r>
            <w:r>
              <w:rPr>
                <w:rFonts w:hint="eastAsia" w:ascii="宋体" w:hAnsi="宋体" w:eastAsia="宋体" w:cs="宋体"/>
                <w:spacing w:val="-10"/>
                <w:sz w:val="21"/>
                <w:szCs w:val="21"/>
                <w:lang w:eastAsia="zh-CN"/>
              </w:rPr>
              <w:t>评标委员会</w:t>
            </w:r>
            <w:r>
              <w:rPr>
                <w:rFonts w:hint="eastAsia" w:ascii="宋体" w:hAnsi="宋体" w:eastAsia="宋体" w:cs="宋体"/>
                <w:spacing w:val="-10"/>
                <w:sz w:val="21"/>
                <w:szCs w:val="21"/>
              </w:rPr>
              <w:t>认为供应商的报价明显低于其他通过符合性审查供应商的报价，有可能影响产品质量或者不能诚信履约的，可要求其在评审现场合理的时间内提供书面说明，必要时提交相关证明材料；如不能证明其报价合理性的，</w:t>
            </w:r>
            <w:r>
              <w:rPr>
                <w:rFonts w:hint="eastAsia" w:ascii="宋体" w:hAnsi="宋体" w:eastAsia="宋体" w:cs="宋体"/>
                <w:spacing w:val="-10"/>
                <w:sz w:val="21"/>
                <w:szCs w:val="21"/>
                <w:lang w:eastAsia="zh-CN"/>
              </w:rPr>
              <w:t>评标委员会</w:t>
            </w:r>
            <w:r>
              <w:rPr>
                <w:rFonts w:hint="eastAsia" w:ascii="宋体" w:hAnsi="宋体" w:eastAsia="宋体" w:cs="宋体"/>
                <w:spacing w:val="-10"/>
                <w:sz w:val="21"/>
                <w:szCs w:val="21"/>
              </w:rPr>
              <w:t>应当将其作为响应无效处理。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08" w:hRule="atLeast"/>
          <w:jc w:val="center"/>
        </w:trPr>
        <w:tc>
          <w:tcPr>
            <w:tcW w:w="691" w:type="dxa"/>
            <w:vMerge w:val="restart"/>
            <w:noWrap w:val="0"/>
            <w:vAlign w:val="center"/>
          </w:tcPr>
          <w:p>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rPr>
            </w:pPr>
            <w:r>
              <w:rPr>
                <w:rFonts w:hint="eastAsia" w:ascii="宋体" w:hAnsi="宋体" w:eastAsia="宋体" w:cs="宋体"/>
                <w:spacing w:val="-10"/>
                <w:sz w:val="21"/>
                <w:szCs w:val="21"/>
              </w:rPr>
              <w:t>2</w:t>
            </w:r>
          </w:p>
        </w:tc>
        <w:tc>
          <w:tcPr>
            <w:tcW w:w="1056" w:type="dxa"/>
            <w:vMerge w:val="restart"/>
            <w:noWrap w:val="0"/>
            <w:vAlign w:val="center"/>
          </w:tcPr>
          <w:p>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rPr>
            </w:pPr>
            <w:r>
              <w:rPr>
                <w:rFonts w:hint="eastAsia" w:ascii="宋体" w:hAnsi="宋体" w:eastAsia="宋体" w:cs="宋体"/>
                <w:spacing w:val="-10"/>
                <w:sz w:val="21"/>
                <w:szCs w:val="21"/>
              </w:rPr>
              <w:t>商务部分（</w:t>
            </w:r>
            <w:r>
              <w:rPr>
                <w:rFonts w:hint="eastAsia" w:ascii="宋体" w:hAnsi="宋体" w:cs="宋体"/>
                <w:spacing w:val="-10"/>
                <w:sz w:val="21"/>
                <w:szCs w:val="21"/>
                <w:lang w:val="en-US" w:eastAsia="zh-CN"/>
              </w:rPr>
              <w:t>18</w:t>
            </w:r>
            <w:r>
              <w:rPr>
                <w:rFonts w:hint="eastAsia" w:ascii="宋体" w:hAnsi="宋体" w:eastAsia="宋体" w:cs="宋体"/>
                <w:spacing w:val="-10"/>
                <w:sz w:val="21"/>
                <w:szCs w:val="21"/>
              </w:rPr>
              <w:t>分）</w:t>
            </w:r>
          </w:p>
        </w:tc>
        <w:tc>
          <w:tcPr>
            <w:tcW w:w="992" w:type="dxa"/>
            <w:noWrap w:val="0"/>
            <w:vAlign w:val="center"/>
          </w:tcPr>
          <w:p>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kern w:val="2"/>
                <w:sz w:val="21"/>
                <w:szCs w:val="21"/>
                <w:lang w:val="en-US" w:eastAsia="zh-CN" w:bidi="ar-SA"/>
              </w:rPr>
            </w:pPr>
            <w:r>
              <w:rPr>
                <w:rFonts w:hint="eastAsia" w:ascii="宋体" w:hAnsi="宋体" w:eastAsia="宋体" w:cs="宋体"/>
                <w:sz w:val="21"/>
                <w:szCs w:val="21"/>
              </w:rPr>
              <w:t>售后服务</w:t>
            </w:r>
            <w:r>
              <w:rPr>
                <w:rFonts w:hint="eastAsia" w:ascii="宋体" w:hAnsi="宋体" w:eastAsia="宋体" w:cs="宋体"/>
                <w:sz w:val="21"/>
                <w:szCs w:val="21"/>
                <w:lang w:val="en-US" w:eastAsia="zh-CN"/>
              </w:rPr>
              <w:t>方案</w:t>
            </w:r>
          </w:p>
        </w:tc>
        <w:tc>
          <w:tcPr>
            <w:tcW w:w="992" w:type="dxa"/>
            <w:noWrap w:val="0"/>
            <w:vAlign w:val="center"/>
          </w:tcPr>
          <w:p>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4</w:t>
            </w:r>
          </w:p>
        </w:tc>
        <w:tc>
          <w:tcPr>
            <w:tcW w:w="5940" w:type="dxa"/>
            <w:noWrap w:val="0"/>
            <w:vAlign w:val="center"/>
          </w:tcPr>
          <w:p>
            <w:pPr>
              <w:keepNext w:val="0"/>
              <w:keepLines w:val="0"/>
              <w:pageBreakBefore w:val="0"/>
              <w:widowControl w:val="0"/>
              <w:kinsoku/>
              <w:wordWrap/>
              <w:overflowPunct/>
              <w:topLinePunct w:val="0"/>
              <w:bidi w:val="0"/>
              <w:snapToGrid/>
              <w:spacing w:line="240" w:lineRule="auto"/>
              <w:ind w:firstLine="0" w:firstLineChars="0"/>
              <w:textAlignment w:val="auto"/>
              <w:rPr>
                <w:rFonts w:hint="eastAsia" w:ascii="宋体" w:hAnsi="宋体" w:eastAsia="宋体" w:cs="宋体"/>
                <w:kern w:val="2"/>
                <w:sz w:val="21"/>
                <w:szCs w:val="21"/>
                <w:lang w:val="en-US" w:eastAsia="zh-CN" w:bidi="ar-SA"/>
              </w:rPr>
            </w:pPr>
            <w:r>
              <w:rPr>
                <w:rFonts w:hint="eastAsia" w:ascii="宋体" w:hAnsi="宋体" w:eastAsia="宋体" w:cs="宋体"/>
                <w:sz w:val="21"/>
                <w:szCs w:val="21"/>
              </w:rPr>
              <w:t>根据供应商的售后服务方案进行打分，内容包括服务方式、服务内容、服务标准</w:t>
            </w:r>
            <w:r>
              <w:rPr>
                <w:rFonts w:hint="eastAsia" w:ascii="宋体" w:hAnsi="宋体" w:eastAsia="宋体" w:cs="宋体"/>
                <w:sz w:val="21"/>
                <w:szCs w:val="21"/>
                <w:lang w:eastAsia="zh-CN"/>
              </w:rPr>
              <w:t>、</w:t>
            </w:r>
            <w:r>
              <w:rPr>
                <w:rFonts w:hint="eastAsia" w:ascii="宋体" w:hAnsi="宋体" w:eastAsia="宋体" w:cs="宋体"/>
                <w:sz w:val="21"/>
                <w:szCs w:val="21"/>
              </w:rPr>
              <w:t>时间响应程度。以上内容每具备一项且无缺陷得</w:t>
            </w:r>
            <w:r>
              <w:rPr>
                <w:rFonts w:hint="eastAsia" w:ascii="宋体" w:hAnsi="宋体" w:eastAsia="宋体" w:cs="宋体"/>
                <w:sz w:val="21"/>
                <w:szCs w:val="21"/>
                <w:lang w:val="en-US" w:eastAsia="zh-CN"/>
              </w:rPr>
              <w:t>1</w:t>
            </w:r>
            <w:r>
              <w:rPr>
                <w:rFonts w:hint="eastAsia" w:ascii="宋体" w:hAnsi="宋体" w:eastAsia="宋体" w:cs="宋体"/>
                <w:sz w:val="21"/>
                <w:szCs w:val="21"/>
              </w:rPr>
              <w:t>分，最多得</w:t>
            </w:r>
            <w:r>
              <w:rPr>
                <w:rFonts w:hint="eastAsia" w:ascii="宋体" w:hAnsi="宋体" w:eastAsia="宋体" w:cs="宋体"/>
                <w:sz w:val="21"/>
                <w:szCs w:val="21"/>
                <w:lang w:val="en-US" w:eastAsia="zh-CN"/>
              </w:rPr>
              <w:t>4</w:t>
            </w:r>
            <w:r>
              <w:rPr>
                <w:rFonts w:hint="eastAsia" w:ascii="宋体" w:hAnsi="宋体" w:eastAsia="宋体" w:cs="宋体"/>
                <w:sz w:val="21"/>
                <w:szCs w:val="21"/>
              </w:rPr>
              <w:t>分。</w:t>
            </w:r>
            <w:r>
              <w:rPr>
                <w:rFonts w:hint="eastAsia" w:ascii="宋体" w:hAnsi="宋体" w:cs="宋体"/>
                <w:sz w:val="21"/>
                <w:szCs w:val="21"/>
                <w:lang w:eastAsia="zh-CN"/>
              </w:rPr>
              <w:t>（以上缺陷是指：与本项目无关、不满足项目需求、内容前后不一致、前后逻辑错误、涉及的规范及标准错误、地点区域错误、内容缺失）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01" w:hRule="atLeast"/>
          <w:jc w:val="center"/>
        </w:trPr>
        <w:tc>
          <w:tcPr>
            <w:tcW w:w="691" w:type="dxa"/>
            <w:vMerge w:val="continue"/>
            <w:noWrap w:val="0"/>
            <w:vAlign w:val="center"/>
          </w:tcPr>
          <w:p>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rPr>
            </w:pPr>
          </w:p>
        </w:tc>
        <w:tc>
          <w:tcPr>
            <w:tcW w:w="1056" w:type="dxa"/>
            <w:vMerge w:val="continue"/>
            <w:noWrap w:val="0"/>
            <w:vAlign w:val="center"/>
          </w:tcPr>
          <w:p>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rPr>
            </w:pPr>
          </w:p>
        </w:tc>
        <w:tc>
          <w:tcPr>
            <w:tcW w:w="992" w:type="dxa"/>
            <w:noWrap w:val="0"/>
            <w:vAlign w:val="center"/>
          </w:tcPr>
          <w:p>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kern w:val="2"/>
                <w:sz w:val="21"/>
                <w:szCs w:val="21"/>
                <w:lang w:val="en-US" w:eastAsia="zh-CN" w:bidi="ar-SA"/>
              </w:rPr>
            </w:pPr>
            <w:r>
              <w:rPr>
                <w:rFonts w:hint="eastAsia" w:ascii="宋体" w:hAnsi="宋体" w:eastAsia="宋体" w:cs="宋体"/>
                <w:sz w:val="21"/>
                <w:szCs w:val="21"/>
              </w:rPr>
              <w:t>供应商实力</w:t>
            </w:r>
          </w:p>
        </w:tc>
        <w:tc>
          <w:tcPr>
            <w:tcW w:w="992" w:type="dxa"/>
            <w:noWrap w:val="0"/>
            <w:vAlign w:val="center"/>
          </w:tcPr>
          <w:p>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6</w:t>
            </w:r>
          </w:p>
        </w:tc>
        <w:tc>
          <w:tcPr>
            <w:tcW w:w="5940" w:type="dxa"/>
            <w:noWrap w:val="0"/>
            <w:vAlign w:val="center"/>
          </w:tcPr>
          <w:p>
            <w:pPr>
              <w:keepNext w:val="0"/>
              <w:keepLines w:val="0"/>
              <w:pageBreakBefore w:val="0"/>
              <w:widowControl w:val="0"/>
              <w:kinsoku/>
              <w:wordWrap/>
              <w:overflowPunct/>
              <w:topLinePunct w:val="0"/>
              <w:bidi w:val="0"/>
              <w:snapToGrid/>
              <w:spacing w:line="240" w:lineRule="auto"/>
              <w:ind w:firstLine="0" w:firstLineChars="0"/>
              <w:textAlignment w:val="auto"/>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重点考核供应商保证本项目履约能力的相关企业证书。根据供应商提供的证明，包括但不限于质量管理体系认证（ISO9001）、信息安全管理体系认证（ISO27001）、信息技术服务管理体系认证（ISO20000）等，每提供一个得2分；满分6分。（提供证书复印件，原件备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50" w:hRule="atLeast"/>
          <w:jc w:val="center"/>
        </w:trPr>
        <w:tc>
          <w:tcPr>
            <w:tcW w:w="691" w:type="dxa"/>
            <w:vMerge w:val="continue"/>
            <w:noWrap w:val="0"/>
            <w:vAlign w:val="center"/>
          </w:tcPr>
          <w:p>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rPr>
            </w:pPr>
          </w:p>
        </w:tc>
        <w:tc>
          <w:tcPr>
            <w:tcW w:w="1056" w:type="dxa"/>
            <w:vMerge w:val="continue"/>
            <w:noWrap w:val="0"/>
            <w:vAlign w:val="center"/>
          </w:tcPr>
          <w:p>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rPr>
            </w:pPr>
          </w:p>
        </w:tc>
        <w:tc>
          <w:tcPr>
            <w:tcW w:w="992" w:type="dxa"/>
            <w:noWrap w:val="0"/>
            <w:vAlign w:val="center"/>
          </w:tcPr>
          <w:p>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kern w:val="2"/>
                <w:sz w:val="21"/>
                <w:szCs w:val="21"/>
                <w:lang w:val="en-US" w:eastAsia="zh-CN" w:bidi="ar-SA"/>
              </w:rPr>
            </w:pPr>
            <w:r>
              <w:rPr>
                <w:rFonts w:hint="eastAsia" w:ascii="宋体" w:hAnsi="宋体" w:eastAsia="宋体" w:cs="宋体"/>
                <w:sz w:val="21"/>
                <w:szCs w:val="21"/>
              </w:rPr>
              <w:t>供应商类似项目业绩</w:t>
            </w:r>
          </w:p>
        </w:tc>
        <w:tc>
          <w:tcPr>
            <w:tcW w:w="992" w:type="dxa"/>
            <w:noWrap w:val="0"/>
            <w:vAlign w:val="center"/>
          </w:tcPr>
          <w:p>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6</w:t>
            </w:r>
          </w:p>
        </w:tc>
        <w:tc>
          <w:tcPr>
            <w:tcW w:w="5940" w:type="dxa"/>
            <w:noWrap w:val="0"/>
            <w:vAlign w:val="center"/>
          </w:tcPr>
          <w:p>
            <w:pPr>
              <w:keepNext w:val="0"/>
              <w:keepLines w:val="0"/>
              <w:pageBreakBefore w:val="0"/>
              <w:widowControl w:val="0"/>
              <w:kinsoku/>
              <w:wordWrap/>
              <w:overflowPunct/>
              <w:topLinePunct w:val="0"/>
              <w:bidi w:val="0"/>
              <w:snapToGrid/>
              <w:spacing w:line="240" w:lineRule="auto"/>
              <w:ind w:firstLine="0" w:firstLineChars="0"/>
              <w:textAlignment w:val="auto"/>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提供2018年1月1日之后供应商类似</w:t>
            </w:r>
            <w:r>
              <w:rPr>
                <w:rFonts w:hint="eastAsia" w:ascii="宋体" w:hAnsi="宋体" w:cs="宋体"/>
                <w:kern w:val="2"/>
                <w:sz w:val="21"/>
                <w:szCs w:val="21"/>
                <w:lang w:val="en-US" w:eastAsia="zh-CN" w:bidi="ar-SA"/>
              </w:rPr>
              <w:t>项目</w:t>
            </w:r>
            <w:r>
              <w:rPr>
                <w:rFonts w:hint="eastAsia" w:ascii="宋体" w:hAnsi="宋体" w:eastAsia="宋体" w:cs="宋体"/>
                <w:kern w:val="2"/>
                <w:sz w:val="21"/>
                <w:szCs w:val="21"/>
                <w:lang w:val="en-US" w:eastAsia="zh-CN" w:bidi="ar-SA"/>
              </w:rPr>
              <w:t>合同，以合同个数为准，每提供一个合同得2分，最多得6分。时间以签订合同时间为准。</w:t>
            </w:r>
          </w:p>
          <w:p>
            <w:pPr>
              <w:keepNext w:val="0"/>
              <w:keepLines w:val="0"/>
              <w:pageBreakBefore w:val="0"/>
              <w:widowControl w:val="0"/>
              <w:kinsoku/>
              <w:wordWrap/>
              <w:overflowPunct/>
              <w:topLinePunct w:val="0"/>
              <w:bidi w:val="0"/>
              <w:snapToGrid/>
              <w:spacing w:line="240" w:lineRule="auto"/>
              <w:ind w:firstLine="0" w:firstLineChars="0"/>
              <w:textAlignment w:val="auto"/>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提供清晰的合同扫描件装订到响应文件中，否则不予计算。（提供合同复印件，原件备查）。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50" w:hRule="atLeast"/>
          <w:jc w:val="center"/>
        </w:trPr>
        <w:tc>
          <w:tcPr>
            <w:tcW w:w="691" w:type="dxa"/>
            <w:vMerge w:val="continue"/>
            <w:noWrap w:val="0"/>
            <w:vAlign w:val="center"/>
          </w:tcPr>
          <w:p>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rPr>
            </w:pPr>
          </w:p>
        </w:tc>
        <w:tc>
          <w:tcPr>
            <w:tcW w:w="1056" w:type="dxa"/>
            <w:vMerge w:val="continue"/>
            <w:noWrap w:val="0"/>
            <w:vAlign w:val="center"/>
          </w:tcPr>
          <w:p>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rPr>
            </w:pPr>
          </w:p>
        </w:tc>
        <w:tc>
          <w:tcPr>
            <w:tcW w:w="992" w:type="dxa"/>
            <w:noWrap w:val="0"/>
            <w:vAlign w:val="center"/>
          </w:tcPr>
          <w:p>
            <w:pPr>
              <w:keepNext w:val="0"/>
              <w:keepLines w:val="0"/>
              <w:pageBreakBefore w:val="0"/>
              <w:widowControl w:val="0"/>
              <w:kinsoku/>
              <w:wordWrap/>
              <w:overflowPunct/>
              <w:topLinePunct w:val="0"/>
              <w:bidi w:val="0"/>
              <w:adjustRightInd w:val="0"/>
              <w:snapToGrid/>
              <w:spacing w:line="240" w:lineRule="auto"/>
              <w:ind w:firstLine="0" w:firstLineChars="0"/>
              <w:jc w:val="center"/>
              <w:textAlignment w:val="auto"/>
              <w:rPr>
                <w:rFonts w:hint="eastAsia" w:ascii="宋体" w:hAnsi="宋体" w:eastAsia="宋体" w:cs="宋体"/>
                <w:kern w:val="2"/>
                <w:sz w:val="21"/>
                <w:szCs w:val="21"/>
                <w:lang w:val="en-US" w:eastAsia="zh-CN" w:bidi="ar-SA"/>
              </w:rPr>
            </w:pPr>
            <w:r>
              <w:rPr>
                <w:rFonts w:hint="eastAsia" w:ascii="宋体" w:hAnsi="宋体" w:eastAsia="宋体" w:cs="宋体"/>
                <w:sz w:val="21"/>
                <w:szCs w:val="21"/>
              </w:rPr>
              <w:t>供应商资信证明</w:t>
            </w:r>
          </w:p>
        </w:tc>
        <w:tc>
          <w:tcPr>
            <w:tcW w:w="992" w:type="dxa"/>
            <w:noWrap w:val="0"/>
            <w:vAlign w:val="center"/>
          </w:tcPr>
          <w:p>
            <w:pPr>
              <w:keepNext w:val="0"/>
              <w:keepLines w:val="0"/>
              <w:pageBreakBefore w:val="0"/>
              <w:widowControl w:val="0"/>
              <w:kinsoku/>
              <w:wordWrap/>
              <w:overflowPunct/>
              <w:topLinePunct w:val="0"/>
              <w:bidi w:val="0"/>
              <w:adjustRightInd w:val="0"/>
              <w:snapToGrid/>
              <w:spacing w:line="240" w:lineRule="auto"/>
              <w:ind w:firstLine="0" w:firstLineChars="0"/>
              <w:jc w:val="center"/>
              <w:textAlignment w:val="auto"/>
              <w:rPr>
                <w:rFonts w:hint="eastAsia" w:ascii="宋体" w:hAnsi="宋体" w:eastAsia="宋体" w:cs="宋体"/>
                <w:kern w:val="2"/>
                <w:sz w:val="21"/>
                <w:szCs w:val="21"/>
                <w:lang w:val="en-US" w:eastAsia="zh-CN" w:bidi="ar-SA"/>
              </w:rPr>
            </w:pPr>
            <w:r>
              <w:rPr>
                <w:rFonts w:hint="eastAsia" w:ascii="宋体" w:hAnsi="宋体" w:cs="宋体"/>
                <w:kern w:val="2"/>
                <w:sz w:val="21"/>
                <w:szCs w:val="21"/>
                <w:lang w:val="en-US" w:eastAsia="zh-CN" w:bidi="ar-SA"/>
              </w:rPr>
              <w:t>2</w:t>
            </w:r>
          </w:p>
        </w:tc>
        <w:tc>
          <w:tcPr>
            <w:tcW w:w="5940" w:type="dxa"/>
            <w:noWrap w:val="0"/>
            <w:vAlign w:val="center"/>
          </w:tcPr>
          <w:p>
            <w:pPr>
              <w:keepNext w:val="0"/>
              <w:keepLines w:val="0"/>
              <w:pageBreakBefore w:val="0"/>
              <w:widowControl w:val="0"/>
              <w:kinsoku/>
              <w:wordWrap/>
              <w:overflowPunct/>
              <w:topLinePunct w:val="0"/>
              <w:autoSpaceDE w:val="0"/>
              <w:autoSpaceDN w:val="0"/>
              <w:bidi w:val="0"/>
              <w:adjustRightInd w:val="0"/>
              <w:snapToGrid/>
              <w:spacing w:line="240" w:lineRule="auto"/>
              <w:ind w:firstLine="0" w:firstLineChars="0"/>
              <w:textAlignment w:val="auto"/>
              <w:rPr>
                <w:rFonts w:hint="eastAsia" w:ascii="宋体" w:hAnsi="宋体" w:eastAsia="宋体" w:cs="宋体"/>
                <w:kern w:val="2"/>
                <w:sz w:val="21"/>
                <w:szCs w:val="21"/>
                <w:lang w:val="en-US" w:eastAsia="zh-CN" w:bidi="ar-SA"/>
              </w:rPr>
            </w:pPr>
            <w:r>
              <w:rPr>
                <w:rFonts w:hint="eastAsia" w:ascii="宋体" w:hAnsi="宋体" w:eastAsia="宋体" w:cs="宋体"/>
                <w:sz w:val="21"/>
                <w:szCs w:val="21"/>
              </w:rPr>
              <w:t>提供服务团队员工202</w:t>
            </w:r>
            <w:r>
              <w:rPr>
                <w:rFonts w:hint="eastAsia" w:ascii="宋体" w:hAnsi="宋体" w:eastAsia="宋体" w:cs="宋体"/>
                <w:sz w:val="21"/>
                <w:szCs w:val="21"/>
                <w:lang w:val="en-US" w:eastAsia="zh-CN"/>
              </w:rPr>
              <w:t>2</w:t>
            </w:r>
            <w:r>
              <w:rPr>
                <w:rFonts w:hint="eastAsia" w:ascii="宋体" w:hAnsi="宋体" w:eastAsia="宋体" w:cs="宋体"/>
                <w:sz w:val="21"/>
                <w:szCs w:val="21"/>
              </w:rPr>
              <w:t>年以来任意月份的社保缴纳证明得</w:t>
            </w:r>
            <w:r>
              <w:rPr>
                <w:rFonts w:hint="eastAsia" w:ascii="宋体" w:hAnsi="宋体" w:cs="宋体"/>
                <w:sz w:val="21"/>
                <w:szCs w:val="21"/>
                <w:lang w:val="en-US" w:eastAsia="zh-CN"/>
              </w:rPr>
              <w:t>2</w:t>
            </w:r>
            <w:r>
              <w:rPr>
                <w:rFonts w:hint="eastAsia" w:ascii="宋体" w:hAnsi="宋体" w:eastAsia="宋体" w:cs="宋体"/>
                <w:sz w:val="21"/>
                <w:szCs w:val="21"/>
              </w:rPr>
              <w:t>分。（提供原始缴纳凭证备查）。不提供不得分。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87" w:hRule="atLeast"/>
          <w:jc w:val="center"/>
        </w:trPr>
        <w:tc>
          <w:tcPr>
            <w:tcW w:w="691" w:type="dxa"/>
            <w:vMerge w:val="restart"/>
            <w:noWrap w:val="0"/>
            <w:vAlign w:val="center"/>
          </w:tcPr>
          <w:p>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rPr>
            </w:pPr>
            <w:r>
              <w:rPr>
                <w:rFonts w:hint="eastAsia" w:ascii="宋体" w:hAnsi="宋体" w:eastAsia="宋体" w:cs="宋体"/>
                <w:spacing w:val="-10"/>
                <w:sz w:val="21"/>
                <w:szCs w:val="21"/>
              </w:rPr>
              <w:t>3</w:t>
            </w:r>
          </w:p>
        </w:tc>
        <w:tc>
          <w:tcPr>
            <w:tcW w:w="1056" w:type="dxa"/>
            <w:vMerge w:val="restart"/>
            <w:noWrap w:val="0"/>
            <w:vAlign w:val="center"/>
          </w:tcPr>
          <w:p>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rPr>
            </w:pPr>
            <w:r>
              <w:rPr>
                <w:rFonts w:hint="eastAsia" w:ascii="宋体" w:hAnsi="宋体" w:eastAsia="宋体" w:cs="宋体"/>
                <w:spacing w:val="-10"/>
                <w:sz w:val="21"/>
                <w:szCs w:val="21"/>
              </w:rPr>
              <w:t>技术部分（</w:t>
            </w:r>
            <w:r>
              <w:rPr>
                <w:rFonts w:hint="eastAsia" w:ascii="宋体" w:hAnsi="宋体" w:cs="宋体"/>
                <w:spacing w:val="-10"/>
                <w:sz w:val="21"/>
                <w:szCs w:val="21"/>
                <w:lang w:val="en-US" w:eastAsia="zh-CN"/>
              </w:rPr>
              <w:t>52</w:t>
            </w:r>
            <w:r>
              <w:rPr>
                <w:rFonts w:hint="eastAsia" w:ascii="宋体" w:hAnsi="宋体" w:eastAsia="宋体" w:cs="宋体"/>
                <w:spacing w:val="-10"/>
                <w:sz w:val="21"/>
                <w:szCs w:val="21"/>
              </w:rPr>
              <w:t>分）</w:t>
            </w:r>
          </w:p>
        </w:tc>
        <w:tc>
          <w:tcPr>
            <w:tcW w:w="992" w:type="dxa"/>
            <w:noWrap w:val="0"/>
            <w:vAlign w:val="center"/>
          </w:tcPr>
          <w:p>
            <w:pPr>
              <w:spacing w:line="240" w:lineRule="auto"/>
              <w:jc w:val="center"/>
              <w:rPr>
                <w:rFonts w:hint="eastAsia" w:ascii="宋体" w:hAnsi="宋体" w:eastAsia="宋体" w:cs="宋体"/>
                <w:spacing w:val="-10"/>
                <w:sz w:val="21"/>
                <w:szCs w:val="21"/>
                <w:lang w:val="en-US" w:eastAsia="zh-CN"/>
              </w:rPr>
            </w:pPr>
            <w:r>
              <w:rPr>
                <w:rFonts w:hint="eastAsia" w:ascii="Times New Roman" w:hAnsi="Times New Roman" w:eastAsia="宋体" w:cs="Times New Roman"/>
                <w:szCs w:val="21"/>
              </w:rPr>
              <w:t>需求理解程度</w:t>
            </w:r>
          </w:p>
        </w:tc>
        <w:tc>
          <w:tcPr>
            <w:tcW w:w="992" w:type="dxa"/>
            <w:noWrap w:val="0"/>
            <w:vAlign w:val="center"/>
          </w:tcPr>
          <w:p>
            <w:pPr>
              <w:spacing w:line="240" w:lineRule="auto"/>
              <w:jc w:val="center"/>
              <w:rPr>
                <w:rFonts w:hint="eastAsia" w:ascii="宋体" w:hAnsi="宋体" w:eastAsia="宋体" w:cs="宋体"/>
                <w:spacing w:val="-10"/>
                <w:sz w:val="21"/>
                <w:szCs w:val="21"/>
                <w:lang w:val="en-US" w:eastAsia="zh-CN"/>
              </w:rPr>
            </w:pPr>
            <w:r>
              <w:rPr>
                <w:rFonts w:hint="eastAsia" w:ascii="Times New Roman" w:hAnsi="Times New Roman" w:eastAsia="宋体" w:cs="Times New Roman"/>
                <w:szCs w:val="21"/>
              </w:rPr>
              <w:t>9</w:t>
            </w:r>
          </w:p>
        </w:tc>
        <w:tc>
          <w:tcPr>
            <w:tcW w:w="5940" w:type="dxa"/>
            <w:noWrap w:val="0"/>
            <w:vAlign w:val="center"/>
          </w:tcPr>
          <w:p>
            <w:pPr>
              <w:spacing w:line="240" w:lineRule="auto"/>
              <w:rPr>
                <w:rFonts w:hint="eastAsia" w:ascii="宋体" w:hAnsi="宋体" w:eastAsia="宋体" w:cs="宋体"/>
                <w:sz w:val="21"/>
                <w:szCs w:val="21"/>
              </w:rPr>
            </w:pPr>
            <w:r>
              <w:rPr>
                <w:rFonts w:hint="eastAsia" w:ascii="Times New Roman" w:hAnsi="Times New Roman" w:eastAsia="宋体" w:cs="Times New Roman"/>
                <w:szCs w:val="21"/>
              </w:rPr>
              <w:t>根据供应商对本次项目系统开发需求以及本项目建设难点、要点的理解程度进行打分，内容包括对本项目硬（软）件系统的业务知识和运行掌握情况、各项功能流程、数据来源和口径描述、系统开发工作现状、相关政策理解、应急响应预案及演练服务、故障处理能力、系统和数据安全、保密运维能力。</w:t>
            </w:r>
            <w:r>
              <w:rPr>
                <w:rFonts w:hint="eastAsia" w:ascii="Times New Roman" w:hAnsi="Times New Roman" w:eastAsia="宋体" w:cs="Times New Roman"/>
                <w:szCs w:val="21"/>
                <w:lang w:eastAsia="zh-CN"/>
              </w:rPr>
              <w:t>以上内容每具备一项且无缺陷</w:t>
            </w:r>
            <w:r>
              <w:rPr>
                <w:rFonts w:hint="eastAsia" w:ascii="Times New Roman" w:hAnsi="Times New Roman" w:eastAsia="宋体" w:cs="Times New Roman"/>
                <w:szCs w:val="21"/>
              </w:rPr>
              <w:t>得1分，最多得9分。</w:t>
            </w:r>
            <w:r>
              <w:rPr>
                <w:rFonts w:hint="eastAsia" w:ascii="宋体" w:hAnsi="宋体" w:cs="宋体"/>
                <w:sz w:val="21"/>
                <w:szCs w:val="21"/>
                <w:lang w:eastAsia="zh-CN"/>
              </w:rPr>
              <w:t>（以上缺陷是指：与本项目无关、不满足项目需求、内容前后不一致、前后逻辑错误、涉及的规范及标准错误、地点区域错误、内容缺失）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680" w:hRule="atLeast"/>
          <w:jc w:val="center"/>
        </w:trPr>
        <w:tc>
          <w:tcPr>
            <w:tcW w:w="691" w:type="dxa"/>
            <w:vMerge w:val="continue"/>
            <w:noWrap w:val="0"/>
            <w:vAlign w:val="center"/>
          </w:tcPr>
          <w:p>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rPr>
            </w:pPr>
          </w:p>
        </w:tc>
        <w:tc>
          <w:tcPr>
            <w:tcW w:w="1056" w:type="dxa"/>
            <w:vMerge w:val="continue"/>
            <w:noWrap w:val="0"/>
            <w:vAlign w:val="center"/>
          </w:tcPr>
          <w:p>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rPr>
            </w:pPr>
          </w:p>
        </w:tc>
        <w:tc>
          <w:tcPr>
            <w:tcW w:w="992" w:type="dxa"/>
            <w:noWrap w:val="0"/>
            <w:vAlign w:val="center"/>
          </w:tcPr>
          <w:p>
            <w:pPr>
              <w:spacing w:line="240" w:lineRule="auto"/>
              <w:jc w:val="center"/>
              <w:rPr>
                <w:rFonts w:hint="eastAsia" w:ascii="宋体" w:hAnsi="宋体" w:eastAsia="宋体" w:cs="宋体"/>
                <w:color w:val="auto"/>
                <w:kern w:val="2"/>
                <w:sz w:val="21"/>
                <w:szCs w:val="21"/>
                <w:lang w:val="en-US" w:eastAsia="zh-CN" w:bidi="ar-SA"/>
              </w:rPr>
            </w:pPr>
            <w:r>
              <w:rPr>
                <w:rFonts w:hint="eastAsia" w:ascii="Times New Roman" w:hAnsi="Times New Roman" w:eastAsia="宋体" w:cs="Times New Roman"/>
                <w:szCs w:val="21"/>
              </w:rPr>
              <w:t>技术设计方案</w:t>
            </w:r>
          </w:p>
        </w:tc>
        <w:tc>
          <w:tcPr>
            <w:tcW w:w="992" w:type="dxa"/>
            <w:noWrap w:val="0"/>
            <w:vAlign w:val="center"/>
          </w:tcPr>
          <w:p>
            <w:pPr>
              <w:spacing w:line="240" w:lineRule="auto"/>
              <w:jc w:val="center"/>
              <w:rPr>
                <w:rFonts w:hint="eastAsia" w:ascii="宋体" w:hAnsi="宋体" w:eastAsia="宋体" w:cs="宋体"/>
                <w:color w:val="auto"/>
                <w:kern w:val="2"/>
                <w:sz w:val="21"/>
                <w:szCs w:val="21"/>
                <w:lang w:val="en-US" w:eastAsia="zh-CN" w:bidi="ar-SA"/>
              </w:rPr>
            </w:pPr>
            <w:r>
              <w:rPr>
                <w:rFonts w:hint="eastAsia" w:ascii="Times New Roman" w:hAnsi="Times New Roman" w:eastAsia="宋体" w:cs="Times New Roman"/>
                <w:szCs w:val="21"/>
              </w:rPr>
              <w:t>8</w:t>
            </w:r>
          </w:p>
        </w:tc>
        <w:tc>
          <w:tcPr>
            <w:tcW w:w="5940" w:type="dxa"/>
            <w:noWrap w:val="0"/>
            <w:vAlign w:val="center"/>
          </w:tcPr>
          <w:p>
            <w:pPr>
              <w:spacing w:line="240" w:lineRule="auto"/>
              <w:rPr>
                <w:rFonts w:hint="eastAsia" w:ascii="宋体" w:hAnsi="宋体" w:eastAsia="宋体" w:cs="宋体"/>
                <w:sz w:val="21"/>
                <w:szCs w:val="21"/>
              </w:rPr>
            </w:pPr>
            <w:r>
              <w:rPr>
                <w:rFonts w:hint="eastAsia" w:ascii="Times New Roman" w:hAnsi="Times New Roman" w:eastAsia="宋体" w:cs="Times New Roman"/>
                <w:szCs w:val="21"/>
              </w:rPr>
              <w:t>供应商应结合同类税收应用系统技术现状，提供开发架构设计、系统接口设计、数据运行和数据安全保障、系统部署设计，</w:t>
            </w:r>
            <w:r>
              <w:rPr>
                <w:rFonts w:hint="eastAsia" w:ascii="Times New Roman" w:hAnsi="Times New Roman" w:eastAsia="宋体" w:cs="Times New Roman"/>
                <w:szCs w:val="21"/>
                <w:lang w:eastAsia="zh-CN"/>
              </w:rPr>
              <w:t>以上内容每具备一项且无缺陷</w:t>
            </w:r>
            <w:r>
              <w:rPr>
                <w:rFonts w:hint="eastAsia" w:ascii="Times New Roman" w:hAnsi="Times New Roman" w:eastAsia="宋体" w:cs="Times New Roman"/>
                <w:szCs w:val="21"/>
              </w:rPr>
              <w:t>得2分，无此项响应情况不得分。满分8分。</w:t>
            </w:r>
            <w:r>
              <w:rPr>
                <w:rFonts w:hint="eastAsia" w:ascii="宋体" w:hAnsi="宋体" w:cs="宋体"/>
                <w:sz w:val="21"/>
                <w:szCs w:val="21"/>
                <w:lang w:eastAsia="zh-CN"/>
              </w:rPr>
              <w:t>（以上缺陷是指：与本项目无关、不满足项目需求、内容前后不一致、前后逻辑错误、涉及的规范及标准错误、地点区域错误、内容缺失）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jc w:val="center"/>
        </w:trPr>
        <w:tc>
          <w:tcPr>
            <w:tcW w:w="691" w:type="dxa"/>
            <w:vMerge w:val="continue"/>
            <w:noWrap w:val="0"/>
            <w:vAlign w:val="center"/>
          </w:tcPr>
          <w:p>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rPr>
            </w:pPr>
          </w:p>
        </w:tc>
        <w:tc>
          <w:tcPr>
            <w:tcW w:w="1056" w:type="dxa"/>
            <w:vMerge w:val="continue"/>
            <w:noWrap w:val="0"/>
            <w:vAlign w:val="center"/>
          </w:tcPr>
          <w:p>
            <w:pPr>
              <w:keepNext w:val="0"/>
              <w:keepLines w:val="0"/>
              <w:pageBreakBefore w:val="0"/>
              <w:widowControl w:val="0"/>
              <w:kinsoku/>
              <w:wordWrap/>
              <w:overflowPunct/>
              <w:topLinePunct w:val="0"/>
              <w:bidi w:val="0"/>
              <w:snapToGrid/>
              <w:spacing w:line="240" w:lineRule="auto"/>
              <w:ind w:firstLine="0" w:firstLineChars="0"/>
              <w:textAlignment w:val="auto"/>
              <w:rPr>
                <w:rFonts w:hint="eastAsia" w:ascii="宋体" w:hAnsi="宋体" w:eastAsia="宋体" w:cs="宋体"/>
                <w:spacing w:val="-10"/>
                <w:sz w:val="21"/>
                <w:szCs w:val="21"/>
              </w:rPr>
            </w:pPr>
          </w:p>
        </w:tc>
        <w:tc>
          <w:tcPr>
            <w:tcW w:w="992" w:type="dxa"/>
            <w:noWrap w:val="0"/>
            <w:vAlign w:val="center"/>
          </w:tcPr>
          <w:p>
            <w:pPr>
              <w:spacing w:line="240" w:lineRule="auto"/>
              <w:jc w:val="center"/>
              <w:rPr>
                <w:rFonts w:hint="eastAsia" w:ascii="宋体" w:hAnsi="宋体" w:eastAsia="宋体" w:cs="宋体"/>
                <w:color w:val="auto"/>
                <w:kern w:val="2"/>
                <w:sz w:val="21"/>
                <w:szCs w:val="21"/>
                <w:lang w:val="en-US" w:eastAsia="zh-CN" w:bidi="ar-SA"/>
              </w:rPr>
            </w:pPr>
            <w:r>
              <w:rPr>
                <w:rFonts w:hint="eastAsia" w:ascii="Times New Roman" w:hAnsi="Times New Roman" w:eastAsia="宋体" w:cs="Times New Roman"/>
                <w:szCs w:val="21"/>
              </w:rPr>
              <w:t>开发和安全服务方案</w:t>
            </w:r>
          </w:p>
        </w:tc>
        <w:tc>
          <w:tcPr>
            <w:tcW w:w="992" w:type="dxa"/>
            <w:noWrap w:val="0"/>
            <w:vAlign w:val="center"/>
          </w:tcPr>
          <w:p>
            <w:pPr>
              <w:spacing w:line="240" w:lineRule="auto"/>
              <w:jc w:val="center"/>
              <w:rPr>
                <w:rFonts w:hint="eastAsia" w:ascii="宋体" w:hAnsi="宋体" w:eastAsia="宋体" w:cs="宋体"/>
                <w:color w:val="auto"/>
                <w:kern w:val="2"/>
                <w:sz w:val="21"/>
                <w:szCs w:val="21"/>
                <w:lang w:val="en-US" w:eastAsia="zh-CN" w:bidi="ar-SA"/>
              </w:rPr>
            </w:pPr>
            <w:r>
              <w:rPr>
                <w:rFonts w:hint="eastAsia" w:ascii="Times New Roman" w:hAnsi="Times New Roman" w:eastAsia="宋体" w:cs="Times New Roman"/>
                <w:szCs w:val="21"/>
              </w:rPr>
              <w:t>7</w:t>
            </w:r>
          </w:p>
        </w:tc>
        <w:tc>
          <w:tcPr>
            <w:tcW w:w="5940" w:type="dxa"/>
            <w:noWrap w:val="0"/>
            <w:vAlign w:val="center"/>
          </w:tcPr>
          <w:p>
            <w:pPr>
              <w:spacing w:line="240" w:lineRule="auto"/>
              <w:rPr>
                <w:rFonts w:hint="eastAsia" w:ascii="宋体" w:hAnsi="宋体" w:eastAsia="宋体" w:cs="宋体"/>
                <w:sz w:val="21"/>
                <w:szCs w:val="21"/>
                <w:lang w:eastAsia="zh-CN"/>
              </w:rPr>
            </w:pPr>
            <w:r>
              <w:rPr>
                <w:rFonts w:hint="eastAsia" w:ascii="Times New Roman" w:hAnsi="Times New Roman" w:eastAsia="宋体" w:cs="Times New Roman"/>
                <w:szCs w:val="21"/>
              </w:rPr>
              <w:t>对供应商</w:t>
            </w:r>
            <w:r>
              <w:rPr>
                <w:rFonts w:hint="eastAsia" w:ascii="Times New Roman" w:hAnsi="Times New Roman" w:eastAsia="宋体" w:cs="Times New Roman"/>
                <w:szCs w:val="21"/>
                <w:lang w:eastAsia="zh-CN"/>
              </w:rPr>
              <w:t>的</w:t>
            </w:r>
            <w:r>
              <w:rPr>
                <w:rFonts w:hint="eastAsia" w:ascii="Times New Roman" w:hAnsi="Times New Roman" w:eastAsia="宋体" w:cs="Times New Roman"/>
                <w:szCs w:val="21"/>
              </w:rPr>
              <w:t>开发和安全服务方案进行评审，内容包括相关业务与技术开发的衔接、开发人员专职承诺、网络及电话远程服务、系统交互解决方式、开发过程故障的解决、监控服务、安全服务方案，</w:t>
            </w:r>
            <w:r>
              <w:rPr>
                <w:rFonts w:hint="eastAsia" w:ascii="Times New Roman" w:hAnsi="Times New Roman" w:eastAsia="宋体" w:cs="Times New Roman"/>
                <w:szCs w:val="21"/>
                <w:lang w:eastAsia="zh-CN"/>
              </w:rPr>
              <w:t>以上内容每具备一项且无缺陷</w:t>
            </w:r>
            <w:r>
              <w:rPr>
                <w:rFonts w:hint="eastAsia" w:ascii="Times New Roman" w:hAnsi="Times New Roman" w:eastAsia="宋体" w:cs="Times New Roman"/>
                <w:szCs w:val="21"/>
              </w:rPr>
              <w:t>得1分，无此项响应情况不得分。满分7分。</w:t>
            </w:r>
            <w:r>
              <w:rPr>
                <w:rFonts w:hint="eastAsia" w:ascii="宋体" w:hAnsi="宋体" w:cs="宋体"/>
                <w:sz w:val="21"/>
                <w:szCs w:val="21"/>
                <w:lang w:eastAsia="zh-CN"/>
              </w:rPr>
              <w:t>（以上缺陷是指：与本项目无关、不满足项目需求、内容前后不一致、前后逻辑错误、涉及的规范及标准错误、地点区域错误、内容缺失）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61" w:hRule="atLeast"/>
          <w:jc w:val="center"/>
        </w:trPr>
        <w:tc>
          <w:tcPr>
            <w:tcW w:w="691" w:type="dxa"/>
            <w:vMerge w:val="continue"/>
            <w:noWrap w:val="0"/>
            <w:vAlign w:val="center"/>
          </w:tcPr>
          <w:p>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rPr>
            </w:pPr>
          </w:p>
        </w:tc>
        <w:tc>
          <w:tcPr>
            <w:tcW w:w="1056" w:type="dxa"/>
            <w:vMerge w:val="continue"/>
            <w:noWrap w:val="0"/>
            <w:vAlign w:val="center"/>
          </w:tcPr>
          <w:p>
            <w:pPr>
              <w:keepNext w:val="0"/>
              <w:keepLines w:val="0"/>
              <w:pageBreakBefore w:val="0"/>
              <w:widowControl w:val="0"/>
              <w:kinsoku/>
              <w:wordWrap/>
              <w:overflowPunct/>
              <w:topLinePunct w:val="0"/>
              <w:bidi w:val="0"/>
              <w:snapToGrid/>
              <w:spacing w:line="240" w:lineRule="auto"/>
              <w:ind w:firstLine="0" w:firstLineChars="0"/>
              <w:textAlignment w:val="auto"/>
              <w:rPr>
                <w:rFonts w:hint="eastAsia" w:ascii="宋体" w:hAnsi="宋体" w:eastAsia="宋体" w:cs="宋体"/>
                <w:spacing w:val="-10"/>
                <w:sz w:val="21"/>
                <w:szCs w:val="21"/>
              </w:rPr>
            </w:pPr>
          </w:p>
        </w:tc>
        <w:tc>
          <w:tcPr>
            <w:tcW w:w="992" w:type="dxa"/>
            <w:vMerge w:val="restart"/>
            <w:noWrap w:val="0"/>
            <w:vAlign w:val="center"/>
          </w:tcPr>
          <w:p>
            <w:pPr>
              <w:spacing w:line="240" w:lineRule="auto"/>
              <w:jc w:val="center"/>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szCs w:val="21"/>
              </w:rPr>
              <w:t>技术力量投入情况</w:t>
            </w:r>
          </w:p>
        </w:tc>
        <w:tc>
          <w:tcPr>
            <w:tcW w:w="992" w:type="dxa"/>
            <w:vMerge w:val="restart"/>
            <w:noWrap w:val="0"/>
            <w:vAlign w:val="center"/>
          </w:tcPr>
          <w:p>
            <w:pPr>
              <w:spacing w:line="240" w:lineRule="auto"/>
              <w:jc w:val="center"/>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szCs w:val="21"/>
              </w:rPr>
              <w:t>12</w:t>
            </w:r>
          </w:p>
        </w:tc>
        <w:tc>
          <w:tcPr>
            <w:tcW w:w="5940" w:type="dxa"/>
            <w:noWrap w:val="0"/>
            <w:vAlign w:val="center"/>
          </w:tcPr>
          <w:p>
            <w:pPr>
              <w:spacing w:line="240" w:lineRule="auto"/>
              <w:rPr>
                <w:rFonts w:hint="eastAsia" w:ascii="Times New Roman" w:hAnsi="Times New Roman" w:eastAsia="宋体" w:cs="Times New Roman"/>
                <w:kern w:val="2"/>
                <w:sz w:val="21"/>
                <w:szCs w:val="21"/>
                <w:lang w:val="ru-RU" w:eastAsia="zh-CN" w:bidi="ar-SA"/>
              </w:rPr>
            </w:pPr>
            <w:r>
              <w:rPr>
                <w:rFonts w:hint="eastAsia" w:ascii="Times New Roman" w:hAnsi="Times New Roman" w:eastAsia="宋体" w:cs="Times New Roman"/>
                <w:szCs w:val="21"/>
              </w:rPr>
              <w:t>供应商为本项目分派专职的项目团队，项目团队具有同类项目实施经验且熟悉现有本项目系统现状得2分，不能提供不得分。须提供服务团队所有人员在本单位缴纳的社保证明并装订在响应文件中，否则不得分。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61" w:hRule="atLeast"/>
          <w:jc w:val="center"/>
        </w:trPr>
        <w:tc>
          <w:tcPr>
            <w:tcW w:w="691" w:type="dxa"/>
            <w:vMerge w:val="continue"/>
            <w:noWrap w:val="0"/>
            <w:vAlign w:val="center"/>
          </w:tcPr>
          <w:p>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rPr>
            </w:pPr>
          </w:p>
        </w:tc>
        <w:tc>
          <w:tcPr>
            <w:tcW w:w="1056" w:type="dxa"/>
            <w:vMerge w:val="continue"/>
            <w:noWrap w:val="0"/>
            <w:vAlign w:val="center"/>
          </w:tcPr>
          <w:p>
            <w:pPr>
              <w:keepNext w:val="0"/>
              <w:keepLines w:val="0"/>
              <w:pageBreakBefore w:val="0"/>
              <w:widowControl w:val="0"/>
              <w:kinsoku/>
              <w:wordWrap/>
              <w:overflowPunct/>
              <w:topLinePunct w:val="0"/>
              <w:bidi w:val="0"/>
              <w:snapToGrid/>
              <w:spacing w:line="240" w:lineRule="auto"/>
              <w:ind w:firstLine="0" w:firstLineChars="0"/>
              <w:textAlignment w:val="auto"/>
              <w:rPr>
                <w:rFonts w:hint="eastAsia" w:ascii="宋体" w:hAnsi="宋体" w:eastAsia="宋体" w:cs="宋体"/>
                <w:spacing w:val="-10"/>
                <w:sz w:val="21"/>
                <w:szCs w:val="21"/>
              </w:rPr>
            </w:pPr>
          </w:p>
        </w:tc>
        <w:tc>
          <w:tcPr>
            <w:tcW w:w="992" w:type="dxa"/>
            <w:vMerge w:val="continue"/>
            <w:noWrap w:val="0"/>
            <w:vAlign w:val="center"/>
          </w:tcPr>
          <w:p>
            <w:pPr>
              <w:keepNext w:val="0"/>
              <w:keepLines w:val="0"/>
              <w:pageBreakBefore w:val="0"/>
              <w:kinsoku/>
              <w:wordWrap/>
              <w:overflowPunct/>
              <w:topLinePunct w:val="0"/>
              <w:bidi w:val="0"/>
              <w:snapToGrid/>
              <w:spacing w:line="240" w:lineRule="auto"/>
              <w:jc w:val="center"/>
              <w:textAlignment w:val="auto"/>
              <w:rPr>
                <w:rFonts w:hint="eastAsia" w:ascii="宋体" w:hAnsi="宋体" w:eastAsia="宋体" w:cs="宋体"/>
                <w:color w:val="auto"/>
                <w:kern w:val="2"/>
                <w:sz w:val="21"/>
                <w:szCs w:val="21"/>
                <w:lang w:val="en-US" w:eastAsia="zh-CN" w:bidi="ar-SA"/>
              </w:rPr>
            </w:pPr>
          </w:p>
        </w:tc>
        <w:tc>
          <w:tcPr>
            <w:tcW w:w="992" w:type="dxa"/>
            <w:vMerge w:val="continue"/>
            <w:noWrap w:val="0"/>
            <w:vAlign w:val="center"/>
          </w:tcPr>
          <w:p>
            <w:pPr>
              <w:keepNext w:val="0"/>
              <w:keepLines w:val="0"/>
              <w:pageBreakBefore w:val="0"/>
              <w:kinsoku/>
              <w:wordWrap/>
              <w:overflowPunct/>
              <w:topLinePunct w:val="0"/>
              <w:bidi w:val="0"/>
              <w:snapToGrid/>
              <w:spacing w:line="240" w:lineRule="auto"/>
              <w:jc w:val="center"/>
              <w:textAlignment w:val="auto"/>
              <w:rPr>
                <w:rFonts w:hint="eastAsia" w:ascii="宋体" w:hAnsi="宋体" w:eastAsia="宋体" w:cs="宋体"/>
                <w:color w:val="auto"/>
                <w:kern w:val="2"/>
                <w:sz w:val="21"/>
                <w:szCs w:val="21"/>
                <w:lang w:val="en-US" w:eastAsia="zh-CN" w:bidi="ar-SA"/>
              </w:rPr>
            </w:pPr>
          </w:p>
        </w:tc>
        <w:tc>
          <w:tcPr>
            <w:tcW w:w="5940" w:type="dxa"/>
            <w:noWrap w:val="0"/>
            <w:vAlign w:val="center"/>
          </w:tcPr>
          <w:p>
            <w:pPr>
              <w:spacing w:line="240" w:lineRule="auto"/>
              <w:rPr>
                <w:rFonts w:hint="eastAsia" w:ascii="Times New Roman" w:hAnsi="Times New Roman" w:eastAsia="宋体" w:cs="Times New Roman"/>
                <w:kern w:val="2"/>
                <w:sz w:val="21"/>
                <w:szCs w:val="21"/>
                <w:lang w:val="ru-RU" w:eastAsia="zh-CN" w:bidi="ar-SA"/>
              </w:rPr>
            </w:pPr>
            <w:r>
              <w:rPr>
                <w:rFonts w:hint="eastAsia" w:ascii="Times New Roman" w:hAnsi="Times New Roman" w:eastAsia="宋体" w:cs="Times New Roman"/>
                <w:szCs w:val="21"/>
              </w:rPr>
              <w:t>参与本项目的项目团队成员中包括：系统分析师、系统架构设计师、weblogic系统管理员、UI设计师（提供证书复印件加盖公章装订在响应文件中，原件备查），每提供一类人员证书得2分，不能提供不得分，满分8分。须提供服务团队所有人员在本单位缴纳的社保证明并装订在响应文件中，否则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61" w:hRule="atLeast"/>
          <w:jc w:val="center"/>
        </w:trPr>
        <w:tc>
          <w:tcPr>
            <w:tcW w:w="691" w:type="dxa"/>
            <w:vMerge w:val="continue"/>
            <w:noWrap w:val="0"/>
            <w:vAlign w:val="center"/>
          </w:tcPr>
          <w:p>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rPr>
            </w:pPr>
          </w:p>
        </w:tc>
        <w:tc>
          <w:tcPr>
            <w:tcW w:w="1056" w:type="dxa"/>
            <w:vMerge w:val="continue"/>
            <w:noWrap w:val="0"/>
            <w:vAlign w:val="center"/>
          </w:tcPr>
          <w:p>
            <w:pPr>
              <w:keepNext w:val="0"/>
              <w:keepLines w:val="0"/>
              <w:pageBreakBefore w:val="0"/>
              <w:widowControl w:val="0"/>
              <w:kinsoku/>
              <w:wordWrap/>
              <w:overflowPunct/>
              <w:topLinePunct w:val="0"/>
              <w:bidi w:val="0"/>
              <w:snapToGrid/>
              <w:spacing w:line="240" w:lineRule="auto"/>
              <w:ind w:firstLine="0" w:firstLineChars="0"/>
              <w:textAlignment w:val="auto"/>
              <w:rPr>
                <w:rFonts w:hint="eastAsia" w:ascii="宋体" w:hAnsi="宋体" w:eastAsia="宋体" w:cs="宋体"/>
                <w:spacing w:val="-10"/>
                <w:sz w:val="21"/>
                <w:szCs w:val="21"/>
              </w:rPr>
            </w:pPr>
          </w:p>
        </w:tc>
        <w:tc>
          <w:tcPr>
            <w:tcW w:w="992" w:type="dxa"/>
            <w:vMerge w:val="continue"/>
            <w:noWrap w:val="0"/>
            <w:vAlign w:val="center"/>
          </w:tcPr>
          <w:p>
            <w:pPr>
              <w:keepNext w:val="0"/>
              <w:keepLines w:val="0"/>
              <w:pageBreakBefore w:val="0"/>
              <w:kinsoku/>
              <w:wordWrap/>
              <w:overflowPunct/>
              <w:topLinePunct w:val="0"/>
              <w:bidi w:val="0"/>
              <w:snapToGrid/>
              <w:spacing w:line="240" w:lineRule="auto"/>
              <w:jc w:val="center"/>
              <w:textAlignment w:val="auto"/>
              <w:rPr>
                <w:rFonts w:hint="eastAsia" w:ascii="宋体" w:hAnsi="宋体" w:eastAsia="宋体" w:cs="宋体"/>
                <w:color w:val="auto"/>
                <w:kern w:val="2"/>
                <w:sz w:val="21"/>
                <w:szCs w:val="21"/>
                <w:lang w:val="en-US" w:eastAsia="zh-CN" w:bidi="ar-SA"/>
              </w:rPr>
            </w:pPr>
          </w:p>
        </w:tc>
        <w:tc>
          <w:tcPr>
            <w:tcW w:w="992" w:type="dxa"/>
            <w:vMerge w:val="continue"/>
            <w:noWrap w:val="0"/>
            <w:vAlign w:val="center"/>
          </w:tcPr>
          <w:p>
            <w:pPr>
              <w:keepNext w:val="0"/>
              <w:keepLines w:val="0"/>
              <w:pageBreakBefore w:val="0"/>
              <w:kinsoku/>
              <w:wordWrap/>
              <w:overflowPunct/>
              <w:topLinePunct w:val="0"/>
              <w:bidi w:val="0"/>
              <w:snapToGrid/>
              <w:spacing w:line="240" w:lineRule="auto"/>
              <w:jc w:val="center"/>
              <w:textAlignment w:val="auto"/>
              <w:rPr>
                <w:rFonts w:hint="eastAsia" w:ascii="宋体" w:hAnsi="宋体" w:eastAsia="宋体" w:cs="宋体"/>
                <w:color w:val="auto"/>
                <w:kern w:val="2"/>
                <w:sz w:val="21"/>
                <w:szCs w:val="21"/>
                <w:lang w:val="en-US" w:eastAsia="zh-CN" w:bidi="ar-SA"/>
              </w:rPr>
            </w:pPr>
          </w:p>
        </w:tc>
        <w:tc>
          <w:tcPr>
            <w:tcW w:w="5940" w:type="dxa"/>
            <w:noWrap w:val="0"/>
            <w:vAlign w:val="center"/>
          </w:tcPr>
          <w:p>
            <w:pPr>
              <w:spacing w:line="240" w:lineRule="auto"/>
              <w:rPr>
                <w:rFonts w:hint="eastAsia" w:ascii="Times New Roman" w:hAnsi="Times New Roman" w:eastAsia="宋体" w:cs="Times New Roman"/>
                <w:kern w:val="2"/>
                <w:sz w:val="21"/>
                <w:szCs w:val="21"/>
                <w:lang w:val="ru-RU" w:eastAsia="zh-CN" w:bidi="ar-SA"/>
              </w:rPr>
            </w:pPr>
            <w:r>
              <w:rPr>
                <w:rFonts w:hint="eastAsia" w:ascii="Times New Roman" w:hAnsi="Times New Roman" w:eastAsia="宋体" w:cs="Times New Roman"/>
                <w:szCs w:val="21"/>
              </w:rPr>
              <w:t>参与本项目的项目团队成员中包括：每提供一名具有OCP或 OCM证书人员得1分（提供证书复印件加盖公章装订在响应文件中，原件备查），不提供不得分。满分2分。须提供服务团队所有人员在本单位缴纳的社保证明并装订在响应文件中，否则不得分。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61" w:hRule="atLeast"/>
          <w:jc w:val="center"/>
        </w:trPr>
        <w:tc>
          <w:tcPr>
            <w:tcW w:w="691" w:type="dxa"/>
            <w:vMerge w:val="continue"/>
            <w:noWrap w:val="0"/>
            <w:vAlign w:val="center"/>
          </w:tcPr>
          <w:p>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rPr>
            </w:pPr>
          </w:p>
        </w:tc>
        <w:tc>
          <w:tcPr>
            <w:tcW w:w="1056" w:type="dxa"/>
            <w:vMerge w:val="continue"/>
            <w:noWrap w:val="0"/>
            <w:vAlign w:val="center"/>
          </w:tcPr>
          <w:p>
            <w:pPr>
              <w:keepNext w:val="0"/>
              <w:keepLines w:val="0"/>
              <w:pageBreakBefore w:val="0"/>
              <w:widowControl w:val="0"/>
              <w:kinsoku/>
              <w:wordWrap/>
              <w:overflowPunct/>
              <w:topLinePunct w:val="0"/>
              <w:bidi w:val="0"/>
              <w:snapToGrid/>
              <w:spacing w:line="240" w:lineRule="auto"/>
              <w:ind w:firstLine="0" w:firstLineChars="0"/>
              <w:textAlignment w:val="auto"/>
              <w:rPr>
                <w:rFonts w:hint="eastAsia" w:ascii="宋体" w:hAnsi="宋体" w:eastAsia="宋体" w:cs="宋体"/>
                <w:spacing w:val="-10"/>
                <w:sz w:val="21"/>
                <w:szCs w:val="21"/>
              </w:rPr>
            </w:pPr>
          </w:p>
        </w:tc>
        <w:tc>
          <w:tcPr>
            <w:tcW w:w="992" w:type="dxa"/>
            <w:noWrap w:val="0"/>
            <w:vAlign w:val="center"/>
          </w:tcPr>
          <w:p>
            <w:pPr>
              <w:spacing w:line="240" w:lineRule="auto"/>
              <w:jc w:val="center"/>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szCs w:val="21"/>
              </w:rPr>
              <w:t>实施方案</w:t>
            </w:r>
          </w:p>
        </w:tc>
        <w:tc>
          <w:tcPr>
            <w:tcW w:w="992" w:type="dxa"/>
            <w:noWrap w:val="0"/>
            <w:vAlign w:val="center"/>
          </w:tcPr>
          <w:p>
            <w:pPr>
              <w:spacing w:line="240" w:lineRule="auto"/>
              <w:jc w:val="center"/>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szCs w:val="21"/>
              </w:rPr>
              <w:t>6</w:t>
            </w:r>
          </w:p>
        </w:tc>
        <w:tc>
          <w:tcPr>
            <w:tcW w:w="5940" w:type="dxa"/>
            <w:noWrap w:val="0"/>
            <w:vAlign w:val="center"/>
          </w:tcPr>
          <w:p>
            <w:pPr>
              <w:spacing w:line="240" w:lineRule="auto"/>
              <w:rPr>
                <w:rFonts w:hint="eastAsia" w:ascii="Times New Roman" w:hAnsi="Times New Roman" w:eastAsia="宋体" w:cs="Times New Roman"/>
                <w:kern w:val="2"/>
                <w:sz w:val="21"/>
                <w:szCs w:val="21"/>
                <w:lang w:val="ru-RU" w:eastAsia="zh-CN" w:bidi="ar-SA"/>
              </w:rPr>
            </w:pPr>
            <w:r>
              <w:rPr>
                <w:rFonts w:hint="eastAsia" w:ascii="Times New Roman" w:hAnsi="Times New Roman" w:eastAsia="宋体" w:cs="Times New Roman"/>
                <w:szCs w:val="21"/>
              </w:rPr>
              <w:t>重点考核供应商实施方案的完整性和详细性，包括项目组织、人员安排、项目进度、质量控制、服务保障体系、重大时间节点和节日开展专项应急保障工作，</w:t>
            </w:r>
            <w:r>
              <w:rPr>
                <w:rFonts w:hint="eastAsia" w:ascii="Times New Roman" w:hAnsi="Times New Roman" w:eastAsia="宋体" w:cs="Times New Roman"/>
                <w:szCs w:val="21"/>
                <w:lang w:eastAsia="zh-CN"/>
              </w:rPr>
              <w:t>以上内容每具备一项且无缺陷</w:t>
            </w:r>
            <w:r>
              <w:rPr>
                <w:rFonts w:hint="eastAsia" w:ascii="Times New Roman" w:hAnsi="Times New Roman" w:eastAsia="宋体" w:cs="Times New Roman"/>
                <w:szCs w:val="21"/>
              </w:rPr>
              <w:t>得1分，最多得6分。</w:t>
            </w:r>
            <w:r>
              <w:rPr>
                <w:rFonts w:hint="eastAsia" w:ascii="宋体" w:hAnsi="宋体" w:cs="宋体"/>
                <w:sz w:val="21"/>
                <w:szCs w:val="21"/>
                <w:lang w:eastAsia="zh-CN"/>
              </w:rPr>
              <w:t>（以上缺陷是指：与本项目无关、不满足项目需求、内容前后不一致、前后逻辑错误、涉及的规范及标准错误、地点区域错误、内容缺失）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61" w:hRule="atLeast"/>
          <w:jc w:val="center"/>
        </w:trPr>
        <w:tc>
          <w:tcPr>
            <w:tcW w:w="691" w:type="dxa"/>
            <w:vMerge w:val="continue"/>
            <w:noWrap w:val="0"/>
            <w:vAlign w:val="center"/>
          </w:tcPr>
          <w:p>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rPr>
            </w:pPr>
          </w:p>
        </w:tc>
        <w:tc>
          <w:tcPr>
            <w:tcW w:w="1056" w:type="dxa"/>
            <w:vMerge w:val="continue"/>
            <w:noWrap w:val="0"/>
            <w:vAlign w:val="center"/>
          </w:tcPr>
          <w:p>
            <w:pPr>
              <w:keepNext w:val="0"/>
              <w:keepLines w:val="0"/>
              <w:pageBreakBefore w:val="0"/>
              <w:widowControl w:val="0"/>
              <w:kinsoku/>
              <w:wordWrap/>
              <w:overflowPunct/>
              <w:topLinePunct w:val="0"/>
              <w:bidi w:val="0"/>
              <w:snapToGrid/>
              <w:spacing w:line="240" w:lineRule="auto"/>
              <w:ind w:firstLine="0" w:firstLineChars="0"/>
              <w:textAlignment w:val="auto"/>
              <w:rPr>
                <w:rFonts w:hint="eastAsia" w:ascii="宋体" w:hAnsi="宋体" w:eastAsia="宋体" w:cs="宋体"/>
                <w:spacing w:val="-10"/>
                <w:sz w:val="21"/>
                <w:szCs w:val="21"/>
              </w:rPr>
            </w:pPr>
          </w:p>
        </w:tc>
        <w:tc>
          <w:tcPr>
            <w:tcW w:w="992" w:type="dxa"/>
            <w:noWrap w:val="0"/>
            <w:vAlign w:val="center"/>
          </w:tcPr>
          <w:p>
            <w:pPr>
              <w:spacing w:line="240" w:lineRule="auto"/>
              <w:jc w:val="center"/>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szCs w:val="21"/>
                <w:lang w:eastAsia="zh-CN"/>
              </w:rPr>
              <w:t>成果移交</w:t>
            </w:r>
            <w:r>
              <w:rPr>
                <w:rFonts w:hint="eastAsia" w:ascii="Times New Roman" w:hAnsi="Times New Roman" w:eastAsia="宋体" w:cs="Times New Roman"/>
                <w:szCs w:val="21"/>
              </w:rPr>
              <w:t>方案</w:t>
            </w:r>
          </w:p>
        </w:tc>
        <w:tc>
          <w:tcPr>
            <w:tcW w:w="992" w:type="dxa"/>
            <w:noWrap w:val="0"/>
            <w:vAlign w:val="center"/>
          </w:tcPr>
          <w:p>
            <w:pPr>
              <w:spacing w:line="240" w:lineRule="auto"/>
              <w:jc w:val="center"/>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szCs w:val="21"/>
              </w:rPr>
              <w:t>6</w:t>
            </w:r>
          </w:p>
        </w:tc>
        <w:tc>
          <w:tcPr>
            <w:tcW w:w="5940" w:type="dxa"/>
            <w:noWrap w:val="0"/>
            <w:vAlign w:val="center"/>
          </w:tcPr>
          <w:p>
            <w:pPr>
              <w:spacing w:line="240" w:lineRule="auto"/>
              <w:rPr>
                <w:rFonts w:hint="eastAsia" w:ascii="Times New Roman" w:hAnsi="Times New Roman" w:eastAsia="宋体" w:cs="Times New Roman"/>
                <w:kern w:val="2"/>
                <w:sz w:val="21"/>
                <w:szCs w:val="21"/>
                <w:lang w:val="ru-RU" w:eastAsia="zh-CN" w:bidi="ar-SA"/>
              </w:rPr>
            </w:pPr>
            <w:r>
              <w:rPr>
                <w:rFonts w:hint="eastAsia" w:ascii="Times New Roman" w:hAnsi="Times New Roman" w:eastAsia="宋体" w:cs="Times New Roman"/>
                <w:szCs w:val="21"/>
              </w:rPr>
              <w:t>根据供应商提供的</w:t>
            </w:r>
            <w:r>
              <w:rPr>
                <w:rFonts w:hint="eastAsia" w:ascii="Times New Roman" w:hAnsi="Times New Roman" w:eastAsia="宋体" w:cs="Times New Roman"/>
                <w:szCs w:val="21"/>
                <w:lang w:eastAsia="zh-CN"/>
              </w:rPr>
              <w:t>成果移交</w:t>
            </w:r>
            <w:r>
              <w:rPr>
                <w:rFonts w:hint="eastAsia" w:ascii="Times New Roman" w:hAnsi="Times New Roman" w:eastAsia="宋体" w:cs="Times New Roman"/>
                <w:szCs w:val="21"/>
              </w:rPr>
              <w:t>方案，重点考核供应商为本项目提供的</w:t>
            </w:r>
            <w:r>
              <w:rPr>
                <w:rFonts w:hint="eastAsia" w:ascii="Times New Roman" w:hAnsi="Times New Roman" w:eastAsia="宋体" w:cs="Times New Roman"/>
                <w:szCs w:val="21"/>
                <w:lang w:eastAsia="zh-CN"/>
              </w:rPr>
              <w:t>成果移交</w:t>
            </w:r>
            <w:r>
              <w:rPr>
                <w:rFonts w:hint="eastAsia" w:ascii="Times New Roman" w:hAnsi="Times New Roman" w:eastAsia="宋体" w:cs="Times New Roman"/>
                <w:szCs w:val="21"/>
              </w:rPr>
              <w:t>方案，包括开发过程档案管理；技术成果移交；最终交付物使用说明；</w:t>
            </w:r>
            <w:r>
              <w:rPr>
                <w:rFonts w:hint="eastAsia" w:ascii="Times New Roman" w:hAnsi="Times New Roman" w:eastAsia="宋体" w:cs="Times New Roman"/>
                <w:szCs w:val="21"/>
                <w:lang w:eastAsia="zh-CN"/>
              </w:rPr>
              <w:t>系统运维保障管理；</w:t>
            </w:r>
            <w:r>
              <w:rPr>
                <w:rFonts w:hint="eastAsia" w:ascii="Times New Roman" w:hAnsi="Times New Roman" w:eastAsia="宋体" w:cs="Times New Roman"/>
                <w:szCs w:val="21"/>
              </w:rPr>
              <w:t>一般故障处理；各项档案建立、分类、归档、移交流程，</w:t>
            </w:r>
            <w:r>
              <w:rPr>
                <w:rFonts w:hint="eastAsia" w:ascii="Times New Roman" w:hAnsi="Times New Roman" w:eastAsia="宋体" w:cs="Times New Roman"/>
                <w:szCs w:val="21"/>
                <w:lang w:eastAsia="zh-CN"/>
              </w:rPr>
              <w:t>以上内容每具备一项且无缺陷</w:t>
            </w:r>
            <w:r>
              <w:rPr>
                <w:rFonts w:hint="eastAsia" w:ascii="Times New Roman" w:hAnsi="Times New Roman" w:eastAsia="宋体" w:cs="Times New Roman"/>
                <w:szCs w:val="21"/>
              </w:rPr>
              <w:t>得1分，最多得6分。无此项响应情况不得分。</w:t>
            </w:r>
            <w:r>
              <w:rPr>
                <w:rFonts w:hint="eastAsia" w:ascii="宋体" w:hAnsi="宋体" w:cs="宋体"/>
                <w:sz w:val="21"/>
                <w:szCs w:val="21"/>
                <w:lang w:eastAsia="zh-CN"/>
              </w:rPr>
              <w:t>（以上缺陷是指：与本项目无关、不满足项目需求、内容前后不一致、前后逻辑错误、涉及的规范及标准错误、地点区域错误、内容缺失）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5" w:hRule="atLeast"/>
          <w:jc w:val="center"/>
        </w:trPr>
        <w:tc>
          <w:tcPr>
            <w:tcW w:w="691" w:type="dxa"/>
            <w:vMerge w:val="continue"/>
            <w:noWrap w:val="0"/>
            <w:vAlign w:val="center"/>
          </w:tcPr>
          <w:p>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rPr>
            </w:pPr>
          </w:p>
        </w:tc>
        <w:tc>
          <w:tcPr>
            <w:tcW w:w="1056" w:type="dxa"/>
            <w:vMerge w:val="continue"/>
            <w:noWrap w:val="0"/>
            <w:vAlign w:val="center"/>
          </w:tcPr>
          <w:p>
            <w:pPr>
              <w:keepNext w:val="0"/>
              <w:keepLines w:val="0"/>
              <w:pageBreakBefore w:val="0"/>
              <w:widowControl w:val="0"/>
              <w:kinsoku/>
              <w:wordWrap/>
              <w:overflowPunct/>
              <w:topLinePunct w:val="0"/>
              <w:bidi w:val="0"/>
              <w:snapToGrid/>
              <w:spacing w:line="240" w:lineRule="auto"/>
              <w:ind w:firstLine="0" w:firstLineChars="0"/>
              <w:textAlignment w:val="auto"/>
              <w:rPr>
                <w:rFonts w:hint="eastAsia" w:ascii="宋体" w:hAnsi="宋体" w:eastAsia="宋体" w:cs="宋体"/>
                <w:spacing w:val="-10"/>
                <w:sz w:val="21"/>
                <w:szCs w:val="21"/>
              </w:rPr>
            </w:pPr>
          </w:p>
        </w:tc>
        <w:tc>
          <w:tcPr>
            <w:tcW w:w="992" w:type="dxa"/>
            <w:noWrap w:val="0"/>
            <w:vAlign w:val="center"/>
          </w:tcPr>
          <w:p>
            <w:pPr>
              <w:spacing w:line="240" w:lineRule="auto"/>
              <w:jc w:val="center"/>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szCs w:val="21"/>
              </w:rPr>
              <w:t>培训服务方案</w:t>
            </w:r>
          </w:p>
        </w:tc>
        <w:tc>
          <w:tcPr>
            <w:tcW w:w="992" w:type="dxa"/>
            <w:noWrap w:val="0"/>
            <w:vAlign w:val="center"/>
          </w:tcPr>
          <w:p>
            <w:pPr>
              <w:spacing w:line="240" w:lineRule="auto"/>
              <w:jc w:val="center"/>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szCs w:val="21"/>
              </w:rPr>
              <w:t>4</w:t>
            </w:r>
          </w:p>
        </w:tc>
        <w:tc>
          <w:tcPr>
            <w:tcW w:w="5940" w:type="dxa"/>
            <w:noWrap w:val="0"/>
            <w:vAlign w:val="center"/>
          </w:tcPr>
          <w:p>
            <w:pPr>
              <w:spacing w:line="240" w:lineRule="auto"/>
              <w:rPr>
                <w:rFonts w:hint="eastAsia" w:ascii="Times New Roman" w:hAnsi="Times New Roman" w:eastAsia="宋体" w:cs="Times New Roman"/>
                <w:kern w:val="2"/>
                <w:sz w:val="21"/>
                <w:szCs w:val="21"/>
                <w:lang w:val="ru-RU" w:eastAsia="zh-CN" w:bidi="ar-SA"/>
              </w:rPr>
            </w:pPr>
            <w:r>
              <w:rPr>
                <w:rFonts w:hint="eastAsia" w:ascii="Times New Roman" w:hAnsi="Times New Roman" w:eastAsia="宋体" w:cs="Times New Roman"/>
                <w:szCs w:val="21"/>
              </w:rPr>
              <w:t>重点考核供应商提供的培训服务方案的针对性和时效性，内容包括培训师资水平、培训课程设置、培训讲义内容、本地化培训设施等。</w:t>
            </w:r>
            <w:r>
              <w:rPr>
                <w:rFonts w:hint="eastAsia" w:ascii="Times New Roman" w:hAnsi="Times New Roman" w:eastAsia="宋体" w:cs="Times New Roman"/>
                <w:szCs w:val="21"/>
                <w:lang w:eastAsia="zh-CN"/>
              </w:rPr>
              <w:t>以上内容每具备一项且无缺陷</w:t>
            </w:r>
            <w:r>
              <w:rPr>
                <w:rFonts w:hint="eastAsia" w:ascii="Times New Roman" w:hAnsi="Times New Roman" w:eastAsia="宋体" w:cs="Times New Roman"/>
                <w:szCs w:val="21"/>
              </w:rPr>
              <w:t>得1分，最多得4分。无此项响应情况不得分。</w:t>
            </w:r>
            <w:r>
              <w:rPr>
                <w:rFonts w:hint="eastAsia" w:ascii="宋体" w:hAnsi="宋体" w:cs="宋体"/>
                <w:sz w:val="21"/>
                <w:szCs w:val="21"/>
                <w:lang w:eastAsia="zh-CN"/>
              </w:rPr>
              <w:t>（以上缺陷是指：与本项目无关、不满足项目需求、内容前后不一致、前后逻辑错误、涉及的规范及标准错误、地点区域错误、内容缺失）</w:t>
            </w:r>
          </w:p>
        </w:tc>
      </w:tr>
    </w:tbl>
    <w:p>
      <w:pPr>
        <w:pStyle w:val="29"/>
        <w:ind w:firstLine="420"/>
        <w:rPr>
          <w:color w:val="auto"/>
          <w:highlight w:val="none"/>
        </w:rPr>
      </w:pPr>
    </w:p>
    <w:p>
      <w:pPr>
        <w:wordWrap w:val="0"/>
        <w:adjustRightInd w:val="0"/>
        <w:snapToGrid w:val="0"/>
        <w:jc w:val="right"/>
        <w:rPr>
          <w:rFonts w:eastAsia="仿宋_GB2312" w:cs="仿宋_GB2312"/>
          <w:color w:val="auto"/>
          <w:highlight w:val="none"/>
        </w:rPr>
      </w:pPr>
      <w:r>
        <w:rPr>
          <w:rFonts w:hint="eastAsia" w:eastAsia="仿宋_GB2312" w:cs="仿宋_GB2312"/>
          <w:color w:val="auto"/>
          <w:highlight w:val="none"/>
        </w:rPr>
        <w:br w:type="page"/>
      </w:r>
    </w:p>
    <w:p>
      <w:pPr>
        <w:rPr>
          <w:color w:val="auto"/>
          <w:highlight w:val="none"/>
        </w:rPr>
      </w:pPr>
      <w:bookmarkStart w:id="622" w:name="_Toc25922_WPSOffice_Level1"/>
    </w:p>
    <w:p>
      <w:pPr>
        <w:rPr>
          <w:color w:val="auto"/>
          <w:highlight w:val="none"/>
        </w:rPr>
      </w:pPr>
    </w:p>
    <w:p>
      <w:pPr>
        <w:rPr>
          <w:color w:val="auto"/>
          <w:highlight w:val="none"/>
        </w:rPr>
      </w:pPr>
    </w:p>
    <w:p>
      <w:pPr>
        <w:rPr>
          <w:color w:val="auto"/>
          <w:highlight w:val="none"/>
        </w:rPr>
      </w:pPr>
    </w:p>
    <w:p>
      <w:pPr>
        <w:rPr>
          <w:color w:val="auto"/>
          <w:highlight w:val="none"/>
        </w:rPr>
      </w:pPr>
    </w:p>
    <w:p>
      <w:pPr>
        <w:rPr>
          <w:color w:val="auto"/>
          <w:highlight w:val="none"/>
        </w:rPr>
      </w:pPr>
    </w:p>
    <w:p>
      <w:pPr>
        <w:rPr>
          <w:color w:val="auto"/>
          <w:highlight w:val="none"/>
        </w:rPr>
      </w:pPr>
    </w:p>
    <w:p>
      <w:pPr>
        <w:rPr>
          <w:color w:val="auto"/>
          <w:highlight w:val="none"/>
        </w:rPr>
      </w:pPr>
    </w:p>
    <w:p>
      <w:pPr>
        <w:rPr>
          <w:color w:val="auto"/>
          <w:highlight w:val="none"/>
        </w:rPr>
      </w:pPr>
    </w:p>
    <w:p>
      <w:pPr>
        <w:rPr>
          <w:color w:val="auto"/>
          <w:highlight w:val="none"/>
        </w:rPr>
      </w:pPr>
    </w:p>
    <w:p>
      <w:pPr>
        <w:rPr>
          <w:color w:val="auto"/>
          <w:highlight w:val="none"/>
        </w:rPr>
      </w:pPr>
    </w:p>
    <w:p>
      <w:pPr>
        <w:rPr>
          <w:color w:val="auto"/>
          <w:highlight w:val="none"/>
        </w:rPr>
      </w:pPr>
    </w:p>
    <w:p>
      <w:pPr>
        <w:pStyle w:val="4"/>
        <w:rPr>
          <w:rFonts w:eastAsia="宋体" w:cs="宋体"/>
          <w:color w:val="auto"/>
          <w:highlight w:val="none"/>
        </w:rPr>
      </w:pPr>
      <w:bookmarkStart w:id="623" w:name="_Toc78902195"/>
      <w:bookmarkStart w:id="624" w:name="_Toc25807"/>
      <w:r>
        <w:rPr>
          <w:rFonts w:hint="eastAsia"/>
          <w:color w:val="auto"/>
          <w:highlight w:val="none"/>
        </w:rPr>
        <w:t>第五章 政府采购合同条款</w:t>
      </w:r>
      <w:bookmarkEnd w:id="622"/>
      <w:r>
        <w:rPr>
          <w:rFonts w:hint="eastAsia"/>
          <w:color w:val="auto"/>
          <w:highlight w:val="none"/>
        </w:rPr>
        <w:t>及格式</w:t>
      </w:r>
      <w:bookmarkEnd w:id="623"/>
      <w:bookmarkEnd w:id="624"/>
    </w:p>
    <w:p>
      <w:pPr>
        <w:rPr>
          <w:b/>
          <w:color w:val="auto"/>
          <w:sz w:val="36"/>
          <w:highlight w:val="none"/>
        </w:rPr>
      </w:pPr>
      <w:r>
        <w:rPr>
          <w:rFonts w:hint="eastAsia" w:cs="宋体"/>
          <w:color w:val="auto"/>
          <w:highlight w:val="none"/>
        </w:rPr>
        <w:br w:type="page"/>
      </w:r>
    </w:p>
    <w:p>
      <w:pPr>
        <w:rPr>
          <w:rFonts w:hint="eastAsia"/>
          <w:b/>
          <w:color w:val="000000"/>
          <w:sz w:val="36"/>
        </w:rPr>
      </w:pPr>
    </w:p>
    <w:p>
      <w:pPr>
        <w:rPr>
          <w:rFonts w:hint="eastAsia"/>
          <w:b/>
          <w:sz w:val="52"/>
        </w:rPr>
      </w:pPr>
    </w:p>
    <w:p>
      <w:pPr>
        <w:rPr>
          <w:rFonts w:hint="eastAsia"/>
          <w:b/>
          <w:sz w:val="52"/>
        </w:rPr>
      </w:pPr>
    </w:p>
    <w:p>
      <w:pPr>
        <w:spacing w:line="600" w:lineRule="auto"/>
        <w:jc w:val="center"/>
        <w:rPr>
          <w:rFonts w:hint="eastAsia"/>
          <w:b/>
          <w:sz w:val="48"/>
        </w:rPr>
      </w:pPr>
      <w:r>
        <w:rPr>
          <w:rFonts w:hint="eastAsia"/>
          <w:b/>
          <w:sz w:val="48"/>
        </w:rPr>
        <w:t>国家税务总局黑龙江省税务局</w:t>
      </w:r>
    </w:p>
    <w:p>
      <w:pPr>
        <w:spacing w:line="600" w:lineRule="auto"/>
        <w:jc w:val="center"/>
        <w:rPr>
          <w:rFonts w:hint="eastAsia"/>
          <w:b/>
          <w:sz w:val="48"/>
        </w:rPr>
      </w:pPr>
      <w:r>
        <w:rPr>
          <w:rFonts w:hint="eastAsia"/>
          <w:b/>
          <w:sz w:val="48"/>
        </w:rPr>
        <w:t>(项目名称)政府采购合同</w:t>
      </w:r>
    </w:p>
    <w:p>
      <w:pPr>
        <w:jc w:val="center"/>
        <w:rPr>
          <w:rFonts w:hint="eastAsia"/>
          <w:b/>
          <w:sz w:val="48"/>
        </w:rPr>
      </w:pPr>
    </w:p>
    <w:p>
      <w:pPr>
        <w:jc w:val="center"/>
        <w:rPr>
          <w:rFonts w:hint="eastAsia"/>
          <w:b/>
          <w:sz w:val="48"/>
        </w:rPr>
      </w:pPr>
    </w:p>
    <w:p>
      <w:pPr>
        <w:jc w:val="center"/>
        <w:rPr>
          <w:rFonts w:hint="eastAsia"/>
          <w:b/>
          <w:sz w:val="48"/>
        </w:rPr>
      </w:pPr>
    </w:p>
    <w:p>
      <w:pPr>
        <w:jc w:val="center"/>
        <w:rPr>
          <w:rFonts w:hint="eastAsia"/>
          <w:b/>
          <w:sz w:val="48"/>
        </w:rPr>
      </w:pPr>
    </w:p>
    <w:p>
      <w:pPr>
        <w:jc w:val="center"/>
        <w:rPr>
          <w:rFonts w:hint="eastAsia"/>
          <w:b/>
          <w:sz w:val="48"/>
        </w:rPr>
      </w:pPr>
    </w:p>
    <w:p>
      <w:pPr>
        <w:jc w:val="center"/>
        <w:rPr>
          <w:rFonts w:hint="eastAsia"/>
          <w:b/>
          <w:sz w:val="48"/>
        </w:rPr>
      </w:pPr>
    </w:p>
    <w:p>
      <w:pPr>
        <w:jc w:val="center"/>
        <w:rPr>
          <w:b/>
          <w:sz w:val="48"/>
        </w:rPr>
      </w:pPr>
    </w:p>
    <w:p>
      <w:pPr>
        <w:spacing w:line="360" w:lineRule="auto"/>
        <w:ind w:firstLine="1405" w:firstLineChars="500"/>
        <w:rPr>
          <w:rFonts w:hint="eastAsia" w:ascii="宋体" w:hAnsi="宋体"/>
          <w:b/>
          <w:bCs/>
          <w:sz w:val="28"/>
          <w:szCs w:val="28"/>
          <w:u w:val="single"/>
        </w:rPr>
      </w:pPr>
      <w:r>
        <w:rPr>
          <w:rFonts w:hint="eastAsia" w:ascii="宋体" w:hAnsi="宋体"/>
          <w:b/>
          <w:bCs/>
          <w:sz w:val="28"/>
          <w:szCs w:val="28"/>
        </w:rPr>
        <w:t>合同编号：</w:t>
      </w:r>
      <w:r>
        <w:rPr>
          <w:rFonts w:hint="eastAsia" w:ascii="宋体" w:hAnsi="宋体"/>
          <w:b/>
          <w:bCs/>
          <w:sz w:val="28"/>
          <w:szCs w:val="28"/>
          <w:u w:val="single"/>
        </w:rPr>
        <w:t>（招标编号）</w:t>
      </w:r>
    </w:p>
    <w:p>
      <w:pPr>
        <w:spacing w:line="360" w:lineRule="auto"/>
        <w:ind w:firstLine="1405" w:firstLineChars="500"/>
        <w:rPr>
          <w:rFonts w:hint="eastAsia" w:ascii="宋体" w:hAnsi="宋体"/>
          <w:b/>
          <w:bCs/>
          <w:sz w:val="28"/>
          <w:szCs w:val="28"/>
        </w:rPr>
      </w:pPr>
      <w:r>
        <w:rPr>
          <w:rFonts w:hint="eastAsia" w:ascii="宋体" w:hAnsi="宋体"/>
          <w:b/>
          <w:bCs/>
          <w:sz w:val="28"/>
          <w:szCs w:val="28"/>
        </w:rPr>
        <w:t>甲</w:t>
      </w:r>
      <w:r>
        <w:rPr>
          <w:rFonts w:ascii="宋体" w:hAnsi="宋体"/>
          <w:b/>
          <w:bCs/>
          <w:sz w:val="28"/>
          <w:szCs w:val="28"/>
        </w:rPr>
        <w:t xml:space="preserve">    </w:t>
      </w:r>
      <w:r>
        <w:rPr>
          <w:rFonts w:hint="eastAsia" w:ascii="宋体" w:hAnsi="宋体"/>
          <w:b/>
          <w:bCs/>
          <w:sz w:val="28"/>
          <w:szCs w:val="28"/>
        </w:rPr>
        <w:t>方：</w:t>
      </w:r>
      <w:r>
        <w:rPr>
          <w:rFonts w:hint="eastAsia"/>
          <w:b/>
          <w:sz w:val="28"/>
        </w:rPr>
        <w:t>【</w:t>
      </w:r>
      <w:r>
        <w:rPr>
          <w:rFonts w:hint="eastAsia" w:ascii="宋体" w:hAnsi="宋体"/>
          <w:b/>
          <w:bCs/>
          <w:sz w:val="28"/>
          <w:szCs w:val="28"/>
        </w:rPr>
        <w:t>国家税务总局黑龙江省税务局</w:t>
      </w:r>
      <w:r>
        <w:rPr>
          <w:rFonts w:hint="eastAsia"/>
          <w:b/>
          <w:sz w:val="28"/>
        </w:rPr>
        <w:t>】</w:t>
      </w:r>
      <w:r>
        <w:rPr>
          <w:rFonts w:hint="eastAsia" w:ascii="宋体" w:hAnsi="宋体"/>
          <w:b/>
          <w:bCs/>
          <w:sz w:val="28"/>
          <w:szCs w:val="28"/>
        </w:rPr>
        <w:t xml:space="preserve">                        </w:t>
      </w:r>
    </w:p>
    <w:p>
      <w:pPr>
        <w:spacing w:line="360" w:lineRule="auto"/>
        <w:ind w:firstLine="1405" w:firstLineChars="500"/>
        <w:rPr>
          <w:rFonts w:hint="eastAsia"/>
          <w:b/>
          <w:sz w:val="28"/>
        </w:rPr>
      </w:pPr>
      <w:r>
        <w:rPr>
          <w:rFonts w:hint="eastAsia" w:ascii="宋体" w:hAnsi="宋体"/>
          <w:b/>
          <w:bCs/>
          <w:sz w:val="28"/>
          <w:szCs w:val="28"/>
        </w:rPr>
        <w:t>乙</w:t>
      </w:r>
      <w:r>
        <w:rPr>
          <w:rFonts w:ascii="宋体" w:hAnsi="宋体"/>
          <w:b/>
          <w:bCs/>
          <w:sz w:val="28"/>
          <w:szCs w:val="28"/>
        </w:rPr>
        <w:t xml:space="preserve">    </w:t>
      </w:r>
      <w:r>
        <w:rPr>
          <w:rFonts w:hint="eastAsia" w:ascii="宋体" w:hAnsi="宋体"/>
          <w:b/>
          <w:bCs/>
          <w:sz w:val="28"/>
          <w:szCs w:val="28"/>
        </w:rPr>
        <w:t>方：</w:t>
      </w:r>
      <w:r>
        <w:rPr>
          <w:rFonts w:hint="eastAsia"/>
          <w:b/>
          <w:sz w:val="28"/>
        </w:rPr>
        <w:t>【                    】</w:t>
      </w:r>
    </w:p>
    <w:p>
      <w:pPr>
        <w:spacing w:line="360" w:lineRule="auto"/>
        <w:ind w:firstLine="1405" w:firstLineChars="500"/>
        <w:rPr>
          <w:rFonts w:hint="eastAsia" w:ascii="宋体" w:hAnsi="宋体"/>
          <w:b/>
          <w:bCs/>
          <w:sz w:val="28"/>
          <w:szCs w:val="28"/>
        </w:rPr>
      </w:pPr>
      <w:r>
        <w:rPr>
          <w:rFonts w:hint="eastAsia" w:ascii="宋体" w:hAnsi="宋体"/>
          <w:b/>
          <w:bCs/>
          <w:sz w:val="28"/>
          <w:szCs w:val="28"/>
        </w:rPr>
        <w:t>签订日期：20  年   月   日</w:t>
      </w:r>
    </w:p>
    <w:p>
      <w:pPr>
        <w:pStyle w:val="29"/>
        <w:ind w:firstLine="420"/>
      </w:pPr>
      <w:r>
        <w:br w:type="page"/>
      </w:r>
    </w:p>
    <w:p>
      <w:pPr>
        <w:rPr>
          <w:rFonts w:ascii="宋体" w:hAnsi="宋体"/>
          <w:i/>
          <w:sz w:val="24"/>
        </w:rPr>
      </w:pPr>
      <w:r>
        <w:rPr>
          <w:rFonts w:hint="eastAsia" w:ascii="宋体" w:hAnsi="宋体"/>
          <w:sz w:val="24"/>
        </w:rPr>
        <w:t>甲方：【国家税务总局黑龙江省税务局】</w:t>
      </w:r>
    </w:p>
    <w:p>
      <w:pPr>
        <w:rPr>
          <w:rFonts w:ascii="宋体" w:hAnsi="宋体"/>
          <w:sz w:val="24"/>
        </w:rPr>
      </w:pPr>
    </w:p>
    <w:p>
      <w:pPr>
        <w:rPr>
          <w:rFonts w:ascii="宋体" w:hAnsi="宋体"/>
          <w:sz w:val="24"/>
        </w:rPr>
      </w:pPr>
      <w:r>
        <w:rPr>
          <w:rFonts w:hint="eastAsia" w:ascii="宋体" w:hAnsi="宋体"/>
          <w:sz w:val="24"/>
        </w:rPr>
        <w:t>乙方：【                】</w:t>
      </w:r>
    </w:p>
    <w:p>
      <w:pPr>
        <w:rPr>
          <w:rFonts w:ascii="宋体" w:hAnsi="宋体"/>
          <w:sz w:val="24"/>
        </w:rPr>
      </w:pPr>
    </w:p>
    <w:p>
      <w:pPr>
        <w:spacing w:line="432" w:lineRule="auto"/>
        <w:ind w:firstLine="480" w:firstLineChars="200"/>
        <w:rPr>
          <w:rFonts w:ascii="宋体" w:hAnsi="宋体"/>
          <w:sz w:val="24"/>
        </w:rPr>
      </w:pPr>
      <w:r>
        <w:rPr>
          <w:rFonts w:hint="eastAsia" w:ascii="宋体" w:hAnsi="宋体"/>
          <w:sz w:val="24"/>
        </w:rPr>
        <w:t>国家税务总局黑龙江省税务局组织的</w:t>
      </w:r>
      <w:r>
        <w:rPr>
          <w:rFonts w:ascii="宋体" w:hAnsi="宋体"/>
          <w:sz w:val="24"/>
        </w:rPr>
        <w:t>(</w:t>
      </w:r>
      <w:r>
        <w:rPr>
          <w:rFonts w:ascii="宋体" w:hAnsi="宋体"/>
          <w:sz w:val="24"/>
          <w:u w:val="single"/>
        </w:rPr>
        <w:t>*</w:t>
      </w:r>
      <w:r>
        <w:rPr>
          <w:rFonts w:hint="eastAsia" w:ascii="宋体" w:hAnsi="宋体"/>
          <w:sz w:val="24"/>
          <w:u w:val="single"/>
        </w:rPr>
        <w:t>项目名称</w:t>
      </w:r>
      <w:r>
        <w:rPr>
          <w:rFonts w:ascii="宋体" w:hAnsi="宋体"/>
          <w:sz w:val="24"/>
        </w:rPr>
        <w:t>)</w:t>
      </w:r>
      <w:r>
        <w:rPr>
          <w:rFonts w:hint="eastAsia" w:ascii="宋体" w:hAnsi="宋体"/>
          <w:sz w:val="24"/>
        </w:rPr>
        <w:t>项目（招标编号：</w:t>
      </w:r>
      <w:r>
        <w:rPr>
          <w:rFonts w:ascii="宋体" w:hAnsi="宋体"/>
          <w:sz w:val="24"/>
        </w:rPr>
        <w:t xml:space="preserve">        </w:t>
      </w:r>
      <w:r>
        <w:rPr>
          <w:rFonts w:hint="eastAsia" w:ascii="宋体" w:hAnsi="宋体"/>
          <w:sz w:val="24"/>
        </w:rPr>
        <w:t>）</w:t>
      </w:r>
      <w:r>
        <w:rPr>
          <w:rFonts w:ascii="宋体" w:hAnsi="宋体"/>
          <w:sz w:val="24"/>
        </w:rPr>
        <w:t xml:space="preserve">              </w:t>
      </w:r>
      <w:r>
        <w:rPr>
          <w:rFonts w:hint="eastAsia" w:ascii="宋体" w:hAnsi="宋体"/>
          <w:sz w:val="24"/>
        </w:rPr>
        <w:t>经黑龙江省招标公司国内公开招标，(</w:t>
      </w:r>
      <w:r>
        <w:rPr>
          <w:rFonts w:hint="eastAsia" w:ascii="宋体" w:hAnsi="宋体"/>
          <w:sz w:val="24"/>
          <w:u w:val="single"/>
        </w:rPr>
        <w:t>*乙方名称</w:t>
      </w:r>
      <w:r>
        <w:rPr>
          <w:rFonts w:hint="eastAsia" w:ascii="宋体" w:hAnsi="宋体"/>
          <w:sz w:val="24"/>
        </w:rPr>
        <w:t>)为中标单位。根据《中华人民共和国政府采购法》、《中华人民共和国民法典》等法律、法规规定，按照招投标文件规定条款和中标供应商承诺，经平等自愿协商达成一致，甲乙双方签订本合同。</w:t>
      </w:r>
    </w:p>
    <w:p>
      <w:pPr>
        <w:ind w:firstLine="420"/>
        <w:rPr>
          <w:rFonts w:hint="eastAsia" w:ascii="宋体" w:hAnsi="宋体"/>
          <w:sz w:val="24"/>
        </w:rPr>
      </w:pPr>
      <w:r>
        <w:rPr>
          <w:rFonts w:hint="eastAsia" w:ascii="宋体" w:hAnsi="宋体"/>
          <w:sz w:val="24"/>
        </w:rPr>
        <w:t>甲乙双方本着相互信任、真诚合作、共同发展的原则，在友好协商的基础上共同制定如下合同内容。</w:t>
      </w:r>
    </w:p>
    <w:p>
      <w:pPr>
        <w:pStyle w:val="29"/>
        <w:rPr>
          <w:rFonts w:hint="eastAsia" w:ascii="宋体" w:hAnsi="宋体"/>
          <w:sz w:val="24"/>
        </w:rPr>
      </w:pPr>
    </w:p>
    <w:p>
      <w:pPr>
        <w:pStyle w:val="5"/>
        <w:rPr>
          <w:rFonts w:hint="eastAsia" w:ascii="宋体" w:hAnsi="宋体"/>
          <w:sz w:val="24"/>
          <w:szCs w:val="24"/>
        </w:rPr>
      </w:pPr>
      <w:r>
        <w:rPr>
          <w:rFonts w:hint="eastAsia" w:ascii="宋体" w:hAnsi="宋体"/>
          <w:sz w:val="24"/>
          <w:szCs w:val="24"/>
        </w:rPr>
        <w:t>第一条  总则</w:t>
      </w:r>
    </w:p>
    <w:p>
      <w:pPr>
        <w:rPr>
          <w:rFonts w:hint="eastAsia" w:ascii="宋体" w:hAnsi="宋体"/>
          <w:sz w:val="24"/>
        </w:rPr>
      </w:pPr>
      <w:r>
        <w:rPr>
          <w:rFonts w:hint="eastAsia" w:ascii="宋体" w:hAnsi="宋体"/>
          <w:sz w:val="24"/>
        </w:rPr>
        <w:t>1．定义</w:t>
      </w:r>
    </w:p>
    <w:p>
      <w:pPr>
        <w:rPr>
          <w:rFonts w:hint="eastAsia" w:ascii="宋体" w:hAnsi="宋体"/>
          <w:sz w:val="24"/>
        </w:rPr>
      </w:pPr>
      <w:r>
        <w:rPr>
          <w:rFonts w:hint="eastAsia" w:ascii="宋体" w:hAnsi="宋体"/>
          <w:sz w:val="24"/>
        </w:rPr>
        <w:t>(1)</w:t>
      </w:r>
      <w:r>
        <w:rPr>
          <w:rFonts w:hint="eastAsia" w:ascii="宋体" w:hAnsi="宋体"/>
          <w:sz w:val="24"/>
        </w:rPr>
        <w:tab/>
      </w:r>
      <w:r>
        <w:rPr>
          <w:rFonts w:hint="eastAsia" w:ascii="宋体" w:hAnsi="宋体"/>
          <w:sz w:val="24"/>
        </w:rPr>
        <w:t>合同：除非特别说明，“合同”一词均指本合同。</w:t>
      </w:r>
    </w:p>
    <w:p>
      <w:pPr>
        <w:rPr>
          <w:rFonts w:hint="eastAsia" w:ascii="宋体" w:hAnsi="宋体"/>
          <w:sz w:val="24"/>
        </w:rPr>
      </w:pPr>
      <w:r>
        <w:rPr>
          <w:rFonts w:hint="eastAsia" w:ascii="宋体" w:hAnsi="宋体"/>
          <w:sz w:val="24"/>
        </w:rPr>
        <w:t>(2)</w:t>
      </w:r>
      <w:r>
        <w:rPr>
          <w:rFonts w:hint="eastAsia" w:ascii="宋体" w:hAnsi="宋体"/>
          <w:sz w:val="24"/>
        </w:rPr>
        <w:tab/>
      </w:r>
      <w:r>
        <w:rPr>
          <w:rFonts w:hint="eastAsia" w:ascii="宋体" w:hAnsi="宋体"/>
          <w:sz w:val="24"/>
        </w:rPr>
        <w:t>项目：本合同是乙方对甲方信息系统技术服务的维护，对系统运行中发生的故障进行软件升级、系统巡检等服务。</w:t>
      </w:r>
    </w:p>
    <w:p>
      <w:pPr>
        <w:rPr>
          <w:rFonts w:hint="eastAsia" w:ascii="宋体" w:hAnsi="宋体"/>
          <w:sz w:val="24"/>
        </w:rPr>
      </w:pPr>
      <w:r>
        <w:rPr>
          <w:rFonts w:hint="eastAsia" w:ascii="宋体" w:hAnsi="宋体"/>
          <w:sz w:val="24"/>
        </w:rPr>
        <w:t>(3)</w:t>
      </w:r>
      <w:r>
        <w:rPr>
          <w:rFonts w:hint="eastAsia" w:ascii="宋体" w:hAnsi="宋体"/>
          <w:sz w:val="24"/>
        </w:rPr>
        <w:tab/>
      </w:r>
      <w:r>
        <w:rPr>
          <w:rFonts w:hint="eastAsia" w:ascii="宋体" w:hAnsi="宋体"/>
          <w:sz w:val="24"/>
        </w:rPr>
        <w:t>不可抗力：是指不能预见、不能避免并不能克服的客观情况。不可抗力不包括由于一方的疏忽或故意不遵守良好的项目惯例所发生的事故。</w:t>
      </w:r>
    </w:p>
    <w:p>
      <w:pPr>
        <w:rPr>
          <w:rFonts w:hint="eastAsia" w:ascii="宋体" w:hAnsi="宋体"/>
          <w:sz w:val="24"/>
        </w:rPr>
      </w:pPr>
      <w:r>
        <w:rPr>
          <w:rFonts w:hint="eastAsia" w:ascii="宋体" w:hAnsi="宋体"/>
          <w:sz w:val="24"/>
        </w:rPr>
        <w:t>2．合同生效</w:t>
      </w:r>
    </w:p>
    <w:p>
      <w:pPr>
        <w:rPr>
          <w:rFonts w:hint="eastAsia" w:ascii="宋体" w:hAnsi="宋体"/>
          <w:sz w:val="24"/>
        </w:rPr>
      </w:pPr>
      <w:r>
        <w:rPr>
          <w:rFonts w:hint="eastAsia" w:ascii="宋体" w:hAnsi="宋体"/>
          <w:sz w:val="24"/>
        </w:rPr>
        <w:t>本合同经甲、乙双方签字盖章后生效。本合同壹式肆份，甲、乙双方各持贰份，具有同等法律效力。</w:t>
      </w:r>
    </w:p>
    <w:p>
      <w:pPr>
        <w:rPr>
          <w:rFonts w:hint="eastAsia" w:ascii="宋体" w:hAnsi="宋体"/>
          <w:sz w:val="24"/>
        </w:rPr>
      </w:pPr>
      <w:r>
        <w:rPr>
          <w:rFonts w:hint="eastAsia" w:ascii="宋体" w:hAnsi="宋体"/>
          <w:sz w:val="24"/>
        </w:rPr>
        <w:t>3．合同修改</w:t>
      </w:r>
    </w:p>
    <w:p>
      <w:pPr>
        <w:rPr>
          <w:rFonts w:hint="eastAsia" w:ascii="宋体" w:hAnsi="宋体"/>
          <w:sz w:val="24"/>
        </w:rPr>
      </w:pPr>
      <w:r>
        <w:rPr>
          <w:rFonts w:hint="eastAsia" w:ascii="宋体" w:hAnsi="宋体"/>
          <w:sz w:val="24"/>
        </w:rPr>
        <w:t>除非由双方签订书面修改文件，否则合同不得修改。符合这一程序的修改将构成合同的一部分，并将与合同具有同等的法律效力。</w:t>
      </w:r>
    </w:p>
    <w:p>
      <w:pPr>
        <w:rPr>
          <w:rFonts w:hint="eastAsia" w:ascii="宋体" w:hAnsi="宋体"/>
          <w:sz w:val="24"/>
        </w:rPr>
      </w:pPr>
      <w:r>
        <w:rPr>
          <w:rFonts w:hint="eastAsia" w:ascii="宋体" w:hAnsi="宋体"/>
          <w:sz w:val="24"/>
        </w:rPr>
        <w:t>4．补充条款</w:t>
      </w:r>
    </w:p>
    <w:p>
      <w:pPr>
        <w:rPr>
          <w:rFonts w:hint="eastAsia" w:ascii="宋体" w:hAnsi="宋体"/>
          <w:sz w:val="24"/>
        </w:rPr>
      </w:pPr>
      <w:r>
        <w:rPr>
          <w:rFonts w:hint="eastAsia" w:ascii="宋体" w:hAnsi="宋体"/>
          <w:sz w:val="24"/>
        </w:rPr>
        <w:t>本合同生效后，经双方共同协商，可以达成书面补充协议，补充协议与本合同具有同等效力。</w:t>
      </w:r>
    </w:p>
    <w:p>
      <w:pPr>
        <w:rPr>
          <w:rFonts w:hint="eastAsia" w:ascii="宋体" w:hAnsi="宋体"/>
          <w:sz w:val="24"/>
        </w:rPr>
      </w:pPr>
      <w:r>
        <w:rPr>
          <w:rFonts w:hint="eastAsia" w:ascii="宋体" w:hAnsi="宋体"/>
          <w:sz w:val="24"/>
        </w:rPr>
        <w:t>5．告知</w:t>
      </w:r>
    </w:p>
    <w:p>
      <w:pPr>
        <w:rPr>
          <w:rFonts w:hint="eastAsia" w:ascii="宋体" w:hAnsi="宋体"/>
          <w:sz w:val="24"/>
        </w:rPr>
      </w:pPr>
      <w:r>
        <w:rPr>
          <w:rFonts w:hint="eastAsia" w:ascii="宋体" w:hAnsi="宋体"/>
          <w:sz w:val="24"/>
        </w:rPr>
        <w:t xml:space="preserve">涉及本合同的一切事宜均以书面形式提交，对方应及时响应。 </w:t>
      </w:r>
    </w:p>
    <w:p>
      <w:pPr>
        <w:rPr>
          <w:rFonts w:hint="eastAsia" w:ascii="宋体" w:hAnsi="宋体"/>
          <w:sz w:val="24"/>
        </w:rPr>
      </w:pPr>
      <w:r>
        <w:rPr>
          <w:rFonts w:hint="eastAsia" w:ascii="宋体" w:hAnsi="宋体"/>
          <w:sz w:val="24"/>
        </w:rPr>
        <w:t>6．保密责任</w:t>
      </w:r>
    </w:p>
    <w:p>
      <w:pPr>
        <w:rPr>
          <w:rFonts w:hint="eastAsia" w:ascii="宋体" w:hAnsi="宋体"/>
          <w:sz w:val="24"/>
        </w:rPr>
      </w:pPr>
      <w:r>
        <w:rPr>
          <w:rFonts w:hint="eastAsia" w:ascii="宋体" w:hAnsi="宋体"/>
          <w:sz w:val="24"/>
        </w:rPr>
        <w:t>双方共同恪守对技术及对项目的保密责任。</w:t>
      </w:r>
    </w:p>
    <w:p>
      <w:pPr>
        <w:rPr>
          <w:rFonts w:hint="eastAsia" w:ascii="宋体" w:hAnsi="宋体"/>
          <w:sz w:val="24"/>
        </w:rPr>
      </w:pPr>
      <w:r>
        <w:rPr>
          <w:rFonts w:hint="eastAsia" w:ascii="宋体" w:hAnsi="宋体"/>
          <w:sz w:val="24"/>
        </w:rPr>
        <w:t>(1)</w:t>
      </w:r>
      <w:r>
        <w:rPr>
          <w:rFonts w:hint="eastAsia" w:ascii="宋体" w:hAnsi="宋体"/>
          <w:sz w:val="24"/>
        </w:rPr>
        <w:tab/>
      </w:r>
      <w:r>
        <w:rPr>
          <w:rFonts w:hint="eastAsia" w:ascii="宋体" w:hAnsi="宋体"/>
          <w:sz w:val="24"/>
        </w:rPr>
        <w:t>所有项目相关人员不得以任何形式向第三方泄露项目合作计划和内容。</w:t>
      </w:r>
    </w:p>
    <w:p>
      <w:pPr>
        <w:rPr>
          <w:rFonts w:hint="eastAsia" w:ascii="宋体" w:hAnsi="宋体"/>
          <w:sz w:val="24"/>
        </w:rPr>
      </w:pPr>
      <w:r>
        <w:rPr>
          <w:rFonts w:hint="eastAsia" w:ascii="宋体" w:hAnsi="宋体"/>
          <w:sz w:val="24"/>
        </w:rPr>
        <w:t>(2)</w:t>
      </w:r>
      <w:r>
        <w:rPr>
          <w:rFonts w:hint="eastAsia" w:ascii="宋体" w:hAnsi="宋体"/>
          <w:sz w:val="24"/>
        </w:rPr>
        <w:tab/>
      </w:r>
      <w:r>
        <w:rPr>
          <w:rFonts w:hint="eastAsia" w:ascii="宋体" w:hAnsi="宋体"/>
          <w:sz w:val="24"/>
        </w:rPr>
        <w:t>所有项目相关人员，不得以任何方式向第三方泄露有关项目的技术资料。</w:t>
      </w:r>
    </w:p>
    <w:p>
      <w:pPr>
        <w:rPr>
          <w:rFonts w:hint="eastAsia" w:ascii="宋体" w:hAnsi="宋体"/>
          <w:sz w:val="24"/>
        </w:rPr>
      </w:pPr>
      <w:r>
        <w:rPr>
          <w:rFonts w:hint="eastAsia" w:ascii="宋体" w:hAnsi="宋体"/>
          <w:sz w:val="24"/>
        </w:rPr>
        <w:t>(3)</w:t>
      </w:r>
      <w:r>
        <w:rPr>
          <w:rFonts w:hint="eastAsia" w:ascii="宋体" w:hAnsi="宋体"/>
          <w:sz w:val="24"/>
        </w:rPr>
        <w:tab/>
      </w:r>
      <w:r>
        <w:rPr>
          <w:rFonts w:hint="eastAsia" w:ascii="宋体" w:hAnsi="宋体"/>
          <w:sz w:val="24"/>
        </w:rPr>
        <w:t>乙方对甲方提供给乙方的注明保密的信息系统数据、信息系统实务及相关信息，不得外泄。</w:t>
      </w:r>
    </w:p>
    <w:p>
      <w:pPr>
        <w:rPr>
          <w:rFonts w:hint="eastAsia" w:ascii="宋体" w:hAnsi="宋体"/>
          <w:sz w:val="24"/>
        </w:rPr>
      </w:pPr>
    </w:p>
    <w:p>
      <w:pPr>
        <w:pStyle w:val="5"/>
        <w:rPr>
          <w:rFonts w:hint="eastAsia" w:ascii="宋体" w:hAnsi="宋体"/>
          <w:sz w:val="24"/>
          <w:szCs w:val="24"/>
        </w:rPr>
      </w:pPr>
      <w:r>
        <w:rPr>
          <w:rFonts w:hint="eastAsia" w:ascii="宋体" w:hAnsi="宋体"/>
          <w:sz w:val="24"/>
          <w:szCs w:val="24"/>
        </w:rPr>
        <w:t>第二条服务内容及相关事项</w:t>
      </w:r>
    </w:p>
    <w:tbl>
      <w:tblPr>
        <w:tblStyle w:val="23"/>
        <w:tblW w:w="8498"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9"/>
        <w:gridCol w:w="2131"/>
        <w:gridCol w:w="48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549" w:type="dxa"/>
            <w:noWrap w:val="0"/>
            <w:vAlign w:val="center"/>
          </w:tcPr>
          <w:p>
            <w:pPr>
              <w:jc w:val="center"/>
              <w:rPr>
                <w:rFonts w:ascii="宋体" w:hAnsi="宋体"/>
                <w:b/>
                <w:sz w:val="24"/>
              </w:rPr>
            </w:pPr>
            <w:r>
              <w:rPr>
                <w:rFonts w:ascii="宋体" w:hAnsi="宋体"/>
                <w:b/>
                <w:sz w:val="24"/>
              </w:rPr>
              <w:t>项目</w:t>
            </w:r>
            <w:r>
              <w:rPr>
                <w:rFonts w:hint="eastAsia" w:ascii="宋体" w:hAnsi="宋体"/>
                <w:b/>
                <w:sz w:val="24"/>
              </w:rPr>
              <w:t>名称</w:t>
            </w:r>
          </w:p>
        </w:tc>
        <w:tc>
          <w:tcPr>
            <w:tcW w:w="2131" w:type="dxa"/>
            <w:noWrap w:val="0"/>
            <w:vAlign w:val="center"/>
          </w:tcPr>
          <w:p>
            <w:pPr>
              <w:jc w:val="center"/>
              <w:rPr>
                <w:rFonts w:ascii="宋体" w:hAnsi="宋体"/>
                <w:b/>
                <w:sz w:val="24"/>
              </w:rPr>
            </w:pPr>
            <w:r>
              <w:rPr>
                <w:rFonts w:hint="eastAsia" w:ascii="宋体" w:hAnsi="宋体"/>
                <w:b/>
                <w:sz w:val="24"/>
              </w:rPr>
              <w:t>服务</w:t>
            </w:r>
            <w:r>
              <w:rPr>
                <w:rFonts w:ascii="宋体" w:hAnsi="宋体"/>
                <w:b/>
                <w:sz w:val="24"/>
              </w:rPr>
              <w:t>内容</w:t>
            </w:r>
          </w:p>
        </w:tc>
        <w:tc>
          <w:tcPr>
            <w:tcW w:w="4818" w:type="dxa"/>
            <w:noWrap w:val="0"/>
            <w:vAlign w:val="center"/>
          </w:tcPr>
          <w:p>
            <w:pPr>
              <w:jc w:val="center"/>
              <w:rPr>
                <w:rFonts w:ascii="宋体" w:hAnsi="宋体"/>
                <w:b/>
                <w:sz w:val="24"/>
              </w:rPr>
            </w:pPr>
            <w:r>
              <w:rPr>
                <w:rFonts w:hint="eastAsia" w:ascii="宋体" w:hAnsi="宋体"/>
                <w:b/>
                <w:sz w:val="24"/>
              </w:rPr>
              <w:t>服务条款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14" w:hRule="atLeast"/>
          <w:jc w:val="center"/>
        </w:trPr>
        <w:tc>
          <w:tcPr>
            <w:tcW w:w="1549" w:type="dxa"/>
            <w:vMerge w:val="restart"/>
            <w:noWrap w:val="0"/>
            <w:vAlign w:val="center"/>
          </w:tcPr>
          <w:p>
            <w:pPr>
              <w:rPr>
                <w:rFonts w:hint="eastAsia" w:ascii="宋体" w:hAnsi="宋体"/>
                <w:sz w:val="24"/>
              </w:rPr>
            </w:pPr>
            <w:r>
              <w:rPr>
                <w:rFonts w:hint="eastAsia" w:ascii="宋体" w:hAnsi="宋体"/>
                <w:sz w:val="24"/>
              </w:rPr>
              <w:t>国家税务总局黑龙江省</w:t>
            </w:r>
          </w:p>
          <w:p>
            <w:pPr>
              <w:rPr>
                <w:rFonts w:ascii="宋体" w:hAnsi="宋体"/>
                <w:sz w:val="24"/>
              </w:rPr>
            </w:pPr>
            <w:r>
              <w:rPr>
                <w:rFonts w:hint="eastAsia" w:ascii="宋体" w:hAnsi="宋体"/>
                <w:sz w:val="24"/>
              </w:rPr>
              <w:t>税务局</w:t>
            </w:r>
            <w:r>
              <w:rPr>
                <w:rFonts w:ascii="宋体" w:hAnsi="宋体"/>
                <w:sz w:val="24"/>
              </w:rPr>
              <w:t>(</w:t>
            </w:r>
            <w:r>
              <w:rPr>
                <w:rFonts w:ascii="宋体" w:hAnsi="宋体"/>
                <w:sz w:val="24"/>
                <w:u w:val="single"/>
              </w:rPr>
              <w:t>*</w:t>
            </w:r>
            <w:r>
              <w:rPr>
                <w:rFonts w:hint="eastAsia" w:ascii="宋体" w:hAnsi="宋体"/>
                <w:sz w:val="24"/>
                <w:u w:val="single"/>
              </w:rPr>
              <w:t>项目名称</w:t>
            </w:r>
            <w:r>
              <w:rPr>
                <w:rFonts w:ascii="宋体" w:hAnsi="宋体"/>
                <w:sz w:val="24"/>
              </w:rPr>
              <w:t>)</w:t>
            </w:r>
          </w:p>
        </w:tc>
        <w:tc>
          <w:tcPr>
            <w:tcW w:w="2131" w:type="dxa"/>
            <w:tcBorders>
              <w:top w:val="single" w:color="auto" w:sz="4" w:space="0"/>
              <w:left w:val="single" w:color="auto" w:sz="4" w:space="0"/>
              <w:bottom w:val="single" w:color="auto" w:sz="4" w:space="0"/>
              <w:right w:val="single" w:color="auto" w:sz="4" w:space="0"/>
            </w:tcBorders>
            <w:noWrap w:val="0"/>
            <w:vAlign w:val="top"/>
          </w:tcPr>
          <w:p>
            <w:pPr>
              <w:jc w:val="left"/>
              <w:rPr>
                <w:rFonts w:ascii="宋体" w:hAnsi="宋体"/>
                <w:sz w:val="24"/>
              </w:rPr>
            </w:pPr>
          </w:p>
        </w:tc>
        <w:tc>
          <w:tcPr>
            <w:tcW w:w="4818" w:type="dxa"/>
            <w:tcBorders>
              <w:top w:val="single" w:color="auto" w:sz="4" w:space="0"/>
              <w:left w:val="single" w:color="auto" w:sz="4" w:space="0"/>
              <w:bottom w:val="single" w:color="auto" w:sz="4" w:space="0"/>
              <w:right w:val="single" w:color="auto" w:sz="4" w:space="0"/>
            </w:tcBorders>
            <w:noWrap w:val="0"/>
            <w:vAlign w:val="center"/>
          </w:tcPr>
          <w:p>
            <w:pPr>
              <w:jc w:val="left"/>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14" w:hRule="atLeast"/>
          <w:jc w:val="center"/>
        </w:trPr>
        <w:tc>
          <w:tcPr>
            <w:tcW w:w="1549" w:type="dxa"/>
            <w:vMerge w:val="continue"/>
            <w:noWrap w:val="0"/>
            <w:vAlign w:val="center"/>
          </w:tcPr>
          <w:p>
            <w:pPr>
              <w:jc w:val="center"/>
              <w:rPr>
                <w:rFonts w:hint="eastAsia" w:ascii="宋体" w:hAnsi="宋体"/>
                <w:sz w:val="24"/>
              </w:rPr>
            </w:pPr>
          </w:p>
        </w:tc>
        <w:tc>
          <w:tcPr>
            <w:tcW w:w="2131" w:type="dxa"/>
            <w:tcBorders>
              <w:top w:val="single" w:color="auto" w:sz="4" w:space="0"/>
              <w:left w:val="single" w:color="auto" w:sz="4" w:space="0"/>
              <w:bottom w:val="single" w:color="auto" w:sz="4" w:space="0"/>
              <w:right w:val="single" w:color="auto" w:sz="4" w:space="0"/>
            </w:tcBorders>
            <w:noWrap w:val="0"/>
            <w:vAlign w:val="top"/>
          </w:tcPr>
          <w:p>
            <w:pPr>
              <w:ind w:firstLine="480" w:firstLineChars="200"/>
              <w:jc w:val="left"/>
              <w:rPr>
                <w:rFonts w:hint="eastAsia" w:ascii="宋体" w:hAnsi="宋体"/>
                <w:sz w:val="24"/>
              </w:rPr>
            </w:pPr>
          </w:p>
        </w:tc>
        <w:tc>
          <w:tcPr>
            <w:tcW w:w="4818"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14" w:hRule="atLeast"/>
          <w:jc w:val="center"/>
        </w:trPr>
        <w:tc>
          <w:tcPr>
            <w:tcW w:w="1549" w:type="dxa"/>
            <w:vMerge w:val="continue"/>
            <w:noWrap w:val="0"/>
            <w:vAlign w:val="center"/>
          </w:tcPr>
          <w:p>
            <w:pPr>
              <w:jc w:val="center"/>
              <w:rPr>
                <w:rFonts w:hint="eastAsia" w:ascii="宋体" w:hAnsi="宋体"/>
                <w:sz w:val="24"/>
              </w:rPr>
            </w:pPr>
          </w:p>
        </w:tc>
        <w:tc>
          <w:tcPr>
            <w:tcW w:w="2131" w:type="dxa"/>
            <w:tcBorders>
              <w:top w:val="single" w:color="auto" w:sz="4" w:space="0"/>
              <w:left w:val="single" w:color="auto" w:sz="4" w:space="0"/>
              <w:bottom w:val="single" w:color="auto" w:sz="4" w:space="0"/>
              <w:right w:val="single" w:color="auto" w:sz="4" w:space="0"/>
            </w:tcBorders>
            <w:noWrap w:val="0"/>
            <w:vAlign w:val="top"/>
          </w:tcPr>
          <w:p>
            <w:pPr>
              <w:jc w:val="center"/>
              <w:rPr>
                <w:rFonts w:hint="eastAsia" w:ascii="宋体" w:hAnsi="宋体"/>
                <w:sz w:val="24"/>
              </w:rPr>
            </w:pPr>
          </w:p>
        </w:tc>
        <w:tc>
          <w:tcPr>
            <w:tcW w:w="4818"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14" w:hRule="atLeast"/>
          <w:jc w:val="center"/>
        </w:trPr>
        <w:tc>
          <w:tcPr>
            <w:tcW w:w="1549" w:type="dxa"/>
            <w:vMerge w:val="continue"/>
            <w:noWrap w:val="0"/>
            <w:vAlign w:val="center"/>
          </w:tcPr>
          <w:p>
            <w:pPr>
              <w:jc w:val="center"/>
              <w:rPr>
                <w:rFonts w:hint="eastAsia" w:ascii="宋体" w:hAnsi="宋体"/>
                <w:sz w:val="24"/>
              </w:rPr>
            </w:pPr>
          </w:p>
        </w:tc>
        <w:tc>
          <w:tcPr>
            <w:tcW w:w="2131" w:type="dxa"/>
            <w:tcBorders>
              <w:top w:val="single" w:color="auto" w:sz="4" w:space="0"/>
              <w:left w:val="single" w:color="auto" w:sz="4" w:space="0"/>
              <w:bottom w:val="single" w:color="auto" w:sz="4" w:space="0"/>
              <w:right w:val="single" w:color="auto" w:sz="4" w:space="0"/>
            </w:tcBorders>
            <w:noWrap w:val="0"/>
            <w:vAlign w:val="top"/>
          </w:tcPr>
          <w:p>
            <w:pPr>
              <w:ind w:firstLine="480" w:firstLineChars="200"/>
              <w:jc w:val="left"/>
              <w:rPr>
                <w:rFonts w:hint="eastAsia" w:ascii="宋体" w:hAnsi="宋体"/>
                <w:sz w:val="24"/>
              </w:rPr>
            </w:pPr>
          </w:p>
        </w:tc>
        <w:tc>
          <w:tcPr>
            <w:tcW w:w="4818"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14" w:hRule="atLeast"/>
          <w:jc w:val="center"/>
        </w:trPr>
        <w:tc>
          <w:tcPr>
            <w:tcW w:w="1549" w:type="dxa"/>
            <w:vMerge w:val="continue"/>
            <w:noWrap w:val="0"/>
            <w:vAlign w:val="center"/>
          </w:tcPr>
          <w:p>
            <w:pPr>
              <w:jc w:val="center"/>
              <w:rPr>
                <w:rFonts w:hint="eastAsia" w:ascii="宋体" w:hAnsi="宋体"/>
                <w:sz w:val="24"/>
              </w:rPr>
            </w:pPr>
          </w:p>
        </w:tc>
        <w:tc>
          <w:tcPr>
            <w:tcW w:w="2131" w:type="dxa"/>
            <w:tcBorders>
              <w:top w:val="single" w:color="auto" w:sz="4" w:space="0"/>
              <w:left w:val="single" w:color="auto" w:sz="4" w:space="0"/>
              <w:right w:val="single" w:color="auto" w:sz="4" w:space="0"/>
            </w:tcBorders>
            <w:noWrap w:val="0"/>
            <w:vAlign w:val="top"/>
          </w:tcPr>
          <w:p>
            <w:pPr>
              <w:ind w:firstLine="482" w:firstLineChars="200"/>
              <w:jc w:val="left"/>
              <w:rPr>
                <w:rFonts w:hint="eastAsia" w:ascii="宋体" w:hAnsi="宋体"/>
                <w:b/>
                <w:sz w:val="24"/>
              </w:rPr>
            </w:pPr>
          </w:p>
        </w:tc>
        <w:tc>
          <w:tcPr>
            <w:tcW w:w="4818" w:type="dxa"/>
            <w:tcBorders>
              <w:top w:val="single" w:color="auto" w:sz="4" w:space="0"/>
              <w:left w:val="single" w:color="auto" w:sz="4" w:space="0"/>
              <w:right w:val="single" w:color="auto" w:sz="4" w:space="0"/>
            </w:tcBorders>
            <w:noWrap w:val="0"/>
            <w:vAlign w:val="center"/>
          </w:tcPr>
          <w:p>
            <w:pPr>
              <w:rPr>
                <w:rFonts w:ascii="宋体" w:hAnsi="宋体"/>
                <w:sz w:val="24"/>
              </w:rPr>
            </w:pPr>
          </w:p>
        </w:tc>
      </w:tr>
    </w:tbl>
    <w:p>
      <w:pPr>
        <w:rPr>
          <w:rFonts w:hint="eastAsia" w:ascii="宋体" w:hAnsi="宋体"/>
          <w:sz w:val="24"/>
        </w:rPr>
      </w:pPr>
    </w:p>
    <w:p>
      <w:pPr>
        <w:pStyle w:val="4"/>
        <w:spacing w:before="200" w:after="200" w:line="240" w:lineRule="auto"/>
        <w:rPr>
          <w:rFonts w:hint="eastAsia" w:ascii="宋体" w:hAnsi="宋体"/>
          <w:kern w:val="2"/>
          <w:sz w:val="24"/>
          <w:szCs w:val="24"/>
        </w:rPr>
      </w:pPr>
      <w:r>
        <w:rPr>
          <w:rFonts w:hint="eastAsia" w:ascii="宋体" w:hAnsi="宋体"/>
          <w:kern w:val="2"/>
          <w:sz w:val="24"/>
          <w:szCs w:val="24"/>
        </w:rPr>
        <w:t xml:space="preserve">第三条  </w:t>
      </w:r>
      <w:r>
        <w:rPr>
          <w:rFonts w:hint="eastAsia" w:ascii="宋体" w:hAnsi="宋体"/>
          <w:kern w:val="2"/>
          <w:sz w:val="24"/>
          <w:szCs w:val="24"/>
          <w:lang w:eastAsia="zh-CN"/>
        </w:rPr>
        <w:t>服务</w:t>
      </w:r>
      <w:r>
        <w:rPr>
          <w:rFonts w:hint="eastAsia" w:ascii="宋体" w:hAnsi="宋体"/>
          <w:kern w:val="2"/>
          <w:sz w:val="24"/>
          <w:szCs w:val="24"/>
        </w:rPr>
        <w:t>内容</w:t>
      </w:r>
    </w:p>
    <w:p>
      <w:pPr>
        <w:numPr>
          <w:ilvl w:val="0"/>
          <w:numId w:val="7"/>
        </w:numPr>
        <w:rPr>
          <w:rFonts w:hint="eastAsia" w:ascii="宋体" w:hAnsi="宋体"/>
          <w:sz w:val="24"/>
        </w:rPr>
      </w:pPr>
      <w:r>
        <w:rPr>
          <w:rFonts w:hint="eastAsia" w:ascii="宋体" w:hAnsi="宋体"/>
          <w:sz w:val="24"/>
        </w:rPr>
        <w:t>在一年服务期内，乙方为完成“</w:t>
      </w:r>
      <w:r>
        <w:rPr>
          <w:rFonts w:hint="eastAsia" w:ascii="宋体" w:hAnsi="宋体"/>
          <w:sz w:val="24"/>
          <w:u w:val="single"/>
        </w:rPr>
        <w:t>（项目名称）</w:t>
      </w:r>
      <w:r>
        <w:rPr>
          <w:rFonts w:hint="eastAsia" w:ascii="宋体" w:hAnsi="宋体"/>
          <w:sz w:val="24"/>
        </w:rPr>
        <w:t>”招标文件所列全部服务内容,</w:t>
      </w:r>
      <w:r>
        <w:rPr>
          <w:rFonts w:ascii="宋体" w:hAnsi="宋体"/>
          <w:sz w:val="24"/>
        </w:rPr>
        <w:t>范围内的</w:t>
      </w:r>
      <w:r>
        <w:rPr>
          <w:rFonts w:hint="eastAsia" w:ascii="宋体" w:hAnsi="宋体"/>
          <w:sz w:val="24"/>
        </w:rPr>
        <w:t>乙方自行使用的</w:t>
      </w:r>
      <w:r>
        <w:rPr>
          <w:rFonts w:ascii="宋体" w:hAnsi="宋体"/>
          <w:sz w:val="24"/>
        </w:rPr>
        <w:t>所有设备、耗材</w:t>
      </w:r>
      <w:r>
        <w:rPr>
          <w:rFonts w:hint="eastAsia" w:ascii="宋体" w:hAnsi="宋体"/>
          <w:sz w:val="24"/>
        </w:rPr>
        <w:t>等</w:t>
      </w:r>
      <w:r>
        <w:rPr>
          <w:rFonts w:ascii="宋体" w:hAnsi="宋体"/>
          <w:sz w:val="24"/>
        </w:rPr>
        <w:t>由乙方</w:t>
      </w:r>
      <w:r>
        <w:rPr>
          <w:rFonts w:hint="eastAsia" w:ascii="宋体" w:hAnsi="宋体"/>
          <w:sz w:val="24"/>
        </w:rPr>
        <w:t>自行</w:t>
      </w:r>
      <w:r>
        <w:rPr>
          <w:rFonts w:ascii="宋体" w:hAnsi="宋体"/>
          <w:sz w:val="24"/>
        </w:rPr>
        <w:t>承担</w:t>
      </w:r>
      <w:r>
        <w:rPr>
          <w:rFonts w:hint="eastAsia" w:ascii="宋体" w:hAnsi="宋体"/>
          <w:sz w:val="24"/>
        </w:rPr>
        <w:t>。</w:t>
      </w:r>
    </w:p>
    <w:p>
      <w:pPr>
        <w:numPr>
          <w:ilvl w:val="0"/>
          <w:numId w:val="7"/>
        </w:numPr>
        <w:rPr>
          <w:rFonts w:hint="eastAsia" w:ascii="宋体" w:hAnsi="宋体"/>
          <w:sz w:val="24"/>
        </w:rPr>
      </w:pPr>
      <w:r>
        <w:rPr>
          <w:rFonts w:hint="eastAsia" w:ascii="宋体" w:hAnsi="宋体"/>
          <w:sz w:val="24"/>
        </w:rPr>
        <w:t>乙方委派。</w:t>
      </w:r>
    </w:p>
    <w:p>
      <w:pPr>
        <w:pStyle w:val="29"/>
        <w:ind w:firstLine="420"/>
        <w:rPr>
          <w:rFonts w:hint="eastAsia"/>
        </w:rPr>
      </w:pPr>
      <w:r>
        <w:rPr>
          <w:rFonts w:hint="eastAsia"/>
        </w:rPr>
        <w:t>（同“附件2”人员）</w:t>
      </w:r>
    </w:p>
    <w:p>
      <w:pPr>
        <w:numPr>
          <w:ilvl w:val="0"/>
          <w:numId w:val="7"/>
        </w:numPr>
        <w:rPr>
          <w:rFonts w:hint="eastAsia" w:ascii="宋体" w:hAnsi="宋体"/>
          <w:sz w:val="24"/>
        </w:rPr>
      </w:pPr>
      <w:r>
        <w:rPr>
          <w:rFonts w:hint="eastAsia" w:ascii="宋体" w:hAnsi="宋体"/>
          <w:sz w:val="24"/>
        </w:rPr>
        <w:t>服务电话。</w:t>
      </w:r>
    </w:p>
    <w:p>
      <w:pPr>
        <w:pStyle w:val="29"/>
        <w:rPr>
          <w:rFonts w:hint="eastAsia" w:ascii="宋体" w:hAnsi="宋体"/>
          <w:sz w:val="24"/>
        </w:rPr>
      </w:pPr>
      <w:r>
        <w:rPr>
          <w:rFonts w:hint="eastAsia" w:ascii="宋体" w:hAnsi="宋体"/>
          <w:sz w:val="24"/>
        </w:rPr>
        <w:t>（售后电话，必填项）</w:t>
      </w:r>
    </w:p>
    <w:p>
      <w:pPr>
        <w:pStyle w:val="4"/>
        <w:spacing w:before="200" w:after="200" w:line="240" w:lineRule="auto"/>
        <w:rPr>
          <w:rFonts w:ascii="宋体" w:hAnsi="宋体"/>
          <w:kern w:val="2"/>
          <w:sz w:val="24"/>
          <w:szCs w:val="24"/>
        </w:rPr>
      </w:pPr>
      <w:r>
        <w:rPr>
          <w:rFonts w:hint="eastAsia" w:ascii="宋体" w:hAnsi="宋体"/>
          <w:kern w:val="2"/>
          <w:sz w:val="24"/>
          <w:szCs w:val="24"/>
        </w:rPr>
        <w:t>第四条  服务期限及服务生效时间</w:t>
      </w:r>
    </w:p>
    <w:p>
      <w:pPr>
        <w:ind w:firstLine="240" w:firstLineChars="100"/>
        <w:rPr>
          <w:rFonts w:hint="eastAsia" w:ascii="宋体" w:hAnsi="宋体"/>
          <w:color w:val="000000"/>
          <w:sz w:val="24"/>
        </w:rPr>
      </w:pPr>
      <w:r>
        <w:rPr>
          <w:rFonts w:hint="eastAsia" w:ascii="宋体" w:hAnsi="宋体"/>
          <w:color w:val="000000"/>
          <w:sz w:val="24"/>
        </w:rPr>
        <w:t>1丶本合同有效期一年，自＿年  ＿月＿日起至＿年＿月＿日止。</w:t>
      </w:r>
    </w:p>
    <w:p>
      <w:pPr>
        <w:ind w:firstLine="240" w:firstLineChars="100"/>
        <w:rPr>
          <w:rFonts w:hint="eastAsia" w:ascii="宋体" w:hAnsi="宋体"/>
          <w:color w:val="000000"/>
          <w:sz w:val="24"/>
        </w:rPr>
      </w:pPr>
      <w:r>
        <w:rPr>
          <w:rFonts w:hint="eastAsia" w:ascii="宋体" w:hAnsi="宋体"/>
          <w:color w:val="000000"/>
          <w:sz w:val="24"/>
        </w:rPr>
        <w:t>2丶本项目为政府采购服务类采购项目，按照《财政部关于推进和完善服务项目政府采购有关问题的通知》（财库2014  37号）文件要求，采购结果最多__3__年沿用，合同一年一考核一续签。是否续签，由甲方视财政预算安排及乙方供应商资质条件（是否符合《政府采购法》第二十二条规定等）、服务质量、服务内容、服务满意度等绩效考核情况确定。</w:t>
      </w:r>
    </w:p>
    <w:p>
      <w:pPr>
        <w:pStyle w:val="29"/>
        <w:rPr>
          <w:rFonts w:ascii="宋体" w:hAnsi="宋体"/>
          <w:sz w:val="24"/>
        </w:rPr>
      </w:pPr>
    </w:p>
    <w:p>
      <w:pPr>
        <w:pStyle w:val="4"/>
        <w:spacing w:before="200" w:after="200" w:line="240" w:lineRule="auto"/>
        <w:rPr>
          <w:rFonts w:hint="eastAsia" w:ascii="宋体" w:hAnsi="宋体"/>
          <w:kern w:val="2"/>
          <w:sz w:val="24"/>
          <w:szCs w:val="24"/>
        </w:rPr>
      </w:pPr>
      <w:r>
        <w:rPr>
          <w:rFonts w:hint="eastAsia" w:ascii="宋体" w:hAnsi="宋体"/>
          <w:kern w:val="2"/>
          <w:sz w:val="24"/>
          <w:szCs w:val="24"/>
        </w:rPr>
        <w:t>第五条 具体服务项目计费标准</w:t>
      </w:r>
    </w:p>
    <w:tbl>
      <w:tblPr>
        <w:tblStyle w:val="23"/>
        <w:tblpPr w:leftFromText="180" w:rightFromText="180" w:vertAnchor="text" w:horzAnchor="page" w:tblpX="1402" w:tblpY="505"/>
        <w:tblOverlap w:val="never"/>
        <w:tblW w:w="918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9"/>
        <w:gridCol w:w="1701"/>
        <w:gridCol w:w="1843"/>
        <w:gridCol w:w="1275"/>
        <w:gridCol w:w="1701"/>
        <w:gridCol w:w="17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7" w:hRule="atLeast"/>
        </w:trPr>
        <w:tc>
          <w:tcPr>
            <w:tcW w:w="959"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spacing w:val="4"/>
                <w:sz w:val="24"/>
              </w:rPr>
            </w:pPr>
            <w:r>
              <w:rPr>
                <w:rFonts w:hint="eastAsia" w:ascii="宋体" w:hAnsi="宋体"/>
                <w:spacing w:val="4"/>
                <w:sz w:val="24"/>
              </w:rPr>
              <w:t>序号</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spacing w:val="4"/>
                <w:sz w:val="24"/>
              </w:rPr>
            </w:pPr>
            <w:r>
              <w:rPr>
                <w:rFonts w:hint="eastAsia" w:ascii="宋体" w:hAnsi="宋体"/>
                <w:spacing w:val="4"/>
                <w:sz w:val="24"/>
              </w:rPr>
              <w:t>服务名称</w:t>
            </w:r>
          </w:p>
        </w:tc>
        <w:tc>
          <w:tcPr>
            <w:tcW w:w="1843"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left="250" w:right="71" w:hanging="250" w:hangingChars="101"/>
              <w:jc w:val="center"/>
              <w:rPr>
                <w:rFonts w:ascii="宋体" w:hAnsi="宋体"/>
                <w:spacing w:val="4"/>
                <w:sz w:val="24"/>
              </w:rPr>
            </w:pPr>
            <w:r>
              <w:rPr>
                <w:rFonts w:hint="eastAsia" w:ascii="宋体" w:hAnsi="宋体"/>
                <w:spacing w:val="4"/>
                <w:sz w:val="24"/>
              </w:rPr>
              <w:t>服务主要内容</w:t>
            </w:r>
          </w:p>
        </w:tc>
        <w:tc>
          <w:tcPr>
            <w:tcW w:w="1275"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spacing w:val="4"/>
                <w:sz w:val="24"/>
              </w:rPr>
            </w:pPr>
            <w:r>
              <w:rPr>
                <w:rFonts w:hint="eastAsia" w:ascii="宋体" w:hAnsi="宋体"/>
                <w:spacing w:val="4"/>
                <w:sz w:val="24"/>
              </w:rPr>
              <w:t>服务周期</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spacing w:val="4"/>
                <w:sz w:val="24"/>
              </w:rPr>
            </w:pPr>
            <w:r>
              <w:rPr>
                <w:rFonts w:hint="eastAsia" w:ascii="宋体" w:hAnsi="宋体"/>
                <w:spacing w:val="4"/>
                <w:sz w:val="24"/>
              </w:rPr>
              <w:t>单价</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spacing w:val="4"/>
                <w:sz w:val="24"/>
              </w:rPr>
            </w:pPr>
            <w:r>
              <w:rPr>
                <w:rFonts w:hint="eastAsia" w:ascii="宋体" w:hAnsi="宋体"/>
                <w:spacing w:val="4"/>
                <w:sz w:val="24"/>
              </w:rPr>
              <w:t>总价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268" w:hRule="atLeast"/>
        </w:trPr>
        <w:tc>
          <w:tcPr>
            <w:tcW w:w="959"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hint="eastAsia" w:ascii="宋体" w:hAnsi="宋体"/>
                <w:spacing w:val="4"/>
                <w:sz w:val="24"/>
              </w:rPr>
            </w:pPr>
            <w:r>
              <w:rPr>
                <w:rFonts w:hint="eastAsia" w:ascii="宋体" w:hAnsi="宋体"/>
                <w:spacing w:val="4"/>
                <w:sz w:val="24"/>
              </w:rPr>
              <w:t>1</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spacing w:val="4"/>
                <w:sz w:val="24"/>
              </w:rPr>
            </w:pPr>
          </w:p>
        </w:tc>
        <w:tc>
          <w:tcPr>
            <w:tcW w:w="1843"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left"/>
              <w:rPr>
                <w:rFonts w:ascii="宋体" w:hAnsi="宋体"/>
                <w:spacing w:val="4"/>
                <w:sz w:val="24"/>
              </w:rPr>
            </w:pPr>
          </w:p>
        </w:tc>
        <w:tc>
          <w:tcPr>
            <w:tcW w:w="1275"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hint="eastAsia" w:ascii="宋体" w:hAnsi="宋体"/>
                <w:spacing w:val="4"/>
                <w:sz w:val="24"/>
              </w:rPr>
            </w:pP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spacing w:val="4"/>
                <w:sz w:val="24"/>
              </w:rPr>
            </w:pP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spacing w:val="4"/>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74" w:hRule="atLeast"/>
        </w:trPr>
        <w:tc>
          <w:tcPr>
            <w:tcW w:w="9180" w:type="dxa"/>
            <w:gridSpan w:val="6"/>
            <w:tcBorders>
              <w:top w:val="single" w:color="auto" w:sz="4" w:space="0"/>
              <w:left w:val="single" w:color="auto" w:sz="4" w:space="0"/>
              <w:bottom w:val="single" w:color="auto" w:sz="4" w:space="0"/>
              <w:right w:val="single" w:color="auto" w:sz="4" w:space="0"/>
            </w:tcBorders>
            <w:noWrap w:val="0"/>
            <w:vAlign w:val="top"/>
          </w:tcPr>
          <w:p>
            <w:pPr>
              <w:spacing w:line="440" w:lineRule="exact"/>
              <w:ind w:right="71"/>
              <w:rPr>
                <w:rFonts w:ascii="宋体" w:hAnsi="宋体"/>
                <w:spacing w:val="4"/>
                <w:sz w:val="24"/>
              </w:rPr>
            </w:pPr>
            <w:r>
              <w:rPr>
                <w:rFonts w:hint="eastAsia" w:ascii="宋体" w:hAnsi="宋体"/>
                <w:spacing w:val="4"/>
                <w:sz w:val="24"/>
              </w:rPr>
              <w:t>金额合计：人民币</w:t>
            </w:r>
            <w:r>
              <w:rPr>
                <w:rFonts w:hint="eastAsia" w:ascii="宋体" w:hAnsi="宋体"/>
                <w:spacing w:val="4"/>
                <w:sz w:val="24"/>
                <w:u w:val="single"/>
              </w:rPr>
              <w:t>￥</w:t>
            </w:r>
            <w:r>
              <w:rPr>
                <w:rFonts w:ascii="宋体" w:hAnsi="宋体"/>
                <w:spacing w:val="4"/>
                <w:sz w:val="24"/>
                <w:u w:val="single"/>
              </w:rPr>
              <w:t xml:space="preserve"> </w:t>
            </w:r>
            <w:r>
              <w:rPr>
                <w:rFonts w:hint="eastAsia" w:ascii="宋体" w:hAnsi="宋体"/>
                <w:spacing w:val="4"/>
                <w:sz w:val="24"/>
                <w:u w:val="single"/>
              </w:rPr>
              <w:t xml:space="preserve">           ，（大写） </w:t>
            </w:r>
            <w:r>
              <w:rPr>
                <w:rFonts w:ascii="宋体" w:hAnsi="宋体"/>
                <w:spacing w:val="4"/>
                <w:sz w:val="24"/>
                <w:u w:val="single"/>
              </w:rPr>
              <w:t xml:space="preserve"> </w:t>
            </w:r>
          </w:p>
        </w:tc>
      </w:tr>
    </w:tbl>
    <w:p>
      <w:pPr>
        <w:pStyle w:val="4"/>
        <w:spacing w:before="200" w:after="200" w:line="240" w:lineRule="auto"/>
        <w:rPr>
          <w:rFonts w:hint="eastAsia" w:ascii="宋体" w:hAnsi="宋体"/>
          <w:kern w:val="2"/>
          <w:sz w:val="24"/>
          <w:szCs w:val="24"/>
        </w:rPr>
      </w:pPr>
      <w:r>
        <w:rPr>
          <w:rFonts w:hint="eastAsia" w:ascii="宋体" w:hAnsi="宋体"/>
          <w:kern w:val="2"/>
          <w:sz w:val="24"/>
          <w:szCs w:val="24"/>
        </w:rPr>
        <w:t>第六条 费用支付方式</w:t>
      </w:r>
    </w:p>
    <w:p>
      <w:pPr>
        <w:ind w:firstLine="420"/>
        <w:rPr>
          <w:rFonts w:hint="eastAsia" w:ascii="宋体" w:hAnsi="宋体"/>
          <w:iCs/>
          <w:sz w:val="24"/>
          <w:lang w:val="en-US" w:eastAsia="zh-CN"/>
        </w:rPr>
      </w:pPr>
      <w:r>
        <w:rPr>
          <w:rFonts w:hint="eastAsia" w:ascii="宋体" w:hAnsi="宋体"/>
          <w:sz w:val="24"/>
        </w:rPr>
        <w:t>合同标的服务费金额为</w:t>
      </w:r>
      <w:r>
        <w:rPr>
          <w:rFonts w:hint="eastAsia" w:ascii="宋体" w:hAnsi="宋体"/>
          <w:iCs/>
          <w:sz w:val="24"/>
        </w:rPr>
        <w:t>人民币</w:t>
      </w:r>
      <w:r>
        <w:rPr>
          <w:rFonts w:hint="eastAsia" w:ascii="宋体" w:hAnsi="宋体"/>
          <w:iCs/>
          <w:sz w:val="24"/>
          <w:u w:val="single"/>
        </w:rPr>
        <w:t xml:space="preserve">   </w:t>
      </w:r>
      <w:r>
        <w:rPr>
          <w:rFonts w:hint="eastAsia" w:ascii="宋体" w:hAnsi="宋体"/>
          <w:iCs/>
          <w:sz w:val="24"/>
        </w:rPr>
        <w:t>万元（大写：</w:t>
      </w:r>
      <w:r>
        <w:rPr>
          <w:rFonts w:hint="eastAsia" w:ascii="宋体" w:hAnsi="宋体"/>
          <w:spacing w:val="4"/>
          <w:sz w:val="24"/>
          <w:u w:val="single"/>
        </w:rPr>
        <w:t xml:space="preserve">     </w:t>
      </w:r>
      <w:r>
        <w:rPr>
          <w:rFonts w:hint="eastAsia" w:ascii="宋体" w:hAnsi="宋体"/>
          <w:spacing w:val="4"/>
          <w:sz w:val="24"/>
        </w:rPr>
        <w:t>整</w:t>
      </w:r>
      <w:r>
        <w:rPr>
          <w:rFonts w:hint="eastAsia" w:ascii="宋体" w:hAnsi="宋体"/>
          <w:iCs/>
          <w:sz w:val="24"/>
        </w:rPr>
        <w:t>）。合同签订后，</w:t>
      </w:r>
      <w:r>
        <w:rPr>
          <w:rFonts w:hint="eastAsia" w:ascii="宋体" w:hAnsi="宋体"/>
          <w:iCs/>
          <w:sz w:val="24"/>
          <w:lang w:val="en-US" w:eastAsia="zh-CN"/>
        </w:rPr>
        <w:t>（</w:t>
      </w:r>
      <w:r>
        <w:rPr>
          <w:rFonts w:hint="eastAsia" w:ascii="宋体" w:hAnsi="宋体"/>
          <w:iCs/>
          <w:sz w:val="24"/>
        </w:rPr>
        <w:t>甲方以银行转账形式支付乙方价款，乙方需在甲方转帐前10日内提供符合甲方要求的等额票据</w:t>
      </w:r>
      <w:r>
        <w:rPr>
          <w:rFonts w:hint="eastAsia" w:ascii="宋体" w:hAnsi="宋体"/>
          <w:iCs/>
          <w:sz w:val="24"/>
          <w:lang w:val="en-US" w:eastAsia="zh-CN"/>
        </w:rPr>
        <w:t>）</w:t>
      </w:r>
      <w:r>
        <w:rPr>
          <w:rFonts w:hint="eastAsia" w:ascii="宋体" w:hAnsi="宋体"/>
          <w:sz w:val="24"/>
        </w:rPr>
        <w:t>甲方支付给乙方合同价款的</w:t>
      </w:r>
      <w:r>
        <w:rPr>
          <w:rFonts w:hint="eastAsia" w:ascii="宋体" w:hAnsi="宋体"/>
          <w:spacing w:val="4"/>
          <w:sz w:val="24"/>
          <w:u w:val="single"/>
        </w:rPr>
        <w:t xml:space="preserve">  </w:t>
      </w:r>
      <w:r>
        <w:rPr>
          <w:rFonts w:hint="eastAsia" w:ascii="宋体" w:hAnsi="宋体"/>
          <w:spacing w:val="4"/>
          <w:sz w:val="24"/>
        </w:rPr>
        <w:t>%，</w:t>
      </w:r>
      <w:r>
        <w:rPr>
          <w:rFonts w:hint="eastAsia" w:ascii="宋体" w:hAnsi="宋体"/>
          <w:sz w:val="24"/>
        </w:rPr>
        <w:t>人民币</w:t>
      </w:r>
      <w:r>
        <w:rPr>
          <w:rFonts w:hint="eastAsia" w:ascii="宋体" w:hAnsi="宋体"/>
          <w:iCs/>
          <w:sz w:val="24"/>
          <w:u w:val="single"/>
        </w:rPr>
        <w:t xml:space="preserve">   </w:t>
      </w:r>
      <w:r>
        <w:rPr>
          <w:rFonts w:hint="eastAsia" w:ascii="宋体" w:hAnsi="宋体"/>
          <w:iCs/>
          <w:sz w:val="24"/>
        </w:rPr>
        <w:t>万元</w:t>
      </w:r>
      <w:r>
        <w:rPr>
          <w:rFonts w:hint="eastAsia" w:ascii="宋体" w:hAnsi="宋体"/>
          <w:spacing w:val="4"/>
          <w:sz w:val="24"/>
        </w:rPr>
        <w:t>（大写：</w:t>
      </w:r>
      <w:r>
        <w:rPr>
          <w:rFonts w:hint="eastAsia" w:ascii="宋体" w:hAnsi="宋体"/>
          <w:spacing w:val="4"/>
          <w:sz w:val="24"/>
          <w:u w:val="single"/>
        </w:rPr>
        <w:t xml:space="preserve">      </w:t>
      </w:r>
      <w:r>
        <w:rPr>
          <w:rFonts w:hint="eastAsia" w:ascii="宋体" w:hAnsi="宋体"/>
          <w:spacing w:val="4"/>
          <w:sz w:val="24"/>
        </w:rPr>
        <w:t>元整）；项目终</w:t>
      </w:r>
      <w:r>
        <w:rPr>
          <w:rFonts w:hint="eastAsia" w:ascii="宋体" w:hAnsi="宋体"/>
          <w:sz w:val="24"/>
        </w:rPr>
        <w:t>期验收合格10个工作日内，甲方支付给乙方人民币合同价款的</w:t>
      </w:r>
      <w:r>
        <w:rPr>
          <w:rFonts w:hint="eastAsia" w:ascii="宋体" w:hAnsi="宋体"/>
          <w:spacing w:val="4"/>
          <w:sz w:val="24"/>
          <w:u w:val="single"/>
        </w:rPr>
        <w:t xml:space="preserve">   </w:t>
      </w:r>
      <w:r>
        <w:rPr>
          <w:rFonts w:hint="eastAsia" w:ascii="宋体" w:hAnsi="宋体"/>
          <w:spacing w:val="4"/>
          <w:sz w:val="24"/>
        </w:rPr>
        <w:t>%，</w:t>
      </w:r>
      <w:r>
        <w:rPr>
          <w:rFonts w:hint="eastAsia" w:ascii="宋体" w:hAnsi="宋体"/>
          <w:sz w:val="24"/>
        </w:rPr>
        <w:t>人民币</w:t>
      </w:r>
      <w:r>
        <w:rPr>
          <w:rFonts w:hint="eastAsia" w:ascii="宋体" w:hAnsi="宋体"/>
          <w:iCs/>
          <w:sz w:val="24"/>
          <w:u w:val="single"/>
        </w:rPr>
        <w:t xml:space="preserve">   </w:t>
      </w:r>
      <w:r>
        <w:rPr>
          <w:rFonts w:hint="eastAsia" w:ascii="宋体" w:hAnsi="宋体"/>
          <w:iCs/>
          <w:sz w:val="24"/>
        </w:rPr>
        <w:t>万元</w:t>
      </w:r>
      <w:r>
        <w:rPr>
          <w:rFonts w:hint="eastAsia" w:ascii="宋体" w:hAnsi="宋体"/>
          <w:spacing w:val="4"/>
          <w:sz w:val="24"/>
        </w:rPr>
        <w:t>（大写：</w:t>
      </w:r>
      <w:r>
        <w:rPr>
          <w:rFonts w:hint="eastAsia" w:ascii="宋体" w:hAnsi="宋体"/>
          <w:spacing w:val="4"/>
          <w:sz w:val="24"/>
          <w:u w:val="single"/>
        </w:rPr>
        <w:t xml:space="preserve">      </w:t>
      </w:r>
      <w:r>
        <w:rPr>
          <w:rFonts w:hint="eastAsia" w:ascii="宋体" w:hAnsi="宋体"/>
          <w:spacing w:val="4"/>
          <w:sz w:val="24"/>
        </w:rPr>
        <w:t>元整）；服务期满</w:t>
      </w:r>
      <w:r>
        <w:rPr>
          <w:rFonts w:hint="eastAsia" w:ascii="宋体" w:hAnsi="宋体"/>
          <w:sz w:val="24"/>
        </w:rPr>
        <w:t>10个工作日后，甲方支付合同价款的</w:t>
      </w:r>
      <w:r>
        <w:rPr>
          <w:rFonts w:hint="eastAsia" w:ascii="宋体" w:hAnsi="宋体"/>
          <w:iCs/>
          <w:sz w:val="24"/>
          <w:u w:val="single"/>
        </w:rPr>
        <w:t>10</w:t>
      </w:r>
      <w:r>
        <w:rPr>
          <w:rFonts w:hint="eastAsia" w:ascii="宋体" w:hAnsi="宋体"/>
          <w:iCs/>
          <w:sz w:val="24"/>
        </w:rPr>
        <w:t>%，</w:t>
      </w:r>
      <w:r>
        <w:rPr>
          <w:rFonts w:hint="eastAsia" w:ascii="宋体" w:hAnsi="宋体"/>
          <w:sz w:val="24"/>
        </w:rPr>
        <w:t>人民币</w:t>
      </w:r>
      <w:r>
        <w:rPr>
          <w:rFonts w:hint="eastAsia" w:ascii="宋体" w:hAnsi="宋体"/>
          <w:iCs/>
          <w:sz w:val="24"/>
          <w:u w:val="single"/>
        </w:rPr>
        <w:t xml:space="preserve">   </w:t>
      </w:r>
      <w:r>
        <w:rPr>
          <w:rFonts w:hint="eastAsia" w:ascii="宋体" w:hAnsi="宋体"/>
          <w:iCs/>
          <w:sz w:val="24"/>
        </w:rPr>
        <w:t>万元</w:t>
      </w:r>
      <w:r>
        <w:rPr>
          <w:rFonts w:hint="eastAsia" w:ascii="宋体" w:hAnsi="宋体"/>
          <w:spacing w:val="4"/>
          <w:sz w:val="24"/>
        </w:rPr>
        <w:t>（大写：</w:t>
      </w:r>
      <w:r>
        <w:rPr>
          <w:rFonts w:hint="eastAsia" w:ascii="宋体" w:hAnsi="宋体"/>
          <w:spacing w:val="4"/>
          <w:sz w:val="24"/>
          <w:u w:val="single"/>
        </w:rPr>
        <w:t xml:space="preserve">      </w:t>
      </w:r>
      <w:r>
        <w:rPr>
          <w:rFonts w:hint="eastAsia" w:ascii="宋体" w:hAnsi="宋体"/>
          <w:spacing w:val="4"/>
          <w:sz w:val="24"/>
        </w:rPr>
        <w:t>元整）</w:t>
      </w:r>
      <w:r>
        <w:rPr>
          <w:rFonts w:hint="eastAsia" w:ascii="宋体" w:hAnsi="宋体"/>
          <w:iCs/>
          <w:sz w:val="24"/>
        </w:rPr>
        <w:t>。</w:t>
      </w:r>
      <w:r>
        <w:rPr>
          <w:rFonts w:hint="eastAsia" w:ascii="宋体" w:hAnsi="宋体"/>
          <w:iCs/>
          <w:sz w:val="24"/>
          <w:lang w:val="en-US" w:eastAsia="zh-CN"/>
        </w:rPr>
        <w:t xml:space="preserve"> </w:t>
      </w:r>
    </w:p>
    <w:p>
      <w:pPr>
        <w:ind w:firstLine="420"/>
        <w:rPr>
          <w:rFonts w:hint="eastAsia" w:ascii="宋体" w:hAnsi="宋体"/>
          <w:iCs/>
          <w:sz w:val="24"/>
        </w:rPr>
      </w:pPr>
    </w:p>
    <w:p>
      <w:pPr>
        <w:rPr>
          <w:rFonts w:ascii="宋体" w:hAnsi="宋体"/>
          <w:sz w:val="24"/>
        </w:rPr>
      </w:pPr>
      <w:r>
        <w:rPr>
          <w:rFonts w:hint="eastAsia" w:ascii="宋体" w:hAnsi="宋体"/>
          <w:sz w:val="24"/>
        </w:rPr>
        <w:t>乙方指定收款账户如下：</w:t>
      </w:r>
    </w:p>
    <w:p>
      <w:pPr>
        <w:rPr>
          <w:rFonts w:hint="eastAsia" w:ascii="宋体" w:hAnsi="宋体"/>
          <w:sz w:val="24"/>
        </w:rPr>
      </w:pPr>
      <w:r>
        <w:rPr>
          <w:rFonts w:hint="eastAsia" w:ascii="宋体" w:hAnsi="宋体"/>
          <w:sz w:val="24"/>
        </w:rPr>
        <w:t xml:space="preserve">单位全称： </w:t>
      </w:r>
    </w:p>
    <w:p>
      <w:pPr>
        <w:rPr>
          <w:rFonts w:hint="eastAsia" w:ascii="宋体" w:hAnsi="宋体"/>
          <w:sz w:val="24"/>
        </w:rPr>
      </w:pPr>
      <w:r>
        <w:rPr>
          <w:rFonts w:hint="eastAsia" w:ascii="宋体" w:hAnsi="宋体"/>
          <w:sz w:val="24"/>
        </w:rPr>
        <w:t xml:space="preserve">开 户 行： </w:t>
      </w:r>
    </w:p>
    <w:p>
      <w:pPr>
        <w:rPr>
          <w:rFonts w:hint="eastAsia" w:ascii="宋体" w:hAnsi="宋体"/>
          <w:sz w:val="24"/>
        </w:rPr>
      </w:pPr>
      <w:r>
        <w:rPr>
          <w:rFonts w:hint="eastAsia" w:ascii="宋体" w:hAnsi="宋体"/>
          <w:sz w:val="24"/>
        </w:rPr>
        <w:t xml:space="preserve">帐    号： </w:t>
      </w:r>
    </w:p>
    <w:p>
      <w:pPr>
        <w:pStyle w:val="4"/>
        <w:spacing w:before="200" w:after="200" w:line="240" w:lineRule="auto"/>
        <w:rPr>
          <w:rFonts w:ascii="宋体" w:hAnsi="宋体"/>
          <w:kern w:val="2"/>
          <w:sz w:val="24"/>
          <w:szCs w:val="24"/>
        </w:rPr>
      </w:pPr>
      <w:r>
        <w:rPr>
          <w:rFonts w:hint="eastAsia" w:ascii="宋体" w:hAnsi="宋体"/>
          <w:kern w:val="2"/>
          <w:sz w:val="24"/>
          <w:szCs w:val="24"/>
        </w:rPr>
        <w:t>第七条 甲乙双方责任与义务</w:t>
      </w:r>
    </w:p>
    <w:p>
      <w:pPr>
        <w:rPr>
          <w:rFonts w:hint="eastAsia" w:ascii="宋体" w:hAnsi="宋体"/>
          <w:color w:val="000000"/>
          <w:sz w:val="24"/>
        </w:rPr>
      </w:pPr>
      <w:r>
        <w:rPr>
          <w:rFonts w:hint="eastAsia" w:ascii="宋体" w:hAnsi="宋体"/>
          <w:color w:val="000000"/>
          <w:sz w:val="24"/>
        </w:rPr>
        <w:t>甲方责任：</w:t>
      </w:r>
    </w:p>
    <w:p>
      <w:pPr>
        <w:rPr>
          <w:rFonts w:ascii="宋体" w:hAnsi="宋体"/>
          <w:color w:val="000000"/>
          <w:sz w:val="24"/>
        </w:rPr>
      </w:pPr>
      <w:r>
        <w:rPr>
          <w:rFonts w:hint="eastAsia" w:ascii="宋体" w:hAnsi="宋体"/>
          <w:color w:val="000000"/>
          <w:sz w:val="24"/>
        </w:rPr>
        <w:t>1、在乙方进行支持服务时，根据乙方要求，指定配合工作的人员，提供必要的设备。</w:t>
      </w:r>
    </w:p>
    <w:p>
      <w:pPr>
        <w:rPr>
          <w:rFonts w:hint="eastAsia" w:ascii="宋体" w:hAnsi="宋体"/>
          <w:color w:val="000000"/>
          <w:sz w:val="24"/>
        </w:rPr>
      </w:pPr>
      <w:r>
        <w:rPr>
          <w:rFonts w:hint="eastAsia" w:ascii="宋体" w:hAnsi="宋体"/>
          <w:color w:val="000000"/>
          <w:sz w:val="24"/>
        </w:rPr>
        <w:t>2、在乙方服务人员支持服务完成时，配合检查设备、系统运行是否正常。</w:t>
      </w:r>
    </w:p>
    <w:p>
      <w:pPr>
        <w:rPr>
          <w:rFonts w:ascii="宋体" w:hAnsi="宋体"/>
          <w:color w:val="000000"/>
          <w:sz w:val="24"/>
        </w:rPr>
      </w:pPr>
      <w:r>
        <w:rPr>
          <w:rFonts w:hint="eastAsia" w:ascii="宋体" w:hAnsi="宋体"/>
          <w:color w:val="000000"/>
          <w:sz w:val="24"/>
        </w:rPr>
        <w:t>3、甲方如果要求乙方超出本合同及其附件约定的范围提供支持服务，甲方应与乙方另行协商签署相关合同，并向乙方支付相应的服务费用。</w:t>
      </w:r>
    </w:p>
    <w:p>
      <w:pPr>
        <w:rPr>
          <w:rFonts w:hint="eastAsia" w:ascii="宋体" w:hAnsi="宋体"/>
          <w:color w:val="000000"/>
          <w:sz w:val="24"/>
        </w:rPr>
      </w:pPr>
    </w:p>
    <w:p>
      <w:pPr>
        <w:rPr>
          <w:rFonts w:hint="eastAsia" w:ascii="宋体" w:hAnsi="宋体"/>
          <w:color w:val="000000"/>
          <w:sz w:val="24"/>
        </w:rPr>
      </w:pPr>
      <w:r>
        <w:rPr>
          <w:rFonts w:hint="eastAsia" w:ascii="宋体" w:hAnsi="宋体"/>
          <w:color w:val="000000"/>
          <w:sz w:val="24"/>
        </w:rPr>
        <w:t>乙方责任：</w:t>
      </w:r>
    </w:p>
    <w:p>
      <w:pPr>
        <w:rPr>
          <w:rFonts w:hint="eastAsia" w:ascii="宋体" w:hAnsi="宋体"/>
          <w:color w:val="000000"/>
          <w:sz w:val="24"/>
        </w:rPr>
      </w:pPr>
      <w:r>
        <w:rPr>
          <w:rFonts w:hint="eastAsia" w:ascii="宋体" w:hAnsi="宋体"/>
          <w:color w:val="000000"/>
          <w:sz w:val="24"/>
        </w:rPr>
        <w:t>1. 严格执行作息制度，按规定时间上下班并根据工作需要按甲方要求进行加班。当产生加班时由甲方为加班人员开具加班证明，乙方必须按照有关规定给予加班人员加班补助。</w:t>
      </w:r>
    </w:p>
    <w:p>
      <w:pPr>
        <w:rPr>
          <w:rFonts w:hint="eastAsia" w:ascii="宋体" w:hAnsi="宋体"/>
          <w:color w:val="000000"/>
          <w:sz w:val="24"/>
        </w:rPr>
      </w:pPr>
      <w:r>
        <w:rPr>
          <w:rFonts w:hint="eastAsia" w:ascii="宋体" w:hAnsi="宋体"/>
          <w:color w:val="000000"/>
          <w:sz w:val="24"/>
        </w:rPr>
        <w:t>2. 严格遵守甲方安全保密制度和规定，签署保密协议。</w:t>
      </w:r>
    </w:p>
    <w:p>
      <w:pPr>
        <w:rPr>
          <w:rFonts w:hint="eastAsia" w:ascii="宋体" w:hAnsi="宋体"/>
          <w:color w:val="000000"/>
          <w:sz w:val="24"/>
        </w:rPr>
      </w:pPr>
      <w:r>
        <w:rPr>
          <w:rFonts w:hint="eastAsia" w:ascii="宋体" w:hAnsi="宋体"/>
          <w:color w:val="000000"/>
          <w:sz w:val="24"/>
        </w:rPr>
        <w:t>3. 严格按照甲方的管理维护制度要求进行相关工作。</w:t>
      </w:r>
    </w:p>
    <w:p>
      <w:pPr>
        <w:rPr>
          <w:rFonts w:hint="eastAsia" w:ascii="宋体" w:hAnsi="宋体"/>
          <w:color w:val="000000"/>
          <w:sz w:val="24"/>
        </w:rPr>
      </w:pPr>
      <w:r>
        <w:rPr>
          <w:rFonts w:hint="eastAsia" w:ascii="宋体" w:hAnsi="宋体"/>
          <w:color w:val="000000"/>
          <w:sz w:val="24"/>
        </w:rPr>
        <w:t>4.发生重大故障立即报告并进行故障排查，故障解决后立即形成书面材料进行上报，说明故障原因、排查过程 、解决方法及预防故障发生的措施或建议等。</w:t>
      </w:r>
    </w:p>
    <w:p>
      <w:pPr>
        <w:rPr>
          <w:rFonts w:hint="eastAsia" w:ascii="宋体" w:hAnsi="宋体"/>
          <w:color w:val="000000"/>
          <w:sz w:val="24"/>
        </w:rPr>
      </w:pPr>
      <w:r>
        <w:rPr>
          <w:rFonts w:hint="eastAsia" w:ascii="宋体" w:hAnsi="宋体"/>
          <w:color w:val="000000"/>
          <w:sz w:val="24"/>
        </w:rPr>
        <w:t>5. 及时填写各类维护记录，保证每次维护工作可进行有效追踪和核查。</w:t>
      </w:r>
    </w:p>
    <w:p>
      <w:pPr>
        <w:rPr>
          <w:rFonts w:hint="eastAsia" w:ascii="宋体" w:hAnsi="宋体"/>
          <w:color w:val="000000"/>
          <w:sz w:val="24"/>
        </w:rPr>
      </w:pPr>
      <w:r>
        <w:rPr>
          <w:rFonts w:hint="eastAsia" w:ascii="宋体" w:hAnsi="宋体"/>
          <w:color w:val="000000"/>
          <w:sz w:val="24"/>
        </w:rPr>
        <w:t>6. 甲方对聘用人员进行工作考核，对不符合要求的人员随时要求乙方进行撤换。</w:t>
      </w:r>
    </w:p>
    <w:p>
      <w:pPr>
        <w:rPr>
          <w:rFonts w:hint="eastAsia" w:ascii="宋体" w:hAnsi="宋体"/>
          <w:color w:val="000000"/>
          <w:sz w:val="24"/>
        </w:rPr>
      </w:pPr>
      <w:r>
        <w:rPr>
          <w:rFonts w:hint="eastAsia" w:ascii="宋体" w:hAnsi="宋体"/>
          <w:color w:val="000000"/>
          <w:sz w:val="24"/>
        </w:rPr>
        <w:t>7. 甲方只负责按照合同约定的金额向乙方支付人员聘用费用，维护人员的工资、社会保险及其它待遇或相关费用等均由乙方负责。</w:t>
      </w:r>
    </w:p>
    <w:p>
      <w:pPr>
        <w:rPr>
          <w:rFonts w:hint="eastAsia" w:ascii="宋体" w:hAnsi="宋体"/>
          <w:color w:val="000000"/>
          <w:sz w:val="24"/>
        </w:rPr>
      </w:pPr>
      <w:r>
        <w:rPr>
          <w:rFonts w:hint="eastAsia" w:ascii="宋体" w:hAnsi="宋体"/>
          <w:color w:val="000000"/>
          <w:sz w:val="24"/>
        </w:rPr>
        <w:t>8. 未经甲方批准，获聘单位不准随意更换聘用人员。</w:t>
      </w:r>
    </w:p>
    <w:p>
      <w:pPr>
        <w:rPr>
          <w:rFonts w:hint="eastAsia" w:ascii="宋体" w:hAnsi="宋体"/>
          <w:color w:val="000000"/>
          <w:sz w:val="24"/>
        </w:rPr>
      </w:pPr>
      <w:r>
        <w:rPr>
          <w:rFonts w:hint="eastAsia" w:ascii="宋体" w:hAnsi="宋体"/>
          <w:color w:val="000000"/>
          <w:sz w:val="24"/>
        </w:rPr>
        <w:t>9. 聘用人员在聘用期间必须完全遵守甲方的有关规定和服从管理。</w:t>
      </w:r>
    </w:p>
    <w:p>
      <w:pPr>
        <w:rPr>
          <w:rFonts w:hint="eastAsia" w:ascii="宋体" w:hAnsi="宋体"/>
          <w:color w:val="000000"/>
          <w:sz w:val="24"/>
        </w:rPr>
      </w:pPr>
      <w:r>
        <w:rPr>
          <w:rFonts w:hint="eastAsia" w:ascii="宋体" w:hAnsi="宋体"/>
          <w:color w:val="000000"/>
          <w:sz w:val="24"/>
        </w:rPr>
        <w:t>10. 所有获聘人员均有三个月试用期，期间不满足甲方要求，需无条件更换获聘人员，若整个试用期间一直无法满足甲方的要求，甲方有权解除聘用合同，不承担任何违约责任。</w:t>
      </w:r>
    </w:p>
    <w:p>
      <w:pPr>
        <w:rPr>
          <w:rFonts w:ascii="宋体" w:hAnsi="宋体"/>
          <w:color w:val="000000"/>
          <w:sz w:val="24"/>
        </w:rPr>
      </w:pPr>
    </w:p>
    <w:p>
      <w:pPr>
        <w:pStyle w:val="5"/>
        <w:rPr>
          <w:rFonts w:hint="eastAsia" w:ascii="宋体" w:hAnsi="宋体"/>
          <w:sz w:val="24"/>
          <w:szCs w:val="24"/>
        </w:rPr>
      </w:pPr>
      <w:r>
        <w:rPr>
          <w:rFonts w:hint="eastAsia" w:ascii="宋体" w:hAnsi="宋体"/>
          <w:sz w:val="24"/>
          <w:szCs w:val="24"/>
        </w:rPr>
        <w:t>第八条 违约责任</w:t>
      </w:r>
    </w:p>
    <w:p>
      <w:pPr>
        <w:rPr>
          <w:rFonts w:hint="eastAsia" w:ascii="宋体" w:hAnsi="宋体"/>
          <w:sz w:val="24"/>
        </w:rPr>
      </w:pPr>
      <w:r>
        <w:rPr>
          <w:rFonts w:hint="eastAsia" w:ascii="宋体" w:hAnsi="宋体"/>
          <w:sz w:val="24"/>
        </w:rPr>
        <w:t>1、由于一方违约，造成本合同及其附件不能履行或不能完全履行时，由违约方承担违约责任；如属双方违约，根据实际情况，由双方分别承担各自应负的违约责任。</w:t>
      </w:r>
    </w:p>
    <w:p>
      <w:pPr>
        <w:rPr>
          <w:rFonts w:hint="eastAsia" w:ascii="宋体" w:hAnsi="宋体"/>
          <w:sz w:val="24"/>
        </w:rPr>
      </w:pPr>
      <w:r>
        <w:rPr>
          <w:rFonts w:hint="eastAsia" w:ascii="宋体" w:hAnsi="宋体"/>
          <w:sz w:val="24"/>
        </w:rPr>
        <w:t>2、除乙方违约情况下，甲方无故未按合同约定的时间和金额向乙方支付应付款项，则自本合同约定的付款之日起，每延迟一天，甲方应向乙方支付本合同应付而未付金额的万分之一的违约金，违约金最高不得超过未付金额的百分之三。</w:t>
      </w:r>
    </w:p>
    <w:p>
      <w:pPr>
        <w:rPr>
          <w:rFonts w:hint="eastAsia" w:ascii="宋体" w:hAnsi="宋体"/>
          <w:sz w:val="24"/>
        </w:rPr>
      </w:pPr>
      <w:r>
        <w:rPr>
          <w:rFonts w:hint="eastAsia" w:ascii="宋体" w:hAnsi="宋体"/>
          <w:sz w:val="24"/>
        </w:rPr>
        <w:t>3、如因乙方责任造成项目延期，则自项目应完成之日起，每延迟一天，乙方应向甲方支付未完成部分的合同金额的万分之一。</w:t>
      </w:r>
    </w:p>
    <w:p>
      <w:pPr>
        <w:rPr>
          <w:rFonts w:hint="eastAsia" w:ascii="宋体" w:hAnsi="宋体"/>
          <w:sz w:val="24"/>
        </w:rPr>
      </w:pPr>
      <w:r>
        <w:rPr>
          <w:rFonts w:hint="eastAsia" w:ascii="宋体" w:hAnsi="宋体"/>
          <w:sz w:val="24"/>
        </w:rPr>
        <w:t>4、在本合同履行过程中，任何一方的行为违背了本合同的规定，致使本合同不能继续履行，受损害一方可立即以书面形式通知违约方终止本合同，并由违约方支付违约金给守约方。而且违约方还应赔偿因此给守约方造成的直接经济损失。</w:t>
      </w:r>
    </w:p>
    <w:p>
      <w:pPr>
        <w:rPr>
          <w:rFonts w:hint="eastAsia" w:ascii="宋体" w:hAnsi="宋体"/>
          <w:sz w:val="24"/>
        </w:rPr>
      </w:pPr>
      <w:r>
        <w:rPr>
          <w:rFonts w:hint="eastAsia" w:ascii="宋体" w:hAnsi="宋体"/>
          <w:sz w:val="24"/>
        </w:rPr>
        <w:t>5、除乙方根本违约等法定解除条件成就或其他违约行为导致本合同不能履行外，对本合同项下某一条款的争议，不应影响合同双方对其他条款的履行。</w:t>
      </w:r>
    </w:p>
    <w:p>
      <w:pPr>
        <w:rPr>
          <w:rFonts w:hint="eastAsia" w:ascii="宋体" w:hAnsi="宋体"/>
          <w:color w:val="FF0000"/>
          <w:sz w:val="30"/>
          <w:szCs w:val="30"/>
        </w:rPr>
      </w:pPr>
      <w:r>
        <w:rPr>
          <w:rFonts w:hint="eastAsia" w:ascii="宋体" w:hAnsi="宋体"/>
          <w:sz w:val="24"/>
        </w:rPr>
        <w:t>6、乙方的服务人员不履行或不按本合同约定履行服务，并给甲方造成了实际损失，乙方应该对甲方实际损失给予赔偿。</w:t>
      </w:r>
    </w:p>
    <w:p>
      <w:pPr>
        <w:rPr>
          <w:rFonts w:hint="eastAsia" w:ascii="宋体" w:hAnsi="宋体"/>
          <w:sz w:val="24"/>
        </w:rPr>
      </w:pPr>
      <w:r>
        <w:rPr>
          <w:rFonts w:hint="eastAsia" w:ascii="宋体" w:hAnsi="宋体"/>
          <w:sz w:val="24"/>
        </w:rPr>
        <w:t>7、对于因乙方运维人员责任造成业务系统中断业务达半小时以上、或造成系统数据错误的，发生一次即扣除乙方年服务费用的1%；对于因乙方运维人员责任造成业务系统中断业务二小时以上，发生一次即扣除乙方年服务费用的3%；对于因乙方运维人员责任造成业务系统中断业务四小时以上,发生一次即扣除乙方年服务费用的5%，上述事故半年内联系发生二次以上的，甲方可单方解除本合同，仅支付乙方已发生的成本费用，其他损失乙方自行承担，因此给甲方造成的损失，乙方应予赔偿，该损失包含甲方可得利益损失。</w:t>
      </w:r>
    </w:p>
    <w:p>
      <w:pPr>
        <w:rPr>
          <w:rFonts w:hint="eastAsia" w:ascii="宋体" w:hAnsi="宋体"/>
          <w:sz w:val="24"/>
        </w:rPr>
      </w:pPr>
      <w:r>
        <w:rPr>
          <w:rFonts w:hint="eastAsia" w:ascii="宋体" w:hAnsi="宋体"/>
          <w:sz w:val="24"/>
        </w:rPr>
        <w:t>8、乙方运维人员的日常工作管理和工作纪律管理由甲方统一负责，乙方须协助做好运维人员的工作纪律管理和工作质量监督，对不合格的运维人员须按照甲方的要求在一个月内调整到位，否则按照超期每天即扣除乙方人月运维费用的5%。</w:t>
      </w:r>
    </w:p>
    <w:p>
      <w:pPr>
        <w:rPr>
          <w:rFonts w:hint="eastAsia" w:ascii="宋体" w:hAnsi="宋体"/>
          <w:sz w:val="24"/>
        </w:rPr>
      </w:pPr>
      <w:r>
        <w:rPr>
          <w:rFonts w:hint="eastAsia" w:ascii="宋体" w:hAnsi="宋体"/>
          <w:sz w:val="24"/>
        </w:rPr>
        <w:t>9、乙方运维人员工作时间，严格遵守局方工作制度和工作纪律要求，包括节假日在内的各类加班和值班。否则，按照每天5%人月费用从运维费用中扣除。</w:t>
      </w:r>
    </w:p>
    <w:p>
      <w:pPr>
        <w:rPr>
          <w:rFonts w:hint="eastAsia" w:ascii="宋体" w:hAnsi="宋体"/>
          <w:sz w:val="24"/>
        </w:rPr>
      </w:pPr>
      <w:r>
        <w:rPr>
          <w:rFonts w:hint="eastAsia" w:ascii="宋体" w:hAnsi="宋体"/>
          <w:sz w:val="24"/>
        </w:rPr>
        <w:t>10、乙方运维人员根据运维合同和项目责任人的工作要求，做好所负责系统的日常运维工作，保障系统的正常运行。如因乙方运维人员的原因，造成甲方被税务总局批评、考核扣分、纳税人投诉、业务人员投诉等，视情节严重程度按项、次扣除年度总运维费用的1%至5%，扣完为止。</w:t>
      </w:r>
    </w:p>
    <w:p>
      <w:pPr>
        <w:rPr>
          <w:rFonts w:hint="eastAsia" w:ascii="宋体" w:hAnsi="宋体"/>
          <w:sz w:val="24"/>
        </w:rPr>
      </w:pPr>
      <w:r>
        <w:rPr>
          <w:rFonts w:hint="eastAsia" w:ascii="宋体" w:hAnsi="宋体"/>
          <w:sz w:val="24"/>
        </w:rPr>
        <w:t>11、乙方在本项目实施过程中发生违反网络安全规定行为，造成数据失窃或丢失、敏感信息泄露、主要业务系统瘫痪等不良后果的，自甲方或甲方主管机关做出认定之日起三年内，税务系统各单位可以拒绝乙方参加税务系统政府采购活动。</w:t>
      </w:r>
    </w:p>
    <w:p>
      <w:pPr>
        <w:rPr>
          <w:rFonts w:ascii="宋体" w:hAnsi="宋体"/>
          <w:sz w:val="24"/>
        </w:rPr>
      </w:pPr>
      <w:r>
        <w:rPr>
          <w:rFonts w:hint="eastAsia" w:ascii="宋体" w:hAnsi="宋体"/>
          <w:sz w:val="24"/>
        </w:rPr>
        <w:t xml:space="preserve">12、禁止乙方另行开发合同业务需求范围内、供纳税人、缴费人使用的软件,对违反合约专门条款的，纳入失信名单；对于违反网络安全规定行为造成不良后果的服务商，3年内限制参加税务系统政府采购活动；乙方必须建立《防止违法违规聘用离职税务人员风险控制制度》，如有违反，将按照税务总局相关规定处罚，处罚包括但不限于要求限期改正、要求支付违约金、解除合同、3年内限制参加所聘人员原单位及下属单位信息化项目政府采购活动等；国家税务总局发票电子化改革（金税四期）领导小组办公室可以对本条款列举的失信行为进行认定，经其认定存在失信行为的服务商，3年内限制参加税收信息化项目政府采购活动。 </w:t>
      </w:r>
    </w:p>
    <w:p>
      <w:pPr>
        <w:pStyle w:val="29"/>
        <w:ind w:firstLine="0" w:firstLineChars="0"/>
        <w:rPr>
          <w:rFonts w:hint="eastAsia"/>
        </w:rPr>
      </w:pPr>
    </w:p>
    <w:p>
      <w:pPr>
        <w:pStyle w:val="5"/>
        <w:rPr>
          <w:rFonts w:ascii="宋体" w:hAnsi="宋体"/>
          <w:sz w:val="24"/>
          <w:szCs w:val="24"/>
        </w:rPr>
      </w:pPr>
      <w:r>
        <w:rPr>
          <w:rFonts w:hint="eastAsia" w:ascii="宋体" w:hAnsi="宋体"/>
          <w:sz w:val="24"/>
          <w:szCs w:val="24"/>
        </w:rPr>
        <w:t>第九条 合同终止</w:t>
      </w:r>
    </w:p>
    <w:p>
      <w:pPr>
        <w:rPr>
          <w:rFonts w:ascii="宋体" w:hAnsi="宋体"/>
          <w:color w:val="000000"/>
          <w:sz w:val="24"/>
        </w:rPr>
      </w:pPr>
      <w:r>
        <w:rPr>
          <w:rFonts w:hint="eastAsia" w:ascii="宋体" w:hAnsi="宋体"/>
          <w:color w:val="000000"/>
          <w:sz w:val="24"/>
        </w:rPr>
        <w:t>1、甲方逾期付款超过90日，乙方将有权利单方终止本合同。</w:t>
      </w:r>
    </w:p>
    <w:p>
      <w:pPr>
        <w:rPr>
          <w:rFonts w:hint="eastAsia" w:ascii="宋体" w:hAnsi="宋体"/>
          <w:sz w:val="24"/>
        </w:rPr>
      </w:pPr>
      <w:r>
        <w:rPr>
          <w:rFonts w:hint="eastAsia" w:ascii="宋体" w:hAnsi="宋体"/>
          <w:sz w:val="24"/>
        </w:rPr>
        <w:t>2、甲方在当年计费周期届满前30日内向乙方提出是否续签合同的书面通知，如未书面通知的合同期满后自然终止。</w:t>
      </w:r>
    </w:p>
    <w:p>
      <w:pPr>
        <w:pStyle w:val="29"/>
        <w:rPr>
          <w:rFonts w:hint="eastAsia" w:ascii="宋体" w:hAnsi="宋体"/>
          <w:sz w:val="24"/>
        </w:rPr>
      </w:pPr>
    </w:p>
    <w:p>
      <w:pPr>
        <w:pStyle w:val="5"/>
        <w:rPr>
          <w:rFonts w:hint="eastAsia" w:ascii="宋体" w:hAnsi="宋体"/>
          <w:sz w:val="24"/>
          <w:szCs w:val="24"/>
        </w:rPr>
      </w:pPr>
      <w:r>
        <w:rPr>
          <w:rFonts w:hint="eastAsia" w:ascii="宋体" w:hAnsi="宋体"/>
          <w:sz w:val="24"/>
          <w:szCs w:val="24"/>
        </w:rPr>
        <w:t>第十条 免责条款</w:t>
      </w:r>
    </w:p>
    <w:p>
      <w:pPr>
        <w:rPr>
          <w:rFonts w:hint="eastAsia" w:ascii="宋体" w:hAnsi="宋体"/>
          <w:color w:val="000000"/>
          <w:sz w:val="24"/>
        </w:rPr>
      </w:pPr>
      <w:r>
        <w:rPr>
          <w:rFonts w:hint="eastAsia" w:ascii="宋体" w:hAnsi="宋体"/>
          <w:color w:val="000000"/>
          <w:sz w:val="24"/>
        </w:rPr>
        <w:t>1、因自然灾害、战争、特别恶劣天气等原因造成乙方维修人员不能按承诺时限到达现场，甲方对乙方不予处罚。</w:t>
      </w:r>
    </w:p>
    <w:p>
      <w:pPr>
        <w:rPr>
          <w:rFonts w:hint="eastAsia" w:ascii="宋体" w:hAnsi="宋体"/>
          <w:color w:val="000000"/>
          <w:sz w:val="24"/>
        </w:rPr>
      </w:pPr>
      <w:r>
        <w:rPr>
          <w:rFonts w:hint="eastAsia" w:ascii="宋体" w:hAnsi="宋体"/>
          <w:color w:val="000000"/>
          <w:sz w:val="24"/>
        </w:rPr>
        <w:t>2、因雷击、火灾、供电事故、人为因素造成设备损坏，甲方另行按实支付维修费。</w:t>
      </w:r>
    </w:p>
    <w:p>
      <w:pPr>
        <w:pStyle w:val="5"/>
        <w:rPr>
          <w:rFonts w:ascii="宋体" w:hAnsi="宋体"/>
          <w:sz w:val="24"/>
          <w:szCs w:val="24"/>
        </w:rPr>
      </w:pPr>
      <w:r>
        <w:rPr>
          <w:rFonts w:hint="eastAsia" w:ascii="宋体" w:hAnsi="宋体"/>
          <w:sz w:val="24"/>
          <w:szCs w:val="24"/>
        </w:rPr>
        <w:t>第十一条 其他</w:t>
      </w:r>
    </w:p>
    <w:p>
      <w:pPr>
        <w:rPr>
          <w:rFonts w:hint="eastAsia" w:ascii="宋体" w:hAnsi="宋体"/>
          <w:color w:val="000000"/>
          <w:sz w:val="24"/>
        </w:rPr>
      </w:pPr>
      <w:r>
        <w:rPr>
          <w:rFonts w:hint="eastAsia" w:ascii="宋体" w:hAnsi="宋体"/>
          <w:color w:val="000000"/>
          <w:sz w:val="24"/>
        </w:rPr>
        <w:t>1、争议解决。甲方的招标文件及乙方的投标文件作为合同的要件，与本合同具有同等法律效力，与本合同不符的以本合同为准。凡由本合同引起的或与解释或执行本合同有关的任何争议，解决途径为甲乙双方可以向甲方所在地人民法院提起诉讼。本合同的履行地为甲方所在地。</w:t>
      </w:r>
    </w:p>
    <w:p>
      <w:pPr>
        <w:rPr>
          <w:rFonts w:hint="eastAsia" w:ascii="宋体" w:hAnsi="宋体"/>
          <w:color w:val="000000"/>
          <w:sz w:val="24"/>
        </w:rPr>
      </w:pPr>
      <w:r>
        <w:rPr>
          <w:rFonts w:hint="eastAsia" w:ascii="宋体" w:hAnsi="宋体"/>
          <w:color w:val="000000"/>
          <w:sz w:val="24"/>
        </w:rPr>
        <w:t>2、适用法律。本合同的成立、有效性、解释、履行及由此产生的争议的解决，均应适用中华人民共和国法律。</w:t>
      </w:r>
    </w:p>
    <w:p>
      <w:pPr>
        <w:rPr>
          <w:rFonts w:hint="eastAsia" w:ascii="宋体" w:hAnsi="宋体"/>
          <w:color w:val="000000"/>
          <w:sz w:val="24"/>
        </w:rPr>
      </w:pPr>
      <w:r>
        <w:rPr>
          <w:rFonts w:hint="eastAsia" w:ascii="宋体" w:hAnsi="宋体"/>
          <w:color w:val="000000"/>
          <w:sz w:val="24"/>
        </w:rPr>
        <w:t>3、文本。本合同自双方授权代表签字并加盖公章之日起生效。本合同一式肆份，甲方贰份，乙方贰份，具有同等法律效力，本合同附件为本合同不可分割的部分，与本合同具有同等法律效力。</w:t>
      </w:r>
    </w:p>
    <w:tbl>
      <w:tblPr>
        <w:tblStyle w:val="23"/>
        <w:tblW w:w="8752" w:type="dxa"/>
        <w:jc w:val="center"/>
        <w:tblInd w:w="0" w:type="dxa"/>
        <w:tblLayout w:type="fixed"/>
        <w:tblCellMar>
          <w:top w:w="567" w:type="dxa"/>
          <w:left w:w="105" w:type="dxa"/>
          <w:bottom w:w="567" w:type="dxa"/>
          <w:right w:w="105" w:type="dxa"/>
        </w:tblCellMar>
      </w:tblPr>
      <w:tblGrid>
        <w:gridCol w:w="4074"/>
        <w:gridCol w:w="4678"/>
      </w:tblGrid>
      <w:tr>
        <w:tblPrEx>
          <w:tblLayout w:type="fixed"/>
          <w:tblCellMar>
            <w:top w:w="567" w:type="dxa"/>
            <w:left w:w="105" w:type="dxa"/>
            <w:bottom w:w="567" w:type="dxa"/>
            <w:right w:w="105" w:type="dxa"/>
          </w:tblCellMar>
        </w:tblPrEx>
        <w:trPr>
          <w:trHeight w:val="2736" w:hRule="atLeast"/>
          <w:jc w:val="center"/>
        </w:trPr>
        <w:tc>
          <w:tcPr>
            <w:tcW w:w="4074" w:type="dxa"/>
            <w:tcBorders>
              <w:top w:val="outset" w:color="000000"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18"/>
                <w:szCs w:val="18"/>
              </w:rPr>
            </w:pPr>
            <w:r>
              <w:rPr>
                <w:rFonts w:ascii="方正宋黑简体" w:eastAsia="方正宋黑简体"/>
                <w:color w:val="000000"/>
                <w:kern w:val="0"/>
                <w:sz w:val="24"/>
              </w:rPr>
              <w:br w:type="page"/>
            </w:r>
            <w:r>
              <w:rPr>
                <w:rFonts w:hint="eastAsia" w:ascii="方正宋黑简体" w:hAnsi="微软雅黑" w:eastAsia="方正宋黑简体" w:cs="宋体"/>
                <w:color w:val="000000"/>
                <w:kern w:val="0"/>
                <w:sz w:val="24"/>
              </w:rPr>
              <w:t>甲方（章）</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wordWrap w:val="0"/>
              <w:ind w:firstLine="1080"/>
              <w:jc w:val="right"/>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年</w:t>
            </w:r>
            <w:r>
              <w:rPr>
                <w:rFonts w:ascii="方正宋黑简体" w:hAnsi="微软雅黑" w:eastAsia="方正宋黑简体" w:cs="宋体"/>
                <w:color w:val="000000"/>
                <w:kern w:val="0"/>
                <w:sz w:val="24"/>
              </w:rPr>
              <w:t xml:space="preserve">  </w:t>
            </w:r>
            <w:r>
              <w:rPr>
                <w:rFonts w:eastAsia="方正宋黑简体"/>
                <w:color w:val="000000"/>
                <w:kern w:val="0"/>
                <w:sz w:val="24"/>
              </w:rPr>
              <w:t>  </w:t>
            </w:r>
            <w:r>
              <w:rPr>
                <w:rFonts w:hint="eastAsia" w:ascii="方正宋黑简体" w:hAnsi="微软雅黑" w:eastAsia="方正宋黑简体" w:cs="宋体"/>
                <w:color w:val="000000"/>
                <w:kern w:val="0"/>
                <w:sz w:val="24"/>
              </w:rPr>
              <w:t>月</w:t>
            </w:r>
            <w:r>
              <w:rPr>
                <w:rFonts w:eastAsia="方正宋黑简体"/>
                <w:color w:val="000000"/>
                <w:kern w:val="0"/>
                <w:sz w:val="24"/>
              </w:rPr>
              <w:t> </w:t>
            </w:r>
            <w:r>
              <w:rPr>
                <w:rFonts w:ascii="方正宋黑简体" w:eastAsia="方正宋黑简体"/>
                <w:color w:val="000000"/>
                <w:kern w:val="0"/>
                <w:sz w:val="24"/>
              </w:rPr>
              <w:t xml:space="preserve">  </w:t>
            </w:r>
            <w:r>
              <w:rPr>
                <w:rFonts w:eastAsia="方正宋黑简体"/>
                <w:color w:val="000000"/>
                <w:kern w:val="0"/>
                <w:sz w:val="24"/>
              </w:rPr>
              <w:t> </w:t>
            </w:r>
            <w:r>
              <w:rPr>
                <w:rFonts w:hint="eastAsia" w:ascii="方正宋黑简体" w:hAnsi="微软雅黑" w:eastAsia="方正宋黑简体" w:cs="宋体"/>
                <w:color w:val="000000"/>
                <w:kern w:val="0"/>
                <w:sz w:val="24"/>
              </w:rPr>
              <w:t>日</w:t>
            </w:r>
          </w:p>
        </w:tc>
        <w:tc>
          <w:tcPr>
            <w:tcW w:w="4678" w:type="dxa"/>
            <w:tcBorders>
              <w:top w:val="outset" w:color="000000"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乙方（章）</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wordWrap w:val="0"/>
              <w:jc w:val="right"/>
              <w:rPr>
                <w:rFonts w:ascii="方正宋黑简体" w:hAnsi="微软雅黑" w:eastAsia="方正宋黑简体" w:cs="宋体"/>
                <w:color w:val="000000"/>
                <w:kern w:val="0"/>
                <w:sz w:val="18"/>
                <w:szCs w:val="18"/>
              </w:rPr>
            </w:pPr>
            <w:r>
              <w:rPr>
                <w:rFonts w:eastAsia="方正宋黑简体"/>
                <w:color w:val="000000"/>
                <w:kern w:val="0"/>
                <w:sz w:val="24"/>
              </w:rPr>
              <w:t> </w:t>
            </w:r>
            <w:r>
              <w:rPr>
                <w:rFonts w:ascii="方正宋黑简体" w:eastAsia="方正宋黑简体"/>
                <w:color w:val="000000"/>
                <w:kern w:val="0"/>
                <w:sz w:val="24"/>
              </w:rPr>
              <w:t xml:space="preserve"> </w:t>
            </w:r>
            <w:r>
              <w:rPr>
                <w:rFonts w:hint="eastAsia" w:ascii="方正宋黑简体" w:hAnsi="微软雅黑" w:eastAsia="方正宋黑简体" w:cs="宋体"/>
                <w:color w:val="000000"/>
                <w:kern w:val="0"/>
                <w:sz w:val="24"/>
              </w:rPr>
              <w:t>年</w:t>
            </w:r>
            <w:r>
              <w:rPr>
                <w:rFonts w:eastAsia="方正宋黑简体"/>
                <w:color w:val="000000"/>
                <w:kern w:val="0"/>
                <w:sz w:val="24"/>
              </w:rPr>
              <w:t>  </w:t>
            </w:r>
            <w:r>
              <w:rPr>
                <w:rFonts w:ascii="方正宋黑简体" w:eastAsia="方正宋黑简体"/>
                <w:color w:val="000000"/>
                <w:kern w:val="0"/>
                <w:sz w:val="24"/>
              </w:rPr>
              <w:t xml:space="preserve">   </w:t>
            </w:r>
            <w:r>
              <w:rPr>
                <w:rFonts w:hint="eastAsia" w:ascii="方正宋黑简体" w:hAnsi="微软雅黑" w:eastAsia="方正宋黑简体" w:cs="宋体"/>
                <w:color w:val="000000"/>
                <w:kern w:val="0"/>
                <w:sz w:val="24"/>
              </w:rPr>
              <w:t>月</w:t>
            </w:r>
            <w:r>
              <w:rPr>
                <w:rFonts w:ascii="方正宋黑简体" w:hAnsi="微软雅黑" w:eastAsia="方正宋黑简体" w:cs="宋体"/>
                <w:color w:val="000000"/>
                <w:kern w:val="0"/>
                <w:sz w:val="24"/>
              </w:rPr>
              <w:t xml:space="preserve">  </w:t>
            </w:r>
            <w:r>
              <w:rPr>
                <w:rFonts w:eastAsia="方正宋黑简体"/>
                <w:color w:val="000000"/>
                <w:kern w:val="0"/>
                <w:sz w:val="24"/>
              </w:rPr>
              <w:t>  </w:t>
            </w:r>
            <w:r>
              <w:rPr>
                <w:rFonts w:hint="eastAsia" w:ascii="方正宋黑简体" w:hAnsi="微软雅黑" w:eastAsia="方正宋黑简体" w:cs="宋体"/>
                <w:color w:val="000000"/>
                <w:kern w:val="0"/>
                <w:sz w:val="24"/>
              </w:rPr>
              <w:t>日</w:t>
            </w:r>
          </w:p>
        </w:tc>
      </w:tr>
      <w:tr>
        <w:tblPrEx>
          <w:tblLayout w:type="fixed"/>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单位地址：哈尔滨市东大直街</w:t>
            </w:r>
            <w:r>
              <w:rPr>
                <w:rFonts w:ascii="方正宋黑简体" w:hAnsi="微软雅黑" w:eastAsia="方正宋黑简体" w:cs="宋体"/>
                <w:color w:val="000000"/>
                <w:kern w:val="0"/>
                <w:sz w:val="24"/>
              </w:rPr>
              <w:t>190</w:t>
            </w:r>
            <w:r>
              <w:rPr>
                <w:rFonts w:hint="eastAsia" w:ascii="方正宋黑简体" w:hAnsi="微软雅黑" w:eastAsia="方正宋黑简体" w:cs="宋体"/>
                <w:color w:val="000000"/>
                <w:kern w:val="0"/>
                <w:sz w:val="24"/>
              </w:rPr>
              <w:t>号</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单位地址：</w:t>
            </w:r>
            <w:r>
              <w:rPr>
                <w:rFonts w:ascii="方正宋黑简体" w:hAnsi="微软雅黑" w:eastAsia="方正宋黑简体" w:cs="宋体"/>
                <w:color w:val="000000"/>
                <w:kern w:val="0"/>
                <w:sz w:val="24"/>
              </w:rPr>
              <w:t xml:space="preserve"> </w:t>
            </w:r>
          </w:p>
        </w:tc>
      </w:tr>
      <w:tr>
        <w:tblPrEx>
          <w:tblLayout w:type="fixed"/>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法定代表人：</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法定代表人：</w:t>
            </w:r>
            <w:r>
              <w:rPr>
                <w:rFonts w:ascii="方正宋黑简体" w:hAnsi="微软雅黑" w:eastAsia="方正宋黑简体" w:cs="宋体"/>
                <w:color w:val="000000"/>
                <w:kern w:val="0"/>
                <w:sz w:val="24"/>
              </w:rPr>
              <w:t xml:space="preserve"> </w:t>
            </w:r>
          </w:p>
        </w:tc>
      </w:tr>
      <w:tr>
        <w:tblPrEx>
          <w:tblLayout w:type="fixed"/>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委托代理人：</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委托代理人：</w:t>
            </w:r>
          </w:p>
        </w:tc>
      </w:tr>
      <w:tr>
        <w:tblPrEx>
          <w:tblLayout w:type="fixed"/>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电话：</w:t>
            </w:r>
            <w:r>
              <w:rPr>
                <w:rFonts w:ascii="方正宋黑简体" w:hAnsi="微软雅黑" w:eastAsia="方正宋黑简体" w:cs="宋体"/>
                <w:color w:val="000000"/>
                <w:kern w:val="0"/>
                <w:sz w:val="24"/>
              </w:rPr>
              <w:t>0451-53611198</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电话：</w:t>
            </w:r>
          </w:p>
        </w:tc>
      </w:tr>
      <w:tr>
        <w:tblPrEx>
          <w:tblLayout w:type="fixed"/>
          <w:tblCellMar>
            <w:top w:w="567" w:type="dxa"/>
            <w:left w:w="105" w:type="dxa"/>
            <w:bottom w:w="567" w:type="dxa"/>
            <w:right w:w="105" w:type="dxa"/>
          </w:tblCellMar>
        </w:tblPrEx>
        <w:trPr>
          <w:trHeight w:val="1136"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开户银行：中国建设银行股份有限公司黑龙江省分行营业部</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开户银行：</w:t>
            </w:r>
            <w:r>
              <w:rPr>
                <w:rFonts w:ascii="方正宋黑简体" w:hAnsi="微软雅黑" w:eastAsia="方正宋黑简体" w:cs="宋体"/>
                <w:color w:val="000000"/>
                <w:kern w:val="0"/>
                <w:sz w:val="24"/>
              </w:rPr>
              <w:t xml:space="preserve"> </w:t>
            </w:r>
          </w:p>
        </w:tc>
      </w:tr>
      <w:tr>
        <w:tblPrEx>
          <w:tblLayout w:type="fixed"/>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账号：</w:t>
            </w:r>
            <w:r>
              <w:rPr>
                <w:rFonts w:ascii="方正宋黑简体" w:hAnsi="微软雅黑" w:eastAsia="方正宋黑简体" w:cs="宋体"/>
                <w:color w:val="000000"/>
                <w:kern w:val="0"/>
                <w:sz w:val="24"/>
              </w:rPr>
              <w:t>23001868851050517697</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账号：</w:t>
            </w:r>
          </w:p>
        </w:tc>
      </w:tr>
      <w:tr>
        <w:tblPrEx>
          <w:tblLayout w:type="fixed"/>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邮政编码：</w:t>
            </w:r>
            <w:r>
              <w:rPr>
                <w:rFonts w:ascii="方正宋黑简体" w:hAnsi="微软雅黑" w:eastAsia="方正宋黑简体" w:cs="宋体"/>
                <w:color w:val="000000"/>
                <w:kern w:val="0"/>
                <w:sz w:val="24"/>
              </w:rPr>
              <w:t>150001</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邮政编码：</w:t>
            </w:r>
          </w:p>
        </w:tc>
      </w:tr>
    </w:tbl>
    <w:p>
      <w:pPr>
        <w:rPr>
          <w:rFonts w:hint="eastAsia" w:ascii="宋体" w:hAnsi="宋体"/>
          <w:color w:val="000000"/>
          <w:sz w:val="24"/>
        </w:rPr>
      </w:pPr>
    </w:p>
    <w:p>
      <w:pPr>
        <w:rPr>
          <w:rFonts w:hint="eastAsia" w:ascii="宋体" w:hAnsi="宋体"/>
          <w:color w:val="000000"/>
          <w:sz w:val="24"/>
        </w:rPr>
      </w:pPr>
    </w:p>
    <w:p>
      <w:pPr>
        <w:rPr>
          <w:rFonts w:hint="eastAsia" w:ascii="宋体" w:hAnsi="宋体"/>
          <w:color w:val="000000"/>
          <w:sz w:val="24"/>
        </w:rPr>
      </w:pPr>
      <w:r>
        <w:rPr>
          <w:rFonts w:hint="eastAsia" w:ascii="宋体" w:hAnsi="宋体"/>
          <w:color w:val="000000"/>
          <w:sz w:val="24"/>
        </w:rPr>
        <w:t>附件:</w:t>
      </w:r>
    </w:p>
    <w:p>
      <w:pPr>
        <w:rPr>
          <w:rFonts w:hint="eastAsia" w:ascii="宋体" w:hAnsi="宋体"/>
          <w:color w:val="000000"/>
          <w:sz w:val="24"/>
        </w:rPr>
      </w:pPr>
      <w:r>
        <w:rPr>
          <w:rFonts w:hint="eastAsia" w:ascii="宋体" w:hAnsi="宋体"/>
          <w:color w:val="000000"/>
          <w:sz w:val="24"/>
        </w:rPr>
        <w:t>1、售后服务承诺</w:t>
      </w:r>
    </w:p>
    <w:p>
      <w:pPr>
        <w:rPr>
          <w:rFonts w:hint="eastAsia" w:ascii="宋体" w:hAnsi="宋体"/>
          <w:color w:val="000000"/>
          <w:sz w:val="24"/>
        </w:rPr>
      </w:pPr>
      <w:r>
        <w:rPr>
          <w:rFonts w:hint="eastAsia" w:ascii="宋体" w:hAnsi="宋体"/>
          <w:color w:val="000000"/>
          <w:sz w:val="24"/>
        </w:rPr>
        <w:t>2、服务队伍</w:t>
      </w:r>
    </w:p>
    <w:p>
      <w:r>
        <w:rPr>
          <w:rFonts w:hint="eastAsia" w:ascii="宋体" w:hAnsi="宋体"/>
          <w:color w:val="000000"/>
          <w:sz w:val="24"/>
        </w:rPr>
        <w:t>3、中标通知书</w:t>
      </w:r>
    </w:p>
    <w:p>
      <w:pPr>
        <w:rPr>
          <w:color w:val="auto"/>
          <w:highlight w:val="none"/>
        </w:rPr>
      </w:pPr>
    </w:p>
    <w:sectPr>
      <w:pgSz w:w="11906" w:h="16838"/>
      <w:pgMar w:top="1440" w:right="1803" w:bottom="1440" w:left="1803" w:header="851" w:footer="992" w:gutter="0"/>
      <w:cols w:space="720" w:num="1"/>
      <w:docGrid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4D"/>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Wingdings 2">
    <w:panose1 w:val="05020102010507070707"/>
    <w:charset w:val="02"/>
    <w:family w:val="roman"/>
    <w:pitch w:val="default"/>
    <w:sig w:usb0="00000000" w:usb1="00000000" w:usb2="00000000" w:usb3="00000000" w:csb0="80000000" w:csb1="00000000"/>
  </w:font>
  <w:font w:name="Bookman Old Style">
    <w:panose1 w:val="02050604050505020204"/>
    <w:charset w:val="00"/>
    <w:family w:val="roman"/>
    <w:pitch w:val="default"/>
    <w:sig w:usb0="00000287" w:usb1="00000000" w:usb2="00000000" w:usb3="00000000" w:csb0="2000009F" w:csb1="DFD70000"/>
  </w:font>
  <w:font w:name="Lucida Sans Unicode">
    <w:panose1 w:val="020B0602030504020204"/>
    <w:charset w:val="00"/>
    <w:family w:val="swiss"/>
    <w:pitch w:val="default"/>
    <w:sig w:usb0="80001AFF" w:usb1="0000396B" w:usb2="00000000" w:usb3="00000000" w:csb0="200000BF" w:csb1="D7F70000"/>
  </w:font>
  <w:font w:name="MS Gothic">
    <w:panose1 w:val="020B0609070205080204"/>
    <w:charset w:val="80"/>
    <w:family w:val="modern"/>
    <w:pitch w:val="default"/>
    <w:sig w:usb0="E00002FF" w:usb1="6AC7FDFB" w:usb2="00000012" w:usb3="00000000" w:csb0="4002009F" w:csb1="DFD70000"/>
  </w:font>
  <w:font w:name="方正宋黑简体">
    <w:panose1 w:val="02010601030101010101"/>
    <w:charset w:val="86"/>
    <w:family w:val="auto"/>
    <w:pitch w:val="default"/>
    <w:sig w:usb0="00000001" w:usb1="080E0000" w:usb2="00000000" w:usb3="00000000" w:csb0="00040000" w:csb1="00000000"/>
  </w:font>
  <w:font w:name="微软雅黑">
    <w:panose1 w:val="020B0503020204020204"/>
    <w:charset w:val="86"/>
    <w:family w:val="swiss"/>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pPr>
                            <w:pStyle w:val="13"/>
                            <w:jc w:val="center"/>
                          </w:pPr>
                          <w:r>
                            <w:fldChar w:fldCharType="begin"/>
                          </w:r>
                          <w:r>
                            <w:instrText xml:space="preserve"> PAGE  \* MERGEFORMAT </w:instrText>
                          </w:r>
                          <w:r>
                            <w:fldChar w:fldCharType="separate"/>
                          </w:r>
                          <w:r>
                            <w:t>I</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">
              <v:fill on="f" focussize="0,0"/>
              <v:stroke on="f"/>
              <v:imagedata o:title=""/>
              <o:lock v:ext="edit" aspectratio="f"/>
              <v:textbox inset="0mm,0mm,0mm,0mm" style="mso-fit-shape-to-text:t;">
                <w:txbxContent>
                  <w:p>
                    <w:pPr>
                      <w:pStyle w:val="13"/>
                      <w:jc w:val="center"/>
                    </w:pPr>
                    <w:r>
                      <w:fldChar w:fldCharType="begin"/>
                    </w:r>
                    <w:r>
                      <w:instrText xml:space="preserve"> PAGE  \* MERGEFORMAT </w:instrText>
                    </w:r>
                    <w:r>
                      <w:fldChar w:fldCharType="separate"/>
                    </w:r>
                    <w:r>
                      <w:t>I</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pPr>
                            <w:pStyle w:val="13"/>
                            <w:jc w:val="center"/>
                          </w:pPr>
                          <w:r>
                            <w:fldChar w:fldCharType="begin"/>
                          </w:r>
                          <w:r>
                            <w:instrText xml:space="preserve"> PAGE  \* MERGEFORMAT </w:instrText>
                          </w:r>
                          <w:r>
                            <w:fldChar w:fldCharType="separate"/>
                          </w:r>
                          <w:r>
                            <w:t>29</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">
              <v:fill on="f" focussize="0,0"/>
              <v:stroke on="f"/>
              <v:imagedata o:title=""/>
              <o:lock v:ext="edit" aspectratio="f"/>
              <v:textbox inset="0mm,0mm,0mm,0mm" style="mso-fit-shape-to-text:t;">
                <w:txbxContent>
                  <w:p>
                    <w:pPr>
                      <w:pStyle w:val="13"/>
                      <w:jc w:val="center"/>
                    </w:pPr>
                    <w:r>
                      <w:fldChar w:fldCharType="begin"/>
                    </w:r>
                    <w:r>
                      <w:instrText xml:space="preserve"> PAGE  \* MERGEFORMAT </w:instrText>
                    </w:r>
                    <w:r>
                      <w:fldChar w:fldCharType="separate"/>
                    </w:r>
                    <w:r>
                      <w:t>29</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16205" cy="139700"/>
              <wp:effectExtent l="0" t="0" r="0" b="0"/>
              <wp:wrapNone/>
              <wp:docPr id="5" name="矩形 5"/>
              <wp:cNvGraphicFramePr/>
              <a:graphic xmlns:a="http://schemas.openxmlformats.org/drawingml/2006/main">
                <a:graphicData uri="http://schemas.microsoft.com/office/word/2010/wordprocessingShape">
                  <wps:wsp>
                    <wps:cNvSpPr/>
                    <wps:spPr>
                      <a:xfrm>
                        <a:off x="0" y="0"/>
                        <a:ext cx="116205" cy="139700"/>
                      </a:xfrm>
                      <a:prstGeom prst="rect">
                        <a:avLst/>
                      </a:prstGeom>
                      <a:noFill/>
                      <a:ln>
                        <a:noFill/>
                      </a:ln>
                      <a:effectLst/>
                    </wps:spPr>
                    <wps:txbx>
                      <w:txbxContent>
                        <w:p>
                          <w:pPr>
                            <w:pStyle w:val="13"/>
                          </w:pPr>
                          <w:r>
                            <w:rPr>
                              <w:rFonts w:hint="eastAsia"/>
                            </w:rPr>
                            <w:fldChar w:fldCharType="begin"/>
                          </w:r>
                          <w:r>
                            <w:rPr>
                              <w:rFonts w:hint="eastAsia"/>
                            </w:rPr>
                            <w:instrText xml:space="preserve"> PAGE  \* MERGEFORMAT </w:instrText>
                          </w:r>
                          <w:r>
                            <w:rPr>
                              <w:rFonts w:hint="eastAsia"/>
                            </w:rPr>
                            <w:fldChar w:fldCharType="separate"/>
                          </w:r>
                          <w:r>
                            <w:t>60</w:t>
                          </w:r>
                          <w:r>
                            <w:rPr>
                              <w:rFonts w:hint="eastAsia"/>
                            </w:rPr>
                            <w:fldChar w:fldCharType="end"/>
                          </w:r>
                        </w:p>
                      </w:txbxContent>
                    </wps:txbx>
                    <wps:bodyPr wrap="none" lIns="0" tIns="0" rIns="0" bIns="0" upright="1">
                      <a:spAutoFit/>
                    </wps:bodyPr>
                  </wps:wsp>
                </a:graphicData>
              </a:graphic>
            </wp:anchor>
          </w:drawing>
        </mc:Choice>
        <mc:Fallback>
          <w:pict>
            <v:rect id="_x0000_s1026" o:spid="_x0000_s1026" o:spt="1" style="position:absolute;left:0pt;margin-top:0pt;height:11pt;width:9.15pt;mso-position-horizontal:center;mso-position-horizontal-relative:margin;mso-wrap-style:none;z-index:251659264;mso-width-relative:page;mso-height-relative:page;" filled="f" stroked="f" coordsize="21600,21600" o:gfxdata="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">
              <v:fill on="f" focussize="0,0"/>
              <v:stroke on="f"/>
              <v:imagedata o:title=""/>
              <o:lock v:ext="edit" aspectratio="f"/>
              <v:textbox inset="0mm,0mm,0mm,0mm" style="mso-fit-shape-to-text:t;">
                <w:txbxContent>
                  <w:p>
                    <w:pPr>
                      <w:pStyle w:val="13"/>
                    </w:pPr>
                    <w:r>
                      <w:rPr>
                        <w:rFonts w:hint="eastAsia"/>
                      </w:rPr>
                      <w:fldChar w:fldCharType="begin"/>
                    </w:r>
                    <w:r>
                      <w:rPr>
                        <w:rFonts w:hint="eastAsia"/>
                      </w:rPr>
                      <w:instrText xml:space="preserve"> PAGE  \* MERGEFORMAT </w:instrText>
                    </w:r>
                    <w:r>
                      <w:rPr>
                        <w:rFonts w:hint="eastAsia"/>
                      </w:rPr>
                      <w:fldChar w:fldCharType="separate"/>
                    </w:r>
                    <w:r>
                      <w:t>60</w:t>
                    </w:r>
                    <w:r>
                      <w:rPr>
                        <w:rFonts w:hint="eastAsia"/>
                      </w:rP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pPr>
    <w:r>
      <w:drawing>
        <wp:inline distT="0" distB="0" distL="114300" distR="114300">
          <wp:extent cx="1466215" cy="213360"/>
          <wp:effectExtent l="0" t="0" r="635" b="1524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
                  <a:stretch>
                    <a:fillRect/>
                  </a:stretch>
                </pic:blipFill>
                <pic:spPr>
                  <a:xfrm>
                    <a:off x="0" y="0"/>
                    <a:ext cx="1466215" cy="21336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D7800A4"/>
    <w:multiLevelType w:val="singleLevel"/>
    <w:tmpl w:val="8D7800A4"/>
    <w:lvl w:ilvl="0" w:tentative="0">
      <w:start w:val="1"/>
      <w:numFmt w:val="chineseCounting"/>
      <w:suff w:val="space"/>
      <w:lvlText w:val="第%1章"/>
      <w:lvlJc w:val="left"/>
      <w:pPr>
        <w:tabs>
          <w:tab w:val="left" w:pos="0"/>
        </w:tabs>
        <w:ind w:left="0" w:firstLine="0"/>
      </w:pPr>
      <w:rPr>
        <w:rFonts w:hint="eastAsia" w:ascii="宋体" w:hAnsi="宋体" w:eastAsia="宋体" w:cs="宋体"/>
        <w:sz w:val="21"/>
        <w:szCs w:val="21"/>
      </w:rPr>
    </w:lvl>
  </w:abstractNum>
  <w:abstractNum w:abstractNumId="1">
    <w:nsid w:val="B9A1E8D1"/>
    <w:multiLevelType w:val="singleLevel"/>
    <w:tmpl w:val="B9A1E8D1"/>
    <w:lvl w:ilvl="0" w:tentative="0">
      <w:start w:val="1"/>
      <w:numFmt w:val="decimal"/>
      <w:suff w:val="nothing"/>
      <w:lvlText w:val="（%1）"/>
      <w:lvlJc w:val="left"/>
      <w:pPr>
        <w:tabs>
          <w:tab w:val="left" w:pos="0"/>
        </w:tabs>
        <w:ind w:left="0" w:firstLine="0"/>
      </w:pPr>
    </w:lvl>
  </w:abstractNum>
  <w:abstractNum w:abstractNumId="2">
    <w:nsid w:val="1C575F32"/>
    <w:multiLevelType w:val="multilevel"/>
    <w:tmpl w:val="1C575F32"/>
    <w:lvl w:ilvl="0" w:tentative="0">
      <w:start w:val="1"/>
      <w:numFmt w:val="decimal"/>
      <w:lvlText w:val="第%1章"/>
      <w:lvlJc w:val="left"/>
      <w:pPr>
        <w:tabs>
          <w:tab w:val="left" w:pos="1440"/>
        </w:tabs>
        <w:ind w:left="432" w:hanging="432"/>
      </w:pPr>
      <w:rPr>
        <w:rFonts w:hint="eastAsia"/>
        <w:b/>
        <w:i w:val="0"/>
        <w:caps w:val="0"/>
        <w:strike w:val="0"/>
        <w:dstrike w:val="0"/>
        <w:vanish w:val="0"/>
        <w:color w:val="000000"/>
        <w:sz w:val="32"/>
        <w:szCs w:val="32"/>
        <w:vertAlign w:val="baseline"/>
      </w:rPr>
    </w:lvl>
    <w:lvl w:ilvl="1" w:tentative="0">
      <w:start w:val="1"/>
      <w:numFmt w:val="decimal"/>
      <w:lvlText w:val="%1.%2"/>
      <w:lvlJc w:val="left"/>
      <w:pPr>
        <w:tabs>
          <w:tab w:val="left" w:pos="720"/>
        </w:tabs>
        <w:ind w:left="0" w:firstLine="0"/>
      </w:pPr>
      <w:rPr>
        <w:rFonts w:hint="eastAsia"/>
      </w:rPr>
    </w:lvl>
    <w:lvl w:ilvl="2" w:tentative="0">
      <w:start w:val="1"/>
      <w:numFmt w:val="decimal"/>
      <w:lvlText w:val="%1.%2.%3"/>
      <w:lvlJc w:val="left"/>
      <w:pPr>
        <w:tabs>
          <w:tab w:val="left" w:pos="720"/>
        </w:tabs>
        <w:ind w:left="720" w:hanging="720"/>
      </w:pPr>
      <w:rPr>
        <w:rFonts w:hint="eastAsia"/>
      </w:rPr>
    </w:lvl>
    <w:lvl w:ilvl="3" w:tentative="0">
      <w:start w:val="1"/>
      <w:numFmt w:val="decimal"/>
      <w:pStyle w:val="47"/>
      <w:lvlText w:val="%1.%2.%3.%4"/>
      <w:lvlJc w:val="left"/>
      <w:pPr>
        <w:tabs>
          <w:tab w:val="left" w:pos="864"/>
        </w:tabs>
        <w:ind w:left="864" w:hanging="864"/>
      </w:pPr>
      <w:rPr>
        <w:rFonts w:hint="eastAsia"/>
      </w:rPr>
    </w:lvl>
    <w:lvl w:ilvl="4" w:tentative="0">
      <w:start w:val="1"/>
      <w:numFmt w:val="decimal"/>
      <w:lvlText w:val="%1.%2.%3.%4.%5"/>
      <w:lvlJc w:val="left"/>
      <w:pPr>
        <w:tabs>
          <w:tab w:val="left" w:pos="1548"/>
        </w:tabs>
        <w:ind w:left="154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3">
    <w:nsid w:val="21B37B9A"/>
    <w:multiLevelType w:val="multilevel"/>
    <w:tmpl w:val="21B37B9A"/>
    <w:lvl w:ilvl="0" w:tentative="0">
      <w:start w:val="1"/>
      <w:numFmt w:val="decimal"/>
      <w:lvlText w:val="%1、"/>
      <w:lvlJc w:val="left"/>
      <w:pPr>
        <w:ind w:left="360" w:hanging="360"/>
      </w:pPr>
      <w:rPr>
        <w:rFonts w:hint="default" w:hAnsi="Times New Roman"/>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4">
    <w:nsid w:val="27E8E525"/>
    <w:multiLevelType w:val="singleLevel"/>
    <w:tmpl w:val="27E8E525"/>
    <w:lvl w:ilvl="0" w:tentative="0">
      <w:start w:val="1"/>
      <w:numFmt w:val="decimal"/>
      <w:suff w:val="nothing"/>
      <w:lvlText w:val="（%1）"/>
      <w:lvlJc w:val="left"/>
      <w:pPr>
        <w:tabs>
          <w:tab w:val="left" w:pos="0"/>
        </w:tabs>
        <w:ind w:left="0" w:firstLine="0"/>
      </w:pPr>
    </w:lvl>
  </w:abstractNum>
  <w:abstractNum w:abstractNumId="5">
    <w:nsid w:val="76778866"/>
    <w:multiLevelType w:val="multilevel"/>
    <w:tmpl w:val="76778866"/>
    <w:lvl w:ilvl="0" w:tentative="0">
      <w:start w:val="8"/>
      <w:numFmt w:val="decimal"/>
      <w:lvlText w:val="%1."/>
      <w:lvlJc w:val="left"/>
      <w:pPr>
        <w:tabs>
          <w:tab w:val="left" w:pos="0"/>
        </w:tabs>
        <w:ind w:left="0" w:firstLine="0"/>
      </w:pPr>
      <w:rPr>
        <w:rFonts w:hint="default"/>
        <w:sz w:val="32"/>
        <w:szCs w:val="32"/>
      </w:rPr>
    </w:lvl>
    <w:lvl w:ilvl="1" w:tentative="0">
      <w:start w:val="1"/>
      <w:numFmt w:val="decimal"/>
      <w:suff w:val="space"/>
      <w:lvlText w:val="%1.%2"/>
      <w:lvlJc w:val="left"/>
      <w:pPr>
        <w:tabs>
          <w:tab w:val="left" w:pos="0"/>
        </w:tabs>
        <w:ind w:left="0" w:firstLine="0"/>
      </w:pPr>
      <w:rPr>
        <w:rFonts w:hint="default"/>
        <w:sz w:val="21"/>
        <w:szCs w:val="21"/>
      </w:rPr>
    </w:lvl>
    <w:lvl w:ilvl="2" w:tentative="0">
      <w:start w:val="1"/>
      <w:numFmt w:val="decimal"/>
      <w:suff w:val="space"/>
      <w:lvlText w:val="%1.%2.%3"/>
      <w:lvlJc w:val="left"/>
      <w:pPr>
        <w:tabs>
          <w:tab w:val="left" w:pos="0"/>
        </w:tabs>
        <w:ind w:left="0" w:firstLine="0"/>
      </w:pPr>
      <w:rPr>
        <w:rFonts w:hint="default"/>
      </w:rPr>
    </w:lvl>
    <w:lvl w:ilvl="3" w:tentative="0">
      <w:start w:val="1"/>
      <w:numFmt w:val="decimal"/>
      <w:suff w:val="space"/>
      <w:lvlText w:val="%1.%2.%3.%4"/>
      <w:lvlJc w:val="left"/>
      <w:pPr>
        <w:tabs>
          <w:tab w:val="left" w:pos="0"/>
        </w:tabs>
        <w:ind w:left="0" w:firstLine="0"/>
      </w:pPr>
      <w:rPr>
        <w:rFonts w:hint="default"/>
      </w:rPr>
    </w:lvl>
    <w:lvl w:ilvl="4" w:tentative="0">
      <w:start w:val="1"/>
      <w:numFmt w:val="decimal"/>
      <w:suff w:val="space"/>
      <w:lvlText w:val="%1.%2.%3.%4.%5"/>
      <w:lvlJc w:val="left"/>
      <w:pPr>
        <w:tabs>
          <w:tab w:val="left" w:pos="0"/>
        </w:tabs>
        <w:ind w:left="0" w:firstLine="0"/>
      </w:pPr>
      <w:rPr>
        <w:rFonts w:hint="default"/>
      </w:rPr>
    </w:lvl>
    <w:lvl w:ilvl="5" w:tentative="0">
      <w:start w:val="1"/>
      <w:numFmt w:val="decimal"/>
      <w:suff w:val="space"/>
      <w:lvlText w:val="%1.%2.%3.%4.%5.%6"/>
      <w:lvlJc w:val="left"/>
      <w:pPr>
        <w:tabs>
          <w:tab w:val="left" w:pos="0"/>
        </w:tabs>
        <w:ind w:left="0" w:firstLine="0"/>
      </w:pPr>
      <w:rPr>
        <w:rFonts w:hint="default"/>
      </w:rPr>
    </w:lvl>
    <w:lvl w:ilvl="6" w:tentative="0">
      <w:start w:val="1"/>
      <w:numFmt w:val="decimal"/>
      <w:suff w:val="space"/>
      <w:lvlText w:val="%1.%2.%3.%4.%5.%6.%7"/>
      <w:lvlJc w:val="left"/>
      <w:pPr>
        <w:tabs>
          <w:tab w:val="left" w:pos="0"/>
        </w:tabs>
        <w:ind w:left="0" w:firstLine="0"/>
      </w:pPr>
      <w:rPr>
        <w:rFonts w:hint="default"/>
      </w:rPr>
    </w:lvl>
    <w:lvl w:ilvl="7" w:tentative="0">
      <w:start w:val="1"/>
      <w:numFmt w:val="decimal"/>
      <w:suff w:val="space"/>
      <w:lvlText w:val="%1.%2.%3.%4.%5.%6.%7.%8"/>
      <w:lvlJc w:val="left"/>
      <w:pPr>
        <w:tabs>
          <w:tab w:val="left" w:pos="0"/>
        </w:tabs>
        <w:ind w:left="0" w:firstLine="0"/>
      </w:pPr>
      <w:rPr>
        <w:rFonts w:hint="default"/>
      </w:rPr>
    </w:lvl>
    <w:lvl w:ilvl="8" w:tentative="0">
      <w:start w:val="1"/>
      <w:numFmt w:val="decimal"/>
      <w:suff w:val="space"/>
      <w:lvlText w:val="%1.%2.%3.%4.%5.%6.%7.%8.%9"/>
      <w:lvlJc w:val="left"/>
      <w:pPr>
        <w:tabs>
          <w:tab w:val="left" w:pos="0"/>
        </w:tabs>
        <w:ind w:left="0" w:firstLine="0"/>
      </w:pPr>
      <w:rPr>
        <w:rFonts w:hint="default"/>
      </w:rPr>
    </w:lvl>
  </w:abstractNum>
  <w:abstractNum w:abstractNumId="6">
    <w:nsid w:val="7B4156D0"/>
    <w:multiLevelType w:val="singleLevel"/>
    <w:tmpl w:val="7B4156D0"/>
    <w:lvl w:ilvl="0" w:tentative="0">
      <w:start w:val="1"/>
      <w:numFmt w:val="decimal"/>
      <w:suff w:val="nothing"/>
      <w:lvlText w:val="（%1）"/>
      <w:lvlJc w:val="left"/>
      <w:pPr>
        <w:tabs>
          <w:tab w:val="left" w:pos="0"/>
        </w:tabs>
        <w:ind w:left="0" w:firstLine="0"/>
      </w:pPr>
    </w:lvl>
  </w:abstractNum>
  <w:num w:numId="1">
    <w:abstractNumId w:val="2"/>
  </w:num>
  <w:num w:numId="2">
    <w:abstractNumId w:val="5"/>
  </w:num>
  <w:num w:numId="3">
    <w:abstractNumId w:val="0"/>
  </w:num>
  <w:num w:numId="4">
    <w:abstractNumId w:val="1"/>
  </w:num>
  <w:num w:numId="5">
    <w:abstractNumId w:val="4"/>
  </w:num>
  <w:num w:numId="6">
    <w:abstractNumId w:val="6"/>
  </w:num>
  <w:num w:numId="7">
    <w:abstractNumId w:val="3"/>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admin">
    <w15:presenceInfo w15:providerId="None" w15:userId="admi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OGRjYzA3MzQ3ZTRjZmU3YTkyNGZmMGQ2YjFhYjgifQ=="/>
  </w:docVars>
  <w:rsids>
    <w:rsidRoot w:val="4B262FC3"/>
    <w:rsid w:val="00062A80"/>
    <w:rsid w:val="003867C7"/>
    <w:rsid w:val="00912B81"/>
    <w:rsid w:val="00B601DD"/>
    <w:rsid w:val="00BE6023"/>
    <w:rsid w:val="00CA098B"/>
    <w:rsid w:val="00D356EE"/>
    <w:rsid w:val="01D51EF1"/>
    <w:rsid w:val="02994E80"/>
    <w:rsid w:val="038C7237"/>
    <w:rsid w:val="03B24C65"/>
    <w:rsid w:val="055174C8"/>
    <w:rsid w:val="05594FD2"/>
    <w:rsid w:val="07861826"/>
    <w:rsid w:val="08B573AC"/>
    <w:rsid w:val="0D1A4228"/>
    <w:rsid w:val="0E7D42BB"/>
    <w:rsid w:val="0EB6140A"/>
    <w:rsid w:val="0EE71081"/>
    <w:rsid w:val="103F356B"/>
    <w:rsid w:val="115F1A85"/>
    <w:rsid w:val="13533D6F"/>
    <w:rsid w:val="13593647"/>
    <w:rsid w:val="14A904CE"/>
    <w:rsid w:val="14FE49FC"/>
    <w:rsid w:val="18807C4B"/>
    <w:rsid w:val="18BC6A4A"/>
    <w:rsid w:val="19D626B5"/>
    <w:rsid w:val="1AAC5B34"/>
    <w:rsid w:val="1BE64FC7"/>
    <w:rsid w:val="1FBC673A"/>
    <w:rsid w:val="228D26A7"/>
    <w:rsid w:val="23F07DC3"/>
    <w:rsid w:val="28DA283E"/>
    <w:rsid w:val="2AEB3A8A"/>
    <w:rsid w:val="2B821B32"/>
    <w:rsid w:val="2F611A30"/>
    <w:rsid w:val="30BD213F"/>
    <w:rsid w:val="3533276E"/>
    <w:rsid w:val="36B31F5F"/>
    <w:rsid w:val="38B16276"/>
    <w:rsid w:val="392F341B"/>
    <w:rsid w:val="398D59F8"/>
    <w:rsid w:val="3A197CA5"/>
    <w:rsid w:val="40137CA8"/>
    <w:rsid w:val="40A73D35"/>
    <w:rsid w:val="423A6C9B"/>
    <w:rsid w:val="42A62ACD"/>
    <w:rsid w:val="446723D4"/>
    <w:rsid w:val="459314F7"/>
    <w:rsid w:val="4B262FC3"/>
    <w:rsid w:val="4B6F4E42"/>
    <w:rsid w:val="4C242C23"/>
    <w:rsid w:val="4EFF6BD2"/>
    <w:rsid w:val="52DA2D3A"/>
    <w:rsid w:val="53C92CD5"/>
    <w:rsid w:val="54AF23FC"/>
    <w:rsid w:val="57182A2A"/>
    <w:rsid w:val="581A4428"/>
    <w:rsid w:val="592366BF"/>
    <w:rsid w:val="59DF6221"/>
    <w:rsid w:val="5A6E105D"/>
    <w:rsid w:val="5DA7155A"/>
    <w:rsid w:val="5DC53457"/>
    <w:rsid w:val="5EC11AB1"/>
    <w:rsid w:val="5F4468FD"/>
    <w:rsid w:val="610B60EE"/>
    <w:rsid w:val="61CD6F76"/>
    <w:rsid w:val="627333FC"/>
    <w:rsid w:val="642919EE"/>
    <w:rsid w:val="69F85294"/>
    <w:rsid w:val="6A144077"/>
    <w:rsid w:val="6E5001E5"/>
    <w:rsid w:val="6FF006A6"/>
    <w:rsid w:val="70B1597A"/>
    <w:rsid w:val="71815530"/>
    <w:rsid w:val="72BD75D3"/>
    <w:rsid w:val="74FD35B0"/>
    <w:rsid w:val="77E73431"/>
    <w:rsid w:val="78916B04"/>
    <w:rsid w:val="7AA83FCF"/>
    <w:rsid w:val="7E8E4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qFormat="1" w:uiPriority="99"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qFormat="1"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qFormat="1"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jc w:val="both"/>
    </w:pPr>
    <w:rPr>
      <w:rFonts w:ascii="Times New Roman" w:hAnsi="Times New Roman" w:eastAsia="宋体" w:cs="Times New Roman"/>
      <w:kern w:val="2"/>
      <w:sz w:val="21"/>
      <w:szCs w:val="21"/>
      <w:lang w:val="en-US" w:eastAsia="zh-CN" w:bidi="ar-SA"/>
    </w:rPr>
  </w:style>
  <w:style w:type="paragraph" w:styleId="4">
    <w:name w:val="heading 1"/>
    <w:basedOn w:val="1"/>
    <w:next w:val="1"/>
    <w:link w:val="34"/>
    <w:qFormat/>
    <w:uiPriority w:val="0"/>
    <w:pPr>
      <w:keepNext/>
      <w:keepLines/>
      <w:spacing w:before="200" w:after="200"/>
      <w:jc w:val="center"/>
      <w:outlineLvl w:val="0"/>
    </w:pPr>
    <w:rPr>
      <w:rFonts w:eastAsia="黑体"/>
      <w:kern w:val="44"/>
      <w:sz w:val="44"/>
      <w:szCs w:val="44"/>
    </w:rPr>
  </w:style>
  <w:style w:type="paragraph" w:styleId="5">
    <w:name w:val="heading 2"/>
    <w:basedOn w:val="1"/>
    <w:next w:val="1"/>
    <w:link w:val="35"/>
    <w:qFormat/>
    <w:uiPriority w:val="0"/>
    <w:pPr>
      <w:keepNext/>
      <w:keepLines/>
      <w:spacing w:before="200" w:after="200"/>
      <w:jc w:val="center"/>
      <w:outlineLvl w:val="1"/>
    </w:pPr>
    <w:rPr>
      <w:rFonts w:eastAsia="黑体"/>
      <w:sz w:val="32"/>
      <w:szCs w:val="32"/>
    </w:rPr>
  </w:style>
  <w:style w:type="paragraph" w:styleId="6">
    <w:name w:val="heading 3"/>
    <w:basedOn w:val="1"/>
    <w:next w:val="1"/>
    <w:link w:val="36"/>
    <w:qFormat/>
    <w:uiPriority w:val="0"/>
    <w:pPr>
      <w:keepNext/>
      <w:keepLines/>
      <w:spacing w:before="200" w:after="200"/>
      <w:outlineLvl w:val="2"/>
    </w:pPr>
    <w:rPr>
      <w:rFonts w:eastAsia="黑体"/>
      <w:sz w:val="28"/>
      <w:szCs w:val="28"/>
    </w:rPr>
  </w:style>
  <w:style w:type="paragraph" w:styleId="7">
    <w:name w:val="heading 4"/>
    <w:basedOn w:val="1"/>
    <w:next w:val="1"/>
    <w:unhideWhenUsed/>
    <w:qFormat/>
    <w:uiPriority w:val="0"/>
    <w:pPr>
      <w:keepNext/>
      <w:keepLines/>
      <w:spacing w:before="280" w:after="290" w:line="372" w:lineRule="auto"/>
      <w:outlineLvl w:val="3"/>
    </w:pPr>
    <w:rPr>
      <w:rFonts w:ascii="Arial" w:hAnsi="Arial" w:eastAsia="黑体"/>
      <w:b/>
      <w:sz w:val="28"/>
    </w:rPr>
  </w:style>
  <w:style w:type="character" w:default="1" w:styleId="25">
    <w:name w:val="Default Paragraph Font"/>
    <w:semiHidden/>
    <w:unhideWhenUsed/>
    <w:qFormat/>
    <w:uiPriority w:val="1"/>
  </w:style>
  <w:style w:type="table" w:default="1" w:styleId="23">
    <w:name w:val="Normal Table"/>
    <w:semiHidden/>
    <w:unhideWhenUsed/>
    <w:qFormat/>
    <w:uiPriority w:val="99"/>
    <w:tblPr>
      <w:tblLayout w:type="fixed"/>
      <w:tblCellMar>
        <w:top w:w="0" w:type="dxa"/>
        <w:left w:w="108" w:type="dxa"/>
        <w:bottom w:w="0" w:type="dxa"/>
        <w:right w:w="108" w:type="dxa"/>
      </w:tblCellMar>
    </w:tblPr>
  </w:style>
  <w:style w:type="paragraph" w:styleId="2">
    <w:name w:val="Body Text"/>
    <w:basedOn w:val="1"/>
    <w:next w:val="3"/>
    <w:qFormat/>
    <w:uiPriority w:val="0"/>
    <w:pPr>
      <w:adjustRightInd w:val="0"/>
      <w:spacing w:line="360" w:lineRule="atLeast"/>
      <w:jc w:val="center"/>
      <w:textAlignment w:val="baseline"/>
    </w:pPr>
    <w:rPr>
      <w:kern w:val="0"/>
      <w:sz w:val="24"/>
      <w:szCs w:val="20"/>
    </w:rPr>
  </w:style>
  <w:style w:type="paragraph" w:styleId="3">
    <w:name w:val="Body Text Indent"/>
    <w:basedOn w:val="1"/>
    <w:qFormat/>
    <w:uiPriority w:val="0"/>
    <w:pPr>
      <w:spacing w:after="120"/>
      <w:ind w:left="420" w:leftChars="200"/>
    </w:pPr>
  </w:style>
  <w:style w:type="paragraph" w:styleId="8">
    <w:name w:val="Normal Indent"/>
    <w:basedOn w:val="1"/>
    <w:qFormat/>
    <w:uiPriority w:val="0"/>
    <w:pPr>
      <w:ind w:firstLine="420" w:firstLineChars="200"/>
    </w:pPr>
  </w:style>
  <w:style w:type="paragraph" w:styleId="9">
    <w:name w:val="annotation text"/>
    <w:basedOn w:val="1"/>
    <w:qFormat/>
    <w:uiPriority w:val="0"/>
    <w:pPr>
      <w:jc w:val="left"/>
    </w:pPr>
  </w:style>
  <w:style w:type="paragraph" w:styleId="10">
    <w:name w:val="index 4"/>
    <w:basedOn w:val="1"/>
    <w:next w:val="1"/>
    <w:unhideWhenUsed/>
    <w:qFormat/>
    <w:uiPriority w:val="99"/>
    <w:pPr>
      <w:ind w:left="600" w:leftChars="600"/>
    </w:pPr>
  </w:style>
  <w:style w:type="paragraph" w:styleId="11">
    <w:name w:val="Plain Text"/>
    <w:basedOn w:val="1"/>
    <w:qFormat/>
    <w:uiPriority w:val="0"/>
    <w:rPr>
      <w:rFonts w:ascii="宋体" w:hAnsi="宋体" w:cs="Courier New"/>
    </w:rPr>
  </w:style>
  <w:style w:type="paragraph" w:styleId="12">
    <w:name w:val="Balloon Text"/>
    <w:basedOn w:val="1"/>
    <w:link w:val="45"/>
    <w:qFormat/>
    <w:uiPriority w:val="0"/>
    <w:pPr>
      <w:spacing w:line="240" w:lineRule="auto"/>
    </w:pPr>
    <w:rPr>
      <w:sz w:val="18"/>
      <w:szCs w:val="18"/>
    </w:rPr>
  </w:style>
  <w:style w:type="paragraph" w:styleId="13">
    <w:name w:val="footer"/>
    <w:basedOn w:val="1"/>
    <w:qFormat/>
    <w:uiPriority w:val="0"/>
    <w:pPr>
      <w:tabs>
        <w:tab w:val="center" w:pos="4153"/>
        <w:tab w:val="right" w:pos="8306"/>
      </w:tabs>
      <w:snapToGrid w:val="0"/>
      <w:jc w:val="left"/>
    </w:pPr>
    <w:rPr>
      <w:sz w:val="18"/>
    </w:rPr>
  </w:style>
  <w:style w:type="paragraph" w:styleId="14">
    <w:name w:val="header"/>
    <w:basedOn w:val="1"/>
    <w:qFormat/>
    <w:uiPriority w:val="0"/>
    <w:pPr>
      <w:pBdr>
        <w:bottom w:val="single" w:color="auto" w:sz="4" w:space="1"/>
      </w:pBdr>
      <w:tabs>
        <w:tab w:val="center" w:pos="4153"/>
        <w:tab w:val="right" w:pos="8306"/>
      </w:tabs>
      <w:snapToGrid w:val="0"/>
    </w:pPr>
    <w:rPr>
      <w:sz w:val="18"/>
    </w:rPr>
  </w:style>
  <w:style w:type="paragraph" w:styleId="15">
    <w:name w:val="toc 1"/>
    <w:basedOn w:val="1"/>
    <w:next w:val="1"/>
    <w:qFormat/>
    <w:uiPriority w:val="0"/>
    <w:pPr>
      <w:spacing w:before="120" w:after="120"/>
      <w:jc w:val="left"/>
    </w:pPr>
    <w:rPr>
      <w:rFonts w:ascii="等线" w:eastAsia="等线"/>
      <w:b/>
      <w:bCs/>
      <w:caps/>
      <w:sz w:val="20"/>
      <w:szCs w:val="20"/>
    </w:rPr>
  </w:style>
  <w:style w:type="paragraph" w:styleId="16">
    <w:name w:val="footnote text"/>
    <w:basedOn w:val="1"/>
    <w:qFormat/>
    <w:uiPriority w:val="0"/>
    <w:pPr>
      <w:snapToGrid w:val="0"/>
      <w:jc w:val="left"/>
    </w:pPr>
    <w:rPr>
      <w:sz w:val="18"/>
    </w:rPr>
  </w:style>
  <w:style w:type="paragraph" w:styleId="17">
    <w:name w:val="index 9"/>
    <w:basedOn w:val="1"/>
    <w:next w:val="1"/>
    <w:qFormat/>
    <w:uiPriority w:val="0"/>
    <w:pPr>
      <w:ind w:left="3360"/>
    </w:pPr>
  </w:style>
  <w:style w:type="paragraph" w:styleId="18">
    <w:name w:val="Body Text 2"/>
    <w:basedOn w:val="1"/>
    <w:qFormat/>
    <w:uiPriority w:val="0"/>
    <w:pPr>
      <w:spacing w:after="120" w:line="480" w:lineRule="auto"/>
    </w:pPr>
  </w:style>
  <w:style w:type="paragraph" w:styleId="19">
    <w:name w:val="HTML Preformatted"/>
    <w:unhideWhenUsed/>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Times New Roman"/>
      <w:kern w:val="0"/>
      <w:sz w:val="24"/>
      <w:szCs w:val="24"/>
      <w:lang w:val="en-US" w:eastAsia="zh-CN" w:bidi="ar-SA"/>
    </w:rPr>
  </w:style>
  <w:style w:type="paragraph" w:styleId="20">
    <w:name w:val="Normal (Web)"/>
    <w:basedOn w:val="1"/>
    <w:qFormat/>
    <w:uiPriority w:val="0"/>
    <w:pPr>
      <w:widowControl/>
      <w:spacing w:before="100" w:beforeAutospacing="1" w:after="100" w:afterAutospacing="1"/>
      <w:jc w:val="left"/>
    </w:pPr>
    <w:rPr>
      <w:rFonts w:ascii="宋体" w:cs="宋体"/>
      <w:kern w:val="0"/>
      <w:sz w:val="24"/>
    </w:rPr>
  </w:style>
  <w:style w:type="paragraph" w:styleId="21">
    <w:name w:val="Body Text First Indent"/>
    <w:basedOn w:val="1"/>
    <w:unhideWhenUsed/>
    <w:qFormat/>
    <w:uiPriority w:val="99"/>
    <w:pPr>
      <w:adjustRightInd/>
      <w:spacing w:after="120" w:line="240" w:lineRule="auto"/>
      <w:ind w:firstLine="420" w:firstLineChars="100"/>
      <w:jc w:val="both"/>
      <w:textAlignment w:val="auto"/>
    </w:pPr>
    <w:rPr>
      <w:kern w:val="2"/>
      <w:sz w:val="21"/>
      <w:szCs w:val="24"/>
    </w:rPr>
  </w:style>
  <w:style w:type="paragraph" w:styleId="22">
    <w:name w:val="Body Text First Indent 2"/>
    <w:basedOn w:val="3"/>
    <w:qFormat/>
    <w:uiPriority w:val="0"/>
    <w:pPr>
      <w:ind w:firstLine="420" w:firstLineChars="200"/>
    </w:pPr>
  </w:style>
  <w:style w:type="table" w:styleId="24">
    <w:name w:val="Table Grid"/>
    <w:basedOn w:val="23"/>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styleId="26">
    <w:name w:val="page number"/>
    <w:basedOn w:val="25"/>
    <w:qFormat/>
    <w:uiPriority w:val="0"/>
  </w:style>
  <w:style w:type="character" w:styleId="27">
    <w:name w:val="Hyperlink"/>
    <w:qFormat/>
    <w:uiPriority w:val="0"/>
    <w:rPr>
      <w:color w:val="0000FF"/>
      <w:u w:val="single"/>
    </w:rPr>
  </w:style>
  <w:style w:type="character" w:styleId="28">
    <w:name w:val="annotation reference"/>
    <w:basedOn w:val="25"/>
    <w:qFormat/>
    <w:uiPriority w:val="0"/>
    <w:rPr>
      <w:sz w:val="21"/>
      <w:szCs w:val="21"/>
    </w:rPr>
  </w:style>
  <w:style w:type="paragraph" w:customStyle="1" w:styleId="29">
    <w:name w:val="正文（缩进）"/>
    <w:basedOn w:val="1"/>
    <w:qFormat/>
    <w:uiPriority w:val="0"/>
    <w:pPr>
      <w:spacing w:before="156" w:after="156"/>
      <w:ind w:firstLine="480" w:firstLineChars="200"/>
    </w:pPr>
  </w:style>
  <w:style w:type="paragraph" w:customStyle="1" w:styleId="30">
    <w:name w:val="样式 10 磅"/>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31">
    <w:name w:val="列出段落1"/>
    <w:basedOn w:val="1"/>
    <w:qFormat/>
    <w:uiPriority w:val="0"/>
    <w:pPr>
      <w:ind w:firstLine="200" w:firstLineChars="200"/>
    </w:pPr>
    <w:rPr>
      <w:rFonts w:cs="Calibri"/>
    </w:rPr>
  </w:style>
  <w:style w:type="paragraph" w:customStyle="1" w:styleId="32">
    <w:name w:val="样式 10 磅31114"/>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33">
    <w:name w:val="WPSOffice手动目录 1"/>
    <w:qFormat/>
    <w:uiPriority w:val="0"/>
    <w:rPr>
      <w:rFonts w:ascii="Times New Roman" w:hAnsi="Times New Roman" w:eastAsia="宋体" w:cs="Times New Roman"/>
      <w:lang w:val="en-US" w:eastAsia="zh-CN" w:bidi="ar-SA"/>
    </w:rPr>
  </w:style>
  <w:style w:type="character" w:customStyle="1" w:styleId="34">
    <w:name w:val="标题 1 Char"/>
    <w:link w:val="4"/>
    <w:qFormat/>
    <w:uiPriority w:val="0"/>
    <w:rPr>
      <w:rFonts w:ascii="Times New Roman" w:hAnsi="Times New Roman" w:eastAsia="黑体" w:cs="Times New Roman"/>
      <w:kern w:val="44"/>
      <w:sz w:val="44"/>
      <w:szCs w:val="44"/>
    </w:rPr>
  </w:style>
  <w:style w:type="character" w:customStyle="1" w:styleId="35">
    <w:name w:val="标题 2 Char"/>
    <w:link w:val="5"/>
    <w:qFormat/>
    <w:uiPriority w:val="0"/>
    <w:rPr>
      <w:rFonts w:eastAsia="黑体"/>
      <w:sz w:val="32"/>
      <w:szCs w:val="32"/>
    </w:rPr>
  </w:style>
  <w:style w:type="character" w:customStyle="1" w:styleId="36">
    <w:name w:val="标题 3 Char"/>
    <w:link w:val="6"/>
    <w:qFormat/>
    <w:uiPriority w:val="0"/>
    <w:rPr>
      <w:rFonts w:eastAsia="黑体"/>
      <w:sz w:val="28"/>
      <w:szCs w:val="28"/>
    </w:rPr>
  </w:style>
  <w:style w:type="paragraph" w:customStyle="1" w:styleId="37">
    <w:name w:val="_Style 1"/>
    <w:basedOn w:val="1"/>
    <w:qFormat/>
    <w:uiPriority w:val="0"/>
    <w:pPr>
      <w:ind w:firstLine="200" w:firstLineChars="200"/>
    </w:pPr>
    <w:rPr>
      <w:sz w:val="32"/>
    </w:rPr>
  </w:style>
  <w:style w:type="paragraph" w:customStyle="1" w:styleId="38">
    <w:name w:val="无间隔1"/>
    <w:basedOn w:val="1"/>
    <w:qFormat/>
    <w:uiPriority w:val="0"/>
    <w:pPr>
      <w:widowControl/>
      <w:spacing w:line="240" w:lineRule="auto"/>
      <w:jc w:val="left"/>
    </w:pPr>
    <w:rPr>
      <w:rFonts w:ascii="Calibri" w:hAnsi="Calibri"/>
      <w:kern w:val="0"/>
      <w:sz w:val="22"/>
      <w:szCs w:val="20"/>
    </w:rPr>
  </w:style>
  <w:style w:type="paragraph" w:styleId="39">
    <w:name w:val="List Paragraph"/>
    <w:basedOn w:val="1"/>
    <w:next w:val="1"/>
    <w:qFormat/>
    <w:uiPriority w:val="34"/>
    <w:pPr>
      <w:ind w:firstLine="420"/>
    </w:pPr>
  </w:style>
  <w:style w:type="paragraph" w:customStyle="1" w:styleId="40">
    <w:name w:val="文档正文"/>
    <w:basedOn w:val="1"/>
    <w:qFormat/>
    <w:uiPriority w:val="0"/>
    <w:pPr>
      <w:adjustRightInd w:val="0"/>
      <w:spacing w:line="480" w:lineRule="atLeast"/>
      <w:ind w:firstLine="567"/>
      <w:textAlignment w:val="baseline"/>
    </w:pPr>
    <w:rPr>
      <w:rFonts w:eastAsia="楷体_GB2312"/>
      <w:kern w:val="0"/>
      <w:sz w:val="28"/>
      <w:szCs w:val="20"/>
    </w:rPr>
  </w:style>
  <w:style w:type="paragraph" w:customStyle="1" w:styleId="41">
    <w:name w:val="无间隔2"/>
    <w:qFormat/>
    <w:uiPriority w:val="0"/>
    <w:rPr>
      <w:rFonts w:ascii="Calibri" w:hAnsi="Calibri" w:eastAsia="宋体" w:cs="Times New Roman"/>
      <w:sz w:val="22"/>
      <w:lang w:val="en-US" w:eastAsia="zh-CN" w:bidi="ar-SA"/>
    </w:rPr>
  </w:style>
  <w:style w:type="paragraph" w:customStyle="1" w:styleId="42">
    <w:name w:val="表"/>
    <w:next w:val="8"/>
    <w:qFormat/>
    <w:uiPriority w:val="0"/>
    <w:pPr>
      <w:jc w:val="center"/>
      <w:textAlignment w:val="center"/>
    </w:pPr>
    <w:rPr>
      <w:rFonts w:ascii="Times New Roman" w:hAnsi="Times New Roman" w:eastAsia="宋体" w:cs="Times New Roman"/>
      <w:bCs/>
      <w:color w:val="000000"/>
      <w:sz w:val="24"/>
      <w:szCs w:val="22"/>
      <w:lang w:val="en-US" w:eastAsia="zh-CN" w:bidi="ar-SA"/>
    </w:rPr>
  </w:style>
  <w:style w:type="paragraph" w:customStyle="1" w:styleId="43">
    <w:name w:val="评分"/>
    <w:qFormat/>
    <w:uiPriority w:val="0"/>
    <w:rPr>
      <w:rFonts w:ascii="宋体" w:hAnsi="宋体" w:eastAsia="宋体" w:cs="Times New Roman"/>
      <w:snapToGrid w:val="0"/>
      <w:sz w:val="21"/>
      <w:szCs w:val="22"/>
      <w:lang w:val="en-US" w:eastAsia="zh-CN" w:bidi="ar-SA"/>
    </w:rPr>
  </w:style>
  <w:style w:type="paragraph" w:customStyle="1" w:styleId="44">
    <w:name w:val="表1"/>
    <w:qFormat/>
    <w:uiPriority w:val="0"/>
    <w:pPr>
      <w:jc w:val="center"/>
    </w:pPr>
    <w:rPr>
      <w:rFonts w:ascii="宋体" w:hAnsi="宋体" w:eastAsia="仿宋" w:cs="仿宋_GB2312"/>
      <w:bCs/>
      <w:color w:val="000000"/>
      <w:kern w:val="2"/>
      <w:sz w:val="24"/>
      <w:szCs w:val="24"/>
      <w:lang w:val="en-US" w:eastAsia="zh-CN" w:bidi="ar-SA"/>
    </w:rPr>
  </w:style>
  <w:style w:type="character" w:customStyle="1" w:styleId="45">
    <w:name w:val="批注框文本 Char"/>
    <w:basedOn w:val="25"/>
    <w:link w:val="12"/>
    <w:qFormat/>
    <w:uiPriority w:val="0"/>
    <w:rPr>
      <w:rFonts w:ascii="Times New Roman" w:hAnsi="Times New Roman" w:eastAsia="宋体" w:cs="Times New Roman"/>
      <w:kern w:val="2"/>
      <w:sz w:val="18"/>
      <w:szCs w:val="18"/>
    </w:rPr>
  </w:style>
  <w:style w:type="paragraph" w:customStyle="1" w:styleId="46">
    <w:name w:val="Normal_25_0"/>
    <w:qFormat/>
    <w:uiPriority w:val="0"/>
    <w:pPr>
      <w:spacing w:before="120" w:after="240"/>
      <w:jc w:val="both"/>
    </w:pPr>
    <w:rPr>
      <w:rFonts w:ascii="Calibri" w:hAnsi="Calibri" w:eastAsia="Times New Roman" w:cs="Times New Roman"/>
      <w:sz w:val="22"/>
      <w:szCs w:val="22"/>
      <w:lang w:val="ru-RU" w:eastAsia="en-US" w:bidi="ar-SA"/>
    </w:rPr>
  </w:style>
  <w:style w:type="paragraph" w:customStyle="1" w:styleId="47">
    <w:name w:val="缺省文本"/>
    <w:basedOn w:val="1"/>
    <w:qFormat/>
    <w:uiPriority w:val="0"/>
    <w:pPr>
      <w:numPr>
        <w:ilvl w:val="3"/>
        <w:numId w:val="1"/>
      </w:numPr>
      <w:suppressAutoHyphens/>
      <w:autoSpaceDE w:val="0"/>
      <w:spacing w:line="360" w:lineRule="auto"/>
      <w:jc w:val="left"/>
    </w:pPr>
    <w:rPr>
      <w:rFonts w:ascii="Times New Roman" w:hAnsi="Times New Roman"/>
      <w:kern w:val="1"/>
      <w:sz w:val="24"/>
      <w:szCs w:val="24"/>
      <w:lang w:eastAsia="ar-SA"/>
    </w:rPr>
  </w:style>
  <w:style w:type="paragraph" w:customStyle="1" w:styleId="48">
    <w:name w:val="Normal_29_0"/>
    <w:qFormat/>
    <w:uiPriority w:val="0"/>
    <w:pPr>
      <w:spacing w:before="120" w:after="240"/>
      <w:jc w:val="both"/>
    </w:pPr>
    <w:rPr>
      <w:rFonts w:ascii="Calibri" w:hAnsi="Calibri" w:eastAsia="Times New Roman" w:cs="Times New Roman"/>
      <w:sz w:val="22"/>
      <w:szCs w:val="22"/>
      <w:lang w:val="ru-RU" w:eastAsia="en-US" w:bidi="ar-SA"/>
    </w:rPr>
  </w:style>
  <w:style w:type="paragraph" w:customStyle="1" w:styleId="49">
    <w:name w:val="Normal_36_0"/>
    <w:qFormat/>
    <w:uiPriority w:val="0"/>
    <w:pPr>
      <w:spacing w:before="120" w:after="240"/>
      <w:jc w:val="both"/>
    </w:pPr>
    <w:rPr>
      <w:rFonts w:ascii="Calibri" w:hAnsi="Calibri" w:eastAsia="Times New Roman" w:cs="Times New Roman"/>
      <w:sz w:val="22"/>
      <w:szCs w:val="22"/>
      <w:lang w:val="ru-RU" w:eastAsia="en-US" w:bidi="ar-SA"/>
    </w:rPr>
  </w:style>
  <w:style w:type="paragraph" w:customStyle="1" w:styleId="50">
    <w:name w:val="No Spacing"/>
    <w:qFormat/>
    <w:uiPriority w:val="0"/>
    <w:rPr>
      <w:rFonts w:ascii="Calibri" w:hAnsi="Calibri" w:eastAsia="宋体" w:cs="Times New Roman"/>
      <w:sz w:val="22"/>
      <w:lang w:val="en-US" w:eastAsia="zh-CN" w:bidi="ar-SA"/>
    </w:rPr>
  </w:style>
  <w:style w:type="paragraph" w:customStyle="1" w:styleId="51">
    <w:name w:val="我的正文"/>
    <w:basedOn w:val="1"/>
    <w:qFormat/>
    <w:uiPriority w:val="0"/>
    <w:pPr>
      <w:ind w:firstLine="528"/>
    </w:pPr>
  </w:style>
  <w:style w:type="character" w:customStyle="1" w:styleId="52">
    <w:name w:val="fontstyle01"/>
    <w:basedOn w:val="25"/>
    <w:qFormat/>
    <w:uiPriority w:val="0"/>
    <w:rPr>
      <w:rFonts w:hint="eastAsia" w:ascii="宋体" w:hAnsi="宋体" w:eastAsia="宋体"/>
      <w:color w:val="000000"/>
      <w:sz w:val="24"/>
      <w:szCs w:val="24"/>
    </w:rPr>
  </w:style>
  <w:style w:type="paragraph" w:customStyle="1" w:styleId="53">
    <w:name w:val="正文 首行缩进加粗"/>
    <w:qFormat/>
    <w:uiPriority w:val="0"/>
    <w:pPr>
      <w:spacing w:line="360" w:lineRule="auto"/>
      <w:ind w:firstLine="422" w:firstLineChars="200"/>
    </w:pPr>
    <w:rPr>
      <w:rFonts w:ascii="Arial" w:hAnsi="Arial" w:eastAsia="宋体" w:cs="宋体"/>
      <w:b/>
      <w:lang w:val="en-US" w:eastAsia="zh-CN" w:bidi="ar-SA"/>
    </w:rPr>
  </w:style>
  <w:style w:type="paragraph" w:customStyle="1" w:styleId="54">
    <w:name w:val="标题三自定义"/>
    <w:next w:val="1"/>
    <w:qFormat/>
    <w:uiPriority w:val="99"/>
    <w:pPr>
      <w:keepNext/>
      <w:keepLines/>
      <w:widowControl/>
      <w:spacing w:before="156" w:after="156" w:line="416" w:lineRule="auto"/>
      <w:jc w:val="left"/>
      <w:outlineLvl w:val="2"/>
    </w:pPr>
    <w:rPr>
      <w:rFonts w:ascii="Times New Roman" w:hAnsi="Times New Roman" w:eastAsia="宋体" w:cs="Times New Roman"/>
      <w:b/>
      <w:bCs/>
      <w:color w:val="000000"/>
      <w:kern w:val="2"/>
      <w:sz w:val="32"/>
      <w:szCs w:val="28"/>
      <w:lang w:val="en-US" w:eastAsia="zh-CN" w:bidi="ar-SA"/>
    </w:rPr>
  </w:style>
  <w:style w:type="paragraph" w:customStyle="1" w:styleId="55">
    <w:name w:val="首行缩进2字符"/>
    <w:qFormat/>
    <w:uiPriority w:val="0"/>
    <w:pPr>
      <w:widowControl w:val="0"/>
      <w:ind w:firstLine="480"/>
      <w:jc w:val="both"/>
    </w:pPr>
    <w:rPr>
      <w:rFonts w:ascii="Arial" w:hAnsi="Arial" w:eastAsia="宋体" w:cs="Times New Roman"/>
      <w:kern w:val="2"/>
      <w:sz w:val="21"/>
      <w:szCs w:val="20"/>
      <w:lang w:val="en-US" w:eastAsia="zh-CN" w:bidi="ar-SA"/>
    </w:rPr>
  </w:style>
  <w:style w:type="paragraph" w:customStyle="1" w:styleId="56">
    <w:name w:val="@正文文本首行缩进 Alt＋w"/>
    <w:qFormat/>
    <w:uiPriority w:val="99"/>
    <w:pPr>
      <w:widowControl w:val="0"/>
      <w:spacing w:beforeLines="50"/>
      <w:ind w:firstLine="482"/>
      <w:jc w:val="both"/>
    </w:pPr>
    <w:rPr>
      <w:rFonts w:ascii="Times New Roman" w:hAnsi="Times New Roman" w:eastAsia="宋体" w:cs="Times New Roman"/>
      <w:color w:val="000000"/>
      <w:kern w:val="2"/>
      <w:sz w:val="21"/>
      <w:szCs w:val="24"/>
      <w:lang w:val="en-US" w:eastAsia="zh-CN" w:bidi="ar-SA"/>
    </w:rPr>
  </w:style>
  <w:style w:type="paragraph" w:customStyle="1" w:styleId="57">
    <w:name w:val="_正文"/>
    <w:qFormat/>
    <w:uiPriority w:val="0"/>
    <w:pPr>
      <w:widowControl w:val="0"/>
      <w:spacing w:line="360" w:lineRule="auto"/>
      <w:jc w:val="both"/>
    </w:pPr>
    <w:rPr>
      <w:rFonts w:ascii="Times New Roman" w:hAnsi="Times New Roman" w:eastAsia="宋体" w:cs="Times New Roman"/>
      <w:kern w:val="2"/>
      <w:sz w:val="21"/>
      <w:szCs w:val="24"/>
      <w:lang w:val="en-US" w:eastAsia="zh-CN" w:bidi="ar-SA"/>
    </w:rPr>
  </w:style>
  <w:style w:type="character" w:customStyle="1" w:styleId="58">
    <w:name w:val="标题 3 Char1"/>
    <w:qFormat/>
    <w:uiPriority w:val="9"/>
    <w:rPr>
      <w:rFonts w:ascii="Times New Roman" w:hAnsi="Times New Roman" w:eastAsia="仿宋_GB2312"/>
      <w:b/>
      <w:bCs/>
      <w:sz w:val="32"/>
      <w:szCs w:val="32"/>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microsoft.com/office/2011/relationships/people" Target="people.xml"/><Relationship Id="rId10" Type="http://schemas.openxmlformats.org/officeDocument/2006/relationships/fontTable" Target="fontTable.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70</Pages>
  <Words>37271</Words>
  <Characters>39029</Characters>
  <Lines>302</Lines>
  <Paragraphs>85</Paragraphs>
  <TotalTime>15</TotalTime>
  <ScaleCrop>false</ScaleCrop>
  <LinksUpToDate>false</LinksUpToDate>
  <CharactersWithSpaces>41123</CharactersWithSpaces>
  <Application>WPS Office_11.8.2.8506_F1E327BC-269C-435d-A152-05C5408002CA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2022-07-12T12:44:00Z</dcterms:created>
  <dc:creator>QIQI</dc:creator>
  <cp:lastModifiedBy>haochunyang</cp:lastModifiedBy>
  <dcterms:modified xsi:type="dcterms:W3CDTF">2025-02-11T06:41:28Z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2052-11.8.2.8506</vt:lpwstr>
  </property>
  <property fmtid="{D5CDD505-2E9C-101B-9397-08002B2CF9AE}" pid="3" name="ICV">
    <vt:lpwstr>C251EBDE8CAE449FA99D3D77AE3CC162_13</vt:lpwstr>
  </property>
</Properties>
</file>