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beforeLines="0" w:after="0" w:afterLines="0" w:line="240" w:lineRule="auto"/>
        <w:ind w:left="0" w:leftChars="0" w:right="0" w:rightChars="0" w:firstLine="0" w:firstLineChars="0"/>
        <w:jc w:val="center"/>
        <w:rPr>
          <w:rFonts w:hint="eastAsia" w:ascii="方正小标宋简体" w:hAnsi="方正小标宋简体" w:eastAsia="方正小标宋简体" w:cs="方正小标宋简体"/>
          <w:spacing w:val="-20"/>
          <w:sz w:val="84"/>
          <w:szCs w:val="84"/>
        </w:rPr>
      </w:pPr>
    </w:p>
    <w:p>
      <w:pPr>
        <w:pStyle w:val="8"/>
        <w:ind w:left="0" w:leftChars="0" w:firstLine="0" w:firstLineChars="0"/>
        <w:rPr>
          <w:rFonts w:hint="eastAsia" w:ascii="方正小标宋简体" w:hAnsi="方正小标宋简体" w:eastAsia="方正小标宋简体" w:cs="方正小标宋简体"/>
          <w:spacing w:val="-20"/>
          <w:sz w:val="84"/>
          <w:szCs w:val="84"/>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0"/>
        <w:rPr>
          <w:rFonts w:hint="eastAsia" w:ascii="方正小标宋简体" w:hAnsi="方正小标宋简体" w:eastAsia="方正小标宋简体" w:cs="方正小标宋简体"/>
          <w:b w:val="0"/>
          <w:bCs w:val="0"/>
          <w:spacing w:val="-20"/>
          <w:sz w:val="84"/>
          <w:szCs w:val="84"/>
        </w:rPr>
      </w:pPr>
      <w:bookmarkStart w:id="0" w:name="_Toc20136"/>
      <w:bookmarkStart w:id="1" w:name="_Toc26392"/>
      <w:bookmarkStart w:id="2" w:name="_Toc3705"/>
      <w:bookmarkStart w:id="3" w:name="_Toc11187"/>
      <w:bookmarkStart w:id="4" w:name="_Toc26562"/>
      <w:bookmarkStart w:id="5" w:name="_Toc27014"/>
      <w:bookmarkStart w:id="6" w:name="_Toc30913"/>
      <w:bookmarkStart w:id="7" w:name="_Toc10803"/>
      <w:bookmarkStart w:id="8" w:name="_Toc3493"/>
      <w:bookmarkStart w:id="9" w:name="_Toc24303"/>
      <w:bookmarkStart w:id="10" w:name="_Toc17692"/>
      <w:bookmarkStart w:id="11" w:name="_Toc28586"/>
      <w:bookmarkStart w:id="12" w:name="_Toc2903"/>
      <w:r>
        <w:rPr>
          <w:rFonts w:hint="eastAsia" w:ascii="方正小标宋简体" w:hAnsi="方正小标宋简体" w:eastAsia="方正小标宋简体" w:cs="方正小标宋简体"/>
          <w:b w:val="0"/>
          <w:bCs w:val="0"/>
          <w:spacing w:val="-20"/>
          <w:sz w:val="84"/>
          <w:szCs w:val="84"/>
        </w:rPr>
        <w:t>2022年新的组合式税费</w:t>
      </w:r>
      <w:bookmarkEnd w:id="0"/>
      <w:bookmarkEnd w:id="1"/>
      <w:bookmarkEnd w:id="2"/>
      <w:bookmarkEnd w:id="3"/>
      <w:bookmarkEnd w:id="4"/>
      <w:bookmarkEnd w:id="5"/>
      <w:bookmarkEnd w:id="6"/>
      <w:bookmarkEnd w:id="7"/>
      <w:bookmarkEnd w:id="8"/>
      <w:bookmarkEnd w:id="9"/>
      <w:bookmarkEnd w:id="10"/>
      <w:bookmarkEnd w:id="11"/>
      <w:bookmarkEnd w:id="12"/>
    </w:p>
    <w:p>
      <w:pPr>
        <w:keepNext w:val="0"/>
        <w:keepLines w:val="0"/>
        <w:pageBreakBefore w:val="0"/>
        <w:widowControl w:val="0"/>
        <w:kinsoku/>
        <w:wordWrap/>
        <w:overflowPunct/>
        <w:topLinePunct w:val="0"/>
        <w:autoSpaceDE/>
        <w:autoSpaceDN/>
        <w:bidi w:val="0"/>
        <w:adjustRightInd/>
        <w:snapToGrid/>
        <w:spacing w:line="240" w:lineRule="auto"/>
        <w:ind w:firstLine="1600" w:firstLineChars="200"/>
        <w:jc w:val="both"/>
        <w:textAlignment w:val="auto"/>
        <w:outlineLvl w:val="0"/>
        <w:rPr>
          <w:rFonts w:hint="eastAsia" w:ascii="宋体" w:hAnsi="宋体" w:eastAsia="宋体" w:cs="宋体"/>
          <w:b w:val="0"/>
          <w:bCs w:val="0"/>
          <w:spacing w:val="-20"/>
          <w:sz w:val="84"/>
          <w:szCs w:val="84"/>
        </w:rPr>
      </w:pPr>
      <w:bookmarkStart w:id="13" w:name="_Toc7984"/>
      <w:bookmarkStart w:id="14" w:name="_Toc15947"/>
      <w:bookmarkStart w:id="15" w:name="_Toc8580"/>
      <w:bookmarkStart w:id="16" w:name="_Toc15367"/>
      <w:bookmarkStart w:id="17" w:name="_Toc12894"/>
      <w:bookmarkStart w:id="18" w:name="_Toc7366"/>
      <w:bookmarkStart w:id="19" w:name="_Toc29678"/>
      <w:bookmarkStart w:id="20" w:name="_Toc24018"/>
      <w:bookmarkStart w:id="21" w:name="_Toc26336"/>
      <w:bookmarkStart w:id="22" w:name="_Toc4453"/>
      <w:bookmarkStart w:id="23" w:name="_Toc24966"/>
      <w:bookmarkStart w:id="24" w:name="_Toc4566"/>
      <w:bookmarkStart w:id="25" w:name="_Toc28073"/>
      <w:r>
        <w:rPr>
          <w:rFonts w:hint="eastAsia" w:ascii="方正小标宋简体" w:hAnsi="方正小标宋简体" w:eastAsia="方正小标宋简体" w:cs="方正小标宋简体"/>
          <w:b w:val="0"/>
          <w:bCs w:val="0"/>
          <w:spacing w:val="-20"/>
          <w:sz w:val="84"/>
          <w:szCs w:val="84"/>
        </w:rPr>
        <w:t>支持政策指引</w:t>
      </w:r>
      <w:bookmarkEnd w:id="13"/>
      <w:bookmarkEnd w:id="14"/>
      <w:bookmarkEnd w:id="15"/>
      <w:bookmarkEnd w:id="16"/>
      <w:bookmarkEnd w:id="17"/>
      <w:bookmarkEnd w:id="18"/>
      <w:bookmarkEnd w:id="19"/>
      <w:bookmarkEnd w:id="20"/>
      <w:bookmarkEnd w:id="21"/>
      <w:bookmarkEnd w:id="22"/>
      <w:bookmarkEnd w:id="23"/>
      <w:bookmarkEnd w:id="24"/>
      <w:bookmarkEnd w:id="25"/>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center"/>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方正小标宋简体" w:hAnsi="方正小标宋简体" w:eastAsia="方正小标宋简体" w:cs="方正小标宋简体"/>
          <w:b w:val="0"/>
          <w:bCs w:val="0"/>
          <w:sz w:val="32"/>
          <w:szCs w:val="32"/>
        </w:rPr>
      </w:pPr>
    </w:p>
    <w:p>
      <w:pPr>
        <w:pStyle w:val="25"/>
        <w:rPr>
          <w:rFonts w:hint="eastAsia" w:ascii="方正小标宋简体" w:hAnsi="方正小标宋简体" w:eastAsia="方正小标宋简体" w:cs="方正小标宋简体"/>
          <w:b w:val="0"/>
          <w:bCs w:val="0"/>
          <w:sz w:val="32"/>
          <w:szCs w:val="32"/>
        </w:rPr>
      </w:pPr>
    </w:p>
    <w:p>
      <w:pPr>
        <w:pStyle w:val="25"/>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方正小标宋简体" w:hAnsi="方正小标宋简体" w:eastAsia="方正小标宋简体" w:cs="方正小标宋简体"/>
          <w:b w:val="0"/>
          <w:bCs w:val="0"/>
          <w:sz w:val="32"/>
          <w:szCs w:val="32"/>
          <w:lang w:val="en-US" w:eastAsia="zh-CN"/>
        </w:rPr>
      </w:pPr>
      <w:bookmarkStart w:id="26" w:name="_Toc32208"/>
      <w:bookmarkStart w:id="27" w:name="_Toc26220"/>
      <w:bookmarkStart w:id="28" w:name="_Toc28094"/>
      <w:bookmarkStart w:id="29" w:name="_Toc4262"/>
      <w:bookmarkStart w:id="30" w:name="_Toc25620"/>
      <w:bookmarkStart w:id="31" w:name="_Toc5668"/>
      <w:bookmarkStart w:id="32" w:name="_Toc11475"/>
      <w:bookmarkStart w:id="33" w:name="_Toc232"/>
      <w:bookmarkStart w:id="34" w:name="_Toc20017"/>
      <w:bookmarkStart w:id="35" w:name="_Toc10669"/>
      <w:bookmarkStart w:id="36" w:name="_Toc4801"/>
      <w:bookmarkStart w:id="37" w:name="_Toc19320"/>
      <w:bookmarkStart w:id="38" w:name="_Toc26240"/>
      <w:r>
        <w:rPr>
          <w:rFonts w:hint="eastAsia" w:ascii="方正小标宋简体" w:hAnsi="方正小标宋简体" w:eastAsia="方正小标宋简体" w:cs="方正小标宋简体"/>
          <w:b w:val="0"/>
          <w:bCs w:val="0"/>
          <w:sz w:val="32"/>
          <w:szCs w:val="32"/>
        </w:rPr>
        <w:t>国家税务总</w:t>
      </w:r>
      <w:r>
        <w:rPr>
          <w:rFonts w:hint="eastAsia" w:ascii="方正小标宋简体" w:hAnsi="方正小标宋简体" w:eastAsia="方正小标宋简体" w:cs="方正小标宋简体"/>
          <w:b w:val="0"/>
          <w:bCs w:val="0"/>
          <w:sz w:val="32"/>
          <w:szCs w:val="32"/>
          <w:lang w:eastAsia="zh-CN"/>
        </w:rPr>
        <w:t>局黑龙江省税务局</w:t>
      </w:r>
      <w:bookmarkEnd w:id="26"/>
      <w:bookmarkEnd w:id="27"/>
      <w:bookmarkEnd w:id="28"/>
      <w:bookmarkEnd w:id="29"/>
      <w:bookmarkEnd w:id="30"/>
      <w:bookmarkEnd w:id="31"/>
      <w:bookmarkEnd w:id="32"/>
      <w:bookmarkEnd w:id="33"/>
      <w:bookmarkEnd w:id="34"/>
      <w:bookmarkEnd w:id="35"/>
      <w:bookmarkEnd w:id="36"/>
      <w:bookmarkEnd w:id="37"/>
      <w:bookmarkEnd w:id="38"/>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黑体" w:hAnsi="黑体" w:eastAsia="黑体" w:cs="黑体"/>
          <w:b w:val="0"/>
          <w:bCs w:val="0"/>
          <w:sz w:val="32"/>
          <w:szCs w:val="32"/>
        </w:rPr>
      </w:pPr>
      <w:bookmarkStart w:id="39" w:name="_Toc1627"/>
      <w:bookmarkStart w:id="40" w:name="_Toc9723"/>
      <w:bookmarkStart w:id="41" w:name="_Toc2807"/>
      <w:bookmarkStart w:id="42" w:name="_Toc9468"/>
      <w:bookmarkStart w:id="43" w:name="_Toc26094"/>
      <w:bookmarkStart w:id="44" w:name="_Toc24215"/>
      <w:bookmarkStart w:id="45" w:name="_Toc10690"/>
      <w:bookmarkStart w:id="46" w:name="_Toc792"/>
      <w:bookmarkStart w:id="47" w:name="_Toc9742"/>
      <w:bookmarkStart w:id="48" w:name="_Toc5378"/>
      <w:bookmarkStart w:id="49" w:name="_Toc23918"/>
      <w:bookmarkStart w:id="50" w:name="_Toc24378"/>
      <w:bookmarkStart w:id="51" w:name="_Toc2243"/>
      <w:r>
        <w:rPr>
          <w:rFonts w:hint="eastAsia" w:ascii="方正小标宋简体" w:hAnsi="方正小标宋简体" w:eastAsia="方正小标宋简体" w:cs="方正小标宋简体"/>
          <w:b w:val="0"/>
          <w:bCs w:val="0"/>
          <w:sz w:val="32"/>
          <w:szCs w:val="32"/>
        </w:rPr>
        <w:t>2022年</w:t>
      </w:r>
      <w:r>
        <w:rPr>
          <w:rFonts w:hint="eastAsia" w:ascii="方正小标宋简体" w:hAnsi="方正小标宋简体" w:eastAsia="方正小标宋简体" w:cs="方正小标宋简体"/>
          <w:b w:val="0"/>
          <w:bCs w:val="0"/>
          <w:sz w:val="32"/>
          <w:szCs w:val="32"/>
          <w:lang w:val="en-US" w:eastAsia="zh-CN"/>
        </w:rPr>
        <w:t>10</w:t>
      </w:r>
      <w:r>
        <w:rPr>
          <w:rFonts w:hint="eastAsia" w:ascii="方正小标宋简体" w:hAnsi="方正小标宋简体" w:eastAsia="方正小标宋简体" w:cs="方正小标宋简体"/>
          <w:b w:val="0"/>
          <w:bCs w:val="0"/>
          <w:sz w:val="32"/>
          <w:szCs w:val="32"/>
        </w:rPr>
        <w:t>月</w:t>
      </w:r>
      <w:bookmarkEnd w:id="39"/>
      <w:bookmarkEnd w:id="40"/>
      <w:bookmarkEnd w:id="41"/>
      <w:bookmarkEnd w:id="42"/>
      <w:bookmarkEnd w:id="43"/>
      <w:bookmarkEnd w:id="44"/>
      <w:bookmarkEnd w:id="45"/>
      <w:bookmarkEnd w:id="46"/>
      <w:bookmarkEnd w:id="47"/>
      <w:bookmarkEnd w:id="48"/>
      <w:bookmarkEnd w:id="49"/>
      <w:bookmarkEnd w:id="50"/>
      <w:bookmarkEnd w:id="51"/>
    </w:p>
    <w:p>
      <w:pPr>
        <w:pageBreakBefore w:val="0"/>
        <w:kinsoku/>
        <w:wordWrap/>
        <w:overflowPunct/>
        <w:topLinePunct w:val="0"/>
        <w:bidi w:val="0"/>
        <w:spacing w:line="600" w:lineRule="exact"/>
        <w:ind w:firstLine="640" w:firstLineChars="200"/>
        <w:jc w:val="both"/>
        <w:textAlignment w:val="auto"/>
        <w:rPr>
          <w:rFonts w:hint="eastAsia" w:asciiTheme="minorEastAsia" w:hAnsiTheme="minorEastAsia" w:eastAsiaTheme="minorEastAsia" w:cstheme="minorEastAsia"/>
          <w:b w:val="0"/>
          <w:bCs w:val="0"/>
          <w:sz w:val="32"/>
          <w:szCs w:val="32"/>
        </w:rPr>
      </w:pPr>
    </w:p>
    <w:p>
      <w:pPr>
        <w:pageBreakBefore w:val="0"/>
        <w:kinsoku/>
        <w:wordWrap/>
        <w:overflowPunct/>
        <w:topLinePunct w:val="0"/>
        <w:bidi w:val="0"/>
        <w:spacing w:line="600" w:lineRule="exact"/>
        <w:ind w:firstLine="640" w:firstLineChars="200"/>
        <w:jc w:val="both"/>
        <w:textAlignment w:val="auto"/>
        <w:rPr>
          <w:rFonts w:hint="eastAsia" w:asciiTheme="minorEastAsia" w:hAnsiTheme="minorEastAsia" w:eastAsiaTheme="minorEastAsia" w:cstheme="minorEastAsia"/>
          <w:b w:val="0"/>
          <w:bCs w:val="0"/>
          <w:sz w:val="32"/>
          <w:szCs w:val="32"/>
        </w:rPr>
      </w:pPr>
    </w:p>
    <w:p>
      <w:pPr>
        <w:pageBreakBefore w:val="0"/>
        <w:kinsoku/>
        <w:wordWrap/>
        <w:overflowPunct/>
        <w:topLinePunct w:val="0"/>
        <w:bidi w:val="0"/>
        <w:spacing w:line="600" w:lineRule="exact"/>
        <w:jc w:val="both"/>
        <w:textAlignment w:val="auto"/>
        <w:rPr>
          <w:rFonts w:hint="eastAsia" w:asciiTheme="minorEastAsia" w:hAnsiTheme="minorEastAsia" w:eastAsiaTheme="minorEastAsia" w:cstheme="minorEastAsia"/>
          <w:b w:val="0"/>
          <w:bCs w:val="0"/>
          <w:sz w:val="32"/>
          <w:szCs w:val="32"/>
          <w:lang w:eastAsia="zh-CN"/>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pPr>
        <w:pageBreakBefore w:val="0"/>
        <w:kinsoku/>
        <w:wordWrap/>
        <w:overflowPunct/>
        <w:topLinePunct w:val="0"/>
        <w:bidi w:val="0"/>
        <w:spacing w:line="600" w:lineRule="exact"/>
        <w:jc w:val="center"/>
        <w:textAlignment w:val="auto"/>
        <w:outlineLvl w:val="0"/>
        <w:rPr>
          <w:rFonts w:hint="eastAsia" w:ascii="方正小标宋简体" w:hAnsi="方正小标宋简体" w:eastAsia="方正小标宋简体" w:cs="方正小标宋简体"/>
          <w:sz w:val="36"/>
          <w:szCs w:val="36"/>
          <w:lang w:eastAsia="zh-CN"/>
        </w:rPr>
      </w:pPr>
      <w:bookmarkStart w:id="52" w:name="_Toc24139"/>
      <w:bookmarkStart w:id="53" w:name="_Toc1379"/>
      <w:bookmarkStart w:id="54" w:name="_Toc27295"/>
      <w:bookmarkStart w:id="55" w:name="_Toc29955"/>
      <w:bookmarkStart w:id="56" w:name="_Toc17124"/>
      <w:bookmarkStart w:id="57" w:name="_Toc21747"/>
      <w:bookmarkStart w:id="58" w:name="_Toc6362"/>
      <w:bookmarkStart w:id="59" w:name="_Toc14819"/>
      <w:bookmarkStart w:id="60" w:name="_Toc30629"/>
      <w:bookmarkStart w:id="61" w:name="_Toc29122"/>
      <w:bookmarkStart w:id="62" w:name="_Toc1026"/>
      <w:bookmarkStart w:id="63" w:name="_Toc23346"/>
      <w:bookmarkStart w:id="64" w:name="_Toc30482"/>
      <w:r>
        <w:rPr>
          <w:rFonts w:hint="eastAsia" w:ascii="方正小标宋简体" w:hAnsi="方正小标宋简体" w:eastAsia="方正小标宋简体" w:cs="方正小标宋简体"/>
          <w:sz w:val="36"/>
          <w:szCs w:val="36"/>
          <w:lang w:eastAsia="zh-CN"/>
        </w:rPr>
        <w:t>概</w:t>
      </w:r>
      <w:r>
        <w:rPr>
          <w:rFonts w:hint="eastAsia" w:ascii="方正小标宋简体" w:hAnsi="方正小标宋简体" w:eastAsia="方正小标宋简体" w:cs="方正小标宋简体"/>
          <w:sz w:val="36"/>
          <w:szCs w:val="36"/>
          <w:lang w:val="en-US" w:eastAsia="zh-CN"/>
        </w:rPr>
        <w:t xml:space="preserve">  </w:t>
      </w:r>
      <w:r>
        <w:rPr>
          <w:rFonts w:hint="eastAsia" w:ascii="方正小标宋简体" w:hAnsi="方正小标宋简体" w:eastAsia="方正小标宋简体" w:cs="方正小标宋简体"/>
          <w:sz w:val="36"/>
          <w:szCs w:val="36"/>
          <w:lang w:eastAsia="zh-CN"/>
        </w:rPr>
        <w:t>述</w:t>
      </w:r>
      <w:bookmarkEnd w:id="52"/>
      <w:bookmarkEnd w:id="53"/>
      <w:bookmarkEnd w:id="54"/>
      <w:bookmarkEnd w:id="55"/>
      <w:bookmarkEnd w:id="56"/>
      <w:bookmarkEnd w:id="57"/>
      <w:bookmarkEnd w:id="58"/>
      <w:bookmarkEnd w:id="59"/>
      <w:bookmarkEnd w:id="60"/>
      <w:bookmarkEnd w:id="61"/>
      <w:bookmarkEnd w:id="62"/>
      <w:bookmarkEnd w:id="63"/>
      <w:bookmarkEnd w:id="64"/>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减税降费是助企纾困解难的最公平、最直接、最有效的举措。今年我国经济发展面临需求收缩、供给冲击、预期转弱三重压力，党中央、国务院部署实施新的组合式税费支持政策，对稳定市场预期、提振市场信心、助力企业纾困发展具有重要意义。</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年新的组合式税费支持政策，既有阶段性措施，又有制度性安排；既有减免政策，又有缓缴、退税措施；既有普遍适用的减负政策，又有特定领域专项帮扶措施；既有延续性安排，又有新增部署；既有中央统一实施的政策，又有地方依法自主实施的措施，呈现出全面发力、多点突破的特点。为了方便市场主体及时了解适用税费支持政策，</w:t>
      </w:r>
      <w:r>
        <w:rPr>
          <w:rFonts w:hint="eastAsia" w:ascii="仿宋_GB2312" w:hAnsi="仿宋_GB2312" w:eastAsia="仿宋_GB2312" w:cs="仿宋_GB2312"/>
          <w:sz w:val="32"/>
          <w:szCs w:val="32"/>
          <w:lang w:eastAsia="zh-CN"/>
        </w:rPr>
        <w:t>国家税务总局黑龙江省税务局</w:t>
      </w:r>
      <w:r>
        <w:rPr>
          <w:rFonts w:hint="eastAsia" w:ascii="仿宋_GB2312" w:hAnsi="仿宋_GB2312" w:eastAsia="仿宋_GB2312" w:cs="仿宋_GB2312"/>
          <w:sz w:val="32"/>
          <w:szCs w:val="32"/>
        </w:rPr>
        <w:t>对新出台的和延续实施的有关政策进行了梳理，按照享受主体、优惠内容、享受条件、</w:t>
      </w:r>
      <w:r>
        <w:rPr>
          <w:rFonts w:hint="eastAsia" w:ascii="仿宋_GB2312" w:hAnsi="仿宋_GB2312" w:eastAsia="仿宋_GB2312" w:cs="仿宋_GB2312"/>
          <w:sz w:val="32"/>
          <w:szCs w:val="32"/>
          <w:lang w:eastAsia="zh-CN"/>
        </w:rPr>
        <w:t>办理流程、</w:t>
      </w:r>
      <w:r>
        <w:rPr>
          <w:rFonts w:hint="eastAsia" w:ascii="仿宋_GB2312" w:hAnsi="仿宋_GB2312" w:eastAsia="仿宋_GB2312" w:cs="仿宋_GB2312"/>
          <w:sz w:val="32"/>
          <w:szCs w:val="32"/>
        </w:rPr>
        <w:t>政策依据的编写体例，形成了涵盖</w:t>
      </w:r>
      <w:r>
        <w:rPr>
          <w:rFonts w:hint="eastAsia" w:ascii="仿宋_GB2312" w:hAnsi="仿宋_GB2312" w:eastAsia="仿宋_GB2312" w:cs="仿宋_GB2312"/>
          <w:sz w:val="32"/>
          <w:szCs w:val="32"/>
          <w:lang w:val="en-US" w:eastAsia="zh-CN"/>
        </w:rPr>
        <w:t>47</w:t>
      </w:r>
      <w:r>
        <w:rPr>
          <w:rFonts w:hint="eastAsia" w:ascii="仿宋_GB2312" w:hAnsi="仿宋_GB2312" w:eastAsia="仿宋_GB2312" w:cs="仿宋_GB2312"/>
          <w:sz w:val="32"/>
          <w:szCs w:val="32"/>
        </w:rPr>
        <w:t>项内容的新的组合式税费支持政策指引，后续将根据新出台税费政策情况持续更新。具体包括：</w:t>
      </w:r>
    </w:p>
    <w:p>
      <w:pPr>
        <w:pageBreakBefore w:val="0"/>
        <w:kinsoku/>
        <w:wordWrap/>
        <w:overflowPunct/>
        <w:topLinePunct w:val="0"/>
        <w:bidi w:val="0"/>
        <w:spacing w:line="600" w:lineRule="exact"/>
        <w:ind w:firstLine="643" w:firstLineChars="200"/>
        <w:jc w:val="both"/>
        <w:textAlignment w:val="auto"/>
        <w:outlineLvl w:val="0"/>
        <w:rPr>
          <w:rFonts w:hint="eastAsia" w:ascii="仿宋_GB2312" w:hAnsi="仿宋_GB2312" w:eastAsia="仿宋_GB2312" w:cs="仿宋_GB2312"/>
          <w:b/>
          <w:bCs/>
          <w:sz w:val="32"/>
          <w:szCs w:val="32"/>
        </w:rPr>
      </w:pPr>
      <w:bookmarkStart w:id="65" w:name="_Toc21461"/>
      <w:bookmarkStart w:id="66" w:name="_Toc32022"/>
      <w:bookmarkStart w:id="67" w:name="_Toc28920"/>
      <w:bookmarkStart w:id="68" w:name="_Toc31178"/>
      <w:bookmarkStart w:id="69" w:name="_Toc8191"/>
      <w:bookmarkStart w:id="70" w:name="_Toc13428"/>
      <w:bookmarkStart w:id="71" w:name="_Toc15446"/>
      <w:bookmarkStart w:id="72" w:name="_Toc27356"/>
      <w:bookmarkStart w:id="73" w:name="_Toc23813"/>
      <w:bookmarkStart w:id="74" w:name="_Toc9942"/>
      <w:bookmarkStart w:id="75" w:name="_Toc19977"/>
      <w:bookmarkStart w:id="76" w:name="_Toc30218"/>
      <w:bookmarkStart w:id="77" w:name="_Toc31376"/>
      <w:r>
        <w:rPr>
          <w:rFonts w:hint="eastAsia" w:ascii="仿宋_GB2312" w:hAnsi="仿宋_GB2312" w:eastAsia="仿宋_GB2312" w:cs="仿宋_GB2312"/>
          <w:b/>
          <w:bCs/>
          <w:sz w:val="32"/>
          <w:szCs w:val="32"/>
        </w:rPr>
        <w:t>一、新出台的税费支持政策</w:t>
      </w:r>
      <w:bookmarkEnd w:id="65"/>
      <w:bookmarkEnd w:id="66"/>
      <w:bookmarkEnd w:id="67"/>
      <w:bookmarkEnd w:id="68"/>
      <w:bookmarkEnd w:id="69"/>
      <w:bookmarkEnd w:id="70"/>
      <w:bookmarkEnd w:id="71"/>
      <w:bookmarkEnd w:id="72"/>
      <w:bookmarkEnd w:id="73"/>
      <w:bookmarkEnd w:id="74"/>
      <w:bookmarkEnd w:id="75"/>
      <w:bookmarkEnd w:id="76"/>
      <w:bookmarkEnd w:id="77"/>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1.2022年增值税期末留抵退税政策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.中小微企业设备器具所得税税前扣除政策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.航空和铁路运输企业分支机构暂停预缴增值税政策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.公共交通运输服务收入免征增值税政策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.3岁以下婴幼儿照护个人所得税专项附加扣除政策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.增值税小规模纳税人免征增值税政策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.科技型中小企业研发费用加计扣除政策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.快递收派服务收入免征增值税政策</w:t>
      </w:r>
    </w:p>
    <w:p>
      <w:pPr>
        <w:keepNext w:val="0"/>
        <w:keepLines w:val="0"/>
        <w:pageBreakBefore w:val="0"/>
        <w:widowControl w:val="0"/>
        <w:kinsoku/>
        <w:wordWrap/>
        <w:overflowPunct/>
        <w:topLinePunct w:val="0"/>
        <w:bidi w:val="0"/>
        <w:adjustRightInd/>
        <w:snapToGrid/>
        <w:spacing w:beforeAutospacing="0" w:line="600" w:lineRule="exact"/>
        <w:ind w:firstLine="640" w:firstLineChars="200"/>
        <w:jc w:val="both"/>
        <w:textAlignment w:val="auto"/>
        <w:rPr>
          <w:rFonts w:hint="eastAsia"/>
        </w:rPr>
      </w:pPr>
      <w:r>
        <w:rPr>
          <w:rFonts w:hint="eastAsia" w:ascii="仿宋_GB2312" w:hAnsi="仿宋_GB2312" w:eastAsia="仿宋_GB2312" w:cs="仿宋_GB2312"/>
          <w:sz w:val="32"/>
          <w:szCs w:val="32"/>
          <w:lang w:val="en-US" w:eastAsia="zh-CN"/>
        </w:rPr>
        <w:t>9.减征部分乘用车车辆购置税政策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.小微企业“六税两费”减免政策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.小型微利企业减免企业所得税政策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.制造业中小微企业延缓缴纳部分税费政策</w:t>
      </w:r>
    </w:p>
    <w:p>
      <w:pPr>
        <w:pageBreakBefore w:val="0"/>
        <w:kinsoku/>
        <w:wordWrap/>
        <w:overflowPunct/>
        <w:topLinePunct w:val="0"/>
        <w:bidi w:val="0"/>
        <w:spacing w:line="600" w:lineRule="exact"/>
        <w:ind w:firstLine="640" w:firstLineChars="200"/>
        <w:jc w:val="both"/>
        <w:textAlignment w:val="auto"/>
        <w:rPr>
          <w:rFonts w:hint="default"/>
          <w:lang w:val="en-US" w:eastAsia="zh-CN"/>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阶段性缓缴企业</w:t>
      </w:r>
      <w:r>
        <w:rPr>
          <w:rFonts w:hint="eastAsia" w:ascii="FangSong_GB2312" w:hAnsi="FangSong_GB2312" w:eastAsia="FangSong_GB2312"/>
          <w:sz w:val="32"/>
          <w:szCs w:val="24"/>
        </w:rPr>
        <w:t>基本养老保险费、失业保险费、工伤保险</w:t>
      </w:r>
      <w:r>
        <w:rPr>
          <w:rFonts w:hint="eastAsia" w:ascii="仿宋_GB2312" w:hAnsi="仿宋_GB2312" w:eastAsia="仿宋_GB2312" w:cs="仿宋_GB2312"/>
          <w:sz w:val="32"/>
          <w:szCs w:val="32"/>
        </w:rPr>
        <w:t>费政策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14.制造业中小微企业继续延缓缴纳部分税费政策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15.高新技术企业扣除设备器具所得税税前政策</w:t>
      </w:r>
      <w:r>
        <w:rPr>
          <w:rFonts w:hint="eastAsia" w:ascii="仿宋_GB2312" w:hAnsi="仿宋_GB2312" w:eastAsia="仿宋_GB2312" w:cs="仿宋_GB2312"/>
          <w:sz w:val="32"/>
          <w:szCs w:val="32"/>
          <w:lang w:val="en-US" w:eastAsia="zh-CN"/>
        </w:rPr>
        <w:tab/>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16.其他企业研发费用加计扣除政策</w:t>
      </w:r>
      <w:r>
        <w:rPr>
          <w:rFonts w:hint="eastAsia" w:ascii="仿宋_GB2312" w:hAnsi="仿宋_GB2312" w:eastAsia="仿宋_GB2312" w:cs="仿宋_GB2312"/>
          <w:sz w:val="32"/>
          <w:szCs w:val="32"/>
          <w:lang w:val="en-US" w:eastAsia="zh-CN"/>
        </w:rPr>
        <w:tab/>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17.支持居民换购住房个人所得税优惠政策</w:t>
      </w:r>
      <w:r>
        <w:rPr>
          <w:rFonts w:hint="eastAsia" w:ascii="仿宋_GB2312" w:hAnsi="仿宋_GB2312" w:cs="仿宋_GB2312"/>
          <w:color w:val="auto"/>
          <w:sz w:val="32"/>
          <w:szCs w:val="32"/>
          <w:lang w:val="en-US" w:eastAsia="zh-CN"/>
        </w:rPr>
        <w:tab/>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18.银行业金融机构、金融资产管理公司不良债权以物抵债增值税政策</w:t>
      </w:r>
      <w:r>
        <w:rPr>
          <w:rFonts w:hint="eastAsia" w:ascii="仿宋_GB2312" w:hAnsi="仿宋_GB2312" w:cs="仿宋_GB2312"/>
          <w:color w:val="auto"/>
          <w:sz w:val="32"/>
          <w:szCs w:val="32"/>
          <w:lang w:val="en-US" w:eastAsia="zh-CN"/>
        </w:rPr>
        <w:tab/>
      </w:r>
      <w:r>
        <w:rPr>
          <w:rFonts w:hint="eastAsia" w:ascii="仿宋_GB2312" w:hAnsi="仿宋_GB2312" w:cs="仿宋_GB2312"/>
          <w:color w:val="auto"/>
          <w:sz w:val="32"/>
          <w:szCs w:val="32"/>
          <w:lang w:val="en-US" w:eastAsia="zh-CN"/>
        </w:rPr>
        <w:t xml:space="preserve"> </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19.银行业金融机构、金融资产管理公司免征契税政策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20.银行业金融机构、金融资产管理公司免征印花税政策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21.企业投入基础研究企业所得税优惠政策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22.抗击疫情房产税、城镇土地使用税支持政策</w:t>
      </w:r>
      <w:r>
        <w:rPr>
          <w:rFonts w:hint="eastAsia" w:ascii="仿宋_GB2312" w:hAnsi="仿宋_GB2312" w:cs="仿宋_GB2312"/>
          <w:color w:val="auto"/>
          <w:sz w:val="32"/>
          <w:szCs w:val="32"/>
          <w:lang w:val="en-US" w:eastAsia="zh-CN"/>
        </w:rPr>
        <w:tab/>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23.扩大受疫情影响减免房产税、城镇土地使用税政策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24.阶段性缓缴职工基本医疗保险单位缴费政策</w:t>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25.缓缴水土保持补偿费政策</w:t>
      </w:r>
      <w:r>
        <w:rPr>
          <w:rFonts w:hint="eastAsia" w:ascii="仿宋_GB2312" w:hAnsi="仿宋_GB2312" w:cs="仿宋_GB2312"/>
          <w:color w:val="auto"/>
          <w:sz w:val="32"/>
          <w:szCs w:val="32"/>
          <w:lang w:val="en-US" w:eastAsia="zh-CN"/>
        </w:rPr>
        <w:tab/>
      </w:r>
    </w:p>
    <w:p>
      <w:pPr>
        <w:pStyle w:val="25"/>
        <w:keepNext w:val="0"/>
        <w:keepLines w:val="0"/>
        <w:pageBreakBefore w:val="0"/>
        <w:widowControl w:val="0"/>
        <w:kinsoku/>
        <w:wordWrap/>
        <w:overflowPunct/>
        <w:topLinePunct w:val="0"/>
        <w:bidi w:val="0"/>
        <w:adjustRightInd/>
        <w:snapToGrid/>
        <w:spacing w:before="0" w:beforeAutospacing="0" w:line="600" w:lineRule="exact"/>
        <w:ind w:firstLine="640" w:firstLineChars="200"/>
        <w:textAlignment w:val="auto"/>
        <w:rPr>
          <w:rFonts w:hint="eastAsia" w:ascii="仿宋_GB2312" w:hAnsi="仿宋_GB2312" w:cs="仿宋_GB2312"/>
          <w:color w:val="auto"/>
          <w:sz w:val="32"/>
          <w:szCs w:val="32"/>
          <w:lang w:val="en-US" w:eastAsia="zh-CN"/>
        </w:rPr>
      </w:pPr>
      <w:r>
        <w:rPr>
          <w:rFonts w:hint="eastAsia" w:ascii="仿宋_GB2312" w:hAnsi="仿宋_GB2312" w:cs="仿宋_GB2312"/>
          <w:color w:val="auto"/>
          <w:sz w:val="32"/>
          <w:szCs w:val="32"/>
          <w:lang w:val="en-US" w:eastAsia="zh-CN"/>
        </w:rPr>
        <w:t>26.缓缴城镇垃圾处理费政策</w:t>
      </w:r>
      <w:r>
        <w:rPr>
          <w:rFonts w:hint="eastAsia" w:ascii="仿宋_GB2312" w:hAnsi="仿宋_GB2312" w:cs="仿宋_GB2312"/>
          <w:color w:val="auto"/>
          <w:sz w:val="32"/>
          <w:szCs w:val="32"/>
          <w:lang w:val="en-US" w:eastAsia="zh-CN"/>
        </w:rPr>
        <w:tab/>
      </w:r>
    </w:p>
    <w:p>
      <w:pPr>
        <w:pageBreakBefore w:val="0"/>
        <w:kinsoku/>
        <w:wordWrap/>
        <w:overflowPunct/>
        <w:topLinePunct w:val="0"/>
        <w:bidi w:val="0"/>
        <w:spacing w:line="600" w:lineRule="exact"/>
        <w:ind w:firstLine="643" w:firstLineChars="200"/>
        <w:jc w:val="both"/>
        <w:textAlignment w:val="auto"/>
        <w:outlineLvl w:val="0"/>
        <w:rPr>
          <w:rFonts w:hint="eastAsia" w:ascii="仿宋_GB2312" w:hAnsi="仿宋_GB2312" w:eastAsia="仿宋_GB2312" w:cs="仿宋_GB2312"/>
          <w:b/>
          <w:bCs/>
          <w:sz w:val="32"/>
          <w:szCs w:val="32"/>
        </w:rPr>
      </w:pPr>
      <w:bookmarkStart w:id="78" w:name="_Toc17846"/>
      <w:bookmarkStart w:id="79" w:name="_Toc25727"/>
      <w:bookmarkStart w:id="80" w:name="_Toc26676"/>
      <w:bookmarkStart w:id="81" w:name="_Toc26421"/>
      <w:bookmarkStart w:id="82" w:name="_Toc20925"/>
      <w:bookmarkStart w:id="83" w:name="_Toc28357"/>
      <w:bookmarkStart w:id="84" w:name="_Toc6"/>
      <w:bookmarkStart w:id="85" w:name="_Toc7722"/>
      <w:bookmarkStart w:id="86" w:name="_Toc24793"/>
      <w:bookmarkStart w:id="87" w:name="_Toc4406"/>
      <w:bookmarkStart w:id="88" w:name="_Toc16844"/>
      <w:bookmarkStart w:id="89" w:name="_Toc877"/>
      <w:bookmarkStart w:id="90" w:name="_Toc23498"/>
      <w:r>
        <w:rPr>
          <w:rFonts w:hint="eastAsia" w:ascii="仿宋_GB2312" w:hAnsi="仿宋_GB2312" w:eastAsia="仿宋_GB2312" w:cs="仿宋_GB2312"/>
          <w:b/>
          <w:bCs/>
          <w:sz w:val="32"/>
          <w:szCs w:val="32"/>
        </w:rPr>
        <w:t>二、延续实施的税费支持政策</w:t>
      </w:r>
      <w:bookmarkEnd w:id="78"/>
      <w:bookmarkEnd w:id="79"/>
      <w:bookmarkEnd w:id="80"/>
      <w:bookmarkEnd w:id="81"/>
      <w:bookmarkEnd w:id="82"/>
      <w:bookmarkEnd w:id="83"/>
      <w:bookmarkEnd w:id="84"/>
      <w:bookmarkEnd w:id="85"/>
      <w:bookmarkEnd w:id="86"/>
      <w:bookmarkEnd w:id="87"/>
      <w:bookmarkEnd w:id="88"/>
      <w:bookmarkEnd w:id="89"/>
      <w:bookmarkEnd w:id="90"/>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27</w:t>
      </w:r>
      <w:r>
        <w:rPr>
          <w:rFonts w:hint="eastAsia" w:ascii="仿宋_GB2312" w:hAnsi="仿宋_GB2312" w:eastAsia="仿宋_GB2312" w:cs="仿宋_GB2312"/>
          <w:sz w:val="32"/>
          <w:szCs w:val="32"/>
        </w:rPr>
        <w:t>.重点群体创业税费扣减政策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.吸纳重点群体就业税费扣减政策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.企业扶贫捐赠所得税税前扣除政策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.扶贫货物捐赠免征增值税政策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31</w:t>
      </w:r>
      <w:r>
        <w:rPr>
          <w:rFonts w:hint="eastAsia" w:ascii="仿宋_GB2312" w:hAnsi="仿宋_GB2312" w:eastAsia="仿宋_GB2312" w:cs="仿宋_GB2312"/>
          <w:sz w:val="32"/>
          <w:szCs w:val="32"/>
        </w:rPr>
        <w:t>.自主就业退役士兵创业税费扣减政策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32</w:t>
      </w:r>
      <w:r>
        <w:rPr>
          <w:rFonts w:hint="eastAsia" w:ascii="仿宋_GB2312" w:hAnsi="仿宋_GB2312" w:eastAsia="仿宋_GB2312" w:cs="仿宋_GB2312"/>
          <w:sz w:val="32"/>
          <w:szCs w:val="32"/>
        </w:rPr>
        <w:t>.吸纳退役士兵就业税费扣减政策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33</w:t>
      </w:r>
      <w:r>
        <w:rPr>
          <w:rFonts w:hint="eastAsia" w:ascii="仿宋_GB2312" w:hAnsi="仿宋_GB2312" w:eastAsia="仿宋_GB2312" w:cs="仿宋_GB2312"/>
          <w:sz w:val="32"/>
          <w:szCs w:val="32"/>
        </w:rPr>
        <w:t>.科技企业孵化器等免征房产税、城镇土地使用税和增值税政策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34</w:t>
      </w:r>
      <w:r>
        <w:rPr>
          <w:rFonts w:hint="eastAsia" w:ascii="仿宋_GB2312" w:hAnsi="仿宋_GB2312" w:eastAsia="仿宋_GB2312" w:cs="仿宋_GB2312"/>
          <w:sz w:val="32"/>
          <w:szCs w:val="32"/>
        </w:rPr>
        <w:t>.高校学生公寓免征房产税、印花税政策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35</w:t>
      </w:r>
      <w:r>
        <w:rPr>
          <w:rFonts w:hint="eastAsia" w:ascii="仿宋_GB2312" w:hAnsi="仿宋_GB2312" w:eastAsia="仿宋_GB2312" w:cs="仿宋_GB2312"/>
          <w:sz w:val="32"/>
          <w:szCs w:val="32"/>
        </w:rPr>
        <w:t>.城市公交站场等运营用地免征城镇土地使用税政策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36</w:t>
      </w:r>
      <w:r>
        <w:rPr>
          <w:rFonts w:hint="eastAsia" w:ascii="仿宋_GB2312" w:hAnsi="仿宋_GB2312" w:eastAsia="仿宋_GB2312" w:cs="仿宋_GB2312"/>
          <w:sz w:val="32"/>
          <w:szCs w:val="32"/>
        </w:rPr>
        <w:t>.农产品批发市场、农贸市场免征房产税、城镇土地使用税政策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37</w:t>
      </w:r>
      <w:r>
        <w:rPr>
          <w:rFonts w:hint="eastAsia" w:ascii="仿宋_GB2312" w:hAnsi="仿宋_GB2312" w:eastAsia="仿宋_GB2312" w:cs="仿宋_GB2312"/>
          <w:sz w:val="32"/>
          <w:szCs w:val="32"/>
        </w:rPr>
        <w:t>.从事污染防治的第三方企业减免企业所得税政策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38</w:t>
      </w:r>
      <w:r>
        <w:rPr>
          <w:rFonts w:hint="eastAsia" w:ascii="仿宋_GB2312" w:hAnsi="仿宋_GB2312" w:eastAsia="仿宋_GB2312" w:cs="仿宋_GB2312"/>
          <w:sz w:val="32"/>
          <w:szCs w:val="32"/>
        </w:rPr>
        <w:t>.支持疫情防护救治等免征个人所得税政策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39</w:t>
      </w:r>
      <w:r>
        <w:rPr>
          <w:rFonts w:hint="eastAsia" w:ascii="仿宋_GB2312" w:hAnsi="仿宋_GB2312" w:eastAsia="仿宋_GB2312" w:cs="仿宋_GB2312"/>
          <w:sz w:val="32"/>
          <w:szCs w:val="32"/>
        </w:rPr>
        <w:t>.商品储备免征印花税和房产税、城镇土地使用税政策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.制造业中小微企业继续延缓缴纳2021年第四季度部分税费</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41</w:t>
      </w:r>
      <w:r>
        <w:rPr>
          <w:rFonts w:hint="eastAsia" w:ascii="仿宋_GB2312" w:hAnsi="仿宋_GB2312" w:eastAsia="仿宋_GB2312" w:cs="仿宋_GB2312"/>
          <w:sz w:val="32"/>
          <w:szCs w:val="32"/>
        </w:rPr>
        <w:t>.生产、生活性服务业增值税加计抵减政策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42</w:t>
      </w:r>
      <w:r>
        <w:rPr>
          <w:rFonts w:hint="eastAsia" w:ascii="仿宋_GB2312" w:hAnsi="仿宋_GB2312" w:eastAsia="仿宋_GB2312" w:cs="仿宋_GB2312"/>
          <w:sz w:val="32"/>
          <w:szCs w:val="32"/>
        </w:rPr>
        <w:t>.创业投资企业和天使投资个人有关税收优惠政策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43</w:t>
      </w:r>
      <w:r>
        <w:rPr>
          <w:rFonts w:hint="eastAsia" w:ascii="仿宋_GB2312" w:hAnsi="仿宋_GB2312" w:eastAsia="仿宋_GB2312" w:cs="仿宋_GB2312"/>
          <w:sz w:val="32"/>
          <w:szCs w:val="32"/>
        </w:rPr>
        <w:t>.全年一次性奖金个人所得税优惠政策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44</w:t>
      </w:r>
      <w:r>
        <w:rPr>
          <w:rFonts w:hint="eastAsia" w:ascii="仿宋_GB2312" w:hAnsi="仿宋_GB2312" w:eastAsia="仿宋_GB2312" w:cs="仿宋_GB2312"/>
          <w:sz w:val="32"/>
          <w:szCs w:val="32"/>
        </w:rPr>
        <w:t>.上市公司股权激励个人所得税优惠政策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rPr>
        <w:t>.外籍个人津补贴个人所得税优惠政策</w:t>
      </w:r>
    </w:p>
    <w:p>
      <w:pPr>
        <w:pageBreakBefore w:val="0"/>
        <w:kinsoku/>
        <w:wordWrap/>
        <w:overflowPunct/>
        <w:topLinePunct w:val="0"/>
        <w:bidi w:val="0"/>
        <w:spacing w:line="600" w:lineRule="exact"/>
        <w:ind w:firstLine="640" w:firstLineChars="200"/>
        <w:jc w:val="both"/>
        <w:textAlignment w:val="auto"/>
        <w:rPr>
          <w:rFonts w:hint="eastAsia"/>
        </w:rPr>
      </w:pPr>
      <w:r>
        <w:rPr>
          <w:rFonts w:hint="eastAsia" w:ascii="仿宋_GB2312" w:hAnsi="仿宋_GB2312" w:eastAsia="仿宋_GB2312" w:cs="仿宋_GB2312"/>
          <w:sz w:val="32"/>
          <w:szCs w:val="32"/>
          <w:lang w:val="en-US" w:eastAsia="zh-CN"/>
        </w:rPr>
        <w:t>46.</w:t>
      </w:r>
      <w:r>
        <w:rPr>
          <w:rFonts w:hint="eastAsia" w:ascii="仿宋_GB2312" w:hAnsi="仿宋_GB2312" w:eastAsia="仿宋_GB2312" w:cs="仿宋_GB2312"/>
          <w:sz w:val="32"/>
          <w:szCs w:val="32"/>
        </w:rPr>
        <w:t>阶段性降低失业保险、工伤保险费率政策</w:t>
      </w:r>
    </w:p>
    <w:p>
      <w:pPr>
        <w:pageBreakBefore w:val="0"/>
        <w:kinsoku/>
        <w:wordWrap/>
        <w:overflowPunct/>
        <w:topLinePunct w:val="0"/>
        <w:bidi w:val="0"/>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47</w:t>
      </w:r>
      <w:r>
        <w:rPr>
          <w:rFonts w:hint="eastAsia" w:ascii="仿宋_GB2312" w:hAnsi="仿宋_GB2312" w:eastAsia="仿宋_GB2312" w:cs="仿宋_GB2312"/>
          <w:sz w:val="32"/>
          <w:szCs w:val="32"/>
        </w:rPr>
        <w:t>.小型水库移民扶助基金减征政策</w:t>
      </w:r>
    </w:p>
    <w:p>
      <w:pPr>
        <w:keepNext w:val="0"/>
        <w:keepLines w:val="0"/>
        <w:pageBreakBefore w:val="0"/>
        <w:widowControl w:val="0"/>
        <w:kinsoku/>
        <w:wordWrap/>
        <w:overflowPunct/>
        <w:topLinePunct w:val="0"/>
        <w:autoSpaceDE/>
        <w:autoSpaceDN/>
        <w:bidi w:val="0"/>
        <w:adjustRightInd/>
        <w:snapToGrid/>
        <w:spacing w:before="0" w:beforeLines="0" w:after="0" w:afterLines="0" w:line="720" w:lineRule="exact"/>
        <w:ind w:left="0" w:leftChars="0" w:right="0" w:rightChars="0" w:firstLine="0" w:firstLineChars="0"/>
        <w:jc w:val="both"/>
        <w:textAlignment w:val="auto"/>
        <w:rPr>
          <w:rFonts w:hint="eastAsia" w:ascii="方正小标宋简体" w:hAnsi="方正小标宋简体" w:eastAsia="方正小标宋简体" w:cs="方正小标宋简体"/>
          <w:b/>
          <w:bCs/>
          <w:spacing w:val="0"/>
          <w:kern w:val="2"/>
          <w:sz w:val="44"/>
          <w:szCs w:val="44"/>
          <w:lang w:val="en-US" w:eastAsia="zh-CN" w:bidi="ar-SA"/>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pStyle w:val="8"/>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72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bCs/>
          <w:spacing w:val="0"/>
          <w:kern w:val="2"/>
          <w:sz w:val="44"/>
          <w:szCs w:val="44"/>
          <w:lang w:val="en-US" w:eastAsia="zh-CN" w:bidi="ar-SA"/>
        </w:rPr>
      </w:pPr>
      <w:bookmarkStart w:id="91" w:name="_Toc22868"/>
      <w:bookmarkStart w:id="92" w:name="_Toc15064"/>
      <w:bookmarkStart w:id="93" w:name="_Toc15619"/>
      <w:bookmarkStart w:id="94" w:name="_Toc10179"/>
      <w:bookmarkStart w:id="95" w:name="_Toc24451"/>
      <w:bookmarkStart w:id="96" w:name="_Toc30636"/>
      <w:bookmarkStart w:id="97" w:name="_Toc30853"/>
      <w:bookmarkStart w:id="98" w:name="_Toc18097"/>
      <w:bookmarkStart w:id="99" w:name="_Toc9578"/>
      <w:bookmarkStart w:id="100" w:name="_Toc12737"/>
      <w:bookmarkStart w:id="101" w:name="_Toc12015"/>
      <w:bookmarkStart w:id="102" w:name="_Toc25653"/>
      <w:bookmarkStart w:id="103" w:name="_Toc12333"/>
      <w:r>
        <w:rPr>
          <w:rFonts w:hint="eastAsia" w:ascii="方正小标宋简体" w:hAnsi="方正小标宋简体" w:eastAsia="方正小标宋简体" w:cs="方正小标宋简体"/>
          <w:b/>
          <w:bCs/>
          <w:spacing w:val="0"/>
          <w:kern w:val="2"/>
          <w:sz w:val="44"/>
          <w:szCs w:val="44"/>
          <w:lang w:val="en-US" w:eastAsia="zh-CN" w:bidi="ar-SA"/>
        </w:rPr>
        <w:t>国家税务总局黑龙江省税务局2022年</w:t>
      </w:r>
      <w:bookmarkEnd w:id="91"/>
      <w:bookmarkEnd w:id="92"/>
      <w:bookmarkEnd w:id="93"/>
      <w:bookmarkEnd w:id="94"/>
      <w:bookmarkEnd w:id="95"/>
      <w:bookmarkEnd w:id="96"/>
      <w:bookmarkEnd w:id="97"/>
      <w:bookmarkEnd w:id="98"/>
      <w:bookmarkEnd w:id="99"/>
      <w:bookmarkEnd w:id="100"/>
      <w:bookmarkEnd w:id="101"/>
      <w:bookmarkEnd w:id="102"/>
      <w:bookmarkEnd w:id="103"/>
    </w:p>
    <w:p>
      <w:pPr>
        <w:keepNext w:val="0"/>
        <w:keepLines w:val="0"/>
        <w:pageBreakBefore w:val="0"/>
        <w:widowControl w:val="0"/>
        <w:kinsoku/>
        <w:wordWrap/>
        <w:overflowPunct/>
        <w:topLinePunct w:val="0"/>
        <w:autoSpaceDE/>
        <w:autoSpaceDN/>
        <w:bidi w:val="0"/>
        <w:adjustRightInd/>
        <w:snapToGrid/>
        <w:spacing w:before="0" w:beforeLines="0" w:after="260" w:afterLines="0" w:line="72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bCs/>
          <w:spacing w:val="0"/>
          <w:kern w:val="2"/>
          <w:sz w:val="44"/>
          <w:szCs w:val="44"/>
          <w:lang w:val="en-US" w:eastAsia="zh-CN" w:bidi="ar-SA"/>
        </w:rPr>
      </w:pPr>
      <w:bookmarkStart w:id="104" w:name="_Toc32731"/>
      <w:bookmarkStart w:id="105" w:name="_Toc20169"/>
      <w:bookmarkStart w:id="106" w:name="_Toc13432"/>
      <w:bookmarkStart w:id="107" w:name="_Toc20827"/>
      <w:bookmarkStart w:id="108" w:name="_Toc13216"/>
      <w:bookmarkStart w:id="109" w:name="_Toc7519"/>
      <w:bookmarkStart w:id="110" w:name="_Toc12836"/>
      <w:bookmarkStart w:id="111" w:name="_Toc8491"/>
      <w:bookmarkStart w:id="112" w:name="_Toc12819"/>
      <w:bookmarkStart w:id="113" w:name="_Toc3489"/>
      <w:bookmarkStart w:id="114" w:name="_Toc5233"/>
      <w:bookmarkStart w:id="115" w:name="_Toc21157"/>
      <w:bookmarkStart w:id="116" w:name="_Toc22848"/>
      <w:r>
        <w:rPr>
          <w:rFonts w:hint="eastAsia" w:ascii="方正小标宋简体" w:hAnsi="方正小标宋简体" w:eastAsia="方正小标宋简体" w:cs="方正小标宋简体"/>
          <w:b/>
          <w:bCs/>
          <w:spacing w:val="0"/>
          <w:kern w:val="2"/>
          <w:sz w:val="44"/>
          <w:szCs w:val="44"/>
          <w:lang w:val="en-US" w:eastAsia="zh-CN" w:bidi="ar-SA"/>
        </w:rPr>
        <w:t>新的组合式税费支持政策指引</w:t>
      </w:r>
      <w:bookmarkEnd w:id="104"/>
      <w:bookmarkEnd w:id="105"/>
      <w:bookmarkEnd w:id="106"/>
      <w:bookmarkEnd w:id="107"/>
      <w:bookmarkEnd w:id="108"/>
      <w:bookmarkEnd w:id="109"/>
      <w:bookmarkEnd w:id="110"/>
      <w:bookmarkEnd w:id="111"/>
      <w:bookmarkEnd w:id="112"/>
      <w:bookmarkEnd w:id="113"/>
      <w:bookmarkEnd w:id="114"/>
      <w:bookmarkEnd w:id="115"/>
      <w:bookmarkEnd w:id="116"/>
      <w:r>
        <w:rPr>
          <w:rFonts w:hint="eastAsia" w:ascii="方正小标宋简体" w:hAnsi="方正小标宋简体" w:eastAsia="方正小标宋简体" w:cs="方正小标宋简体"/>
          <w:b/>
          <w:bCs/>
          <w:spacing w:val="0"/>
          <w:kern w:val="2"/>
          <w:sz w:val="44"/>
          <w:szCs w:val="44"/>
          <w:lang w:val="en-US" w:eastAsia="zh-CN" w:bidi="ar-SA"/>
        </w:rPr>
        <w:t xml:space="preserve"> </w:t>
      </w:r>
    </w:p>
    <w:p>
      <w:pPr>
        <w:pStyle w:val="8"/>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方正小标宋简体" w:hAnsi="方正小标宋简体" w:eastAsia="方正小标宋简体" w:cs="方正小标宋简体"/>
          <w:b/>
          <w:bCs/>
          <w:spacing w:val="0"/>
          <w:kern w:val="2"/>
          <w:sz w:val="44"/>
          <w:szCs w:val="44"/>
          <w:lang w:val="en-US" w:eastAsia="zh-CN" w:bidi="ar-SA"/>
        </w:rPr>
      </w:pPr>
      <w:r>
        <w:rPr>
          <w:rStyle w:val="18"/>
          <w:rFonts w:hint="eastAsia" w:ascii="微软雅黑" w:hAnsi="微软雅黑" w:eastAsia="微软雅黑" w:cs="微软雅黑"/>
          <w:b/>
          <w:bCs/>
          <w:color w:val="333333"/>
          <w:sz w:val="24"/>
          <w:szCs w:val="24"/>
          <w:shd w:val="clear" w:fill="FFFFFF"/>
          <w:lang w:eastAsia="zh-CN"/>
        </w:rPr>
        <w:t>（</w:t>
      </w:r>
      <w:r>
        <w:rPr>
          <w:rStyle w:val="18"/>
          <w:rFonts w:ascii="微软雅黑" w:hAnsi="微软雅黑" w:eastAsia="微软雅黑" w:cs="微软雅黑"/>
          <w:b/>
          <w:bCs/>
          <w:color w:val="333333"/>
          <w:sz w:val="24"/>
          <w:szCs w:val="24"/>
          <w:shd w:val="clear" w:fill="FFFFFF"/>
        </w:rPr>
        <w:t>202</w:t>
      </w:r>
      <w:r>
        <w:rPr>
          <w:rStyle w:val="18"/>
          <w:rFonts w:hint="eastAsia" w:ascii="微软雅黑" w:hAnsi="微软雅黑" w:eastAsia="微软雅黑" w:cs="微软雅黑"/>
          <w:b/>
          <w:bCs/>
          <w:color w:val="333333"/>
          <w:sz w:val="24"/>
          <w:szCs w:val="24"/>
          <w:shd w:val="clear" w:fill="FFFFFF"/>
          <w:lang w:val="en-US" w:eastAsia="zh-CN"/>
        </w:rPr>
        <w:t>2</w:t>
      </w:r>
      <w:r>
        <w:rPr>
          <w:rStyle w:val="18"/>
          <w:rFonts w:ascii="微软雅黑" w:hAnsi="微软雅黑" w:eastAsia="微软雅黑" w:cs="微软雅黑"/>
          <w:b/>
          <w:bCs/>
          <w:color w:val="333333"/>
          <w:sz w:val="24"/>
          <w:szCs w:val="24"/>
          <w:shd w:val="clear" w:fill="FFFFFF"/>
        </w:rPr>
        <w:t>年</w:t>
      </w:r>
      <w:r>
        <w:rPr>
          <w:rStyle w:val="18"/>
          <w:rFonts w:hint="eastAsia" w:ascii="微软雅黑" w:hAnsi="微软雅黑" w:eastAsia="微软雅黑" w:cs="微软雅黑"/>
          <w:b/>
          <w:bCs/>
          <w:color w:val="333333"/>
          <w:sz w:val="24"/>
          <w:szCs w:val="24"/>
          <w:shd w:val="clear" w:fill="FFFFFF"/>
          <w:lang w:val="en-US" w:eastAsia="zh-CN"/>
        </w:rPr>
        <w:t>3</w:t>
      </w:r>
      <w:r>
        <w:rPr>
          <w:rStyle w:val="18"/>
          <w:rFonts w:ascii="微软雅黑" w:hAnsi="微软雅黑" w:eastAsia="微软雅黑" w:cs="微软雅黑"/>
          <w:b/>
          <w:bCs/>
          <w:color w:val="333333"/>
          <w:sz w:val="24"/>
          <w:szCs w:val="24"/>
          <w:shd w:val="clear" w:fill="FFFFFF"/>
        </w:rPr>
        <w:t>月1</w:t>
      </w:r>
      <w:r>
        <w:rPr>
          <w:rStyle w:val="18"/>
          <w:rFonts w:hint="eastAsia" w:ascii="微软雅黑" w:hAnsi="微软雅黑" w:eastAsia="微软雅黑" w:cs="微软雅黑"/>
          <w:b/>
          <w:bCs/>
          <w:color w:val="333333"/>
          <w:sz w:val="24"/>
          <w:szCs w:val="24"/>
          <w:shd w:val="clear" w:fill="FFFFFF"/>
          <w:lang w:val="en-US" w:eastAsia="zh-CN"/>
        </w:rPr>
        <w:t>5</w:t>
      </w:r>
      <w:r>
        <w:rPr>
          <w:rStyle w:val="18"/>
          <w:rFonts w:ascii="微软雅黑" w:hAnsi="微软雅黑" w:eastAsia="微软雅黑" w:cs="微软雅黑"/>
          <w:b/>
          <w:bCs/>
          <w:color w:val="333333"/>
          <w:sz w:val="24"/>
          <w:szCs w:val="24"/>
          <w:shd w:val="clear" w:fill="FFFFFF"/>
        </w:rPr>
        <w:t>日发布</w:t>
      </w:r>
      <w:r>
        <w:rPr>
          <w:rStyle w:val="18"/>
          <w:rFonts w:hint="eastAsia" w:ascii="微软雅黑" w:hAnsi="微软雅黑" w:eastAsia="微软雅黑" w:cs="微软雅黑"/>
          <w:b/>
          <w:bCs/>
          <w:color w:val="333333"/>
          <w:sz w:val="24"/>
          <w:szCs w:val="24"/>
          <w:shd w:val="clear" w:fill="FFFFFF"/>
          <w:lang w:val="en-US" w:eastAsia="zh-CN"/>
        </w:rPr>
        <w:t>，</w:t>
      </w:r>
      <w:r>
        <w:rPr>
          <w:rStyle w:val="18"/>
          <w:rFonts w:ascii="微软雅黑" w:hAnsi="微软雅黑" w:eastAsia="微软雅黑" w:cs="微软雅黑"/>
          <w:b/>
          <w:bCs/>
          <w:color w:val="333333"/>
          <w:sz w:val="24"/>
          <w:szCs w:val="24"/>
          <w:shd w:val="clear" w:fill="FFFFFF"/>
        </w:rPr>
        <w:t>202</w:t>
      </w:r>
      <w:r>
        <w:rPr>
          <w:rStyle w:val="18"/>
          <w:rFonts w:hint="eastAsia" w:ascii="微软雅黑" w:hAnsi="微软雅黑" w:eastAsia="微软雅黑" w:cs="微软雅黑"/>
          <w:b/>
          <w:bCs/>
          <w:color w:val="333333"/>
          <w:sz w:val="24"/>
          <w:szCs w:val="24"/>
          <w:shd w:val="clear" w:fill="FFFFFF"/>
          <w:lang w:val="en-US" w:eastAsia="zh-CN"/>
        </w:rPr>
        <w:t>2</w:t>
      </w:r>
      <w:r>
        <w:rPr>
          <w:rStyle w:val="18"/>
          <w:rFonts w:ascii="微软雅黑" w:hAnsi="微软雅黑" w:eastAsia="微软雅黑" w:cs="微软雅黑"/>
          <w:b/>
          <w:bCs/>
          <w:color w:val="333333"/>
          <w:sz w:val="24"/>
          <w:szCs w:val="24"/>
          <w:shd w:val="clear" w:fill="FFFFFF"/>
        </w:rPr>
        <w:t>年3月</w:t>
      </w:r>
      <w:r>
        <w:rPr>
          <w:rStyle w:val="18"/>
          <w:rFonts w:hint="eastAsia" w:ascii="微软雅黑" w:hAnsi="微软雅黑" w:eastAsia="微软雅黑" w:cs="微软雅黑"/>
          <w:b/>
          <w:bCs/>
          <w:color w:val="333333"/>
          <w:sz w:val="24"/>
          <w:szCs w:val="24"/>
          <w:shd w:val="clear" w:fill="FFFFFF"/>
          <w:lang w:val="en-US" w:eastAsia="zh-CN"/>
        </w:rPr>
        <w:t>27</w:t>
      </w:r>
      <w:r>
        <w:rPr>
          <w:rStyle w:val="18"/>
          <w:rFonts w:ascii="微软雅黑" w:hAnsi="微软雅黑" w:eastAsia="微软雅黑" w:cs="微软雅黑"/>
          <w:b/>
          <w:bCs/>
          <w:color w:val="333333"/>
          <w:sz w:val="24"/>
          <w:szCs w:val="24"/>
          <w:shd w:val="clear" w:fill="FFFFFF"/>
        </w:rPr>
        <w:t>日第</w:t>
      </w:r>
      <w:r>
        <w:rPr>
          <w:rStyle w:val="18"/>
          <w:rFonts w:hint="eastAsia" w:ascii="微软雅黑" w:hAnsi="微软雅黑" w:eastAsia="微软雅黑" w:cs="微软雅黑"/>
          <w:b/>
          <w:bCs/>
          <w:color w:val="333333"/>
          <w:sz w:val="24"/>
          <w:szCs w:val="24"/>
          <w:shd w:val="clear" w:fill="FFFFFF"/>
          <w:lang w:val="en-US" w:eastAsia="zh-CN"/>
        </w:rPr>
        <w:t>1</w:t>
      </w:r>
      <w:r>
        <w:rPr>
          <w:rStyle w:val="18"/>
          <w:rFonts w:ascii="微软雅黑" w:hAnsi="微软雅黑" w:eastAsia="微软雅黑" w:cs="微软雅黑"/>
          <w:b/>
          <w:bCs/>
          <w:color w:val="333333"/>
          <w:sz w:val="24"/>
          <w:szCs w:val="24"/>
          <w:shd w:val="clear" w:fill="FFFFFF"/>
        </w:rPr>
        <w:t>次更新</w:t>
      </w:r>
      <w:r>
        <w:rPr>
          <w:rStyle w:val="18"/>
          <w:rFonts w:hint="eastAsia" w:ascii="微软雅黑" w:hAnsi="微软雅黑" w:eastAsia="微软雅黑" w:cs="微软雅黑"/>
          <w:b/>
          <w:bCs/>
          <w:color w:val="333333"/>
          <w:sz w:val="24"/>
          <w:szCs w:val="24"/>
          <w:shd w:val="clear" w:fill="FFFFFF"/>
          <w:lang w:val="en-US" w:eastAsia="zh-CN"/>
        </w:rPr>
        <w:t>，2022年3月29日第2次更新</w:t>
      </w:r>
      <w:r>
        <w:rPr>
          <w:rStyle w:val="18"/>
          <w:rFonts w:hint="eastAsia" w:ascii="微软雅黑" w:hAnsi="微软雅黑" w:eastAsia="微软雅黑" w:cs="微软雅黑"/>
          <w:b/>
          <w:bCs/>
          <w:color w:val="333333"/>
          <w:sz w:val="24"/>
          <w:szCs w:val="24"/>
          <w:shd w:val="clear" w:fill="FFFFFF"/>
          <w:lang w:eastAsia="zh-CN"/>
        </w:rPr>
        <w:t>，</w:t>
      </w:r>
      <w:r>
        <w:rPr>
          <w:rStyle w:val="18"/>
          <w:rFonts w:hint="eastAsia" w:ascii="微软雅黑" w:hAnsi="微软雅黑" w:eastAsia="微软雅黑" w:cs="微软雅黑"/>
          <w:b/>
          <w:bCs/>
          <w:color w:val="333333"/>
          <w:sz w:val="24"/>
          <w:szCs w:val="24"/>
          <w:shd w:val="clear" w:fill="FFFFFF"/>
          <w:lang w:val="en-US" w:eastAsia="zh-CN"/>
        </w:rPr>
        <w:t>2022年4月6日第3次更新，2022年4月29日第4次更新，2022</w:t>
      </w:r>
      <w:r>
        <w:rPr>
          <w:rStyle w:val="18"/>
          <w:rFonts w:hint="eastAsia" w:ascii="微软雅黑" w:hAnsi="微软雅黑" w:eastAsia="微软雅黑" w:cs="微软雅黑"/>
          <w:b/>
          <w:bCs/>
          <w:color w:val="333333"/>
          <w:spacing w:val="-6"/>
          <w:sz w:val="24"/>
          <w:szCs w:val="24"/>
          <w:shd w:val="clear" w:fill="FFFFFF"/>
          <w:lang w:val="en-US" w:eastAsia="zh-CN"/>
        </w:rPr>
        <w:t>年</w:t>
      </w:r>
      <w:r>
        <w:rPr>
          <w:rStyle w:val="18"/>
          <w:rFonts w:hint="eastAsia" w:ascii="微软雅黑" w:hAnsi="微软雅黑" w:eastAsia="微软雅黑" w:cs="微软雅黑"/>
          <w:b/>
          <w:bCs/>
          <w:color w:val="333333"/>
          <w:sz w:val="24"/>
          <w:szCs w:val="24"/>
          <w:shd w:val="clear" w:fill="FFFFFF"/>
          <w:lang w:val="en-US" w:eastAsia="zh-CN"/>
        </w:rPr>
        <w:t>5月17日第5次更新，2022年6月7日第6次更新，2022年6月8日第7次更新，2022年6月13日第8次更新，2022年6月20日第9次更新，2022年7月4日第10次更新，2022年8月5日第11次更新，2022年10月10日第12次更新，2022年10月31日第13次更新）</w:t>
      </w:r>
    </w:p>
    <w:p>
      <w:pPr>
        <w:pStyle w:val="25"/>
        <w:keepNext w:val="0"/>
        <w:keepLines w:val="0"/>
        <w:pageBreakBefore w:val="0"/>
        <w:widowControl w:val="0"/>
        <w:kinsoku/>
        <w:wordWrap/>
        <w:overflowPunct/>
        <w:topLinePunct w:val="0"/>
        <w:autoSpaceDE w:val="0"/>
        <w:autoSpaceDN w:val="0"/>
        <w:bidi w:val="0"/>
        <w:adjustRightInd/>
        <w:snapToGrid/>
        <w:spacing w:before="260" w:beforeAutospacing="0" w:after="260" w:line="600" w:lineRule="exact"/>
        <w:ind w:left="0" w:leftChars="0" w:firstLine="0" w:firstLineChars="0"/>
        <w:jc w:val="center"/>
        <w:textAlignment w:val="auto"/>
        <w:outlineLvl w:val="0"/>
        <w:rPr>
          <w:rFonts w:hint="eastAsia" w:ascii="方正小标宋简体" w:hAnsi="方正小标宋简体" w:eastAsia="方正小标宋简体" w:cs="方正小标宋简体"/>
          <w:b/>
          <w:bCs/>
          <w:sz w:val="44"/>
          <w:szCs w:val="44"/>
        </w:rPr>
      </w:pPr>
      <w:bookmarkStart w:id="117" w:name="_Toc12846"/>
      <w:bookmarkStart w:id="118" w:name="_Toc18173"/>
      <w:bookmarkStart w:id="119" w:name="_Toc7177"/>
      <w:bookmarkStart w:id="120" w:name="_Toc15406"/>
      <w:bookmarkStart w:id="121" w:name="_Toc19991"/>
      <w:bookmarkStart w:id="122" w:name="_Toc15141"/>
      <w:bookmarkStart w:id="123" w:name="_Toc30717"/>
      <w:bookmarkStart w:id="124" w:name="_Toc24026"/>
      <w:bookmarkStart w:id="125" w:name="_Toc3832"/>
      <w:bookmarkStart w:id="126" w:name="_Toc23470"/>
      <w:bookmarkStart w:id="127" w:name="_Toc2711"/>
      <w:bookmarkStart w:id="128" w:name="_Toc20588"/>
      <w:bookmarkStart w:id="129" w:name="_Toc1"/>
      <w:r>
        <w:rPr>
          <w:rFonts w:hint="eastAsia" w:ascii="方正小标宋简体" w:hAnsi="方正小标宋简体" w:eastAsia="方正小标宋简体" w:cs="方正小标宋简体"/>
          <w:b/>
          <w:bCs/>
          <w:sz w:val="44"/>
          <w:szCs w:val="44"/>
        </w:rPr>
        <w:t>分项政策目录</w:t>
      </w:r>
      <w:bookmarkEnd w:id="117"/>
      <w:bookmarkEnd w:id="118"/>
      <w:bookmarkEnd w:id="119"/>
      <w:bookmarkEnd w:id="120"/>
      <w:bookmarkEnd w:id="121"/>
      <w:bookmarkEnd w:id="122"/>
      <w:bookmarkEnd w:id="123"/>
      <w:bookmarkEnd w:id="124"/>
      <w:bookmarkEnd w:id="125"/>
      <w:bookmarkEnd w:id="126"/>
      <w:bookmarkEnd w:id="127"/>
      <w:bookmarkEnd w:id="128"/>
      <w:bookmarkEnd w:id="129"/>
    </w:p>
    <w:sdt>
      <w:sdtPr>
        <w:rPr>
          <w:rFonts w:ascii="宋体" w:hAnsi="宋体" w:eastAsia="宋体" w:cstheme="minorBidi"/>
          <w:kern w:val="2"/>
          <w:sz w:val="21"/>
          <w:szCs w:val="24"/>
          <w:lang w:val="en-US" w:eastAsia="zh-CN" w:bidi="ar-SA"/>
        </w:rPr>
        <w:id w:val="147473134"/>
        <w15:color w:val="DBDBDB"/>
        <w:docPartObj>
          <w:docPartGallery w:val="Table of Contents"/>
          <w:docPartUnique/>
        </w:docPartObj>
      </w:sdtPr>
      <w:sdtEndPr>
        <w:rPr>
          <w:rFonts w:hint="eastAsia" w:ascii="黑体" w:hAnsi="黑体" w:eastAsia="黑体" w:cs="黑体"/>
          <w:b/>
          <w:kern w:val="44"/>
          <w:sz w:val="28"/>
          <w:szCs w:val="28"/>
          <w:lang w:val="en-US" w:eastAsia="zh-CN" w:bidi="ar-SA"/>
        </w:rPr>
      </w:sdtEndPr>
      <w:sdtContent>
        <w:p>
          <w:pPr>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outlineLvl w:val="9"/>
            <w:rPr>
              <w:sz w:val="28"/>
              <w:szCs w:val="28"/>
            </w:rPr>
          </w:pPr>
          <w:r>
            <w:rPr>
              <w:rFonts w:hint="eastAsia" w:ascii="宋体" w:hAnsi="宋体" w:eastAsia="宋体" w:cstheme="minorBidi"/>
              <w:kern w:val="2"/>
              <w:sz w:val="21"/>
              <w:szCs w:val="24"/>
              <w:lang w:val="en-US" w:eastAsia="zh-CN" w:bidi="ar-SA"/>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TOC \o "1-1" \h \u </w:instrText>
          </w:r>
          <w:r>
            <w:rPr>
              <w:rFonts w:hint="eastAsia" w:ascii="黑体" w:hAnsi="黑体" w:eastAsia="黑体" w:cs="黑体"/>
              <w:sz w:val="28"/>
              <w:szCs w:val="28"/>
            </w:rPr>
            <w:fldChar w:fldCharType="separate"/>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_Toc10183 </w:instrText>
          </w:r>
          <w:r>
            <w:rPr>
              <w:rFonts w:hint="eastAsia" w:ascii="黑体" w:hAnsi="黑体" w:eastAsia="黑体" w:cs="黑体"/>
              <w:sz w:val="28"/>
              <w:szCs w:val="28"/>
            </w:rPr>
            <w:fldChar w:fldCharType="separate"/>
          </w:r>
          <w:r>
            <w:rPr>
              <w:rFonts w:hint="eastAsia" w:ascii="黑体" w:hAnsi="黑体" w:eastAsia="黑体" w:cs="黑体"/>
              <w:sz w:val="28"/>
              <w:szCs w:val="28"/>
            </w:rPr>
            <w:t>一、新出台的税费支持政策</w:t>
          </w:r>
          <w:r>
            <w:rPr>
              <w:sz w:val="28"/>
              <w:szCs w:val="28"/>
            </w:rPr>
            <w:tab/>
          </w:r>
          <w:bookmarkStart w:id="729" w:name="_GoBack"/>
          <w:bookmarkEnd w:id="729"/>
          <w:r>
            <w:rPr>
              <w:sz w:val="28"/>
              <w:szCs w:val="28"/>
            </w:rPr>
            <w:fldChar w:fldCharType="begin"/>
          </w:r>
          <w:r>
            <w:rPr>
              <w:sz w:val="28"/>
              <w:szCs w:val="28"/>
            </w:rPr>
            <w:instrText xml:space="preserve"> PAGEREF _Toc10183 \h </w:instrText>
          </w:r>
          <w:r>
            <w:rPr>
              <w:sz w:val="28"/>
              <w:szCs w:val="28"/>
            </w:rPr>
            <w:fldChar w:fldCharType="separate"/>
          </w:r>
          <w:r>
            <w:rPr>
              <w:sz w:val="28"/>
              <w:szCs w:val="28"/>
            </w:rPr>
            <w:t>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_Toc5770 </w:instrText>
          </w:r>
          <w:r>
            <w:rPr>
              <w:rFonts w:hint="eastAsia" w:ascii="黑体" w:hAnsi="黑体" w:eastAsia="黑体" w:cs="黑体"/>
              <w:sz w:val="28"/>
              <w:szCs w:val="28"/>
            </w:rPr>
            <w:fldChar w:fldCharType="separate"/>
          </w:r>
          <w:r>
            <w:rPr>
              <w:rFonts w:hint="eastAsia"/>
              <w:sz w:val="28"/>
              <w:szCs w:val="28"/>
            </w:rPr>
            <w:t>（一）2022年增值税期末留抵退税政策</w:t>
          </w:r>
          <w:r>
            <w:rPr>
              <w:sz w:val="28"/>
              <w:szCs w:val="28"/>
            </w:rPr>
            <w:tab/>
          </w:r>
          <w:r>
            <w:rPr>
              <w:sz w:val="28"/>
              <w:szCs w:val="28"/>
            </w:rPr>
            <w:fldChar w:fldCharType="begin"/>
          </w:r>
          <w:r>
            <w:rPr>
              <w:sz w:val="28"/>
              <w:szCs w:val="28"/>
            </w:rPr>
            <w:instrText xml:space="preserve"> PAGEREF _Toc5770 \h </w:instrText>
          </w:r>
          <w:r>
            <w:rPr>
              <w:sz w:val="28"/>
              <w:szCs w:val="28"/>
            </w:rPr>
            <w:fldChar w:fldCharType="separate"/>
          </w:r>
          <w:r>
            <w:rPr>
              <w:sz w:val="28"/>
              <w:szCs w:val="28"/>
            </w:rPr>
            <w:t>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_Toc10606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w:t>
          </w:r>
          <w:r>
            <w:rPr>
              <w:rFonts w:hint="eastAsia"/>
              <w:sz w:val="28"/>
              <w:szCs w:val="28"/>
            </w:rPr>
            <w:t>）中小微企业设备器具所得税税前扣除政策</w:t>
          </w:r>
          <w:r>
            <w:rPr>
              <w:sz w:val="28"/>
              <w:szCs w:val="28"/>
            </w:rPr>
            <w:tab/>
          </w:r>
          <w:r>
            <w:rPr>
              <w:sz w:val="28"/>
              <w:szCs w:val="28"/>
            </w:rPr>
            <w:fldChar w:fldCharType="begin"/>
          </w:r>
          <w:r>
            <w:rPr>
              <w:sz w:val="28"/>
              <w:szCs w:val="28"/>
            </w:rPr>
            <w:instrText xml:space="preserve"> PAGEREF _Toc10606 \h </w:instrText>
          </w:r>
          <w:r>
            <w:rPr>
              <w:sz w:val="28"/>
              <w:szCs w:val="28"/>
            </w:rPr>
            <w:fldChar w:fldCharType="separate"/>
          </w:r>
          <w:r>
            <w:rPr>
              <w:sz w:val="28"/>
              <w:szCs w:val="28"/>
            </w:rPr>
            <w:t>12</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_Toc24293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）航空和铁路运输企业分支机构暂停预缴增值税政策</w:t>
          </w:r>
          <w:r>
            <w:rPr>
              <w:sz w:val="28"/>
              <w:szCs w:val="28"/>
            </w:rPr>
            <w:tab/>
          </w:r>
          <w:r>
            <w:rPr>
              <w:sz w:val="28"/>
              <w:szCs w:val="28"/>
            </w:rPr>
            <w:fldChar w:fldCharType="begin"/>
          </w:r>
          <w:r>
            <w:rPr>
              <w:sz w:val="28"/>
              <w:szCs w:val="28"/>
            </w:rPr>
            <w:instrText xml:space="preserve"> PAGEREF _Toc24293 \h </w:instrText>
          </w:r>
          <w:r>
            <w:rPr>
              <w:sz w:val="28"/>
              <w:szCs w:val="28"/>
            </w:rPr>
            <w:fldChar w:fldCharType="separate"/>
          </w:r>
          <w:r>
            <w:rPr>
              <w:sz w:val="28"/>
              <w:szCs w:val="28"/>
            </w:rPr>
            <w:t>14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_Toc4361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w:t>
          </w:r>
          <w:r>
            <w:rPr>
              <w:rFonts w:hint="eastAsia"/>
              <w:sz w:val="28"/>
              <w:szCs w:val="28"/>
            </w:rPr>
            <w:t>）公共交通运输服务收入免征增值税政策</w:t>
          </w:r>
          <w:r>
            <w:rPr>
              <w:sz w:val="28"/>
              <w:szCs w:val="28"/>
            </w:rPr>
            <w:tab/>
          </w:r>
          <w:r>
            <w:rPr>
              <w:sz w:val="28"/>
              <w:szCs w:val="28"/>
            </w:rPr>
            <w:fldChar w:fldCharType="begin"/>
          </w:r>
          <w:r>
            <w:rPr>
              <w:sz w:val="28"/>
              <w:szCs w:val="28"/>
            </w:rPr>
            <w:instrText xml:space="preserve"> PAGEREF _Toc4361 \h </w:instrText>
          </w:r>
          <w:r>
            <w:rPr>
              <w:sz w:val="28"/>
              <w:szCs w:val="28"/>
            </w:rPr>
            <w:fldChar w:fldCharType="separate"/>
          </w:r>
          <w:r>
            <w:rPr>
              <w:sz w:val="28"/>
              <w:szCs w:val="28"/>
            </w:rPr>
            <w:t>15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_Toc27701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五</w:t>
          </w:r>
          <w:r>
            <w:rPr>
              <w:rFonts w:hint="eastAsia"/>
              <w:sz w:val="28"/>
              <w:szCs w:val="28"/>
            </w:rPr>
            <w:t>）3岁以下婴幼儿照护个人所得税专项附加扣除政策</w:t>
          </w:r>
          <w:r>
            <w:rPr>
              <w:sz w:val="28"/>
              <w:szCs w:val="28"/>
            </w:rPr>
            <w:tab/>
          </w:r>
          <w:r>
            <w:rPr>
              <w:sz w:val="28"/>
              <w:szCs w:val="28"/>
            </w:rPr>
            <w:fldChar w:fldCharType="begin"/>
          </w:r>
          <w:r>
            <w:rPr>
              <w:sz w:val="28"/>
              <w:szCs w:val="28"/>
            </w:rPr>
            <w:instrText xml:space="preserve"> PAGEREF _Toc27701 \h </w:instrText>
          </w:r>
          <w:r>
            <w:rPr>
              <w:sz w:val="28"/>
              <w:szCs w:val="28"/>
            </w:rPr>
            <w:fldChar w:fldCharType="separate"/>
          </w:r>
          <w:r>
            <w:rPr>
              <w:sz w:val="28"/>
              <w:szCs w:val="28"/>
            </w:rPr>
            <w:t>16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_Toc2653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六</w:t>
          </w:r>
          <w:r>
            <w:rPr>
              <w:rFonts w:hint="eastAsia"/>
              <w:sz w:val="28"/>
              <w:szCs w:val="28"/>
            </w:rPr>
            <w:t>）增值税小规模纳税人免征增值税政策</w:t>
          </w:r>
          <w:r>
            <w:rPr>
              <w:sz w:val="28"/>
              <w:szCs w:val="28"/>
            </w:rPr>
            <w:tab/>
          </w:r>
          <w:r>
            <w:rPr>
              <w:sz w:val="28"/>
              <w:szCs w:val="28"/>
            </w:rPr>
            <w:fldChar w:fldCharType="begin"/>
          </w:r>
          <w:r>
            <w:rPr>
              <w:sz w:val="28"/>
              <w:szCs w:val="28"/>
            </w:rPr>
            <w:instrText xml:space="preserve"> PAGEREF _Toc2653 \h </w:instrText>
          </w:r>
          <w:r>
            <w:rPr>
              <w:sz w:val="28"/>
              <w:szCs w:val="28"/>
            </w:rPr>
            <w:fldChar w:fldCharType="separate"/>
          </w:r>
          <w:r>
            <w:rPr>
              <w:sz w:val="28"/>
              <w:szCs w:val="28"/>
            </w:rPr>
            <w:t>17</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_Toc21390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七</w:t>
          </w:r>
          <w:r>
            <w:rPr>
              <w:rFonts w:hint="eastAsia"/>
              <w:sz w:val="28"/>
              <w:szCs w:val="28"/>
            </w:rPr>
            <w:t>）科技型中小企业研发费用加计扣除政策</w:t>
          </w:r>
          <w:r>
            <w:rPr>
              <w:sz w:val="28"/>
              <w:szCs w:val="28"/>
            </w:rPr>
            <w:tab/>
          </w:r>
          <w:r>
            <w:rPr>
              <w:sz w:val="28"/>
              <w:szCs w:val="28"/>
            </w:rPr>
            <w:fldChar w:fldCharType="begin"/>
          </w:r>
          <w:r>
            <w:rPr>
              <w:sz w:val="28"/>
              <w:szCs w:val="28"/>
            </w:rPr>
            <w:instrText xml:space="preserve"> PAGEREF _Toc21390 \h </w:instrText>
          </w:r>
          <w:r>
            <w:rPr>
              <w:sz w:val="28"/>
              <w:szCs w:val="28"/>
            </w:rPr>
            <w:fldChar w:fldCharType="separate"/>
          </w:r>
          <w:r>
            <w:rPr>
              <w:sz w:val="28"/>
              <w:szCs w:val="28"/>
            </w:rPr>
            <w:t>18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_Toc13551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八</w:t>
          </w:r>
          <w:r>
            <w:rPr>
              <w:rFonts w:hint="eastAsia"/>
              <w:sz w:val="28"/>
              <w:szCs w:val="28"/>
            </w:rPr>
            <w:t>）快递收派服务收入免征增值税政策</w:t>
          </w:r>
          <w:r>
            <w:rPr>
              <w:sz w:val="28"/>
              <w:szCs w:val="28"/>
            </w:rPr>
            <w:tab/>
          </w:r>
          <w:r>
            <w:rPr>
              <w:sz w:val="28"/>
              <w:szCs w:val="28"/>
            </w:rPr>
            <w:fldChar w:fldCharType="begin"/>
          </w:r>
          <w:r>
            <w:rPr>
              <w:sz w:val="28"/>
              <w:szCs w:val="28"/>
            </w:rPr>
            <w:instrText xml:space="preserve"> PAGEREF _Toc13551 \h </w:instrText>
          </w:r>
          <w:r>
            <w:rPr>
              <w:sz w:val="28"/>
              <w:szCs w:val="28"/>
            </w:rPr>
            <w:fldChar w:fldCharType="separate"/>
          </w:r>
          <w:r>
            <w:rPr>
              <w:sz w:val="28"/>
              <w:szCs w:val="28"/>
            </w:rPr>
            <w:t>19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_Toc8736 </w:instrText>
          </w:r>
          <w:r>
            <w:rPr>
              <w:rFonts w:hint="eastAsia" w:ascii="黑体" w:hAnsi="黑体" w:eastAsia="黑体" w:cs="黑体"/>
              <w:sz w:val="28"/>
              <w:szCs w:val="28"/>
            </w:rPr>
            <w:fldChar w:fldCharType="separate"/>
          </w:r>
          <w:r>
            <w:rPr>
              <w:rFonts w:hint="eastAsia" w:cstheme="minorBidi"/>
              <w:kern w:val="2"/>
              <w:sz w:val="28"/>
              <w:szCs w:val="28"/>
              <w:lang w:val="en-US" w:eastAsia="zh-CN" w:bidi="ar-SA"/>
            </w:rPr>
            <w:t>（九）减征部分乘用车车辆购置税政策</w:t>
          </w:r>
          <w:r>
            <w:rPr>
              <w:sz w:val="28"/>
              <w:szCs w:val="28"/>
            </w:rPr>
            <w:tab/>
          </w:r>
          <w:r>
            <w:rPr>
              <w:sz w:val="28"/>
              <w:szCs w:val="28"/>
            </w:rPr>
            <w:fldChar w:fldCharType="begin"/>
          </w:r>
          <w:r>
            <w:rPr>
              <w:sz w:val="28"/>
              <w:szCs w:val="28"/>
            </w:rPr>
            <w:instrText xml:space="preserve"> PAGEREF _Toc8736 \h </w:instrText>
          </w:r>
          <w:r>
            <w:rPr>
              <w:sz w:val="28"/>
              <w:szCs w:val="28"/>
            </w:rPr>
            <w:fldChar w:fldCharType="separate"/>
          </w:r>
          <w:r>
            <w:rPr>
              <w:sz w:val="28"/>
              <w:szCs w:val="28"/>
            </w:rPr>
            <w:t>20</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_Toc3587 </w:instrText>
          </w:r>
          <w:r>
            <w:rPr>
              <w:rFonts w:hint="eastAsia" w:ascii="黑体" w:hAnsi="黑体" w:eastAsia="黑体" w:cs="黑体"/>
              <w:sz w:val="28"/>
              <w:szCs w:val="28"/>
            </w:rPr>
            <w:fldChar w:fldCharType="separate"/>
          </w:r>
          <w:r>
            <w:rPr>
              <w:rFonts w:hint="eastAsia"/>
              <w:sz w:val="28"/>
              <w:szCs w:val="28"/>
            </w:rPr>
            <w:t>（十）小微企业“六税两费”减免政策</w:t>
          </w:r>
          <w:r>
            <w:rPr>
              <w:sz w:val="28"/>
              <w:szCs w:val="28"/>
            </w:rPr>
            <w:tab/>
          </w:r>
          <w:r>
            <w:rPr>
              <w:sz w:val="28"/>
              <w:szCs w:val="28"/>
            </w:rPr>
            <w:fldChar w:fldCharType="begin"/>
          </w:r>
          <w:r>
            <w:rPr>
              <w:sz w:val="28"/>
              <w:szCs w:val="28"/>
            </w:rPr>
            <w:instrText xml:space="preserve"> PAGEREF _Toc3587 \h </w:instrText>
          </w:r>
          <w:r>
            <w:rPr>
              <w:sz w:val="28"/>
              <w:szCs w:val="28"/>
            </w:rPr>
            <w:fldChar w:fldCharType="separate"/>
          </w:r>
          <w:r>
            <w:rPr>
              <w:sz w:val="28"/>
              <w:szCs w:val="28"/>
            </w:rPr>
            <w:t>21</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_Toc14758 </w:instrText>
          </w:r>
          <w:r>
            <w:rPr>
              <w:rFonts w:hint="eastAsia" w:ascii="黑体" w:hAnsi="黑体" w:eastAsia="黑体" w:cs="黑体"/>
              <w:sz w:val="28"/>
              <w:szCs w:val="28"/>
            </w:rPr>
            <w:fldChar w:fldCharType="separate"/>
          </w:r>
          <w:r>
            <w:rPr>
              <w:rFonts w:hint="eastAsia"/>
              <w:sz w:val="28"/>
              <w:szCs w:val="28"/>
            </w:rPr>
            <w:t>（十一）小型微利企业减免企业所得税政策</w:t>
          </w:r>
          <w:r>
            <w:rPr>
              <w:sz w:val="28"/>
              <w:szCs w:val="28"/>
            </w:rPr>
            <w:tab/>
          </w:r>
          <w:r>
            <w:rPr>
              <w:sz w:val="28"/>
              <w:szCs w:val="28"/>
            </w:rPr>
            <w:fldChar w:fldCharType="begin"/>
          </w:r>
          <w:r>
            <w:rPr>
              <w:sz w:val="28"/>
              <w:szCs w:val="28"/>
            </w:rPr>
            <w:instrText xml:space="preserve"> PAGEREF _Toc14758 \h </w:instrText>
          </w:r>
          <w:r>
            <w:rPr>
              <w:sz w:val="28"/>
              <w:szCs w:val="28"/>
            </w:rPr>
            <w:fldChar w:fldCharType="separate"/>
          </w:r>
          <w:r>
            <w:rPr>
              <w:sz w:val="28"/>
              <w:szCs w:val="28"/>
            </w:rPr>
            <w:t>23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_Toc3017 </w:instrText>
          </w:r>
          <w:r>
            <w:rPr>
              <w:rFonts w:hint="eastAsia" w:ascii="黑体" w:hAnsi="黑体" w:eastAsia="黑体" w:cs="黑体"/>
              <w:sz w:val="28"/>
              <w:szCs w:val="28"/>
            </w:rPr>
            <w:fldChar w:fldCharType="separate"/>
          </w:r>
          <w:r>
            <w:rPr>
              <w:rFonts w:hint="eastAsia"/>
              <w:sz w:val="28"/>
              <w:szCs w:val="28"/>
            </w:rPr>
            <w:t>（十二）制造业中小微企业延缓缴纳部分税费政策</w:t>
          </w:r>
          <w:r>
            <w:rPr>
              <w:sz w:val="28"/>
              <w:szCs w:val="28"/>
            </w:rPr>
            <w:tab/>
          </w:r>
          <w:r>
            <w:rPr>
              <w:sz w:val="28"/>
              <w:szCs w:val="28"/>
            </w:rPr>
            <w:fldChar w:fldCharType="begin"/>
          </w:r>
          <w:r>
            <w:rPr>
              <w:sz w:val="28"/>
              <w:szCs w:val="28"/>
            </w:rPr>
            <w:instrText xml:space="preserve"> PAGEREF _Toc3017 \h </w:instrText>
          </w:r>
          <w:r>
            <w:rPr>
              <w:sz w:val="28"/>
              <w:szCs w:val="28"/>
            </w:rPr>
            <w:fldChar w:fldCharType="separate"/>
          </w:r>
          <w:r>
            <w:rPr>
              <w:sz w:val="28"/>
              <w:szCs w:val="28"/>
            </w:rPr>
            <w:t>24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_Toc28011 </w:instrText>
          </w:r>
          <w:r>
            <w:rPr>
              <w:rFonts w:hint="eastAsia" w:ascii="黑体" w:hAnsi="黑体" w:eastAsia="黑体" w:cs="黑体"/>
              <w:sz w:val="28"/>
              <w:szCs w:val="28"/>
            </w:rPr>
            <w:fldChar w:fldCharType="separate"/>
          </w:r>
          <w:r>
            <w:rPr>
              <w:rFonts w:hint="eastAsia"/>
              <w:sz w:val="28"/>
              <w:szCs w:val="28"/>
            </w:rPr>
            <w:t>（十三）阶段性缓缴企业基本养老保险费、失业保险费、工伤保险费政策</w:t>
          </w:r>
          <w:r>
            <w:rPr>
              <w:sz w:val="28"/>
              <w:szCs w:val="28"/>
            </w:rPr>
            <w:tab/>
          </w:r>
          <w:r>
            <w:rPr>
              <w:sz w:val="28"/>
              <w:szCs w:val="28"/>
            </w:rPr>
            <w:fldChar w:fldCharType="begin"/>
          </w:r>
          <w:r>
            <w:rPr>
              <w:sz w:val="28"/>
              <w:szCs w:val="28"/>
            </w:rPr>
            <w:instrText xml:space="preserve"> PAGEREF _Toc28011 \h </w:instrText>
          </w:r>
          <w:r>
            <w:rPr>
              <w:sz w:val="28"/>
              <w:szCs w:val="28"/>
            </w:rPr>
            <w:fldChar w:fldCharType="separate"/>
          </w:r>
          <w:r>
            <w:rPr>
              <w:sz w:val="28"/>
              <w:szCs w:val="28"/>
            </w:rPr>
            <w:t>25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_Toc31443 </w:instrText>
          </w:r>
          <w:r>
            <w:rPr>
              <w:rFonts w:hint="eastAsia" w:ascii="黑体" w:hAnsi="黑体" w:eastAsia="黑体" w:cs="黑体"/>
              <w:sz w:val="28"/>
              <w:szCs w:val="28"/>
            </w:rPr>
            <w:fldChar w:fldCharType="separate"/>
          </w:r>
          <w:r>
            <w:rPr>
              <w:rFonts w:hint="eastAsia"/>
              <w:sz w:val="28"/>
              <w:szCs w:val="28"/>
              <w:lang w:val="en-US" w:eastAsia="zh-CN"/>
            </w:rPr>
            <w:t>（十四）制造业中小微企业继续延缓缴纳部分税费政策</w:t>
          </w:r>
          <w:r>
            <w:rPr>
              <w:sz w:val="28"/>
              <w:szCs w:val="28"/>
            </w:rPr>
            <w:tab/>
          </w:r>
          <w:r>
            <w:rPr>
              <w:sz w:val="28"/>
              <w:szCs w:val="28"/>
            </w:rPr>
            <w:fldChar w:fldCharType="begin"/>
          </w:r>
          <w:r>
            <w:rPr>
              <w:sz w:val="28"/>
              <w:szCs w:val="28"/>
            </w:rPr>
            <w:instrText xml:space="preserve"> PAGEREF _Toc31443 \h </w:instrText>
          </w:r>
          <w:r>
            <w:rPr>
              <w:sz w:val="28"/>
              <w:szCs w:val="28"/>
            </w:rPr>
            <w:fldChar w:fldCharType="separate"/>
          </w:r>
          <w:r>
            <w:rPr>
              <w:sz w:val="28"/>
              <w:szCs w:val="28"/>
            </w:rPr>
            <w:t>29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_Toc19557 </w:instrText>
          </w:r>
          <w:r>
            <w:rPr>
              <w:rFonts w:hint="eastAsia" w:ascii="黑体" w:hAnsi="黑体" w:eastAsia="黑体" w:cs="黑体"/>
              <w:sz w:val="28"/>
              <w:szCs w:val="28"/>
            </w:rPr>
            <w:fldChar w:fldCharType="separate"/>
          </w:r>
          <w:r>
            <w:rPr>
              <w:rFonts w:hint="eastAsia"/>
              <w:sz w:val="28"/>
              <w:szCs w:val="28"/>
              <w:lang w:eastAsia="zh-CN"/>
            </w:rPr>
            <w:t>（十五）</w:t>
          </w:r>
          <w:r>
            <w:rPr>
              <w:rFonts w:hint="eastAsia"/>
              <w:sz w:val="28"/>
              <w:szCs w:val="28"/>
            </w:rPr>
            <w:t>高新技术企业扣除设备器具所得税税前政策</w:t>
          </w:r>
          <w:r>
            <w:rPr>
              <w:sz w:val="28"/>
              <w:szCs w:val="28"/>
            </w:rPr>
            <w:tab/>
          </w:r>
          <w:r>
            <w:rPr>
              <w:sz w:val="28"/>
              <w:szCs w:val="28"/>
            </w:rPr>
            <w:fldChar w:fldCharType="begin"/>
          </w:r>
          <w:r>
            <w:rPr>
              <w:sz w:val="28"/>
              <w:szCs w:val="28"/>
            </w:rPr>
            <w:instrText xml:space="preserve"> PAGEREF _Toc19557 \h </w:instrText>
          </w:r>
          <w:r>
            <w:rPr>
              <w:sz w:val="28"/>
              <w:szCs w:val="28"/>
            </w:rPr>
            <w:fldChar w:fldCharType="separate"/>
          </w:r>
          <w:r>
            <w:rPr>
              <w:sz w:val="28"/>
              <w:szCs w:val="28"/>
            </w:rPr>
            <w:t>31</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_Toc30782 </w:instrText>
          </w:r>
          <w:r>
            <w:rPr>
              <w:rFonts w:hint="eastAsia" w:ascii="黑体" w:hAnsi="黑体" w:eastAsia="黑体" w:cs="黑体"/>
              <w:sz w:val="28"/>
              <w:szCs w:val="28"/>
            </w:rPr>
            <w:fldChar w:fldCharType="separate"/>
          </w:r>
          <w:r>
            <w:rPr>
              <w:rFonts w:hint="eastAsia"/>
              <w:sz w:val="28"/>
              <w:szCs w:val="28"/>
              <w:lang w:val="en-US" w:eastAsia="zh-CN"/>
            </w:rPr>
            <w:t>（十六）</w:t>
          </w:r>
          <w:r>
            <w:rPr>
              <w:rFonts w:hint="eastAsia"/>
              <w:sz w:val="28"/>
              <w:szCs w:val="28"/>
              <w:lang w:eastAsia="zh-CN"/>
            </w:rPr>
            <w:t>其他企业研发费用加计扣除政策</w:t>
          </w:r>
          <w:r>
            <w:rPr>
              <w:sz w:val="28"/>
              <w:szCs w:val="28"/>
            </w:rPr>
            <w:tab/>
          </w:r>
          <w:r>
            <w:rPr>
              <w:sz w:val="28"/>
              <w:szCs w:val="28"/>
            </w:rPr>
            <w:fldChar w:fldCharType="begin"/>
          </w:r>
          <w:r>
            <w:rPr>
              <w:sz w:val="28"/>
              <w:szCs w:val="28"/>
            </w:rPr>
            <w:instrText xml:space="preserve"> PAGEREF _Toc30782 \h </w:instrText>
          </w:r>
          <w:r>
            <w:rPr>
              <w:sz w:val="28"/>
              <w:szCs w:val="28"/>
            </w:rPr>
            <w:fldChar w:fldCharType="separate"/>
          </w:r>
          <w:r>
            <w:rPr>
              <w:sz w:val="28"/>
              <w:szCs w:val="28"/>
            </w:rPr>
            <w:t>32</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_Toc10549 </w:instrText>
          </w:r>
          <w:r>
            <w:rPr>
              <w:rFonts w:hint="eastAsia" w:ascii="黑体" w:hAnsi="黑体" w:eastAsia="黑体" w:cs="黑体"/>
              <w:sz w:val="28"/>
              <w:szCs w:val="28"/>
            </w:rPr>
            <w:fldChar w:fldCharType="separate"/>
          </w:r>
          <w:r>
            <w:rPr>
              <w:rFonts w:hint="eastAsia"/>
              <w:sz w:val="28"/>
              <w:szCs w:val="28"/>
              <w:lang w:val="en-US" w:eastAsia="zh-CN"/>
            </w:rPr>
            <w:t>（十七）支持居民换购住房个人所得税优惠政策</w:t>
          </w:r>
          <w:r>
            <w:rPr>
              <w:sz w:val="28"/>
              <w:szCs w:val="28"/>
            </w:rPr>
            <w:tab/>
          </w:r>
          <w:r>
            <w:rPr>
              <w:sz w:val="28"/>
              <w:szCs w:val="28"/>
            </w:rPr>
            <w:fldChar w:fldCharType="begin"/>
          </w:r>
          <w:r>
            <w:rPr>
              <w:sz w:val="28"/>
              <w:szCs w:val="28"/>
            </w:rPr>
            <w:instrText xml:space="preserve"> PAGEREF _Toc10549 \h </w:instrText>
          </w:r>
          <w:r>
            <w:rPr>
              <w:sz w:val="28"/>
              <w:szCs w:val="28"/>
            </w:rPr>
            <w:fldChar w:fldCharType="separate"/>
          </w:r>
          <w:r>
            <w:rPr>
              <w:sz w:val="28"/>
              <w:szCs w:val="28"/>
            </w:rPr>
            <w:t>33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_Toc30270 </w:instrText>
          </w:r>
          <w:r>
            <w:rPr>
              <w:rFonts w:hint="eastAsia" w:ascii="黑体" w:hAnsi="黑体" w:eastAsia="黑体" w:cs="黑体"/>
              <w:sz w:val="28"/>
              <w:szCs w:val="28"/>
            </w:rPr>
            <w:fldChar w:fldCharType="separate"/>
          </w:r>
          <w:r>
            <w:rPr>
              <w:rFonts w:hint="eastAsia"/>
              <w:sz w:val="28"/>
              <w:szCs w:val="28"/>
              <w:lang w:val="en-US" w:eastAsia="zh-CN"/>
            </w:rPr>
            <w:t>（十八）银行业金融机构、金融资产管理公司不良债权以物抵债增值税政策</w:t>
          </w:r>
          <w:r>
            <w:rPr>
              <w:sz w:val="28"/>
              <w:szCs w:val="28"/>
            </w:rPr>
            <w:tab/>
          </w:r>
          <w:r>
            <w:rPr>
              <w:sz w:val="28"/>
              <w:szCs w:val="28"/>
            </w:rPr>
            <w:fldChar w:fldCharType="begin"/>
          </w:r>
          <w:r>
            <w:rPr>
              <w:sz w:val="28"/>
              <w:szCs w:val="28"/>
            </w:rPr>
            <w:instrText xml:space="preserve"> PAGEREF _Toc30270 \h </w:instrText>
          </w:r>
          <w:r>
            <w:rPr>
              <w:sz w:val="28"/>
              <w:szCs w:val="28"/>
            </w:rPr>
            <w:fldChar w:fldCharType="separate"/>
          </w:r>
          <w:r>
            <w:rPr>
              <w:sz w:val="28"/>
              <w:szCs w:val="28"/>
            </w:rPr>
            <w:t>34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_Toc14087 </w:instrText>
          </w:r>
          <w:r>
            <w:rPr>
              <w:rFonts w:hint="eastAsia" w:ascii="黑体" w:hAnsi="黑体" w:eastAsia="黑体" w:cs="黑体"/>
              <w:sz w:val="28"/>
              <w:szCs w:val="28"/>
            </w:rPr>
            <w:fldChar w:fldCharType="separate"/>
          </w:r>
          <w:r>
            <w:rPr>
              <w:rFonts w:hint="eastAsia"/>
              <w:bCs w:val="0"/>
              <w:sz w:val="28"/>
              <w:szCs w:val="28"/>
              <w:lang w:val="en-US" w:eastAsia="zh-CN"/>
            </w:rPr>
            <w:t>（十九）</w:t>
          </w:r>
          <w:r>
            <w:rPr>
              <w:rFonts w:hint="eastAsia"/>
              <w:sz w:val="28"/>
              <w:szCs w:val="28"/>
              <w:lang w:val="en-US" w:eastAsia="zh-CN"/>
            </w:rPr>
            <w:t>银行业金融机构、金融资产管理公司免征契税政策</w:t>
          </w:r>
          <w:r>
            <w:rPr>
              <w:sz w:val="28"/>
              <w:szCs w:val="28"/>
            </w:rPr>
            <w:tab/>
          </w:r>
          <w:r>
            <w:rPr>
              <w:sz w:val="28"/>
              <w:szCs w:val="28"/>
            </w:rPr>
            <w:fldChar w:fldCharType="begin"/>
          </w:r>
          <w:r>
            <w:rPr>
              <w:sz w:val="28"/>
              <w:szCs w:val="28"/>
            </w:rPr>
            <w:instrText xml:space="preserve"> PAGEREF _Toc14087 \h </w:instrText>
          </w:r>
          <w:r>
            <w:rPr>
              <w:sz w:val="28"/>
              <w:szCs w:val="28"/>
            </w:rPr>
            <w:fldChar w:fldCharType="separate"/>
          </w:r>
          <w:r>
            <w:rPr>
              <w:sz w:val="28"/>
              <w:szCs w:val="28"/>
            </w:rPr>
            <w:t>36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_Toc26091 </w:instrText>
          </w:r>
          <w:r>
            <w:rPr>
              <w:rFonts w:hint="eastAsia" w:ascii="黑体" w:hAnsi="黑体" w:eastAsia="黑体" w:cs="黑体"/>
              <w:sz w:val="28"/>
              <w:szCs w:val="28"/>
            </w:rPr>
            <w:fldChar w:fldCharType="separate"/>
          </w:r>
          <w:r>
            <w:rPr>
              <w:rFonts w:hint="eastAsia"/>
              <w:sz w:val="28"/>
              <w:szCs w:val="28"/>
              <w:lang w:val="en-US" w:eastAsia="zh-CN"/>
            </w:rPr>
            <w:t>（二十）</w:t>
          </w:r>
          <w:r>
            <w:rPr>
              <w:rFonts w:hint="default"/>
              <w:sz w:val="28"/>
              <w:szCs w:val="28"/>
              <w:lang w:val="en-US" w:eastAsia="zh-CN"/>
            </w:rPr>
            <w:t>银行业金融机构、金融资产管理公司</w:t>
          </w:r>
          <w:r>
            <w:rPr>
              <w:rFonts w:hint="eastAsia"/>
              <w:sz w:val="28"/>
              <w:szCs w:val="28"/>
              <w:lang w:val="en-US" w:eastAsia="zh-CN"/>
            </w:rPr>
            <w:t>免征印花税政策</w:t>
          </w:r>
          <w:r>
            <w:rPr>
              <w:sz w:val="28"/>
              <w:szCs w:val="28"/>
            </w:rPr>
            <w:tab/>
          </w:r>
          <w:r>
            <w:rPr>
              <w:sz w:val="28"/>
              <w:szCs w:val="28"/>
            </w:rPr>
            <w:fldChar w:fldCharType="begin"/>
          </w:r>
          <w:r>
            <w:rPr>
              <w:sz w:val="28"/>
              <w:szCs w:val="28"/>
            </w:rPr>
            <w:instrText xml:space="preserve"> PAGEREF _Toc26091 \h </w:instrText>
          </w:r>
          <w:r>
            <w:rPr>
              <w:sz w:val="28"/>
              <w:szCs w:val="28"/>
            </w:rPr>
            <w:fldChar w:fldCharType="separate"/>
          </w:r>
          <w:r>
            <w:rPr>
              <w:sz w:val="28"/>
              <w:szCs w:val="28"/>
            </w:rPr>
            <w:t>37</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_Toc2738 </w:instrText>
          </w:r>
          <w:r>
            <w:rPr>
              <w:rFonts w:hint="eastAsia" w:ascii="黑体" w:hAnsi="黑体" w:eastAsia="黑体" w:cs="黑体"/>
              <w:sz w:val="28"/>
              <w:szCs w:val="28"/>
            </w:rPr>
            <w:fldChar w:fldCharType="separate"/>
          </w:r>
          <w:r>
            <w:rPr>
              <w:rFonts w:hint="eastAsia"/>
              <w:sz w:val="28"/>
              <w:szCs w:val="28"/>
              <w:lang w:val="en-US" w:eastAsia="zh-CN"/>
            </w:rPr>
            <w:t>（二十一）企业投入基础研究企业所得税优惠政策</w:t>
          </w:r>
          <w:r>
            <w:rPr>
              <w:sz w:val="28"/>
              <w:szCs w:val="28"/>
            </w:rPr>
            <w:tab/>
          </w:r>
          <w:r>
            <w:rPr>
              <w:sz w:val="28"/>
              <w:szCs w:val="28"/>
            </w:rPr>
            <w:fldChar w:fldCharType="begin"/>
          </w:r>
          <w:r>
            <w:rPr>
              <w:sz w:val="28"/>
              <w:szCs w:val="28"/>
            </w:rPr>
            <w:instrText xml:space="preserve"> PAGEREF _Toc2738 \h </w:instrText>
          </w:r>
          <w:r>
            <w:rPr>
              <w:sz w:val="28"/>
              <w:szCs w:val="28"/>
            </w:rPr>
            <w:fldChar w:fldCharType="separate"/>
          </w:r>
          <w:r>
            <w:rPr>
              <w:sz w:val="28"/>
              <w:szCs w:val="28"/>
            </w:rPr>
            <w:t>38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_Toc14458 </w:instrText>
          </w:r>
          <w:r>
            <w:rPr>
              <w:rFonts w:hint="eastAsia" w:ascii="黑体" w:hAnsi="黑体" w:eastAsia="黑体" w:cs="黑体"/>
              <w:sz w:val="28"/>
              <w:szCs w:val="28"/>
            </w:rPr>
            <w:fldChar w:fldCharType="separate"/>
          </w:r>
          <w:r>
            <w:rPr>
              <w:rFonts w:hint="eastAsia"/>
              <w:sz w:val="28"/>
              <w:szCs w:val="28"/>
              <w:lang w:val="en-US" w:eastAsia="zh-CN"/>
            </w:rPr>
            <w:t>（二十二）抗击疫情房产税、城镇土地使用税支持政策</w:t>
          </w:r>
          <w:r>
            <w:rPr>
              <w:sz w:val="28"/>
              <w:szCs w:val="28"/>
            </w:rPr>
            <w:tab/>
          </w:r>
          <w:r>
            <w:rPr>
              <w:sz w:val="28"/>
              <w:szCs w:val="28"/>
            </w:rPr>
            <w:fldChar w:fldCharType="begin"/>
          </w:r>
          <w:r>
            <w:rPr>
              <w:sz w:val="28"/>
              <w:szCs w:val="28"/>
            </w:rPr>
            <w:instrText xml:space="preserve"> PAGEREF _Toc14458 \h </w:instrText>
          </w:r>
          <w:r>
            <w:rPr>
              <w:sz w:val="28"/>
              <w:szCs w:val="28"/>
            </w:rPr>
            <w:fldChar w:fldCharType="separate"/>
          </w:r>
          <w:r>
            <w:rPr>
              <w:sz w:val="28"/>
              <w:szCs w:val="28"/>
            </w:rPr>
            <w:t>40</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_Toc2430 </w:instrText>
          </w:r>
          <w:r>
            <w:rPr>
              <w:rFonts w:hint="eastAsia" w:ascii="黑体" w:hAnsi="黑体" w:eastAsia="黑体" w:cs="黑体"/>
              <w:sz w:val="28"/>
              <w:szCs w:val="28"/>
            </w:rPr>
            <w:fldChar w:fldCharType="separate"/>
          </w:r>
          <w:r>
            <w:rPr>
              <w:rFonts w:hint="eastAsia"/>
              <w:sz w:val="28"/>
              <w:szCs w:val="28"/>
              <w:lang w:val="en-US" w:eastAsia="zh-CN"/>
            </w:rPr>
            <w:t>（二十三）扩大受疫情影响减免房产税、城镇土地使用税政策</w:t>
          </w:r>
          <w:r>
            <w:rPr>
              <w:sz w:val="28"/>
              <w:szCs w:val="28"/>
            </w:rPr>
            <w:tab/>
          </w:r>
          <w:r>
            <w:rPr>
              <w:sz w:val="28"/>
              <w:szCs w:val="28"/>
            </w:rPr>
            <w:fldChar w:fldCharType="begin"/>
          </w:r>
          <w:r>
            <w:rPr>
              <w:sz w:val="28"/>
              <w:szCs w:val="28"/>
            </w:rPr>
            <w:instrText xml:space="preserve"> PAGEREF _Toc2430 \h </w:instrText>
          </w:r>
          <w:r>
            <w:rPr>
              <w:sz w:val="28"/>
              <w:szCs w:val="28"/>
            </w:rPr>
            <w:fldChar w:fldCharType="separate"/>
          </w:r>
          <w:r>
            <w:rPr>
              <w:sz w:val="28"/>
              <w:szCs w:val="28"/>
            </w:rPr>
            <w:t>42</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_Toc15181 </w:instrText>
          </w:r>
          <w:r>
            <w:rPr>
              <w:rFonts w:hint="eastAsia" w:ascii="黑体" w:hAnsi="黑体" w:eastAsia="黑体" w:cs="黑体"/>
              <w:sz w:val="28"/>
              <w:szCs w:val="28"/>
            </w:rPr>
            <w:fldChar w:fldCharType="separate"/>
          </w:r>
          <w:r>
            <w:rPr>
              <w:rFonts w:hint="eastAsia"/>
              <w:sz w:val="28"/>
              <w:szCs w:val="28"/>
              <w:lang w:val="en-US" w:eastAsia="zh-CN"/>
            </w:rPr>
            <w:t>（二十四）阶段性缓缴职工基本医疗保险单位缴费政策</w:t>
          </w:r>
          <w:r>
            <w:rPr>
              <w:sz w:val="28"/>
              <w:szCs w:val="28"/>
            </w:rPr>
            <w:tab/>
          </w:r>
          <w:r>
            <w:rPr>
              <w:sz w:val="28"/>
              <w:szCs w:val="28"/>
            </w:rPr>
            <w:fldChar w:fldCharType="begin"/>
          </w:r>
          <w:r>
            <w:rPr>
              <w:sz w:val="28"/>
              <w:szCs w:val="28"/>
            </w:rPr>
            <w:instrText xml:space="preserve"> PAGEREF _Toc15181 \h </w:instrText>
          </w:r>
          <w:r>
            <w:rPr>
              <w:sz w:val="28"/>
              <w:szCs w:val="28"/>
            </w:rPr>
            <w:fldChar w:fldCharType="separate"/>
          </w:r>
          <w:r>
            <w:rPr>
              <w:sz w:val="28"/>
              <w:szCs w:val="28"/>
            </w:rPr>
            <w:t>43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_Toc23421 </w:instrText>
          </w:r>
          <w:r>
            <w:rPr>
              <w:rFonts w:hint="eastAsia" w:ascii="黑体" w:hAnsi="黑体" w:eastAsia="黑体" w:cs="黑体"/>
              <w:sz w:val="28"/>
              <w:szCs w:val="28"/>
            </w:rPr>
            <w:fldChar w:fldCharType="separate"/>
          </w:r>
          <w:r>
            <w:rPr>
              <w:rFonts w:hint="eastAsia"/>
              <w:sz w:val="28"/>
              <w:szCs w:val="28"/>
              <w:lang w:val="en-US" w:eastAsia="zh-CN"/>
            </w:rPr>
            <w:t>（二十五）缓缴水土保持补偿费政策</w:t>
          </w:r>
          <w:r>
            <w:rPr>
              <w:sz w:val="28"/>
              <w:szCs w:val="28"/>
            </w:rPr>
            <w:tab/>
          </w:r>
          <w:r>
            <w:rPr>
              <w:sz w:val="28"/>
              <w:szCs w:val="28"/>
            </w:rPr>
            <w:fldChar w:fldCharType="begin"/>
          </w:r>
          <w:r>
            <w:rPr>
              <w:sz w:val="28"/>
              <w:szCs w:val="28"/>
            </w:rPr>
            <w:instrText xml:space="preserve"> PAGEREF _Toc23421 \h </w:instrText>
          </w:r>
          <w:r>
            <w:rPr>
              <w:sz w:val="28"/>
              <w:szCs w:val="28"/>
            </w:rPr>
            <w:fldChar w:fldCharType="separate"/>
          </w:r>
          <w:r>
            <w:rPr>
              <w:sz w:val="28"/>
              <w:szCs w:val="28"/>
            </w:rPr>
            <w:t>44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_Toc11650 </w:instrText>
          </w:r>
          <w:r>
            <w:rPr>
              <w:rFonts w:hint="eastAsia" w:ascii="黑体" w:hAnsi="黑体" w:eastAsia="黑体" w:cs="黑体"/>
              <w:sz w:val="28"/>
              <w:szCs w:val="28"/>
            </w:rPr>
            <w:fldChar w:fldCharType="separate"/>
          </w:r>
          <w:r>
            <w:rPr>
              <w:rFonts w:hint="eastAsia"/>
              <w:sz w:val="28"/>
              <w:szCs w:val="28"/>
              <w:lang w:val="en-US" w:eastAsia="zh-CN"/>
            </w:rPr>
            <w:t>（二十六）缓缴城镇垃圾处理费政策</w:t>
          </w:r>
          <w:r>
            <w:rPr>
              <w:sz w:val="28"/>
              <w:szCs w:val="28"/>
            </w:rPr>
            <w:tab/>
          </w:r>
          <w:r>
            <w:rPr>
              <w:sz w:val="28"/>
              <w:szCs w:val="28"/>
            </w:rPr>
            <w:fldChar w:fldCharType="begin"/>
          </w:r>
          <w:r>
            <w:rPr>
              <w:sz w:val="28"/>
              <w:szCs w:val="28"/>
            </w:rPr>
            <w:instrText xml:space="preserve"> PAGEREF _Toc11650 \h </w:instrText>
          </w:r>
          <w:r>
            <w:rPr>
              <w:sz w:val="28"/>
              <w:szCs w:val="28"/>
            </w:rPr>
            <w:fldChar w:fldCharType="separate"/>
          </w:r>
          <w:r>
            <w:rPr>
              <w:sz w:val="28"/>
              <w:szCs w:val="28"/>
            </w:rPr>
            <w:t>45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_Toc25956 </w:instrText>
          </w:r>
          <w:r>
            <w:rPr>
              <w:rFonts w:hint="eastAsia" w:ascii="黑体" w:hAnsi="黑体" w:eastAsia="黑体" w:cs="黑体"/>
              <w:sz w:val="28"/>
              <w:szCs w:val="28"/>
            </w:rPr>
            <w:fldChar w:fldCharType="separate"/>
          </w:r>
          <w:r>
            <w:rPr>
              <w:rFonts w:hint="eastAsia" w:ascii="黑体" w:hAnsi="黑体" w:eastAsia="黑体" w:cs="黑体"/>
              <w:sz w:val="28"/>
              <w:szCs w:val="28"/>
            </w:rPr>
            <w:t>二、延续实施的税费支持政策</w:t>
          </w:r>
          <w:r>
            <w:rPr>
              <w:sz w:val="28"/>
              <w:szCs w:val="28"/>
            </w:rPr>
            <w:tab/>
          </w:r>
          <w:r>
            <w:rPr>
              <w:sz w:val="28"/>
              <w:szCs w:val="28"/>
            </w:rPr>
            <w:fldChar w:fldCharType="begin"/>
          </w:r>
          <w:r>
            <w:rPr>
              <w:sz w:val="28"/>
              <w:szCs w:val="28"/>
            </w:rPr>
            <w:instrText xml:space="preserve"> PAGEREF _Toc25956 \h </w:instrText>
          </w:r>
          <w:r>
            <w:rPr>
              <w:sz w:val="28"/>
              <w:szCs w:val="28"/>
            </w:rPr>
            <w:fldChar w:fldCharType="separate"/>
          </w:r>
          <w:r>
            <w:rPr>
              <w:sz w:val="28"/>
              <w:szCs w:val="28"/>
            </w:rPr>
            <w:t>46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_Toc8929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val="en-US" w:eastAsia="zh-CN"/>
            </w:rPr>
            <w:t>二十七</w:t>
          </w:r>
          <w:r>
            <w:rPr>
              <w:rFonts w:hint="eastAsia"/>
              <w:sz w:val="28"/>
              <w:szCs w:val="28"/>
            </w:rPr>
            <w:t>）重点群体创业税费扣减政策</w:t>
          </w:r>
          <w:r>
            <w:rPr>
              <w:sz w:val="28"/>
              <w:szCs w:val="28"/>
            </w:rPr>
            <w:tab/>
          </w:r>
          <w:r>
            <w:rPr>
              <w:sz w:val="28"/>
              <w:szCs w:val="28"/>
            </w:rPr>
            <w:fldChar w:fldCharType="begin"/>
          </w:r>
          <w:r>
            <w:rPr>
              <w:sz w:val="28"/>
              <w:szCs w:val="28"/>
            </w:rPr>
            <w:instrText xml:space="preserve"> PAGEREF _Toc8929 \h </w:instrText>
          </w:r>
          <w:r>
            <w:rPr>
              <w:sz w:val="28"/>
              <w:szCs w:val="28"/>
            </w:rPr>
            <w:fldChar w:fldCharType="separate"/>
          </w:r>
          <w:r>
            <w:rPr>
              <w:sz w:val="28"/>
              <w:szCs w:val="28"/>
            </w:rPr>
            <w:t>46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_Toc11824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w:t>
          </w:r>
          <w:r>
            <w:rPr>
              <w:rFonts w:hint="eastAsia"/>
              <w:sz w:val="28"/>
              <w:szCs w:val="28"/>
            </w:rPr>
            <w:t>十</w:t>
          </w:r>
          <w:r>
            <w:rPr>
              <w:rFonts w:hint="eastAsia"/>
              <w:sz w:val="28"/>
              <w:szCs w:val="28"/>
              <w:lang w:eastAsia="zh-CN"/>
            </w:rPr>
            <w:t>八</w:t>
          </w:r>
          <w:r>
            <w:rPr>
              <w:rFonts w:hint="eastAsia"/>
              <w:sz w:val="28"/>
              <w:szCs w:val="28"/>
            </w:rPr>
            <w:t>）吸纳重点群体就业税费扣减政策</w:t>
          </w:r>
          <w:r>
            <w:rPr>
              <w:sz w:val="28"/>
              <w:szCs w:val="28"/>
            </w:rPr>
            <w:tab/>
          </w:r>
          <w:r>
            <w:rPr>
              <w:sz w:val="28"/>
              <w:szCs w:val="28"/>
            </w:rPr>
            <w:fldChar w:fldCharType="begin"/>
          </w:r>
          <w:r>
            <w:rPr>
              <w:sz w:val="28"/>
              <w:szCs w:val="28"/>
            </w:rPr>
            <w:instrText xml:space="preserve"> PAGEREF _Toc11824 \h </w:instrText>
          </w:r>
          <w:r>
            <w:rPr>
              <w:sz w:val="28"/>
              <w:szCs w:val="28"/>
            </w:rPr>
            <w:fldChar w:fldCharType="separate"/>
          </w:r>
          <w:r>
            <w:rPr>
              <w:sz w:val="28"/>
              <w:szCs w:val="28"/>
            </w:rPr>
            <w:t>48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_Toc10078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二十九</w:t>
          </w:r>
          <w:r>
            <w:rPr>
              <w:rFonts w:hint="eastAsia"/>
              <w:sz w:val="28"/>
              <w:szCs w:val="28"/>
            </w:rPr>
            <w:t>）企业扶贫捐赠所得税税前扣除政策</w:t>
          </w:r>
          <w:r>
            <w:rPr>
              <w:sz w:val="28"/>
              <w:szCs w:val="28"/>
            </w:rPr>
            <w:tab/>
          </w:r>
          <w:r>
            <w:rPr>
              <w:sz w:val="28"/>
              <w:szCs w:val="28"/>
            </w:rPr>
            <w:fldChar w:fldCharType="begin"/>
          </w:r>
          <w:r>
            <w:rPr>
              <w:sz w:val="28"/>
              <w:szCs w:val="28"/>
            </w:rPr>
            <w:instrText xml:space="preserve"> PAGEREF _Toc10078 \h </w:instrText>
          </w:r>
          <w:r>
            <w:rPr>
              <w:sz w:val="28"/>
              <w:szCs w:val="28"/>
            </w:rPr>
            <w:fldChar w:fldCharType="separate"/>
          </w:r>
          <w:r>
            <w:rPr>
              <w:sz w:val="28"/>
              <w:szCs w:val="28"/>
            </w:rPr>
            <w:t>50</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_Toc30515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w:t>
          </w:r>
          <w:r>
            <w:rPr>
              <w:rFonts w:hint="eastAsia"/>
              <w:sz w:val="28"/>
              <w:szCs w:val="28"/>
            </w:rPr>
            <w:t>）扶贫货物捐赠免征增值税政策</w:t>
          </w:r>
          <w:r>
            <w:rPr>
              <w:sz w:val="28"/>
              <w:szCs w:val="28"/>
            </w:rPr>
            <w:tab/>
          </w:r>
          <w:r>
            <w:rPr>
              <w:sz w:val="28"/>
              <w:szCs w:val="28"/>
            </w:rPr>
            <w:fldChar w:fldCharType="begin"/>
          </w:r>
          <w:r>
            <w:rPr>
              <w:sz w:val="28"/>
              <w:szCs w:val="28"/>
            </w:rPr>
            <w:instrText xml:space="preserve"> PAGEREF _Toc30515 \h </w:instrText>
          </w:r>
          <w:r>
            <w:rPr>
              <w:sz w:val="28"/>
              <w:szCs w:val="28"/>
            </w:rPr>
            <w:fldChar w:fldCharType="separate"/>
          </w:r>
          <w:r>
            <w:rPr>
              <w:sz w:val="28"/>
              <w:szCs w:val="28"/>
            </w:rPr>
            <w:t>51</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_Toc28553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三十一</w:t>
          </w:r>
          <w:r>
            <w:rPr>
              <w:rFonts w:hint="eastAsia"/>
              <w:sz w:val="28"/>
              <w:szCs w:val="28"/>
            </w:rPr>
            <w:t>）自主就业退役士兵创业税费扣减政策</w:t>
          </w:r>
          <w:r>
            <w:rPr>
              <w:sz w:val="28"/>
              <w:szCs w:val="28"/>
            </w:rPr>
            <w:tab/>
          </w:r>
          <w:r>
            <w:rPr>
              <w:sz w:val="28"/>
              <w:szCs w:val="28"/>
            </w:rPr>
            <w:fldChar w:fldCharType="begin"/>
          </w:r>
          <w:r>
            <w:rPr>
              <w:sz w:val="28"/>
              <w:szCs w:val="28"/>
            </w:rPr>
            <w:instrText xml:space="preserve"> PAGEREF _Toc28553 \h </w:instrText>
          </w:r>
          <w:r>
            <w:rPr>
              <w:sz w:val="28"/>
              <w:szCs w:val="28"/>
            </w:rPr>
            <w:fldChar w:fldCharType="separate"/>
          </w:r>
          <w:r>
            <w:rPr>
              <w:sz w:val="28"/>
              <w:szCs w:val="28"/>
            </w:rPr>
            <w:t>53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_Toc16691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三十二</w:t>
          </w:r>
          <w:r>
            <w:rPr>
              <w:rFonts w:hint="eastAsia"/>
              <w:sz w:val="28"/>
              <w:szCs w:val="28"/>
            </w:rPr>
            <w:t>）吸纳退役士兵就业税费扣减政策</w:t>
          </w:r>
          <w:r>
            <w:rPr>
              <w:sz w:val="28"/>
              <w:szCs w:val="28"/>
            </w:rPr>
            <w:tab/>
          </w:r>
          <w:r>
            <w:rPr>
              <w:sz w:val="28"/>
              <w:szCs w:val="28"/>
            </w:rPr>
            <w:fldChar w:fldCharType="begin"/>
          </w:r>
          <w:r>
            <w:rPr>
              <w:sz w:val="28"/>
              <w:szCs w:val="28"/>
            </w:rPr>
            <w:instrText xml:space="preserve"> PAGEREF _Toc16691 \h </w:instrText>
          </w:r>
          <w:r>
            <w:rPr>
              <w:sz w:val="28"/>
              <w:szCs w:val="28"/>
            </w:rPr>
            <w:fldChar w:fldCharType="separate"/>
          </w:r>
          <w:r>
            <w:rPr>
              <w:sz w:val="28"/>
              <w:szCs w:val="28"/>
            </w:rPr>
            <w:t>54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_Toc1444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三</w:t>
          </w:r>
          <w:r>
            <w:rPr>
              <w:rFonts w:hint="eastAsia"/>
              <w:sz w:val="28"/>
              <w:szCs w:val="28"/>
            </w:rPr>
            <w:t>）科技企业孵化器等免征房产税、城镇土地使用税和增值税政策</w:t>
          </w:r>
          <w:r>
            <w:rPr>
              <w:sz w:val="28"/>
              <w:szCs w:val="28"/>
            </w:rPr>
            <w:tab/>
          </w:r>
          <w:r>
            <w:rPr>
              <w:sz w:val="28"/>
              <w:szCs w:val="28"/>
            </w:rPr>
            <w:fldChar w:fldCharType="begin"/>
          </w:r>
          <w:r>
            <w:rPr>
              <w:sz w:val="28"/>
              <w:szCs w:val="28"/>
            </w:rPr>
            <w:instrText xml:space="preserve"> PAGEREF _Toc1444 \h </w:instrText>
          </w:r>
          <w:r>
            <w:rPr>
              <w:sz w:val="28"/>
              <w:szCs w:val="28"/>
            </w:rPr>
            <w:fldChar w:fldCharType="separate"/>
          </w:r>
          <w:r>
            <w:rPr>
              <w:sz w:val="28"/>
              <w:szCs w:val="28"/>
            </w:rPr>
            <w:t>57</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_Toc4024 </w:instrText>
          </w:r>
          <w:r>
            <w:rPr>
              <w:rFonts w:hint="eastAsia" w:ascii="黑体" w:hAnsi="黑体" w:eastAsia="黑体" w:cs="黑体"/>
              <w:sz w:val="28"/>
              <w:szCs w:val="28"/>
            </w:rPr>
            <w:fldChar w:fldCharType="separate"/>
          </w:r>
          <w:r>
            <w:rPr>
              <w:rFonts w:hint="eastAsia"/>
              <w:sz w:val="28"/>
              <w:szCs w:val="28"/>
            </w:rPr>
            <w:t>（</w:t>
          </w:r>
          <w:r>
            <w:rPr>
              <w:rFonts w:hint="eastAsia"/>
              <w:bCs w:val="0"/>
              <w:sz w:val="28"/>
              <w:szCs w:val="28"/>
              <w:lang w:eastAsia="zh-CN"/>
            </w:rPr>
            <w:t>三</w:t>
          </w:r>
          <w:r>
            <w:rPr>
              <w:rFonts w:hint="eastAsia"/>
              <w:sz w:val="28"/>
              <w:szCs w:val="28"/>
            </w:rPr>
            <w:t>十</w:t>
          </w:r>
          <w:r>
            <w:rPr>
              <w:rFonts w:hint="eastAsia"/>
              <w:sz w:val="28"/>
              <w:szCs w:val="28"/>
              <w:lang w:eastAsia="zh-CN"/>
            </w:rPr>
            <w:t>四</w:t>
          </w:r>
          <w:r>
            <w:rPr>
              <w:rFonts w:hint="eastAsia"/>
              <w:sz w:val="28"/>
              <w:szCs w:val="28"/>
            </w:rPr>
            <w:t>）高校学生公寓免征房产税、印花税政策</w:t>
          </w:r>
          <w:r>
            <w:rPr>
              <w:sz w:val="28"/>
              <w:szCs w:val="28"/>
            </w:rPr>
            <w:tab/>
          </w:r>
          <w:r>
            <w:rPr>
              <w:sz w:val="28"/>
              <w:szCs w:val="28"/>
            </w:rPr>
            <w:fldChar w:fldCharType="begin"/>
          </w:r>
          <w:r>
            <w:rPr>
              <w:sz w:val="28"/>
              <w:szCs w:val="28"/>
            </w:rPr>
            <w:instrText xml:space="preserve"> PAGEREF _Toc4024 \h </w:instrText>
          </w:r>
          <w:r>
            <w:rPr>
              <w:sz w:val="28"/>
              <w:szCs w:val="28"/>
            </w:rPr>
            <w:fldChar w:fldCharType="separate"/>
          </w:r>
          <w:r>
            <w:rPr>
              <w:sz w:val="28"/>
              <w:szCs w:val="28"/>
            </w:rPr>
            <w:t>58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_Toc8242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五</w:t>
          </w:r>
          <w:r>
            <w:rPr>
              <w:rFonts w:hint="eastAsia"/>
              <w:sz w:val="28"/>
              <w:szCs w:val="28"/>
            </w:rPr>
            <w:t>）城市公交站场等运营用地免征城镇土地使用税策</w:t>
          </w:r>
          <w:r>
            <w:rPr>
              <w:sz w:val="28"/>
              <w:szCs w:val="28"/>
            </w:rPr>
            <w:tab/>
          </w:r>
          <w:r>
            <w:rPr>
              <w:sz w:val="28"/>
              <w:szCs w:val="28"/>
            </w:rPr>
            <w:fldChar w:fldCharType="begin"/>
          </w:r>
          <w:r>
            <w:rPr>
              <w:sz w:val="28"/>
              <w:szCs w:val="28"/>
            </w:rPr>
            <w:instrText xml:space="preserve"> PAGEREF _Toc8242 \h </w:instrText>
          </w:r>
          <w:r>
            <w:rPr>
              <w:sz w:val="28"/>
              <w:szCs w:val="28"/>
            </w:rPr>
            <w:fldChar w:fldCharType="separate"/>
          </w:r>
          <w:r>
            <w:rPr>
              <w:sz w:val="28"/>
              <w:szCs w:val="28"/>
            </w:rPr>
            <w:t>59</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_Toc977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六</w:t>
          </w:r>
          <w:r>
            <w:rPr>
              <w:rFonts w:hint="eastAsia"/>
              <w:sz w:val="28"/>
              <w:szCs w:val="28"/>
            </w:rPr>
            <w:t>）农产品批发市场、农贸市场免征房产税、城镇土地使用税政策</w:t>
          </w:r>
          <w:r>
            <w:rPr>
              <w:sz w:val="28"/>
              <w:szCs w:val="28"/>
            </w:rPr>
            <w:tab/>
          </w:r>
          <w:r>
            <w:rPr>
              <w:sz w:val="28"/>
              <w:szCs w:val="28"/>
            </w:rPr>
            <w:fldChar w:fldCharType="begin"/>
          </w:r>
          <w:r>
            <w:rPr>
              <w:sz w:val="28"/>
              <w:szCs w:val="28"/>
            </w:rPr>
            <w:instrText xml:space="preserve"> PAGEREF _Toc977 \h </w:instrText>
          </w:r>
          <w:r>
            <w:rPr>
              <w:sz w:val="28"/>
              <w:szCs w:val="28"/>
            </w:rPr>
            <w:fldChar w:fldCharType="separate"/>
          </w:r>
          <w:r>
            <w:rPr>
              <w:sz w:val="28"/>
              <w:szCs w:val="28"/>
            </w:rPr>
            <w:t>61</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_Toc30271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七</w:t>
          </w:r>
          <w:r>
            <w:rPr>
              <w:rFonts w:hint="eastAsia"/>
              <w:sz w:val="28"/>
              <w:szCs w:val="28"/>
            </w:rPr>
            <w:t>）从事污染防治的第三方企业减免企业所得税政策</w:t>
          </w:r>
          <w:r>
            <w:rPr>
              <w:sz w:val="28"/>
              <w:szCs w:val="28"/>
            </w:rPr>
            <w:tab/>
          </w:r>
          <w:r>
            <w:rPr>
              <w:sz w:val="28"/>
              <w:szCs w:val="28"/>
            </w:rPr>
            <w:fldChar w:fldCharType="begin"/>
          </w:r>
          <w:r>
            <w:rPr>
              <w:sz w:val="28"/>
              <w:szCs w:val="28"/>
            </w:rPr>
            <w:instrText xml:space="preserve"> PAGEREF _Toc30271 \h </w:instrText>
          </w:r>
          <w:r>
            <w:rPr>
              <w:sz w:val="28"/>
              <w:szCs w:val="28"/>
            </w:rPr>
            <w:fldChar w:fldCharType="separate"/>
          </w:r>
          <w:r>
            <w:rPr>
              <w:sz w:val="28"/>
              <w:szCs w:val="28"/>
            </w:rPr>
            <w:t>62</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_Toc29125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w:t>
          </w:r>
          <w:r>
            <w:rPr>
              <w:rFonts w:hint="eastAsia"/>
              <w:sz w:val="28"/>
              <w:szCs w:val="28"/>
            </w:rPr>
            <w:t>十</w:t>
          </w:r>
          <w:r>
            <w:rPr>
              <w:rFonts w:hint="eastAsia"/>
              <w:sz w:val="28"/>
              <w:szCs w:val="28"/>
              <w:lang w:eastAsia="zh-CN"/>
            </w:rPr>
            <w:t>八</w:t>
          </w:r>
          <w:r>
            <w:rPr>
              <w:rFonts w:hint="eastAsia"/>
              <w:sz w:val="28"/>
              <w:szCs w:val="28"/>
            </w:rPr>
            <w:t>）支持疫情防护救治等免征个人所得税政策</w:t>
          </w:r>
          <w:r>
            <w:rPr>
              <w:sz w:val="28"/>
              <w:szCs w:val="28"/>
            </w:rPr>
            <w:tab/>
          </w:r>
          <w:r>
            <w:rPr>
              <w:sz w:val="28"/>
              <w:szCs w:val="28"/>
            </w:rPr>
            <w:fldChar w:fldCharType="begin"/>
          </w:r>
          <w:r>
            <w:rPr>
              <w:sz w:val="28"/>
              <w:szCs w:val="28"/>
            </w:rPr>
            <w:instrText xml:space="preserve"> PAGEREF _Toc29125 \h </w:instrText>
          </w:r>
          <w:r>
            <w:rPr>
              <w:sz w:val="28"/>
              <w:szCs w:val="28"/>
            </w:rPr>
            <w:fldChar w:fldCharType="separate"/>
          </w:r>
          <w:r>
            <w:rPr>
              <w:sz w:val="28"/>
              <w:szCs w:val="28"/>
            </w:rPr>
            <w:t>64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_Toc18100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三十九</w:t>
          </w:r>
          <w:r>
            <w:rPr>
              <w:rFonts w:hint="eastAsia"/>
              <w:sz w:val="28"/>
              <w:szCs w:val="28"/>
            </w:rPr>
            <w:t>）商品储备免征印花税和房产税、城镇土地使用税政策</w:t>
          </w:r>
          <w:r>
            <w:rPr>
              <w:sz w:val="28"/>
              <w:szCs w:val="28"/>
            </w:rPr>
            <w:tab/>
          </w:r>
          <w:r>
            <w:rPr>
              <w:sz w:val="28"/>
              <w:szCs w:val="28"/>
            </w:rPr>
            <w:fldChar w:fldCharType="begin"/>
          </w:r>
          <w:r>
            <w:rPr>
              <w:sz w:val="28"/>
              <w:szCs w:val="28"/>
            </w:rPr>
            <w:instrText xml:space="preserve"> PAGEREF _Toc18100 \h </w:instrText>
          </w:r>
          <w:r>
            <w:rPr>
              <w:sz w:val="28"/>
              <w:szCs w:val="28"/>
            </w:rPr>
            <w:fldChar w:fldCharType="separate"/>
          </w:r>
          <w:r>
            <w:rPr>
              <w:sz w:val="28"/>
              <w:szCs w:val="28"/>
            </w:rPr>
            <w:t>65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_Toc29073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四十</w:t>
          </w:r>
          <w:r>
            <w:rPr>
              <w:rFonts w:hint="eastAsia"/>
              <w:sz w:val="28"/>
              <w:szCs w:val="28"/>
            </w:rPr>
            <w:t>）制造业中小微企业继续延缓缴纳2021年第四季度部分税费</w:t>
          </w:r>
          <w:r>
            <w:rPr>
              <w:sz w:val="28"/>
              <w:szCs w:val="28"/>
            </w:rPr>
            <w:tab/>
          </w:r>
          <w:r>
            <w:rPr>
              <w:sz w:val="28"/>
              <w:szCs w:val="28"/>
            </w:rPr>
            <w:fldChar w:fldCharType="begin"/>
          </w:r>
          <w:r>
            <w:rPr>
              <w:sz w:val="28"/>
              <w:szCs w:val="28"/>
            </w:rPr>
            <w:instrText xml:space="preserve"> PAGEREF _Toc29073 \h </w:instrText>
          </w:r>
          <w:r>
            <w:rPr>
              <w:sz w:val="28"/>
              <w:szCs w:val="28"/>
            </w:rPr>
            <w:fldChar w:fldCharType="separate"/>
          </w:r>
          <w:r>
            <w:rPr>
              <w:sz w:val="28"/>
              <w:szCs w:val="28"/>
            </w:rPr>
            <w:t>66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_Toc13167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四十一</w:t>
          </w:r>
          <w:r>
            <w:rPr>
              <w:rFonts w:hint="eastAsia"/>
              <w:sz w:val="28"/>
              <w:szCs w:val="28"/>
            </w:rPr>
            <w:t>）生产、生活性服务业增值税加计抵减政策</w:t>
          </w:r>
          <w:r>
            <w:rPr>
              <w:sz w:val="28"/>
              <w:szCs w:val="28"/>
            </w:rPr>
            <w:tab/>
          </w:r>
          <w:r>
            <w:rPr>
              <w:sz w:val="28"/>
              <w:szCs w:val="28"/>
            </w:rPr>
            <w:fldChar w:fldCharType="begin"/>
          </w:r>
          <w:r>
            <w:rPr>
              <w:sz w:val="28"/>
              <w:szCs w:val="28"/>
            </w:rPr>
            <w:instrText xml:space="preserve"> PAGEREF _Toc13167 \h </w:instrText>
          </w:r>
          <w:r>
            <w:rPr>
              <w:sz w:val="28"/>
              <w:szCs w:val="28"/>
            </w:rPr>
            <w:fldChar w:fldCharType="separate"/>
          </w:r>
          <w:r>
            <w:rPr>
              <w:sz w:val="28"/>
              <w:szCs w:val="28"/>
            </w:rPr>
            <w:t>68</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_Toc10279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四十二</w:t>
          </w:r>
          <w:r>
            <w:rPr>
              <w:rFonts w:hint="eastAsia"/>
              <w:sz w:val="28"/>
              <w:szCs w:val="28"/>
            </w:rPr>
            <w:t>）创业投资企业和天使投资个人有关税收优惠政策</w:t>
          </w:r>
          <w:r>
            <w:rPr>
              <w:sz w:val="28"/>
              <w:szCs w:val="28"/>
            </w:rPr>
            <w:tab/>
          </w:r>
          <w:r>
            <w:rPr>
              <w:sz w:val="28"/>
              <w:szCs w:val="28"/>
            </w:rPr>
            <w:fldChar w:fldCharType="begin"/>
          </w:r>
          <w:r>
            <w:rPr>
              <w:sz w:val="28"/>
              <w:szCs w:val="28"/>
            </w:rPr>
            <w:instrText xml:space="preserve"> PAGEREF _Toc10279 \h </w:instrText>
          </w:r>
          <w:r>
            <w:rPr>
              <w:sz w:val="28"/>
              <w:szCs w:val="28"/>
            </w:rPr>
            <w:fldChar w:fldCharType="separate"/>
          </w:r>
          <w:r>
            <w:rPr>
              <w:sz w:val="28"/>
              <w:szCs w:val="28"/>
            </w:rPr>
            <w:t>70</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_Toc22009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w:t>
          </w:r>
          <w:r>
            <w:rPr>
              <w:rFonts w:hint="eastAsia"/>
              <w:sz w:val="28"/>
              <w:szCs w:val="28"/>
            </w:rPr>
            <w:t>十</w:t>
          </w:r>
          <w:r>
            <w:rPr>
              <w:rFonts w:hint="eastAsia"/>
              <w:sz w:val="28"/>
              <w:szCs w:val="28"/>
              <w:lang w:eastAsia="zh-CN"/>
            </w:rPr>
            <w:t>三</w:t>
          </w:r>
          <w:r>
            <w:rPr>
              <w:rFonts w:hint="eastAsia"/>
              <w:sz w:val="28"/>
              <w:szCs w:val="28"/>
            </w:rPr>
            <w:t>）全年一次性奖金个人所得税优惠政策</w:t>
          </w:r>
          <w:r>
            <w:rPr>
              <w:sz w:val="28"/>
              <w:szCs w:val="28"/>
            </w:rPr>
            <w:tab/>
          </w:r>
          <w:r>
            <w:rPr>
              <w:sz w:val="28"/>
              <w:szCs w:val="28"/>
            </w:rPr>
            <w:fldChar w:fldCharType="begin"/>
          </w:r>
          <w:r>
            <w:rPr>
              <w:sz w:val="28"/>
              <w:szCs w:val="28"/>
            </w:rPr>
            <w:instrText xml:space="preserve"> PAGEREF _Toc22009 \h </w:instrText>
          </w:r>
          <w:r>
            <w:rPr>
              <w:sz w:val="28"/>
              <w:szCs w:val="28"/>
            </w:rPr>
            <w:fldChar w:fldCharType="separate"/>
          </w:r>
          <w:r>
            <w:rPr>
              <w:sz w:val="28"/>
              <w:szCs w:val="28"/>
            </w:rPr>
            <w:t>73</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_Toc14275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w:t>
          </w:r>
          <w:r>
            <w:rPr>
              <w:rFonts w:hint="eastAsia"/>
              <w:sz w:val="28"/>
              <w:szCs w:val="28"/>
            </w:rPr>
            <w:t>十</w:t>
          </w:r>
          <w:r>
            <w:rPr>
              <w:rFonts w:hint="eastAsia"/>
              <w:sz w:val="28"/>
              <w:szCs w:val="28"/>
              <w:lang w:eastAsia="zh-CN"/>
            </w:rPr>
            <w:t>四</w:t>
          </w:r>
          <w:r>
            <w:rPr>
              <w:rFonts w:hint="eastAsia"/>
              <w:sz w:val="28"/>
              <w:szCs w:val="28"/>
            </w:rPr>
            <w:t>）上市公司股权激励个人所得税优惠政策</w:t>
          </w:r>
          <w:r>
            <w:rPr>
              <w:sz w:val="28"/>
              <w:szCs w:val="28"/>
            </w:rPr>
            <w:tab/>
          </w:r>
          <w:r>
            <w:rPr>
              <w:sz w:val="28"/>
              <w:szCs w:val="28"/>
            </w:rPr>
            <w:fldChar w:fldCharType="begin"/>
          </w:r>
          <w:r>
            <w:rPr>
              <w:sz w:val="28"/>
              <w:szCs w:val="28"/>
            </w:rPr>
            <w:instrText xml:space="preserve"> PAGEREF _Toc14275 \h </w:instrText>
          </w:r>
          <w:r>
            <w:rPr>
              <w:sz w:val="28"/>
              <w:szCs w:val="28"/>
            </w:rPr>
            <w:fldChar w:fldCharType="separate"/>
          </w:r>
          <w:r>
            <w:rPr>
              <w:sz w:val="28"/>
              <w:szCs w:val="28"/>
            </w:rPr>
            <w:t>74</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_Toc25361 </w:instrText>
          </w:r>
          <w:r>
            <w:rPr>
              <w:rFonts w:hint="eastAsia" w:ascii="黑体" w:hAnsi="黑体" w:eastAsia="黑体" w:cs="黑体"/>
              <w:sz w:val="28"/>
              <w:szCs w:val="28"/>
            </w:rPr>
            <w:fldChar w:fldCharType="separate"/>
          </w:r>
          <w:r>
            <w:rPr>
              <w:rFonts w:hint="eastAsia"/>
              <w:sz w:val="28"/>
              <w:szCs w:val="28"/>
            </w:rPr>
            <w:t>（</w:t>
          </w:r>
          <w:r>
            <w:rPr>
              <w:rFonts w:hint="eastAsia"/>
              <w:sz w:val="28"/>
              <w:szCs w:val="28"/>
              <w:lang w:eastAsia="zh-CN"/>
            </w:rPr>
            <w:t>四</w:t>
          </w:r>
          <w:r>
            <w:rPr>
              <w:rFonts w:hint="eastAsia"/>
              <w:sz w:val="28"/>
              <w:szCs w:val="28"/>
            </w:rPr>
            <w:t>十</w:t>
          </w:r>
          <w:r>
            <w:rPr>
              <w:rFonts w:hint="eastAsia"/>
              <w:sz w:val="28"/>
              <w:szCs w:val="28"/>
              <w:lang w:eastAsia="zh-CN"/>
            </w:rPr>
            <w:t>五</w:t>
          </w:r>
          <w:r>
            <w:rPr>
              <w:rFonts w:hint="eastAsia"/>
              <w:sz w:val="28"/>
              <w:szCs w:val="28"/>
            </w:rPr>
            <w:t>）外籍个人津</w:t>
          </w:r>
          <w:r>
            <w:rPr>
              <w:rFonts w:hint="eastAsia"/>
              <w:sz w:val="28"/>
              <w:szCs w:val="28"/>
              <w:lang w:val="en-US" w:eastAsia="zh-CN"/>
            </w:rPr>
            <w:t>补贴</w:t>
          </w:r>
          <w:r>
            <w:rPr>
              <w:rFonts w:hint="eastAsia"/>
              <w:sz w:val="28"/>
              <w:szCs w:val="28"/>
            </w:rPr>
            <w:t>个人所得税优惠政策</w:t>
          </w:r>
          <w:r>
            <w:rPr>
              <w:sz w:val="28"/>
              <w:szCs w:val="28"/>
            </w:rPr>
            <w:tab/>
          </w:r>
          <w:r>
            <w:rPr>
              <w:sz w:val="28"/>
              <w:szCs w:val="28"/>
            </w:rPr>
            <w:fldChar w:fldCharType="begin"/>
          </w:r>
          <w:r>
            <w:rPr>
              <w:sz w:val="28"/>
              <w:szCs w:val="28"/>
            </w:rPr>
            <w:instrText xml:space="preserve"> PAGEREF _Toc25361 \h </w:instrText>
          </w:r>
          <w:r>
            <w:rPr>
              <w:sz w:val="28"/>
              <w:szCs w:val="28"/>
            </w:rPr>
            <w:fldChar w:fldCharType="separate"/>
          </w:r>
          <w:r>
            <w:rPr>
              <w:sz w:val="28"/>
              <w:szCs w:val="28"/>
            </w:rPr>
            <w:t>75</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_Toc30679 </w:instrText>
          </w:r>
          <w:r>
            <w:rPr>
              <w:rFonts w:hint="eastAsia" w:ascii="黑体" w:hAnsi="黑体" w:eastAsia="黑体" w:cs="黑体"/>
              <w:sz w:val="28"/>
              <w:szCs w:val="28"/>
            </w:rPr>
            <w:fldChar w:fldCharType="separate"/>
          </w:r>
          <w:r>
            <w:rPr>
              <w:rFonts w:hint="eastAsia"/>
              <w:sz w:val="28"/>
              <w:szCs w:val="28"/>
              <w:lang w:eastAsia="zh-CN"/>
            </w:rPr>
            <w:t>（四十六）阶段性降低失业保险、工伤保险费率政策</w:t>
          </w:r>
          <w:r>
            <w:rPr>
              <w:sz w:val="28"/>
              <w:szCs w:val="28"/>
            </w:rPr>
            <w:tab/>
          </w:r>
          <w:r>
            <w:rPr>
              <w:sz w:val="28"/>
              <w:szCs w:val="28"/>
            </w:rPr>
            <w:fldChar w:fldCharType="begin"/>
          </w:r>
          <w:r>
            <w:rPr>
              <w:sz w:val="28"/>
              <w:szCs w:val="28"/>
            </w:rPr>
            <w:instrText xml:space="preserve"> PAGEREF _Toc30679 \h </w:instrText>
          </w:r>
          <w:r>
            <w:rPr>
              <w:sz w:val="28"/>
              <w:szCs w:val="28"/>
            </w:rPr>
            <w:fldChar w:fldCharType="separate"/>
          </w:r>
          <w:r>
            <w:rPr>
              <w:sz w:val="28"/>
              <w:szCs w:val="28"/>
            </w:rPr>
            <w:t>76</w:t>
          </w:r>
          <w:r>
            <w:rPr>
              <w:sz w:val="28"/>
              <w:szCs w:val="28"/>
            </w:rPr>
            <w:fldChar w:fldCharType="end"/>
          </w:r>
          <w:r>
            <w:rPr>
              <w:rFonts w:hint="eastAsia" w:ascii="黑体" w:hAnsi="黑体" w:eastAsia="黑体" w:cs="黑体"/>
              <w:sz w:val="28"/>
              <w:szCs w:val="28"/>
            </w:rPr>
            <w:fldChar w:fldCharType="end"/>
          </w:r>
        </w:p>
        <w:p>
          <w:pPr>
            <w:pStyle w:val="12"/>
            <w:tabs>
              <w:tab w:val="right" w:leader="dot" w:pos="8845"/>
            </w:tabs>
            <w:rPr>
              <w:sz w:val="28"/>
              <w:szCs w:val="28"/>
            </w:rPr>
          </w:pP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HYPERLINK \l _Toc7010 </w:instrText>
          </w:r>
          <w:r>
            <w:rPr>
              <w:rFonts w:hint="eastAsia" w:ascii="黑体" w:hAnsi="黑体" w:eastAsia="黑体" w:cs="黑体"/>
              <w:sz w:val="28"/>
              <w:szCs w:val="28"/>
            </w:rPr>
            <w:fldChar w:fldCharType="separate"/>
          </w:r>
          <w:r>
            <w:rPr>
              <w:rFonts w:hint="eastAsia"/>
              <w:sz w:val="28"/>
              <w:szCs w:val="28"/>
              <w:lang w:eastAsia="zh-CN"/>
            </w:rPr>
            <w:t>（四十七）小型水库移民扶助基金减征政策</w:t>
          </w:r>
          <w:r>
            <w:rPr>
              <w:sz w:val="28"/>
              <w:szCs w:val="28"/>
            </w:rPr>
            <w:tab/>
          </w:r>
          <w:r>
            <w:rPr>
              <w:sz w:val="28"/>
              <w:szCs w:val="28"/>
            </w:rPr>
            <w:fldChar w:fldCharType="begin"/>
          </w:r>
          <w:r>
            <w:rPr>
              <w:sz w:val="28"/>
              <w:szCs w:val="28"/>
            </w:rPr>
            <w:instrText xml:space="preserve"> PAGEREF _Toc7010 \h </w:instrText>
          </w:r>
          <w:r>
            <w:rPr>
              <w:sz w:val="28"/>
              <w:szCs w:val="28"/>
            </w:rPr>
            <w:fldChar w:fldCharType="separate"/>
          </w:r>
          <w:r>
            <w:rPr>
              <w:sz w:val="28"/>
              <w:szCs w:val="28"/>
            </w:rPr>
            <w:t>78</w:t>
          </w:r>
          <w:r>
            <w:rPr>
              <w:sz w:val="28"/>
              <w:szCs w:val="28"/>
            </w:rPr>
            <w:fldChar w:fldCharType="end"/>
          </w:r>
          <w:r>
            <w:rPr>
              <w:rFonts w:hint="eastAsia" w:ascii="黑体" w:hAnsi="黑体" w:eastAsia="黑体" w:cs="黑体"/>
              <w:sz w:val="28"/>
              <w:szCs w:val="28"/>
            </w:rPr>
            <w:fldChar w:fldCharType="end"/>
          </w:r>
        </w:p>
        <w:p>
          <w:pPr>
            <w:pStyle w:val="3"/>
            <w:pageBreakBefore w:val="0"/>
            <w:widowControl w:val="0"/>
            <w:tabs>
              <w:tab w:val="left" w:pos="258"/>
              <w:tab w:val="center" w:pos="4482"/>
            </w:tabs>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left"/>
            <w:textAlignment w:val="auto"/>
            <w:outlineLvl w:val="9"/>
            <w:rPr>
              <w:rFonts w:hint="eastAsia" w:ascii="黑体" w:hAnsi="黑体" w:eastAsia="黑体" w:cs="黑体"/>
              <w:sz w:val="28"/>
              <w:szCs w:val="28"/>
            </w:rPr>
          </w:pPr>
          <w:r>
            <w:rPr>
              <w:rFonts w:hint="eastAsia" w:ascii="黑体" w:hAnsi="黑体" w:eastAsia="黑体" w:cs="黑体"/>
              <w:sz w:val="28"/>
              <w:szCs w:val="28"/>
            </w:rPr>
            <w:fldChar w:fldCharType="end"/>
          </w:r>
        </w:p>
      </w:sdtContent>
    </w:sdt>
    <w:p>
      <w:pPr>
        <w:rPr>
          <w:rFonts w:hint="eastAsia" w:ascii="黑体" w:hAnsi="黑体" w:eastAsia="黑体" w:cs="黑体"/>
          <w:sz w:val="28"/>
          <w:szCs w:val="28"/>
        </w:rPr>
      </w:pPr>
      <w:bookmarkStart w:id="130" w:name="_Toc28524"/>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rPr>
          <w:rFonts w:hint="eastAsia" w:ascii="黑体" w:hAnsi="黑体" w:eastAsia="黑体" w:cs="黑体"/>
          <w:sz w:val="28"/>
          <w:szCs w:val="28"/>
        </w:rPr>
      </w:pPr>
    </w:p>
    <w:p>
      <w:pPr>
        <w:pStyle w:val="3"/>
        <w:pageBreakBefore w:val="0"/>
        <w:widowControl w:val="0"/>
        <w:kinsoku/>
        <w:wordWrap/>
        <w:overflowPunct/>
        <w:topLinePunct w:val="0"/>
        <w:autoSpaceDE/>
        <w:autoSpaceDN/>
        <w:bidi w:val="0"/>
        <w:adjustRightInd/>
        <w:snapToGrid/>
        <w:spacing w:before="0" w:beforeLines="0" w:after="0" w:afterLines="0" w:line="500" w:lineRule="exact"/>
        <w:ind w:firstLine="883" w:firstLineChars="200"/>
        <w:textAlignment w:val="auto"/>
        <w:rPr>
          <w:rFonts w:hint="eastAsia" w:ascii="黑体" w:hAnsi="黑体" w:eastAsia="黑体" w:cs="黑体"/>
        </w:rPr>
      </w:pPr>
      <w:bookmarkStart w:id="131" w:name="_Toc28206"/>
      <w:bookmarkStart w:id="132" w:name="_Toc1570"/>
      <w:bookmarkStart w:id="133" w:name="_Toc10183"/>
      <w:r>
        <w:rPr>
          <w:rFonts w:hint="eastAsia" w:ascii="黑体" w:hAnsi="黑体" w:eastAsia="黑体" w:cs="黑体"/>
        </w:rPr>
        <w:t>一、新出台的税费支持政策</w:t>
      </w:r>
      <w:bookmarkEnd w:id="130"/>
      <w:bookmarkEnd w:id="131"/>
      <w:bookmarkEnd w:id="132"/>
      <w:bookmarkEnd w:id="133"/>
      <w:bookmarkStart w:id="134" w:name="_Toc31912"/>
    </w:p>
    <w:bookmarkEnd w:id="134"/>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35" w:name="_Toc10743"/>
      <w:bookmarkStart w:id="136" w:name="_Toc8317"/>
      <w:bookmarkStart w:id="137" w:name="_Toc25582"/>
      <w:bookmarkStart w:id="138" w:name="_Toc5770"/>
      <w:r>
        <w:rPr>
          <w:rFonts w:hint="eastAsia"/>
        </w:rPr>
        <w:t>（一）2022年增值税期末留抵退税政策</w:t>
      </w:r>
      <w:bookmarkEnd w:id="135"/>
      <w:bookmarkEnd w:id="136"/>
      <w:bookmarkEnd w:id="137"/>
      <w:bookmarkEnd w:id="138"/>
    </w:p>
    <w:p>
      <w:pPr>
        <w:pageBreakBefore w:val="0"/>
        <w:kinsoku/>
        <w:wordWrap/>
        <w:overflowPunct/>
        <w:topLinePunct w:val="0"/>
        <w:bidi w:val="0"/>
        <w:spacing w:line="500" w:lineRule="exact"/>
        <w:ind w:firstLine="643"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小微企业（含个体工商户）以及“制造业”“科学研究和技术服务业”“电力、热力、燃气及水生产和供应业”“软件和信息技术服务业”“生态保护和环境治理业”和“交通运输、仓储和邮政业”（以下称“制造业等行业”）企业（含个体工商户）及“批发和零售业”“农、林、牧、渔业”“住宿和餐饮业”“居民服务、修理和其他服务业”“教育”“卫生和社会工作”和“文化、体育和娱乐业”（以下称“批发零售业等行业”）企业（含个体工商户）。</w:t>
      </w:r>
    </w:p>
    <w:p>
      <w:pPr>
        <w:pageBreakBefore w:val="0"/>
        <w:kinsoku/>
        <w:wordWrap/>
        <w:overflowPunct/>
        <w:topLinePunct w:val="0"/>
        <w:bidi w:val="0"/>
        <w:spacing w:line="500" w:lineRule="exact"/>
        <w:ind w:firstLine="643" w:firstLineChars="200"/>
        <w:jc w:val="both"/>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【优惠内容】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1.符合条件的小微企业，可以自2022年4月纳税申报期起向主管税务机关申请退还增量留抵税额。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2.符合条件的微型企业，可以自2022年4月纳税申报期起向主管税务机关申请一次性退还存量留抵税额；符合条件的小型企业，可以自2022年5月纳税申报期起向主管税务机关申请一次性退还存量留抵税额。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3.符合条件的制造业等行业企业，可以自2022年4月纳税申报期起向主管税务机关申请退还增量留抵税额。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符合条件的制造业等行业中型企业，可以自2022年5月纳税申报期起向主管税务机关申请一次性退还存量留抵税额；符合条件的制造业等行业大型企业，可以自2022年6月纳税申报期起向主管税务机关申请一次性退还存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5.符合条件的批发零售业等行业企业，可以自2022年7月纳税申报期起向主管税务机关申请退还增量留抵税额。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6.符合条件的批发零售业等行业企业，可以自2022年7月纳税申报期起向主管税务机关申请一次性退还存量留抵税额。</w:t>
      </w:r>
    </w:p>
    <w:p>
      <w:pPr>
        <w:pageBreakBefore w:val="0"/>
        <w:kinsoku/>
        <w:wordWrap/>
        <w:overflowPunct/>
        <w:topLinePunct w:val="0"/>
        <w:bidi w:val="0"/>
        <w:spacing w:line="500" w:lineRule="exact"/>
        <w:ind w:firstLine="643" w:firstLineChars="200"/>
        <w:jc w:val="both"/>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【享受条件】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1.在2022年12月31日前，纳税人享受退税需同时符合以下条件：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（1）纳税信用等级为A级或者B级；</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（2）申请退税前36个月未发生骗取留抵退税、骗取出口退税或虚开增值税专用发票情形；</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（3）申请退税前36个月未因偷税被税务机关处罚两次及以上；</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（4）2019年4月1日起未享受即征即退、先征后返（退）政策。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2.增量留抵税额，区分以下情形确定：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（1）纳税人获得一次性存量留抵退税前，增量留抵税额为当期期末留抵税额与2019年3月31日相比新增加的留抵税额。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（2）纳税人获得一次性存量留抵退税后，增量留抵税额为当期期末留抵税额。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3.存量留抵税额，区分以下情形确定：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人获得一次性存量留抵退税前，当期期末留抵税额大于或等于2019年3月31日期末留抵税额的，存量留抵税额为2019年3月31日期末留抵税额；当期期末留抵税额小于2019年3月31日期末留抵税额的，存量留抵税额为当期期末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（2）纳税人获得一次性存量留抵退税后，存量留抵税额为零。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4.纳税人按照以下公式计算允许退还的留抵税额：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允许退还的增量留抵税额=增量留抵税额×进项构成比例×100%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允许退还的存量留抵税额=存量留抵税额×进项构成比例×100%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进项构成比例，为2019年4月至申请退税前一税款所属期已抵扣的增值税专用发票（含带有“增值税专用发票”字样全面数字化的电子发票、税控机动车销售统一发票）、收费公路通行费增值税电子普通发票、海关进口增值税专用缴款书、解缴税款完税凭证注明的增值税额占同期全部已抵扣进项税额的比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纳税人出口货物劳务、发生跨境应税行为，适用免抵退税办法的，应先办理免抵退税。免抵退税办理完毕后，仍符合规定条件的，可以申请退还留抵税额；适用免退税办法的，相关进项税额不得用于退还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6.纳税人自2019年4月1日起已取得留抵退税款的，不得再申请享受增值税即征即退、先征后返（退）政策。纳税人可以在2022年10月31日前一次性将已取得的留抵退税款全部缴回后，按规定申请享受增值税即征即退、先征后返（退）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纳税人自2019年4月1日起已享受增值税即征即退、先征后返（退）政策的，可以在2022年10月31日前一次性将已退还的增值税即征即退、先征后返（退）税款全部缴回后，按规定申请退还留抵税额。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7.纳税人可以选择向主管税务机关申请留抵退税，也可以选择结转下期继续抵扣。纳税人应在纳税申报期内，完成当期增值税纳税申报后申请留抵退税。2022年4月至6月的留抵退税申请时间，延长至每月最后一个工作日。</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39" w:name="_Toc2539"/>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bookmarkEnd w:id="13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企业向主管税务机关提出申请，主管税务机关按照政策规定核准退税额。</w:t>
      </w:r>
    </w:p>
    <w:p>
      <w:pPr>
        <w:pageBreakBefore w:val="0"/>
        <w:kinsoku/>
        <w:wordWrap/>
        <w:overflowPunct/>
        <w:topLinePunct w:val="0"/>
        <w:bidi w:val="0"/>
        <w:spacing w:line="500" w:lineRule="exact"/>
        <w:ind w:firstLine="640" w:firstLineChars="200"/>
        <w:jc w:val="both"/>
        <w:textAlignment w:val="auto"/>
      </w:pP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bCs/>
          <w:sz w:val="32"/>
          <w:szCs w:val="32"/>
        </w:rPr>
        <w:t>政策依据</w:t>
      </w:r>
      <w:r>
        <w:rPr>
          <w:rFonts w:hint="eastAsia" w:asciiTheme="minorEastAsia" w:hAnsiTheme="minorEastAsia" w:eastAsiaTheme="minorEastAsia" w:cstheme="minorEastAsia"/>
          <w:sz w:val="32"/>
          <w:szCs w:val="32"/>
        </w:rPr>
        <w:t>】</w:t>
      </w:r>
      <w:sdt>
        <w:sdtPr>
          <w:rPr>
            <w:rFonts w:ascii="宋体" w:hAnsi="宋体" w:eastAsia="宋体" w:cstheme="minorBidi"/>
            <w:kern w:val="2"/>
            <w:sz w:val="21"/>
            <w:szCs w:val="24"/>
            <w:lang w:val="en-US" w:eastAsia="zh-CN" w:bidi="ar-SA"/>
          </w:rPr>
          <w:id w:val="147478685"/>
          <w:showingPlcHdr/>
          <w15:color w:val="DBDBDB"/>
          <w:docPartObj>
            <w:docPartGallery w:val="Table of Contents"/>
            <w:docPartUnique/>
          </w:docPartObj>
        </w:sdtPr>
        <w:sdtEndPr>
          <w:rPr>
            <w:rFonts w:ascii="宋体" w:hAnsi="宋体" w:eastAsia="宋体" w:cstheme="minorBidi"/>
            <w:kern w:val="2"/>
            <w:sz w:val="21"/>
            <w:szCs w:val="24"/>
            <w:lang w:val="en-US" w:eastAsia="zh-CN" w:bidi="ar-SA"/>
          </w:rPr>
        </w:sdtEndPr>
        <w:sdtContent/>
      </w:sdt>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财政部 税务总局关于进一步加大增值税期末留抵退税政策实施力度的公告》（2022年第14号）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税务总局关于进一步加快增值税期末留抵退税政策实施进度的公告》（2022年第17号）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3.《财政部 税务总局关于进一步持续加快增值税期末留抵退税政策实施进度的公告》（2022年第19号）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4.《财政部 税务总局关于扩大全额退还增值税留抵税额政策行业范围的公告 》（2022年第21号）</w:t>
      </w:r>
    </w:p>
    <w:p>
      <w:pPr>
        <w:pStyle w:val="4"/>
        <w:pageBreakBefore w:val="0"/>
        <w:kinsoku/>
        <w:wordWrap/>
        <w:overflowPunct/>
        <w:topLinePunct w:val="0"/>
        <w:bidi w:val="0"/>
        <w:spacing w:line="500" w:lineRule="exact"/>
        <w:ind w:firstLine="643" w:firstLineChars="200"/>
        <w:textAlignment w:val="auto"/>
        <w:outlineLvl w:val="9"/>
        <w:rPr>
          <w:rFonts w:hint="eastAsia"/>
        </w:rPr>
      </w:pPr>
      <w:bookmarkStart w:id="140" w:name="_Toc8162"/>
      <w:bookmarkStart w:id="141" w:name="_Toc5956"/>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42" w:name="_Toc2714"/>
      <w:bookmarkStart w:id="143" w:name="_Toc16657"/>
      <w:bookmarkStart w:id="144" w:name="_Toc10606"/>
      <w:r>
        <w:rPr>
          <w:rFonts w:hint="eastAsia"/>
        </w:rPr>
        <w:t>（</w:t>
      </w:r>
      <w:r>
        <w:rPr>
          <w:rFonts w:hint="eastAsia"/>
          <w:lang w:eastAsia="zh-CN"/>
        </w:rPr>
        <w:t>二</w:t>
      </w:r>
      <w:r>
        <w:rPr>
          <w:rFonts w:hint="eastAsia"/>
        </w:rPr>
        <w:t>）中小微企业设备器具所得税税前扣除政策</w:t>
      </w:r>
      <w:bookmarkEnd w:id="140"/>
      <w:bookmarkEnd w:id="141"/>
      <w:bookmarkEnd w:id="142"/>
      <w:bookmarkEnd w:id="143"/>
      <w:bookmarkEnd w:id="144"/>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45" w:name="_Toc19039"/>
      <w:bookmarkStart w:id="146" w:name="_Toc9163"/>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享受主体</w:t>
      </w:r>
      <w:r>
        <w:rPr>
          <w:rFonts w:hint="eastAsia" w:asciiTheme="minorEastAsia" w:hAnsiTheme="minorEastAsia" w:eastAsiaTheme="minorEastAsia" w:cstheme="minorEastAsia"/>
          <w:b/>
          <w:bCs/>
          <w:sz w:val="32"/>
          <w:szCs w:val="32"/>
        </w:rPr>
        <w:t>】</w:t>
      </w:r>
      <w:bookmarkEnd w:id="145"/>
      <w:bookmarkEnd w:id="14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中小微企业</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47" w:name="_Toc2730"/>
      <w:bookmarkStart w:id="148" w:name="_Toc31628"/>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优惠内容</w:t>
      </w:r>
      <w:r>
        <w:rPr>
          <w:rFonts w:hint="eastAsia" w:asciiTheme="minorEastAsia" w:hAnsiTheme="minorEastAsia" w:eastAsiaTheme="minorEastAsia" w:cstheme="minorEastAsia"/>
          <w:b/>
          <w:bCs/>
          <w:sz w:val="32"/>
          <w:szCs w:val="32"/>
        </w:rPr>
        <w:t>】</w:t>
      </w:r>
      <w:bookmarkEnd w:id="147"/>
      <w:bookmarkEnd w:id="14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企业选择适用上述政策当年不足扣除形成的亏损，可在以后5个纳税年度结转弥补，享受其他延长亏损结转年限政策的企业可按现行规定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49" w:name="_Toc14883"/>
      <w:bookmarkStart w:id="150" w:name="_Toc27438"/>
      <w:r>
        <w:rPr>
          <w:rFonts w:hint="eastAsia" w:asciiTheme="minorEastAsia" w:hAnsiTheme="minorEastAsia" w:eastAsiaTheme="minorEastAsia" w:cstheme="minorEastAsia"/>
          <w:b/>
          <w:bCs/>
          <w:sz w:val="32"/>
          <w:szCs w:val="32"/>
          <w:lang w:eastAsia="zh-CN"/>
        </w:rPr>
        <w:t>【享受条件】</w:t>
      </w:r>
      <w:bookmarkEnd w:id="149"/>
      <w:bookmarkEnd w:id="15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1.中小微企业是指从事国家非限制和禁止行业，且符合以下条件的企业：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（1）信息传输业、建筑业、租赁和商务服务业：从业人员2000人以下，或营业收入10亿元以下或资产总额12亿元以下；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（2）房地产开发经营：营业收入20亿元以下或资产总额1亿元以下；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（3）其他行业：从业人员1000人以下或营业收入4亿元以下。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2.设备、器具，是指除房屋、建筑物以外的固定资产；从业人数，包括与企业建立劳动关系的职工人数和企业接受的劳务派遣用工人数。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从业人数和资产总额指标，应按企业全年的季度平均值确定。具体计算公式如下：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rPr>
        <w:t>季度平均值=（季初值+季末值）÷</w:t>
      </w:r>
      <w:r>
        <w:rPr>
          <w:rFonts w:hint="eastAsia" w:asciiTheme="minorEastAsia" w:hAnsiTheme="minorEastAsia" w:eastAsiaTheme="minorEastAsia" w:cstheme="minorEastAsia"/>
          <w:sz w:val="32"/>
          <w:szCs w:val="32"/>
          <w:lang w:val="en-US" w:eastAsia="zh-CN"/>
        </w:rPr>
        <w:t>2</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全年季度平均值=全年各季度平均值之和÷4</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年度中间开业或者终止经营活动的，以其实际经营期作为一个纳税年度确定上述相关指标。</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3.中小微企业可按季（月）在预缴申报时享受上述政策。《财政部 税务总局关于中小微企业设备器具所得税税前扣除有关政策的公告》（2022年第12号）发布前企业在2022年已购置的设备、器具，可在政策发布后的预缴申报、年度汇算清缴时享受。</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4.中小微企业可根据自身生产经营核算需要自行选择享受上述政策，当年度未选择享受的，以后年度不得再变更享受。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51" w:name="_Toc8993"/>
      <w:bookmarkStart w:id="152" w:name="_Toc4999"/>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bookmarkEnd w:id="151"/>
      <w:bookmarkEnd w:id="15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53" w:name="_Toc26776"/>
      <w:bookmarkStart w:id="154" w:name="_Toc24818"/>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政策依据</w:t>
      </w:r>
      <w:r>
        <w:rPr>
          <w:rFonts w:hint="eastAsia" w:asciiTheme="minorEastAsia" w:hAnsiTheme="minorEastAsia" w:eastAsiaTheme="minorEastAsia" w:cstheme="minorEastAsia"/>
          <w:b/>
          <w:bCs/>
          <w:sz w:val="32"/>
          <w:szCs w:val="32"/>
        </w:rPr>
        <w:t>】</w:t>
      </w:r>
      <w:bookmarkEnd w:id="153"/>
      <w:bookmarkEnd w:id="15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税务总局关于中小微企业设备器具所得税税前扣除有关政策的公告》（2022年第12号）</w:t>
      </w:r>
    </w:p>
    <w:p>
      <w:pPr>
        <w:pStyle w:val="4"/>
        <w:pageBreakBefore w:val="0"/>
        <w:kinsoku/>
        <w:wordWrap/>
        <w:overflowPunct/>
        <w:topLinePunct w:val="0"/>
        <w:bidi w:val="0"/>
        <w:spacing w:line="500" w:lineRule="exact"/>
        <w:ind w:firstLine="643" w:firstLineChars="200"/>
        <w:textAlignment w:val="auto"/>
        <w:outlineLvl w:val="9"/>
        <w:rPr>
          <w:rFonts w:hint="eastAsia"/>
        </w:rPr>
      </w:pPr>
      <w:bookmarkStart w:id="155" w:name="_Toc8910"/>
      <w:bookmarkStart w:id="156" w:name="_Toc4298"/>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57" w:name="_Toc13351"/>
      <w:bookmarkStart w:id="158" w:name="_Toc24761"/>
      <w:bookmarkStart w:id="159" w:name="_Toc24293"/>
      <w:r>
        <w:rPr>
          <w:rFonts w:hint="eastAsia"/>
        </w:rPr>
        <w:t>（</w:t>
      </w:r>
      <w:r>
        <w:rPr>
          <w:rFonts w:hint="eastAsia"/>
          <w:lang w:eastAsia="zh-CN"/>
        </w:rPr>
        <w:t>三</w:t>
      </w:r>
      <w:r>
        <w:rPr>
          <w:rFonts w:hint="eastAsia"/>
        </w:rPr>
        <w:t>）航空和铁路运输企业分支机构暂停预缴增值税政策</w:t>
      </w:r>
      <w:bookmarkEnd w:id="155"/>
      <w:bookmarkEnd w:id="156"/>
      <w:bookmarkEnd w:id="157"/>
      <w:bookmarkEnd w:id="158"/>
      <w:bookmarkEnd w:id="159"/>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60" w:name="_Toc14079"/>
      <w:bookmarkStart w:id="161" w:name="_Toc28815"/>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享受主体</w:t>
      </w:r>
      <w:r>
        <w:rPr>
          <w:rFonts w:hint="eastAsia" w:asciiTheme="minorEastAsia" w:hAnsiTheme="minorEastAsia" w:eastAsiaTheme="minorEastAsia" w:cstheme="minorEastAsia"/>
          <w:b/>
          <w:bCs/>
          <w:sz w:val="32"/>
          <w:szCs w:val="32"/>
        </w:rPr>
        <w:t>】</w:t>
      </w:r>
      <w:bookmarkEnd w:id="160"/>
      <w:bookmarkEnd w:id="16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航空和铁路运输企业分支机构</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62" w:name="_Toc19025"/>
      <w:bookmarkStart w:id="163" w:name="_Toc32142"/>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优惠内容</w:t>
      </w:r>
      <w:r>
        <w:rPr>
          <w:rFonts w:hint="eastAsia" w:asciiTheme="minorEastAsia" w:hAnsiTheme="minorEastAsia" w:eastAsiaTheme="minorEastAsia" w:cstheme="minorEastAsia"/>
          <w:b/>
          <w:bCs/>
          <w:sz w:val="32"/>
          <w:szCs w:val="32"/>
        </w:rPr>
        <w:t>】</w:t>
      </w:r>
      <w:bookmarkEnd w:id="162"/>
      <w:bookmarkEnd w:id="16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自2022年1月1日至2022年12月31日，航空和铁路运输</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企业分支机构暂停预缴增值税。2022年2月纳税申报期至《财政部 税务总局关于促进服务业领域困难行业纾困发展有关增值税政策的公告》（2022年第11号）发布之日（2022年3月3日）已预缴的增值税予以退还。</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rPr>
      </w:pPr>
      <w:bookmarkStart w:id="164" w:name="_Toc18715"/>
      <w:bookmarkStart w:id="165" w:name="_Toc29046"/>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享受条件</w:t>
      </w:r>
      <w:r>
        <w:rPr>
          <w:rFonts w:hint="eastAsia" w:asciiTheme="minorEastAsia" w:hAnsiTheme="minorEastAsia" w:eastAsiaTheme="minorEastAsia" w:cstheme="minorEastAsia"/>
          <w:b/>
          <w:bCs/>
          <w:sz w:val="32"/>
          <w:szCs w:val="32"/>
        </w:rPr>
        <w:t>】</w:t>
      </w:r>
      <w:bookmarkEnd w:id="164"/>
      <w:bookmarkEnd w:id="16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航空和铁路运输企业的分支机构。</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66" w:name="_Toc3072"/>
      <w:bookmarkStart w:id="167" w:name="_Toc28906"/>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bookmarkEnd w:id="166"/>
      <w:bookmarkEnd w:id="16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申报即享受</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68" w:name="_Toc24999"/>
      <w:bookmarkStart w:id="169" w:name="_Toc17615"/>
      <w:r>
        <w:rPr>
          <w:rFonts w:hint="eastAsia" w:asciiTheme="minorEastAsia" w:hAnsiTheme="minorEastAsia" w:eastAsiaTheme="minorEastAsia" w:cstheme="minorEastAsia"/>
          <w:b/>
          <w:bCs/>
          <w:sz w:val="32"/>
          <w:szCs w:val="32"/>
          <w:lang w:eastAsia="zh-CN"/>
        </w:rPr>
        <w:t>【政策依据】</w:t>
      </w:r>
      <w:bookmarkEnd w:id="168"/>
      <w:bookmarkEnd w:id="16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税务总局关于促进服务业领域困难行业纾困发展</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有关增值税政策的公告》（2022年第11号）</w:t>
      </w:r>
    </w:p>
    <w:p>
      <w:pPr>
        <w:pStyle w:val="4"/>
        <w:pageBreakBefore w:val="0"/>
        <w:kinsoku/>
        <w:wordWrap/>
        <w:overflowPunct/>
        <w:topLinePunct w:val="0"/>
        <w:bidi w:val="0"/>
        <w:spacing w:line="500" w:lineRule="exact"/>
        <w:ind w:firstLine="643" w:firstLineChars="200"/>
        <w:textAlignment w:val="auto"/>
        <w:outlineLvl w:val="9"/>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70" w:name="_Toc6375"/>
      <w:bookmarkStart w:id="171" w:name="_Toc1407"/>
      <w:bookmarkStart w:id="172" w:name="_Toc32653"/>
      <w:bookmarkStart w:id="173" w:name="_Toc8569"/>
      <w:bookmarkStart w:id="174" w:name="_Toc4361"/>
      <w:r>
        <w:rPr>
          <w:rFonts w:hint="eastAsia"/>
        </w:rPr>
        <w:t>（</w:t>
      </w:r>
      <w:r>
        <w:rPr>
          <w:rFonts w:hint="eastAsia"/>
          <w:lang w:eastAsia="zh-CN"/>
        </w:rPr>
        <w:t>四</w:t>
      </w:r>
      <w:r>
        <w:rPr>
          <w:rFonts w:hint="eastAsia"/>
        </w:rPr>
        <w:t>）公共交通运输服务收入免征增值税政策</w:t>
      </w:r>
      <w:bookmarkEnd w:id="170"/>
      <w:bookmarkEnd w:id="171"/>
      <w:bookmarkEnd w:id="172"/>
      <w:bookmarkEnd w:id="173"/>
      <w:bookmarkEnd w:id="174"/>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75" w:name="_Toc20716"/>
      <w:bookmarkStart w:id="176" w:name="_Toc25735"/>
      <w:r>
        <w:rPr>
          <w:rFonts w:hint="eastAsia" w:asciiTheme="minorEastAsia" w:hAnsiTheme="minorEastAsia" w:eastAsiaTheme="minorEastAsia" w:cstheme="minorEastAsia"/>
          <w:b/>
          <w:bCs/>
          <w:sz w:val="32"/>
          <w:szCs w:val="32"/>
          <w:lang w:eastAsia="zh-CN"/>
        </w:rPr>
        <w:t>【享受主体】</w:t>
      </w:r>
      <w:bookmarkEnd w:id="175"/>
      <w:bookmarkEnd w:id="17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提供公共交通运输服务的纳税人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77" w:name="_Toc24828"/>
      <w:bookmarkStart w:id="178" w:name="_Toc26605"/>
      <w:r>
        <w:rPr>
          <w:rFonts w:hint="eastAsia" w:asciiTheme="minorEastAsia" w:hAnsiTheme="minorEastAsia" w:eastAsiaTheme="minorEastAsia" w:cstheme="minorEastAsia"/>
          <w:b/>
          <w:bCs/>
          <w:sz w:val="32"/>
          <w:szCs w:val="32"/>
          <w:lang w:eastAsia="zh-CN"/>
        </w:rPr>
        <w:t>【优惠内容】</w:t>
      </w:r>
      <w:bookmarkEnd w:id="177"/>
      <w:bookmarkEnd w:id="17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自2022年1月1日至2022年12月31日，对纳税人提供公共交通运输服务取得的收入，免征增值税。《财政部 税务总局关于促进服务业领域困难行业纾困发展有关增值税政策的公告》（2022年第11号）发布之前已征收入库的按规定应予免征的增值税税款，可抵减纳税人以后月份应缴纳的增值税税款或者办理税款退库。</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79" w:name="_Toc21536"/>
      <w:bookmarkStart w:id="180" w:name="_Toc12523"/>
      <w:r>
        <w:rPr>
          <w:rFonts w:hint="eastAsia" w:asciiTheme="minorEastAsia" w:hAnsiTheme="minorEastAsia" w:eastAsiaTheme="minorEastAsia" w:cstheme="minorEastAsia"/>
          <w:b/>
          <w:bCs/>
          <w:sz w:val="32"/>
          <w:szCs w:val="32"/>
          <w:lang w:eastAsia="zh-CN"/>
        </w:rPr>
        <w:t>【享受条件】</w:t>
      </w:r>
      <w:bookmarkEnd w:id="179"/>
      <w:bookmarkEnd w:id="180"/>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181" w:name="_Toc28076"/>
      <w:bookmarkStart w:id="182" w:name="_Toc24012"/>
      <w:r>
        <w:rPr>
          <w:rFonts w:hint="eastAsia" w:asciiTheme="minorEastAsia" w:hAnsiTheme="minorEastAsia" w:eastAsiaTheme="minorEastAsia" w:cstheme="minorEastAsia"/>
          <w:sz w:val="32"/>
          <w:szCs w:val="32"/>
        </w:rPr>
        <w:t>1.公共交通运输服务的具体范围，按照《营业税改征增值税</w:t>
      </w:r>
      <w:bookmarkEnd w:id="181"/>
      <w:bookmarkEnd w:id="182"/>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试点有关事项的规定》（财税〔2016〕36号印发）执行。</w:t>
      </w:r>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183" w:name="_Toc29008"/>
      <w:bookmarkStart w:id="184" w:name="_Toc31560"/>
      <w:r>
        <w:rPr>
          <w:rFonts w:hint="eastAsia" w:asciiTheme="minorEastAsia" w:hAnsiTheme="minorEastAsia" w:eastAsiaTheme="minorEastAsia" w:cstheme="minorEastAsia"/>
          <w:sz w:val="32"/>
          <w:szCs w:val="32"/>
        </w:rPr>
        <w:t>2.已向购买方开具增值税专用发票的，应将专用发票追回后</w:t>
      </w:r>
      <w:bookmarkEnd w:id="183"/>
      <w:bookmarkEnd w:id="184"/>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方可办理免税。</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85" w:name="_Toc17259"/>
      <w:bookmarkStart w:id="186" w:name="_Toc14847"/>
      <w:r>
        <w:rPr>
          <w:rFonts w:hint="eastAsia" w:asciiTheme="minorEastAsia" w:hAnsiTheme="minorEastAsia" w:eastAsiaTheme="minorEastAsia" w:cstheme="minorEastAsia"/>
          <w:b/>
          <w:bCs/>
          <w:sz w:val="32"/>
          <w:szCs w:val="32"/>
          <w:lang w:eastAsia="zh-CN"/>
        </w:rPr>
        <w:t>【办理流程】</w:t>
      </w:r>
      <w:bookmarkEnd w:id="185"/>
      <w:bookmarkEnd w:id="18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申报即享受</w:t>
      </w:r>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87" w:name="_Toc8820"/>
      <w:bookmarkStart w:id="188" w:name="_Toc22475"/>
      <w:r>
        <w:rPr>
          <w:rFonts w:hint="eastAsia" w:asciiTheme="minorEastAsia" w:hAnsiTheme="minorEastAsia" w:eastAsiaTheme="minorEastAsia" w:cstheme="minorEastAsia"/>
          <w:b/>
          <w:bCs/>
          <w:sz w:val="32"/>
          <w:szCs w:val="32"/>
          <w:lang w:eastAsia="zh-CN"/>
        </w:rPr>
        <w:t>【政策依据】</w:t>
      </w:r>
      <w:bookmarkEnd w:id="187"/>
      <w:bookmarkEnd w:id="18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税务总局关于促进服务业领域困难行业纾困发展有关增值税政策的公告》（2022年第11号）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89" w:name="_Toc21362"/>
      <w:bookmarkStart w:id="190" w:name="_Toc5858"/>
      <w:bookmarkStart w:id="191" w:name="_Toc22123"/>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192" w:name="_Toc32461"/>
      <w:bookmarkStart w:id="193" w:name="_Toc27701"/>
      <w:r>
        <w:rPr>
          <w:rFonts w:hint="eastAsia"/>
        </w:rPr>
        <w:t>（</w:t>
      </w:r>
      <w:r>
        <w:rPr>
          <w:rFonts w:hint="eastAsia"/>
          <w:lang w:eastAsia="zh-CN"/>
        </w:rPr>
        <w:t>五</w:t>
      </w:r>
      <w:r>
        <w:rPr>
          <w:rFonts w:hint="eastAsia"/>
        </w:rPr>
        <w:t>）3岁以下婴幼儿照护个人所得税专项附加扣除政策</w:t>
      </w:r>
      <w:bookmarkEnd w:id="189"/>
      <w:bookmarkEnd w:id="190"/>
      <w:bookmarkEnd w:id="191"/>
      <w:bookmarkEnd w:id="192"/>
      <w:bookmarkEnd w:id="193"/>
    </w:p>
    <w:p>
      <w:pPr>
        <w:keepNext w:val="0"/>
        <w:keepLines w:val="0"/>
        <w:pageBreakBefore w:val="0"/>
        <w:widowControl w:val="0"/>
        <w:kinsoku/>
        <w:wordWrap/>
        <w:overflowPunct/>
        <w:topLinePunct w:val="0"/>
        <w:bidi w:val="0"/>
        <w:adjustRightInd/>
        <w:snapToGrid/>
        <w:spacing w:beforeAutospacing="0"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94" w:name="_Toc14557"/>
      <w:bookmarkStart w:id="195" w:name="_Toc4297"/>
      <w:r>
        <w:rPr>
          <w:rFonts w:hint="eastAsia" w:asciiTheme="minorEastAsia" w:hAnsiTheme="minorEastAsia" w:eastAsiaTheme="minorEastAsia" w:cstheme="minorEastAsia"/>
          <w:b/>
          <w:bCs/>
          <w:sz w:val="32"/>
          <w:szCs w:val="32"/>
          <w:lang w:eastAsia="zh-CN"/>
        </w:rPr>
        <w:t>【享受主体】</w:t>
      </w:r>
      <w:bookmarkEnd w:id="194"/>
      <w:bookmarkEnd w:id="19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3岁以下婴幼儿的监护人，包括生父母、继父母、养父母，父母之外的其他人担任未成年人的监护人的，可以比照执行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196" w:name="_Toc14171"/>
      <w:bookmarkStart w:id="197" w:name="_Toc27963"/>
      <w:r>
        <w:rPr>
          <w:rFonts w:hint="eastAsia" w:asciiTheme="minorEastAsia" w:hAnsiTheme="minorEastAsia" w:eastAsiaTheme="minorEastAsia" w:cstheme="minorEastAsia"/>
          <w:b/>
          <w:bCs/>
          <w:sz w:val="32"/>
          <w:szCs w:val="32"/>
          <w:lang w:eastAsia="zh-CN"/>
        </w:rPr>
        <w:t>【优惠内容】</w:t>
      </w:r>
      <w:bookmarkEnd w:id="196"/>
      <w:bookmarkEnd w:id="19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自2022年1月1日起实施3岁以下婴幼儿照护个人所得税专项附加扣除政策：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1.纳税人照护3岁以下婴幼儿子女的相关支出，按照每个婴幼儿每月1000元的标准定额扣除。</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2.父母可以选择由其中一方按扣除标准的100%扣除，也可以选择由双方分别按扣除标准的50%扣除，具体扣除方式在一个纳税年度内不能变更。</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198" w:name="_Toc10191"/>
      <w:bookmarkStart w:id="199" w:name="_Toc27233"/>
      <w:r>
        <w:rPr>
          <w:rFonts w:hint="eastAsia" w:asciiTheme="minorEastAsia" w:hAnsiTheme="minorEastAsia" w:eastAsiaTheme="minorEastAsia" w:cstheme="minorEastAsia"/>
          <w:b/>
          <w:bCs/>
          <w:sz w:val="32"/>
          <w:szCs w:val="32"/>
          <w:lang w:eastAsia="zh-CN"/>
        </w:rPr>
        <w:t>【享受条件】</w:t>
      </w:r>
      <w:bookmarkEnd w:id="198"/>
      <w:bookmarkEnd w:id="19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3岁以下婴幼儿照护个人所得税专项附加扣除涉及的保障措施和其他事项，参照《个人所得税专项附加扣除暂行办法》（国发〔2018〕41号文件印发）有关规定执行。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00" w:name="_Toc27160"/>
      <w:bookmarkStart w:id="201" w:name="_Toc7788"/>
      <w:r>
        <w:rPr>
          <w:rFonts w:hint="eastAsia" w:asciiTheme="minorEastAsia" w:hAnsiTheme="minorEastAsia" w:eastAsiaTheme="minorEastAsia" w:cstheme="minorEastAsia"/>
          <w:b/>
          <w:bCs/>
          <w:sz w:val="32"/>
          <w:szCs w:val="32"/>
          <w:lang w:eastAsia="zh-CN"/>
        </w:rPr>
        <w:t>【办理流程】</w:t>
      </w:r>
      <w:bookmarkEnd w:id="200"/>
      <w:bookmarkEnd w:id="20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自符合条件开始，可以向支付工资、薪金所得的扣缴义务人提供上述专项附加扣除有关信息，由扣缴义务人在预扣预缴税款时，按其在本单位本年可享受的累计扣除额办理扣除；也可以在次年3月1日至6月30日内，向汇缴地主管税务机关办理汇算清缴申报时扣除。</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纳税人未取得工资、薪金所得，仅取得劳务报酬所得、稿酬所得、特许权使用费所得需要享受专项附加扣除的，应当在次年3月1日至6月30日内，自行向汇缴地主管税务机关报送《扣除信息表》，并在办理汇算清缴申报时扣除。</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02" w:name="_Toc8709"/>
      <w:bookmarkStart w:id="203" w:name="_Toc5895"/>
      <w:r>
        <w:rPr>
          <w:rFonts w:hint="eastAsia" w:asciiTheme="minorEastAsia" w:hAnsiTheme="minorEastAsia" w:eastAsiaTheme="minorEastAsia" w:cstheme="minorEastAsia"/>
          <w:b/>
          <w:bCs/>
          <w:sz w:val="32"/>
          <w:szCs w:val="32"/>
          <w:lang w:eastAsia="zh-CN"/>
        </w:rPr>
        <w:t>【政策依据】</w:t>
      </w:r>
      <w:bookmarkEnd w:id="202"/>
      <w:bookmarkEnd w:id="20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《国务院关于设立3岁以下婴幼儿照护个人所得税专项附加扣除的通知》（国发〔2022〕8号）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04" w:name="_Toc2870"/>
      <w:bookmarkStart w:id="205" w:name="_Toc4308"/>
      <w:bookmarkStart w:id="206" w:name="_Toc18430"/>
      <w:bookmarkStart w:id="207" w:name="_Toc26994"/>
      <w:bookmarkStart w:id="208" w:name="_Toc2653"/>
      <w:r>
        <w:rPr>
          <w:rFonts w:hint="eastAsia"/>
        </w:rPr>
        <w:t>（</w:t>
      </w:r>
      <w:r>
        <w:rPr>
          <w:rFonts w:hint="eastAsia"/>
          <w:lang w:eastAsia="zh-CN"/>
        </w:rPr>
        <w:t>六</w:t>
      </w:r>
      <w:r>
        <w:rPr>
          <w:rFonts w:hint="eastAsia"/>
        </w:rPr>
        <w:t>）增值税小规模纳税人免征增值税政策</w:t>
      </w:r>
      <w:bookmarkEnd w:id="204"/>
      <w:bookmarkEnd w:id="205"/>
      <w:bookmarkEnd w:id="206"/>
      <w:bookmarkEnd w:id="207"/>
      <w:bookmarkEnd w:id="208"/>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09" w:name="_Toc2000"/>
      <w:bookmarkStart w:id="210" w:name="_Toc3628"/>
      <w:r>
        <w:rPr>
          <w:rFonts w:hint="eastAsia" w:asciiTheme="minorEastAsia" w:hAnsiTheme="minorEastAsia" w:eastAsiaTheme="minorEastAsia" w:cstheme="minorEastAsia"/>
          <w:b/>
          <w:bCs/>
          <w:sz w:val="32"/>
          <w:szCs w:val="32"/>
          <w:lang w:eastAsia="zh-CN"/>
        </w:rPr>
        <w:t>【享受主体】</w:t>
      </w:r>
      <w:bookmarkEnd w:id="209"/>
      <w:bookmarkEnd w:id="21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增值税小规模纳税人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11" w:name="_Toc788"/>
      <w:bookmarkStart w:id="212" w:name="_Toc6654"/>
      <w:r>
        <w:rPr>
          <w:rFonts w:hint="eastAsia" w:asciiTheme="minorEastAsia" w:hAnsiTheme="minorEastAsia" w:eastAsiaTheme="minorEastAsia" w:cstheme="minorEastAsia"/>
          <w:b/>
          <w:bCs/>
          <w:sz w:val="32"/>
          <w:szCs w:val="32"/>
          <w:lang w:eastAsia="zh-CN"/>
        </w:rPr>
        <w:t>【优惠内容】</w:t>
      </w:r>
      <w:bookmarkEnd w:id="211"/>
      <w:bookmarkEnd w:id="21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4月1日至2022年12月31日，增值税小规模纳税人适用3%征收率的应税销售收入，免征增值税；适用3%预征率的预缴增值税项目，暂停预缴增值税。（注：自2021年4月1日至2022年3月31日，增值税小规模纳税人适用3%征收率的应税销售收入，减按1%征收率征收增值税；适用3%预征率的预缴增值税项目，减按1%预征率预缴增值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13" w:name="_Toc12622"/>
      <w:bookmarkStart w:id="214" w:name="_Toc24249"/>
      <w:r>
        <w:rPr>
          <w:rFonts w:hint="eastAsia" w:asciiTheme="minorEastAsia" w:hAnsiTheme="minorEastAsia" w:eastAsiaTheme="minorEastAsia" w:cstheme="minorEastAsia"/>
          <w:b/>
          <w:bCs/>
          <w:sz w:val="32"/>
          <w:szCs w:val="32"/>
          <w:lang w:eastAsia="zh-CN"/>
        </w:rPr>
        <w:t>【享受条件】</w:t>
      </w:r>
      <w:bookmarkEnd w:id="213"/>
      <w:bookmarkEnd w:id="21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增值税小规模纳税人适用3%征收率的应税销售收入；增值税小规模纳税人适用3%预征率的预缴增值税项目。</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15" w:name="_Toc17534"/>
      <w:bookmarkStart w:id="216" w:name="_Toc5477"/>
      <w:r>
        <w:rPr>
          <w:rFonts w:hint="eastAsia" w:asciiTheme="minorEastAsia" w:hAnsiTheme="minorEastAsia" w:eastAsiaTheme="minorEastAsia" w:cstheme="minorEastAsia"/>
          <w:b/>
          <w:bCs/>
          <w:sz w:val="32"/>
          <w:szCs w:val="32"/>
          <w:lang w:eastAsia="zh-CN"/>
        </w:rPr>
        <w:t>【办理流程】</w:t>
      </w:r>
      <w:bookmarkEnd w:id="215"/>
      <w:bookmarkEnd w:id="21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17" w:name="_Toc30603"/>
      <w:bookmarkStart w:id="218" w:name="_Toc27255"/>
      <w:r>
        <w:rPr>
          <w:rFonts w:hint="eastAsia" w:asciiTheme="minorEastAsia" w:hAnsiTheme="minorEastAsia" w:eastAsiaTheme="minorEastAsia" w:cstheme="minorEastAsia"/>
          <w:b/>
          <w:bCs/>
          <w:sz w:val="32"/>
          <w:szCs w:val="32"/>
          <w:lang w:eastAsia="zh-CN"/>
        </w:rPr>
        <w:t>【政策依据】</w:t>
      </w:r>
      <w:bookmarkEnd w:id="217"/>
      <w:bookmarkEnd w:id="21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税务总局关于对增值税小规模纳税人免征增值税的公告》（2022年第15号）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19" w:name="_Toc4033"/>
      <w:bookmarkStart w:id="220" w:name="_Toc1534"/>
      <w:bookmarkStart w:id="221" w:name="_Toc27825"/>
      <w:bookmarkStart w:id="222" w:name="_Toc10481"/>
      <w:bookmarkStart w:id="223" w:name="_Toc21390"/>
      <w:r>
        <w:rPr>
          <w:rFonts w:hint="eastAsia"/>
        </w:rPr>
        <w:t>（</w:t>
      </w:r>
      <w:r>
        <w:rPr>
          <w:rFonts w:hint="eastAsia"/>
          <w:lang w:eastAsia="zh-CN"/>
        </w:rPr>
        <w:t>七</w:t>
      </w:r>
      <w:r>
        <w:rPr>
          <w:rFonts w:hint="eastAsia"/>
        </w:rPr>
        <w:t>）科技型中小企业研发费用加计扣除政策</w:t>
      </w:r>
      <w:bookmarkEnd w:id="219"/>
      <w:bookmarkEnd w:id="220"/>
      <w:bookmarkEnd w:id="221"/>
      <w:bookmarkEnd w:id="222"/>
      <w:bookmarkEnd w:id="223"/>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24" w:name="_Toc23429"/>
      <w:bookmarkStart w:id="225" w:name="_Toc31139"/>
      <w:r>
        <w:rPr>
          <w:rFonts w:hint="eastAsia" w:asciiTheme="minorEastAsia" w:hAnsiTheme="minorEastAsia" w:eastAsiaTheme="minorEastAsia" w:cstheme="minorEastAsia"/>
          <w:b/>
          <w:bCs/>
          <w:sz w:val="32"/>
          <w:szCs w:val="32"/>
          <w:lang w:eastAsia="zh-CN"/>
        </w:rPr>
        <w:t>【享受主体】</w:t>
      </w:r>
      <w:bookmarkEnd w:id="224"/>
      <w:bookmarkEnd w:id="22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科技型中小企业</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26" w:name="_Toc12603"/>
      <w:bookmarkStart w:id="227" w:name="_Toc21401"/>
      <w:r>
        <w:rPr>
          <w:rFonts w:hint="eastAsia" w:asciiTheme="minorEastAsia" w:hAnsiTheme="minorEastAsia" w:eastAsiaTheme="minorEastAsia" w:cstheme="minorEastAsia"/>
          <w:b/>
          <w:bCs/>
          <w:sz w:val="32"/>
          <w:szCs w:val="32"/>
          <w:lang w:eastAsia="zh-CN"/>
        </w:rPr>
        <w:t>【优惠内容】</w:t>
      </w:r>
      <w:bookmarkEnd w:id="226"/>
      <w:bookmarkEnd w:id="22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科技型中小企业开展研发活动中实际发生的研发费用，未形</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成无形资产计入当期损益的，在按规定据实扣除的基础上，自</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2022年1月1日起，再按照实际发生额的100%在税前加计扣除；形成无形资产的，自2022年1月1日起，按照无形资产成本的200%在税前摊销。</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28" w:name="_Toc25190"/>
      <w:bookmarkStart w:id="229" w:name="_Toc20547"/>
      <w:r>
        <w:rPr>
          <w:rFonts w:hint="eastAsia" w:asciiTheme="minorEastAsia" w:hAnsiTheme="minorEastAsia" w:eastAsiaTheme="minorEastAsia" w:cstheme="minorEastAsia"/>
          <w:b/>
          <w:bCs/>
          <w:sz w:val="32"/>
          <w:szCs w:val="32"/>
          <w:lang w:eastAsia="zh-CN"/>
        </w:rPr>
        <w:t>【享受条件】</w:t>
      </w:r>
      <w:bookmarkEnd w:id="228"/>
      <w:bookmarkEnd w:id="22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1.科技型中小企业条件和管理办法按照《科技部 财政部 国</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家税务总局关于印发&lt;科技型中小企业评价办法&gt;的通知》（国科</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发政〔2017〕115号）执行。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2.科技型中小企业享受研发费用税前加计扣除政策的其他政策口径和管理要求，按照《财政部 国家税务总局 科技部关于完善研究开发费用税前加计扣除政策的通知》（财税〔2015〕119号）、《财政部 税务总局 科技部关于企业委托境外研究开发费用税前加计扣除有关政策问题的通知》（财税〔2018〕64号）等文件相关规定执行。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30" w:name="_Toc22637"/>
      <w:bookmarkStart w:id="231" w:name="_Toc11922"/>
      <w:r>
        <w:rPr>
          <w:rFonts w:hint="eastAsia" w:asciiTheme="minorEastAsia" w:hAnsiTheme="minorEastAsia" w:eastAsiaTheme="minorEastAsia" w:cstheme="minorEastAsia"/>
          <w:b/>
          <w:bCs/>
          <w:sz w:val="32"/>
          <w:szCs w:val="32"/>
          <w:lang w:eastAsia="zh-CN"/>
        </w:rPr>
        <w:t>【办理流程】</w:t>
      </w:r>
      <w:bookmarkEnd w:id="230"/>
      <w:bookmarkEnd w:id="231"/>
    </w:p>
    <w:p>
      <w:pPr>
        <w:pStyle w:val="15"/>
        <w:pageBreakBefore w:val="0"/>
        <w:widowControl/>
        <w:kinsoku/>
        <w:wordWrap/>
        <w:overflowPunct/>
        <w:topLinePunct w:val="0"/>
        <w:bidi w:val="0"/>
        <w:adjustRightInd w:val="0"/>
        <w:snapToGrid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000000"/>
          <w:sz w:val="32"/>
          <w:szCs w:val="32"/>
        </w:rPr>
        <w:t>自行判断、申报享受、相关资料留存备查。</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32" w:name="_Toc14449"/>
      <w:bookmarkStart w:id="233" w:name="_Toc31473"/>
      <w:r>
        <w:rPr>
          <w:rFonts w:hint="eastAsia" w:asciiTheme="minorEastAsia" w:hAnsiTheme="minorEastAsia" w:eastAsiaTheme="minorEastAsia" w:cstheme="minorEastAsia"/>
          <w:b/>
          <w:bCs/>
          <w:sz w:val="32"/>
          <w:szCs w:val="32"/>
          <w:lang w:eastAsia="zh-CN"/>
        </w:rPr>
        <w:t>【政策依据】</w:t>
      </w:r>
      <w:bookmarkEnd w:id="232"/>
      <w:bookmarkEnd w:id="23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 科技部关于进一步提高科技型中小企业研发费用税前加计扣除比例的公告》（2022年第16号）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34" w:name="_Toc29531"/>
      <w:bookmarkStart w:id="235" w:name="_Toc24325"/>
      <w:bookmarkStart w:id="236" w:name="_Toc30221"/>
      <w:bookmarkStart w:id="237" w:name="_Toc32766"/>
      <w:bookmarkStart w:id="238" w:name="_Toc13551"/>
      <w:r>
        <w:rPr>
          <w:rFonts w:hint="eastAsia"/>
        </w:rPr>
        <w:t>（</w:t>
      </w:r>
      <w:r>
        <w:rPr>
          <w:rFonts w:hint="eastAsia"/>
          <w:lang w:eastAsia="zh-CN"/>
        </w:rPr>
        <w:t>八</w:t>
      </w:r>
      <w:r>
        <w:rPr>
          <w:rFonts w:hint="eastAsia"/>
        </w:rPr>
        <w:t>）快递收派服务收入免征增值税政策</w:t>
      </w:r>
      <w:bookmarkEnd w:id="234"/>
      <w:bookmarkEnd w:id="235"/>
      <w:bookmarkEnd w:id="236"/>
      <w:bookmarkEnd w:id="237"/>
      <w:bookmarkEnd w:id="238"/>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39" w:name="_Toc30523"/>
      <w:bookmarkStart w:id="240" w:name="_Toc30835"/>
      <w:r>
        <w:rPr>
          <w:rFonts w:hint="eastAsia" w:asciiTheme="minorEastAsia" w:hAnsiTheme="minorEastAsia" w:eastAsiaTheme="minorEastAsia" w:cstheme="minorEastAsia"/>
          <w:b/>
          <w:bCs/>
          <w:sz w:val="32"/>
          <w:szCs w:val="32"/>
          <w:lang w:eastAsia="zh-CN"/>
        </w:rPr>
        <w:t>【享受主体】</w:t>
      </w:r>
      <w:bookmarkEnd w:id="239"/>
      <w:bookmarkEnd w:id="24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提供符合条件的快递收派服务的纳税人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41" w:name="_Toc21295"/>
      <w:bookmarkStart w:id="242" w:name="_Toc770"/>
      <w:r>
        <w:rPr>
          <w:rFonts w:hint="eastAsia" w:asciiTheme="minorEastAsia" w:hAnsiTheme="minorEastAsia" w:eastAsiaTheme="minorEastAsia" w:cstheme="minorEastAsia"/>
          <w:b/>
          <w:bCs/>
          <w:sz w:val="32"/>
          <w:szCs w:val="32"/>
          <w:lang w:eastAsia="zh-CN"/>
        </w:rPr>
        <w:t>【优惠内容】</w:t>
      </w:r>
      <w:bookmarkEnd w:id="241"/>
      <w:bookmarkEnd w:id="24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自2022年5月1日至2022年12月31日，对纳税人为居民提供必需生活物资快递收派服务取得的收入，免征增值税。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43" w:name="_Toc15307"/>
      <w:bookmarkStart w:id="244" w:name="_Toc9153"/>
      <w:r>
        <w:rPr>
          <w:rFonts w:hint="eastAsia" w:asciiTheme="minorEastAsia" w:hAnsiTheme="minorEastAsia" w:eastAsiaTheme="minorEastAsia" w:cstheme="minorEastAsia"/>
          <w:b/>
          <w:bCs/>
          <w:sz w:val="32"/>
          <w:szCs w:val="32"/>
          <w:lang w:eastAsia="zh-CN"/>
        </w:rPr>
        <w:t>【享受条件】</w:t>
      </w:r>
      <w:bookmarkEnd w:id="243"/>
      <w:bookmarkEnd w:id="24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快递收派服务的具体范围，按照《销售服务、无形资产、不动产注释》（财税〔2016〕36号印发）执行，是指接受寄件人委托，在承诺的时限内完成函件和包裹的收件、分拣、派送服务的业务活动。</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45" w:name="_Toc13058"/>
      <w:bookmarkStart w:id="246" w:name="_Toc24372"/>
      <w:r>
        <w:rPr>
          <w:rFonts w:hint="eastAsia" w:asciiTheme="minorEastAsia" w:hAnsiTheme="minorEastAsia" w:eastAsiaTheme="minorEastAsia" w:cstheme="minorEastAsia"/>
          <w:b/>
          <w:bCs/>
          <w:sz w:val="32"/>
          <w:szCs w:val="32"/>
          <w:lang w:eastAsia="zh-CN"/>
        </w:rPr>
        <w:t>【办理流程】</w:t>
      </w:r>
      <w:bookmarkEnd w:id="245"/>
      <w:bookmarkEnd w:id="24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47" w:name="_Toc1770"/>
      <w:bookmarkStart w:id="248" w:name="_Toc30461"/>
      <w:r>
        <w:rPr>
          <w:rFonts w:hint="eastAsia" w:asciiTheme="minorEastAsia" w:hAnsiTheme="minorEastAsia" w:eastAsiaTheme="minorEastAsia" w:cstheme="minorEastAsia"/>
          <w:b/>
          <w:bCs/>
          <w:sz w:val="32"/>
          <w:szCs w:val="32"/>
          <w:lang w:eastAsia="zh-CN"/>
        </w:rPr>
        <w:t>【政策依据】</w:t>
      </w:r>
      <w:bookmarkEnd w:id="247"/>
      <w:bookmarkEnd w:id="24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税务总局关于快递收派服务免征增值税政策的公告》（2022年第18号）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国家税务总局关于全面推开营业税改征增值税试点的通知》（财税〔2016〕36号）</w:t>
      </w:r>
    </w:p>
    <w:p>
      <w:pPr>
        <w:pStyle w:val="25"/>
        <w:pageBreakBefore w:val="0"/>
        <w:kinsoku/>
        <w:wordWrap/>
        <w:overflowPunct/>
        <w:topLinePunct w:val="0"/>
        <w:bidi w:val="0"/>
        <w:spacing w:line="500" w:lineRule="exact"/>
        <w:textAlignment w:val="auto"/>
        <w:rPr>
          <w:rFonts w:hint="eastAsia"/>
        </w:rPr>
      </w:pPr>
    </w:p>
    <w:p>
      <w:pPr>
        <w:pStyle w:val="4"/>
        <w:pageBreakBefore w:val="0"/>
        <w:widowControl w:val="0"/>
        <w:kinsoku/>
        <w:wordWrap/>
        <w:overflowPunct/>
        <w:topLinePunct w:val="0"/>
        <w:bidi w:val="0"/>
        <w:spacing w:line="500" w:lineRule="exact"/>
        <w:ind w:firstLine="643" w:firstLineChars="200"/>
        <w:jc w:val="both"/>
        <w:textAlignment w:val="auto"/>
        <w:outlineLvl w:val="0"/>
        <w:rPr>
          <w:rFonts w:hint="eastAsia" w:cstheme="minorBidi"/>
          <w:kern w:val="2"/>
          <w:szCs w:val="24"/>
          <w:lang w:val="en-US" w:eastAsia="zh-CN" w:bidi="ar-SA"/>
        </w:rPr>
      </w:pPr>
      <w:bookmarkStart w:id="249" w:name="_Toc10152"/>
      <w:bookmarkStart w:id="250" w:name="_Toc14456"/>
      <w:bookmarkStart w:id="251" w:name="_Toc16561"/>
      <w:bookmarkStart w:id="252" w:name="_Toc8736"/>
      <w:r>
        <w:rPr>
          <w:rFonts w:hint="eastAsia" w:cstheme="minorBidi"/>
          <w:kern w:val="2"/>
          <w:szCs w:val="24"/>
          <w:lang w:val="en-US" w:eastAsia="zh-CN" w:bidi="ar-SA"/>
        </w:rPr>
        <w:t>（九）减征部分乘用车车辆购置税政策</w:t>
      </w:r>
      <w:bookmarkEnd w:id="249"/>
      <w:bookmarkEnd w:id="250"/>
      <w:bookmarkEnd w:id="251"/>
      <w:bookmarkEnd w:id="252"/>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53" w:name="_Toc20009"/>
      <w:bookmarkStart w:id="254" w:name="_Toc27202"/>
      <w:r>
        <w:rPr>
          <w:rFonts w:hint="eastAsia" w:asciiTheme="minorEastAsia" w:hAnsiTheme="minorEastAsia" w:eastAsiaTheme="minorEastAsia" w:cstheme="minorEastAsia"/>
          <w:b/>
          <w:bCs/>
          <w:sz w:val="32"/>
          <w:szCs w:val="32"/>
          <w:lang w:val="en-US" w:eastAsia="zh-CN"/>
        </w:rPr>
        <w:t>【享受主体】</w:t>
      </w:r>
      <w:bookmarkEnd w:id="253"/>
      <w:bookmarkEnd w:id="254"/>
    </w:p>
    <w:p>
      <w:pPr>
        <w:pageBreakBefore w:val="0"/>
        <w:kinsoku/>
        <w:wordWrap/>
        <w:overflowPunct/>
        <w:topLinePunct w:val="0"/>
        <w:bidi w:val="0"/>
        <w:spacing w:line="500" w:lineRule="exact"/>
        <w:ind w:firstLine="640" w:firstLineChars="200"/>
        <w:jc w:val="both"/>
        <w:textAlignment w:val="auto"/>
        <w:outlineLvl w:val="2"/>
        <w:rPr>
          <w:rFonts w:hint="eastAsia" w:asciiTheme="minorEastAsia" w:hAnsiTheme="minorEastAsia" w:eastAsiaTheme="minorEastAsia" w:cstheme="minorEastAsia"/>
          <w:sz w:val="32"/>
          <w:szCs w:val="32"/>
          <w:lang w:val="en-US" w:eastAsia="zh-CN"/>
        </w:rPr>
      </w:pPr>
      <w:bookmarkStart w:id="255" w:name="_Toc14196"/>
      <w:bookmarkStart w:id="256" w:name="_Toc11926"/>
      <w:r>
        <w:rPr>
          <w:rFonts w:hint="eastAsia" w:asciiTheme="minorEastAsia" w:hAnsiTheme="minorEastAsia" w:cstheme="minorEastAsia"/>
          <w:sz w:val="32"/>
          <w:szCs w:val="32"/>
          <w:lang w:val="en-US" w:eastAsia="zh-CN"/>
        </w:rPr>
        <w:t>纳税人购置的符合条件的乘用车</w:t>
      </w:r>
      <w:bookmarkEnd w:id="255"/>
      <w:bookmarkEnd w:id="256"/>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57" w:name="_Toc16428"/>
      <w:bookmarkStart w:id="258" w:name="_Toc24417"/>
      <w:r>
        <w:rPr>
          <w:rFonts w:hint="eastAsia" w:asciiTheme="minorEastAsia" w:hAnsiTheme="minorEastAsia" w:eastAsiaTheme="minorEastAsia" w:cstheme="minorEastAsia"/>
          <w:b/>
          <w:bCs/>
          <w:sz w:val="32"/>
          <w:szCs w:val="32"/>
          <w:lang w:val="en-US" w:eastAsia="zh-CN"/>
        </w:rPr>
        <w:t>【优惠内容】</w:t>
      </w:r>
      <w:bookmarkEnd w:id="257"/>
      <w:bookmarkEnd w:id="258"/>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outlineLvl w:val="2"/>
        <w:rPr>
          <w:rFonts w:hint="eastAsia" w:asciiTheme="minorEastAsia" w:hAnsiTheme="minorEastAsia" w:eastAsiaTheme="minorEastAsia" w:cstheme="minorEastAsia"/>
          <w:sz w:val="32"/>
          <w:szCs w:val="32"/>
          <w:lang w:val="en-US" w:eastAsia="zh-CN"/>
        </w:rPr>
      </w:pPr>
      <w:bookmarkStart w:id="259" w:name="_Toc19755"/>
      <w:bookmarkStart w:id="260" w:name="_Toc11545"/>
      <w:r>
        <w:rPr>
          <w:rFonts w:hint="eastAsia" w:asciiTheme="minorEastAsia" w:hAnsiTheme="minorEastAsia" w:eastAsiaTheme="minorEastAsia" w:cstheme="minorEastAsia"/>
          <w:sz w:val="32"/>
          <w:szCs w:val="32"/>
          <w:lang w:val="en-US" w:eastAsia="zh-CN"/>
        </w:rPr>
        <w:t>对购置日期在2022年6月1日至2022年12月31日期间内且单车价格（不含增值税）不超过30万元的2.0升及以下排量乘用车，减半征收车辆购置税。</w:t>
      </w:r>
      <w:bookmarkEnd w:id="259"/>
      <w:bookmarkEnd w:id="260"/>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61" w:name="_Toc22357"/>
      <w:bookmarkStart w:id="262" w:name="_Toc7404"/>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261"/>
      <w:bookmarkEnd w:id="26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bookmarkStart w:id="263" w:name="_Toc17252"/>
      <w:r>
        <w:rPr>
          <w:rFonts w:hint="eastAsia" w:asciiTheme="minorEastAsia" w:hAnsiTheme="minorEastAsia" w:eastAsiaTheme="minorEastAsia" w:cstheme="minorEastAsia"/>
          <w:sz w:val="32"/>
          <w:szCs w:val="32"/>
          <w:lang w:val="en-US" w:eastAsia="zh-CN"/>
        </w:rPr>
        <w:t>1.购置日期在2022年6月1日至2022年12月31日期间内单车价格（不含增值税）不超过30万元的2.0升及以下排量乘用车。</w:t>
      </w:r>
      <w:bookmarkEnd w:id="26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bookmarkStart w:id="264" w:name="_Toc4127"/>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rPr>
        <w:t>乘用车，是指在设计、制造和技术特性上主要用于载运乘客及其随身行李和（或）临时物品，包括驾驶员座位在内最多不超过9个座位的汽车。</w:t>
      </w:r>
      <w:bookmarkEnd w:id="26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bookmarkStart w:id="265" w:name="_Toc17317"/>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单车价格，以车辆购置税应税车辆的计税价格为准。</w:t>
      </w:r>
      <w:bookmarkEnd w:id="26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bookmarkStart w:id="266" w:name="_Toc29745"/>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sz w:val="32"/>
          <w:szCs w:val="32"/>
        </w:rPr>
        <w:t>乘用车购置日期按照机动车销售统一发票或海关关税专用缴款书等有效凭证的开具日期确定。</w:t>
      </w:r>
      <w:bookmarkEnd w:id="26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5.</w:t>
      </w:r>
      <w:r>
        <w:rPr>
          <w:rFonts w:hint="eastAsia" w:asciiTheme="minorEastAsia" w:hAnsiTheme="minorEastAsia" w:eastAsiaTheme="minorEastAsia" w:cstheme="minorEastAsia"/>
          <w:sz w:val="32"/>
          <w:szCs w:val="32"/>
        </w:rPr>
        <w:t>乘用车排量、座位数，按照《中华人民共和国机动车整车出厂合格证》电子信息或者进口机动车《车辆电子信息单》电子信息所载的排量、额定载客（人）数确定</w:t>
      </w:r>
      <w:r>
        <w:rPr>
          <w:rFonts w:hint="eastAsia" w:asciiTheme="minorEastAsia" w:hAnsiTheme="minorEastAsia" w:cstheme="minorEastAsia"/>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color w:val="auto"/>
          <w:sz w:val="32"/>
          <w:szCs w:val="32"/>
          <w:lang w:eastAsia="zh-CN"/>
        </w:rPr>
      </w:pPr>
      <w:bookmarkStart w:id="267" w:name="_Toc23266"/>
      <w:bookmarkStart w:id="268" w:name="_Toc25851"/>
      <w:bookmarkStart w:id="269" w:name="_Toc10031"/>
      <w:r>
        <w:rPr>
          <w:rFonts w:hint="eastAsia" w:asciiTheme="minorEastAsia" w:hAnsiTheme="minorEastAsia" w:eastAsiaTheme="minorEastAsia" w:cstheme="minorEastAsia"/>
          <w:b/>
          <w:bCs/>
          <w:sz w:val="32"/>
          <w:szCs w:val="32"/>
          <w:lang w:val="en-US" w:eastAsia="zh-CN"/>
        </w:rPr>
        <w:t>【办理流程】</w:t>
      </w:r>
      <w:bookmarkEnd w:id="267"/>
      <w:bookmarkEnd w:id="268"/>
    </w:p>
    <w:p>
      <w:pPr>
        <w:pageBreakBefore w:val="0"/>
        <w:kinsoku/>
        <w:wordWrap/>
        <w:overflowPunct/>
        <w:topLinePunct w:val="0"/>
        <w:bidi w:val="0"/>
        <w:spacing w:line="500" w:lineRule="exact"/>
        <w:ind w:firstLine="640" w:firstLineChars="200"/>
        <w:jc w:val="both"/>
        <w:textAlignment w:val="auto"/>
        <w:outlineLvl w:val="2"/>
        <w:rPr>
          <w:rFonts w:hint="eastAsia" w:asciiTheme="minorEastAsia" w:hAnsiTheme="minorEastAsia" w:eastAsiaTheme="minorEastAsia" w:cstheme="minorEastAsia"/>
          <w:color w:val="auto"/>
          <w:sz w:val="32"/>
          <w:szCs w:val="32"/>
          <w:lang w:eastAsia="zh-CN"/>
        </w:rPr>
      </w:pPr>
      <w:bookmarkStart w:id="270" w:name="_Toc1009"/>
      <w:r>
        <w:rPr>
          <w:rFonts w:hint="eastAsia" w:asciiTheme="minorEastAsia" w:hAnsiTheme="minorEastAsia" w:eastAsiaTheme="minorEastAsia" w:cstheme="minorEastAsia"/>
          <w:color w:val="auto"/>
          <w:sz w:val="32"/>
          <w:szCs w:val="32"/>
          <w:lang w:eastAsia="zh-CN"/>
        </w:rPr>
        <w:t>申报即享受</w:t>
      </w:r>
      <w:bookmarkEnd w:id="269"/>
      <w:bookmarkEnd w:id="270"/>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2"/>
        <w:rPr>
          <w:rFonts w:hint="eastAsia"/>
        </w:rPr>
      </w:pPr>
      <w:bookmarkStart w:id="271" w:name="_Toc7685"/>
      <w:bookmarkStart w:id="272" w:name="_Toc8223"/>
      <w:r>
        <w:rPr>
          <w:rFonts w:hint="eastAsia"/>
          <w:b/>
          <w:color w:val="000000"/>
          <w:sz w:val="31"/>
          <w:szCs w:val="31"/>
        </w:rPr>
        <w:t>【政策依据】</w:t>
      </w:r>
      <w:bookmarkEnd w:id="271"/>
      <w:bookmarkEnd w:id="27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《财政部 税务总局关于减征部分乘用车车辆购置税的公告</w:t>
      </w:r>
      <w:r>
        <w:rPr>
          <w:rFonts w:hint="eastAsia" w:asciiTheme="minorEastAsia" w:hAnsiTheme="minorEastAsia" w:eastAsiaTheme="minorEastAsia" w:cstheme="minorEastAsia"/>
          <w:sz w:val="32"/>
          <w:szCs w:val="32"/>
          <w:lang w:eastAsia="zh-CN"/>
        </w:rPr>
        <w:t>》（2022年第20号）</w:t>
      </w:r>
      <w:bookmarkStart w:id="273" w:name="_Toc9192"/>
      <w:bookmarkStart w:id="274" w:name="_Toc3676"/>
      <w:bookmarkStart w:id="275" w:name="_Toc13576"/>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76" w:name="_Toc1274"/>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77" w:name="_Toc3587"/>
      <w:r>
        <w:rPr>
          <w:rFonts w:hint="eastAsia"/>
        </w:rPr>
        <w:t>（十）小微企业“六税两费”减免政策</w:t>
      </w:r>
      <w:bookmarkEnd w:id="273"/>
      <w:bookmarkEnd w:id="274"/>
      <w:bookmarkEnd w:id="275"/>
      <w:bookmarkEnd w:id="276"/>
      <w:bookmarkEnd w:id="277"/>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78" w:name="_Toc15516"/>
      <w:bookmarkStart w:id="279" w:name="_Toc27626"/>
      <w:r>
        <w:rPr>
          <w:rFonts w:hint="eastAsia" w:asciiTheme="minorEastAsia" w:hAnsiTheme="minorEastAsia" w:eastAsiaTheme="minorEastAsia" w:cstheme="minorEastAsia"/>
          <w:b/>
          <w:bCs/>
          <w:sz w:val="32"/>
          <w:szCs w:val="32"/>
          <w:lang w:eastAsia="zh-CN"/>
        </w:rPr>
        <w:t>【享受主体】</w:t>
      </w:r>
      <w:bookmarkEnd w:id="278"/>
      <w:bookmarkEnd w:id="27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eastAsia="zh-CN"/>
        </w:rPr>
        <w:t>增值税小规模</w:t>
      </w:r>
      <w:r>
        <w:rPr>
          <w:rFonts w:hint="eastAsia" w:asciiTheme="minorEastAsia" w:hAnsiTheme="minorEastAsia" w:eastAsiaTheme="minorEastAsia" w:cstheme="minorEastAsia"/>
          <w:sz w:val="32"/>
          <w:szCs w:val="32"/>
        </w:rPr>
        <w:t>纳税人、小型微利企业和个体工商户</w:t>
      </w:r>
    </w:p>
    <w:p>
      <w:pPr>
        <w:keepNext w:val="0"/>
        <w:keepLines w:val="0"/>
        <w:pageBreakBefore w:val="0"/>
        <w:widowControl w:val="0"/>
        <w:kinsoku/>
        <w:wordWrap/>
        <w:overflowPunct/>
        <w:topLinePunct w:val="0"/>
        <w:autoSpaceDE/>
        <w:autoSpaceDN/>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80" w:name="_Toc29059"/>
      <w:bookmarkStart w:id="281" w:name="_Toc17016"/>
      <w:r>
        <w:rPr>
          <w:rFonts w:hint="eastAsia" w:asciiTheme="minorEastAsia" w:hAnsiTheme="minorEastAsia" w:eastAsiaTheme="minorEastAsia" w:cstheme="minorEastAsia"/>
          <w:b/>
          <w:bCs/>
          <w:sz w:val="32"/>
          <w:szCs w:val="32"/>
          <w:lang w:eastAsia="zh-CN"/>
        </w:rPr>
        <w:t>【优惠内容】</w:t>
      </w:r>
      <w:bookmarkEnd w:id="280"/>
      <w:bookmarkEnd w:id="281"/>
    </w:p>
    <w:p>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firstLine="640" w:firstLineChars="200"/>
        <w:jc w:val="both"/>
        <w:textAlignment w:val="auto"/>
        <w:rPr>
          <w:rFonts w:hint="default" w:ascii="Times New Roman" w:hAnsi="Times New Roman" w:eastAsia="仿宋_GB2312" w:cs="Times New Roman"/>
          <w:sz w:val="32"/>
          <w:szCs w:val="32"/>
        </w:rPr>
      </w:pPr>
      <w:r>
        <w:rPr>
          <w:rFonts w:hint="default" w:asciiTheme="minorEastAsia" w:hAnsiTheme="minorEastAsia" w:eastAsiaTheme="minorEastAsia" w:cstheme="minorEastAsia"/>
          <w:sz w:val="32"/>
          <w:szCs w:val="32"/>
        </w:rPr>
        <w:t>2022年1月1日至2024年12月31日，对全省增值税小规模纳税人、小型微利企业和个体工商户实行减征50%</w:t>
      </w:r>
      <w:r>
        <w:rPr>
          <w:rFonts w:hint="eastAsia" w:asciiTheme="minorEastAsia" w:hAnsiTheme="minorEastAsia" w:eastAsiaTheme="minorEastAsia" w:cstheme="minorEastAsia"/>
          <w:sz w:val="32"/>
          <w:szCs w:val="32"/>
        </w:rPr>
        <w:t>资源税、城市维护建设税、房产税、城镇土地使用税、印花税（不含证券交易印花税）、耕地占用税和教育费附加、地方教育附加</w:t>
      </w:r>
      <w:r>
        <w:rPr>
          <w:rFonts w:hint="default" w:asciiTheme="minorEastAsia" w:hAnsiTheme="minorEastAsia" w:eastAsiaTheme="minorEastAsia" w:cstheme="minorEastAsia"/>
          <w:sz w:val="32"/>
          <w:szCs w:val="32"/>
        </w:rPr>
        <w:t>政策。</w:t>
      </w:r>
    </w:p>
    <w:p>
      <w:pPr>
        <w:keepNext w:val="0"/>
        <w:keepLines w:val="0"/>
        <w:pageBreakBefore w:val="0"/>
        <w:widowControl w:val="0"/>
        <w:kinsoku/>
        <w:wordWrap/>
        <w:overflowPunct/>
        <w:topLinePunct w:val="0"/>
        <w:autoSpaceDE/>
        <w:autoSpaceDN/>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eastAsia="zh-CN"/>
        </w:rPr>
      </w:pPr>
      <w:bookmarkStart w:id="282" w:name="_Toc172"/>
      <w:bookmarkStart w:id="283" w:name="_Toc5072"/>
      <w:r>
        <w:rPr>
          <w:rFonts w:hint="eastAsia" w:asciiTheme="minorEastAsia" w:hAnsiTheme="minorEastAsia" w:eastAsiaTheme="minorEastAsia" w:cstheme="minorEastAsia"/>
          <w:b/>
          <w:bCs/>
          <w:sz w:val="32"/>
          <w:szCs w:val="32"/>
          <w:lang w:eastAsia="zh-CN"/>
        </w:rPr>
        <w:t>【享受条件】</w:t>
      </w:r>
      <w:bookmarkEnd w:id="282"/>
      <w:bookmarkEnd w:id="28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1.小型微利企业，是指从事国家非限制和禁止行业，且同时符合年度应纳税所得额不超过300万元、从业人数不超过300人、资产总额不超过5000万元等三个条件的企业。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从业人数，包括与企业建立劳动关系的职工人数和企业接受的劳务派遣用工人数。所称从业人数和资产总额指标，应按企业全年的季度平均值确定。具体计算公式如下：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季度平均值＝（季初值＋季末值）÷2</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全年季度平均值＝全年各季度平均值之和÷4</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年度中间开业或者终止经营活动的，以其实际经营期作为一个纳税年度确定上述相关指标。</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小型微利企业的判定以企业所得税年度汇算清缴结果为准。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登记为增值税一般纳税人的新设立的企业，从事国家非限制和禁止行业，且同时符合申报期上月末从业人数不超过300人、资产总额不超过5000万元等两个条件的，可在首次办理汇算清缴前按照小型微利企业申报享受《财政部 税务总局关于进一步实施小微企业“六税两费”减免政策的公告》（2022年第10号）第一条规定的优惠政策。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2.增值税小规模纳税人、小型微利企业和个体工商户已依法享受资源税、城市维护建设税、房产税、城镇土地使用税、印花税、耕地占用税、教育费附加、地方教育附加其他优惠政策的，可叠加享受《财政部 税务总局关于进一步实施小微企业“六税两费”减免政策的公告》（2022年第10号）第一条规定的优惠政策。</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val="0"/>
          <w:bCs/>
          <w:kern w:val="2"/>
          <w:sz w:val="32"/>
          <w:szCs w:val="32"/>
          <w:lang w:val="en-US" w:eastAsia="zh-CN" w:bidi="ar-SA"/>
        </w:rPr>
      </w:pPr>
      <w:bookmarkStart w:id="284" w:name="_Toc17867"/>
      <w:bookmarkStart w:id="285" w:name="_Toc3312"/>
      <w:r>
        <w:rPr>
          <w:rFonts w:hint="eastAsia" w:asciiTheme="minorEastAsia" w:hAnsiTheme="minorEastAsia" w:eastAsiaTheme="minorEastAsia" w:cstheme="minorEastAsia"/>
          <w:b/>
          <w:bCs/>
          <w:sz w:val="32"/>
          <w:szCs w:val="32"/>
          <w:lang w:val="en-US" w:eastAsia="zh-CN"/>
        </w:rPr>
        <w:t>【办理流程】</w:t>
      </w:r>
      <w:bookmarkEnd w:id="284"/>
      <w:bookmarkEnd w:id="28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b w:val="0"/>
          <w:bCs/>
          <w:kern w:val="2"/>
          <w:sz w:val="32"/>
          <w:szCs w:val="32"/>
          <w:lang w:val="en-US" w:eastAsia="zh-CN" w:bidi="ar-SA"/>
        </w:rPr>
      </w:pPr>
      <w:r>
        <w:rPr>
          <w:rFonts w:hint="eastAsia" w:asciiTheme="minorEastAsia" w:hAnsiTheme="minorEastAsia" w:eastAsiaTheme="minorEastAsia" w:cstheme="minorEastAsia"/>
          <w:b w:val="0"/>
          <w:bCs/>
          <w:kern w:val="2"/>
          <w:sz w:val="32"/>
          <w:szCs w:val="32"/>
          <w:lang w:val="en-US" w:eastAsia="zh-CN" w:bidi="ar-SA"/>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86" w:name="_Toc26447"/>
      <w:bookmarkStart w:id="287" w:name="_Toc22596"/>
      <w:r>
        <w:rPr>
          <w:rFonts w:hint="eastAsia" w:asciiTheme="minorEastAsia" w:hAnsiTheme="minorEastAsia" w:eastAsiaTheme="minorEastAsia" w:cstheme="minorEastAsia"/>
          <w:b/>
          <w:bCs/>
          <w:sz w:val="32"/>
          <w:szCs w:val="32"/>
          <w:lang w:val="en-US" w:eastAsia="zh-CN"/>
        </w:rPr>
        <w:t>【政策依据】</w:t>
      </w:r>
      <w:bookmarkEnd w:id="286"/>
      <w:bookmarkEnd w:id="28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《财政部 税务总局关于进一步实施小微企业“六税两费”</w:t>
      </w:r>
    </w:p>
    <w:p>
      <w:pPr>
        <w:pageBreakBefore w:val="0"/>
        <w:kinsoku/>
        <w:wordWrap/>
        <w:overflowPunct/>
        <w:topLinePunct w:val="0"/>
        <w:bidi w:val="0"/>
        <w:spacing w:line="500" w:lineRule="exact"/>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减免政策的公告》（2022年第10号）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国家税务总局黑龙江省税务局关于实施小微企业“六税两费”减免政策的公告</w:t>
      </w:r>
      <w:r>
        <w:rPr>
          <w:rFonts w:hint="eastAsia" w:asciiTheme="minorEastAsia" w:hAnsiTheme="minorEastAsia" w:eastAsiaTheme="minorEastAsia" w:cstheme="minorEastAsia"/>
          <w:sz w:val="32"/>
          <w:szCs w:val="32"/>
        </w:rPr>
        <w:t>》（2022年第</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rPr>
        <w:t>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288" w:name="_Toc5648"/>
      <w:bookmarkStart w:id="289" w:name="_Toc31732"/>
      <w:bookmarkStart w:id="290" w:name="_Toc6048"/>
      <w:bookmarkStart w:id="291" w:name="_Toc2816"/>
      <w:bookmarkStart w:id="292" w:name="_Toc14758"/>
      <w:r>
        <w:rPr>
          <w:rFonts w:hint="eastAsia"/>
        </w:rPr>
        <w:t>（十一）小型微利企业减免企业所得税政策</w:t>
      </w:r>
      <w:bookmarkEnd w:id="288"/>
      <w:bookmarkEnd w:id="289"/>
      <w:bookmarkEnd w:id="290"/>
      <w:bookmarkEnd w:id="291"/>
      <w:bookmarkEnd w:id="292"/>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93" w:name="_Toc25909"/>
      <w:bookmarkStart w:id="294" w:name="_Toc24082"/>
      <w:r>
        <w:rPr>
          <w:rFonts w:hint="eastAsia" w:asciiTheme="minorEastAsia" w:hAnsiTheme="minorEastAsia" w:eastAsiaTheme="minorEastAsia" w:cstheme="minorEastAsia"/>
          <w:b/>
          <w:bCs/>
          <w:sz w:val="32"/>
          <w:szCs w:val="32"/>
          <w:lang w:val="en-US" w:eastAsia="zh-CN"/>
        </w:rPr>
        <w:t>【享受主体】</w:t>
      </w:r>
      <w:bookmarkEnd w:id="293"/>
      <w:bookmarkEnd w:id="29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小型微利企业</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95" w:name="_Toc19055"/>
      <w:bookmarkStart w:id="296" w:name="_Toc7850"/>
      <w:r>
        <w:rPr>
          <w:rFonts w:hint="eastAsia" w:asciiTheme="minorEastAsia" w:hAnsiTheme="minorEastAsia" w:eastAsiaTheme="minorEastAsia" w:cstheme="minorEastAsia"/>
          <w:b/>
          <w:bCs/>
          <w:sz w:val="32"/>
          <w:szCs w:val="32"/>
          <w:lang w:val="en-US" w:eastAsia="zh-CN"/>
        </w:rPr>
        <w:t>【优惠内容】</w:t>
      </w:r>
      <w:bookmarkEnd w:id="295"/>
      <w:bookmarkEnd w:id="29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自2022年1月1日至2024年12月31日，对小型微利企业年应纳税所得额超过100万元但不超过300万元的部分，减按25%计入应纳税所得额，按20%的税率缴纳企业所得税。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297" w:name="_Toc4796"/>
      <w:bookmarkStart w:id="298" w:name="_Toc7684"/>
      <w:r>
        <w:rPr>
          <w:rFonts w:hint="eastAsia" w:asciiTheme="minorEastAsia" w:hAnsiTheme="minorEastAsia" w:eastAsiaTheme="minorEastAsia" w:cstheme="minorEastAsia"/>
          <w:b/>
          <w:bCs/>
          <w:sz w:val="32"/>
          <w:szCs w:val="32"/>
          <w:lang w:val="en-US" w:eastAsia="zh-CN"/>
        </w:rPr>
        <w:t>【享受条件】</w:t>
      </w:r>
      <w:bookmarkEnd w:id="297"/>
      <w:bookmarkEnd w:id="29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小型微利企业，是指从事国家非限制和禁止行业，且同时符合年度应纳税所得额不超过300万元、从业人数不超过300人、资产总额不超过5000万元等三个条件的企业。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从业人数，包括与企业建立劳动关系的职工人数和企业接受的劳务派遣用工人数。所称从业人数和资产总额指标，应按企业全年的季度平均值确定。具体计算公式如下：</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季度平均值＝（季初值＋季末值）÷2</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全年季度平均值＝全年各季度平均值之和÷4</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年度中间开业或者终止经营活动的，以其实际经营期作为一个纳税年度确定上述相关指标。</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299" w:name="_Toc21987"/>
      <w:bookmarkStart w:id="300" w:name="_Toc4585"/>
      <w:r>
        <w:rPr>
          <w:rFonts w:hint="eastAsia" w:asciiTheme="minorEastAsia" w:hAnsiTheme="minorEastAsia" w:eastAsiaTheme="minorEastAsia" w:cstheme="minorEastAsia"/>
          <w:b/>
          <w:bCs/>
          <w:sz w:val="32"/>
          <w:szCs w:val="32"/>
          <w:lang w:val="en-US" w:eastAsia="zh-CN"/>
        </w:rPr>
        <w:t>【办理流程】</w:t>
      </w:r>
      <w:bookmarkEnd w:id="299"/>
      <w:bookmarkEnd w:id="30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01" w:name="_Toc16633"/>
      <w:bookmarkStart w:id="302" w:name="_Toc11142"/>
      <w:r>
        <w:rPr>
          <w:rFonts w:hint="eastAsia" w:asciiTheme="minorEastAsia" w:hAnsiTheme="minorEastAsia" w:eastAsiaTheme="minorEastAsia" w:cstheme="minorEastAsia"/>
          <w:b/>
          <w:bCs/>
          <w:sz w:val="32"/>
          <w:szCs w:val="32"/>
          <w:lang w:val="en-US" w:eastAsia="zh-CN"/>
        </w:rPr>
        <w:t>【政策依据】</w:t>
      </w:r>
      <w:bookmarkEnd w:id="301"/>
      <w:bookmarkEnd w:id="30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《财政部 税务总局关于进一步实施小微企业所得税优惠政策的公告》（2022年第13号）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asciiTheme="minorEastAsia" w:hAnsiTheme="minorEastAsia" w:eastAsiaTheme="minorEastAsia" w:cstheme="minorEastAsia"/>
          <w:szCs w:val="32"/>
        </w:rPr>
      </w:pPr>
      <w:bookmarkStart w:id="303" w:name="_Toc26415"/>
      <w:bookmarkStart w:id="304" w:name="_Toc20351"/>
      <w:bookmarkStart w:id="305" w:name="_Toc1863"/>
      <w:bookmarkStart w:id="306" w:name="_Toc5575"/>
      <w:bookmarkStart w:id="307" w:name="_Toc3017"/>
      <w:r>
        <w:rPr>
          <w:rFonts w:hint="eastAsia"/>
        </w:rPr>
        <w:t>（十二）制造业中小微企业延缓缴纳部分税费政策</w:t>
      </w:r>
      <w:bookmarkEnd w:id="303"/>
      <w:bookmarkEnd w:id="304"/>
      <w:bookmarkEnd w:id="305"/>
      <w:bookmarkEnd w:id="306"/>
      <w:bookmarkEnd w:id="307"/>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08" w:name="_Toc31799"/>
      <w:bookmarkStart w:id="309" w:name="_Toc23806"/>
      <w:r>
        <w:rPr>
          <w:rFonts w:hint="eastAsia" w:asciiTheme="minorEastAsia" w:hAnsiTheme="minorEastAsia" w:eastAsiaTheme="minorEastAsia" w:cstheme="minorEastAsia"/>
          <w:b/>
          <w:bCs/>
          <w:sz w:val="32"/>
          <w:szCs w:val="32"/>
          <w:lang w:val="en-US" w:eastAsia="zh-CN"/>
        </w:rPr>
        <w:t>【享受主体</w:t>
      </w:r>
      <w:r>
        <w:rPr>
          <w:rFonts w:hint="eastAsia" w:asciiTheme="minorEastAsia" w:hAnsiTheme="minorEastAsia" w:eastAsiaTheme="minorEastAsia" w:cstheme="minorEastAsia"/>
          <w:sz w:val="32"/>
          <w:szCs w:val="32"/>
        </w:rPr>
        <w:t>】</w:t>
      </w:r>
      <w:bookmarkEnd w:id="308"/>
      <w:bookmarkEnd w:id="30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符合条件的制造业中小微企业（含个人独资企业、合伙企业、个体工商户）</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10" w:name="_Toc9407"/>
      <w:bookmarkStart w:id="311" w:name="_Toc25921"/>
      <w:r>
        <w:rPr>
          <w:rFonts w:hint="eastAsia" w:asciiTheme="minorEastAsia" w:hAnsiTheme="minorEastAsia" w:eastAsiaTheme="minorEastAsia" w:cstheme="minorEastAsia"/>
          <w:b/>
          <w:bCs/>
          <w:sz w:val="32"/>
          <w:szCs w:val="32"/>
          <w:lang w:val="en-US" w:eastAsia="zh-CN"/>
        </w:rPr>
        <w:t>【优惠内容】</w:t>
      </w:r>
      <w:bookmarkEnd w:id="310"/>
      <w:bookmarkEnd w:id="31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在继续延缓缴纳2021年第四季度部分税费基础上，延缓缴纳2022年第一季度、第二季度部分税费：在依法办理纳税申报后，制造业中型企业可以延缓缴纳本政策规定的各项税费金额的50%，制造业小微企业可以延缓缴纳本政策规定的全部税费，延缓的期限为6个月。延缓期限届满，纳税人应依法缴纳相应月份或者季度的税费。</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12" w:name="_Toc27247"/>
      <w:bookmarkStart w:id="313" w:name="_Toc28999"/>
      <w:r>
        <w:rPr>
          <w:rFonts w:hint="eastAsia" w:asciiTheme="minorEastAsia" w:hAnsiTheme="minorEastAsia" w:eastAsiaTheme="minorEastAsia" w:cstheme="minorEastAsia"/>
          <w:b/>
          <w:bCs/>
          <w:sz w:val="32"/>
          <w:szCs w:val="32"/>
          <w:lang w:val="en-US" w:eastAsia="zh-CN"/>
        </w:rPr>
        <w:t>【享受条件】</w:t>
      </w:r>
      <w:bookmarkEnd w:id="312"/>
      <w:bookmarkEnd w:id="31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制造业中型企业是指国民经济行业分类中行业门类为制造业，且年销售额2000万元以上（含2000万元）4亿元以下（不含4亿元的企业）。制造业小微企业是指国民经济行业分类中行业门类为制造业，且年销售额2000万元以下（不含2000万元）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销售额是指应征增值税销售额，包括纳税申报销售额、稽查查补销售额、纳税评估调整销售额。适用增值税差额征税政策的，以差额后的销售额确定。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2.制造业中小微企业年销售额按以下方式确定：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截至2021年12月31日成立满一年的企业，按照所属期为2021年1月至2021年12月的销售额确定。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截至2021年12月31日成立不满一年的企业，按照所属期截至2021年12月31日的销售额/实际经营月份×12个月的销售额确定。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2022年1月1日及以后成立的企业，按照实际申报期销售额/实际经营月份×12个月的销售额确定。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延缓缴纳的税费包括所属期为2022年1月、2月、3月、4月、5月、6月（按月缴纳）或者2022年第一季度、第二季度（按季缴纳）的企业所得税、个人所得税、国内增值税、国内消费税及附征的城市维护建设税、教育费附加、地方教育附加，不包括代扣代缴、代收代缴以及向税务机关申请代开发票时缴纳的税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对于在《国家税务总局 财政部关于延续实施制造业中小微企业延缓缴纳部分税费有关事项的公告》（2022年第2号）施行前已缴纳入库的所属期为2022年1月的上述税费，企业可自愿选择申请办理退税（费）并享受缓缴政策。</w:t>
      </w:r>
    </w:p>
    <w:p>
      <w:pPr>
        <w:pageBreakBefore w:val="0"/>
        <w:kinsoku/>
        <w:wordWrap/>
        <w:overflowPunct/>
        <w:topLinePunct w:val="0"/>
        <w:bidi w:val="0"/>
        <w:spacing w:line="500" w:lineRule="exact"/>
        <w:ind w:firstLine="640" w:firstLineChars="200"/>
        <w:jc w:val="both"/>
        <w:textAlignment w:val="auto"/>
        <w:outlineLvl w:val="2"/>
        <w:rPr>
          <w:rFonts w:hint="eastAsia" w:asciiTheme="minorEastAsia" w:hAnsiTheme="minorEastAsia" w:eastAsiaTheme="minorEastAsia" w:cstheme="minorEastAsia"/>
          <w:sz w:val="32"/>
          <w:szCs w:val="32"/>
        </w:rPr>
      </w:pPr>
      <w:bookmarkStart w:id="314" w:name="_Toc14715"/>
      <w:bookmarkStart w:id="315" w:name="_Toc25399"/>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b/>
          <w:bCs/>
          <w:sz w:val="32"/>
          <w:szCs w:val="32"/>
          <w:lang w:val="en-US" w:eastAsia="zh-CN"/>
        </w:rPr>
        <w:t>办理流程</w:t>
      </w:r>
      <w:r>
        <w:rPr>
          <w:rFonts w:hint="eastAsia" w:asciiTheme="minorEastAsia" w:hAnsiTheme="minorEastAsia" w:eastAsiaTheme="minorEastAsia" w:cstheme="minorEastAsia"/>
          <w:sz w:val="32"/>
          <w:szCs w:val="32"/>
        </w:rPr>
        <w:t>】</w:t>
      </w:r>
      <w:bookmarkEnd w:id="314"/>
      <w:bookmarkEnd w:id="31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16" w:name="_Toc18224"/>
      <w:bookmarkStart w:id="317" w:name="_Toc18699"/>
      <w:r>
        <w:rPr>
          <w:rFonts w:hint="eastAsia" w:asciiTheme="minorEastAsia" w:hAnsiTheme="minorEastAsia" w:eastAsiaTheme="minorEastAsia" w:cstheme="minorEastAsia"/>
          <w:b/>
          <w:bCs/>
          <w:sz w:val="32"/>
          <w:szCs w:val="32"/>
          <w:lang w:val="en-US" w:eastAsia="zh-CN"/>
        </w:rPr>
        <w:t>【政策依据】</w:t>
      </w:r>
      <w:bookmarkEnd w:id="316"/>
      <w:bookmarkEnd w:id="31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《国家税务总局 财政部关于延续实施制造业中小微企业延缓缴纳部分税费有关事项的公告》（2022年第2号）</w:t>
      </w:r>
      <w:bookmarkStart w:id="318" w:name="_Toc5755"/>
      <w:bookmarkStart w:id="319" w:name="_Toc20077"/>
    </w:p>
    <w:p>
      <w:pPr>
        <w:pStyle w:val="4"/>
        <w:pageBreakBefore w:val="0"/>
        <w:kinsoku/>
        <w:wordWrap/>
        <w:overflowPunct/>
        <w:topLinePunct w:val="0"/>
        <w:bidi w:val="0"/>
        <w:spacing w:line="500" w:lineRule="exact"/>
        <w:ind w:firstLine="643" w:firstLineChars="200"/>
        <w:textAlignment w:val="auto"/>
        <w:outlineLvl w:val="9"/>
        <w:rPr>
          <w:rFonts w:hint="eastAsia"/>
        </w:rPr>
      </w:pPr>
      <w:bookmarkStart w:id="320" w:name="_Toc23541"/>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321" w:name="_Toc4906"/>
      <w:bookmarkStart w:id="322" w:name="_Toc11152"/>
      <w:bookmarkStart w:id="323" w:name="_Toc28011"/>
      <w:r>
        <w:rPr>
          <w:rFonts w:hint="eastAsia"/>
        </w:rPr>
        <w:t>（十三）阶段性缓缴企业基本养老保险费、失业保险费、工伤保险费政策</w:t>
      </w:r>
      <w:bookmarkEnd w:id="320"/>
      <w:bookmarkEnd w:id="321"/>
      <w:bookmarkEnd w:id="322"/>
      <w:bookmarkEnd w:id="323"/>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3"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bookmarkStart w:id="324" w:name="_Toc6310"/>
      <w:bookmarkStart w:id="325" w:name="_Toc13103"/>
      <w:r>
        <w:rPr>
          <w:rFonts w:hint="eastAsia" w:asciiTheme="minorEastAsia" w:hAnsiTheme="minorEastAsia" w:eastAsiaTheme="minorEastAsia" w:cstheme="minorEastAsia"/>
          <w:b/>
          <w:bCs/>
          <w:kern w:val="2"/>
          <w:sz w:val="32"/>
          <w:szCs w:val="32"/>
          <w:lang w:val="en-US" w:eastAsia="zh-CN" w:bidi="ar-SA"/>
        </w:rPr>
        <w:t>【享受主体】</w:t>
      </w:r>
      <w:bookmarkEnd w:id="324"/>
      <w:bookmarkEnd w:id="325"/>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bookmarkStart w:id="326" w:name="_Toc3389"/>
      <w:bookmarkStart w:id="327" w:name="_Toc4996"/>
      <w:r>
        <w:rPr>
          <w:rFonts w:hint="eastAsia" w:asciiTheme="minorEastAsia" w:hAnsiTheme="minorEastAsia" w:eastAsiaTheme="minorEastAsia" w:cstheme="minorEastAsia"/>
          <w:kern w:val="2"/>
          <w:sz w:val="32"/>
          <w:szCs w:val="32"/>
          <w:lang w:val="en-US" w:eastAsia="zh-CN" w:bidi="ar-SA"/>
        </w:rPr>
        <w:t>1.困难行业所属企业。餐饮、零售、旅游、民航、公路水路铁路运输5个特困行业；农副食品加工业，纺织业，纺织服装、服饰业，造纸和纸制品业，印刷和记录媒介复制业，医药制造业，化学纤维制造业，橡胶和塑料制品业，通用设备制造业，汽车制造业，铁路、船舶、航空航天和其他运输设备制造业，仪器仪表制造业，社会工作，广播、电视、电影和录音制作业，文化艺术业，体育，娱乐业17个困难行业。上述行业中以单位方式参加社会保险的有雇工的个体工商户以及其他单位，参照企业办法缓缴。</w:t>
      </w:r>
      <w:bookmarkEnd w:id="326"/>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outlineLvl w:val="2"/>
        <w:rPr>
          <w:rFonts w:hint="eastAsia" w:asciiTheme="minorEastAsia" w:hAnsiTheme="minorEastAsia" w:eastAsiaTheme="minorEastAsia" w:cstheme="minorEastAsia"/>
          <w:strike w:val="0"/>
          <w:dstrike w:val="0"/>
          <w:kern w:val="2"/>
          <w:sz w:val="32"/>
          <w:szCs w:val="32"/>
          <w:lang w:val="en-US" w:eastAsia="zh-CN" w:bidi="ar-SA"/>
        </w:rPr>
      </w:pPr>
      <w:r>
        <w:rPr>
          <w:rFonts w:hint="eastAsia" w:asciiTheme="minorEastAsia" w:hAnsiTheme="minorEastAsia" w:eastAsiaTheme="minorEastAsia" w:cstheme="minorEastAsia"/>
          <w:strike w:val="0"/>
          <w:dstrike w:val="0"/>
          <w:kern w:val="2"/>
          <w:sz w:val="32"/>
          <w:szCs w:val="32"/>
          <w:lang w:val="en-US" w:eastAsia="zh-CN" w:bidi="ar-SA"/>
        </w:rPr>
        <w:t>2.2022年底前出现中高风险疫情市（地）、县（市）的中小微企业、以单位方式参保的个体工商户、参加企业职工基本养老保险的事业单位及各类社会组织。</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outlineLvl w:val="2"/>
        <w:rPr>
          <w:rFonts w:hint="eastAsia" w:asciiTheme="minorEastAsia" w:hAnsiTheme="minorEastAsia" w:eastAsiaTheme="minorEastAsia" w:cstheme="minorEastAsia"/>
          <w:kern w:val="2"/>
          <w:sz w:val="32"/>
          <w:szCs w:val="32"/>
          <w:lang w:val="en-US" w:eastAsia="zh-CN" w:bidi="ar-SA"/>
        </w:rPr>
      </w:pPr>
      <w:bookmarkStart w:id="328" w:name="_Toc25023"/>
      <w:r>
        <w:rPr>
          <w:rFonts w:hint="eastAsia" w:asciiTheme="minorEastAsia" w:hAnsiTheme="minorEastAsia" w:eastAsiaTheme="minorEastAsia" w:cstheme="minorEastAsia"/>
          <w:kern w:val="2"/>
          <w:sz w:val="32"/>
          <w:szCs w:val="32"/>
          <w:lang w:val="en-US" w:eastAsia="zh-CN" w:bidi="ar-SA"/>
        </w:rPr>
        <w:t>3.以个人身份参加企业职工基本养老保险的个体工商户和各类灵活就业人员。</w:t>
      </w:r>
      <w:bookmarkEnd w:id="328"/>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29" w:name="_Toc9607"/>
      <w:r>
        <w:rPr>
          <w:rFonts w:hint="eastAsia" w:asciiTheme="minorEastAsia" w:hAnsiTheme="minorEastAsia" w:eastAsiaTheme="minorEastAsia" w:cstheme="minorEastAsia"/>
          <w:b/>
          <w:bCs/>
          <w:sz w:val="32"/>
          <w:szCs w:val="32"/>
          <w:lang w:val="en-US" w:eastAsia="zh-CN"/>
        </w:rPr>
        <w:t>【优惠内容】</w:t>
      </w:r>
      <w:bookmarkEnd w:id="327"/>
      <w:bookmarkEnd w:id="329"/>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1.困难行业所属企业，可申请缓缴企业职工基本养老保险费、失业保险费、工伤保险费（以下简称三项社保费）单位缴费部分，其中养老保险费缓缴实施期限到2022年年底，工伤保险费、失业保险费缓缴期限不超过1年。缓缴期间免收滞纳金。</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2.2022年底前出现中高风险疫情市（地）、县（市）的中小微企业、以单位方式参保的个体工商户、参加企业职工基本养老保险的事业单位及各类社会组织，申请缓缴前一个月处于亏损状态或之前三个月累计亏损，可以自愿申请缓缴企业职工基本养老保险费、工伤保险费、失业保险费单位缴费部分，缓缴期间免收滞纳金。缓缴社保费期限至2022年底，在此期间，企业可申请不同的缓缴期限。</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3.阶段性缓缴社保费政策到期后，可在2023年底前采取分期、逐月或一次性等方式补缴缓缴的社会保险费，补缴期间免收滞纳金。</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4.以个人身份参加企业职工基本养老保险的个体工商户和各类灵活就业人员，2022年缴纳费款有困难的，可自愿暂缓缴费，2022年未缴费月度可于2023年底前进行补缴，缴费基数在2023年当地个人缴费基数上下限范围内自主选择，缴费年限累计计算。</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kern w:val="2"/>
          <w:sz w:val="32"/>
          <w:szCs w:val="32"/>
          <w:lang w:val="en-US" w:eastAsia="zh-CN" w:bidi="ar-SA"/>
        </w:rPr>
      </w:pPr>
      <w:r>
        <w:rPr>
          <w:rFonts w:hint="eastAsia" w:asciiTheme="minorEastAsia" w:hAnsiTheme="minorEastAsia" w:eastAsiaTheme="minorEastAsia" w:cstheme="minorEastAsia"/>
          <w:kern w:val="2"/>
          <w:sz w:val="32"/>
          <w:szCs w:val="32"/>
          <w:lang w:val="en-US" w:eastAsia="zh-CN" w:bidi="ar-SA"/>
        </w:rPr>
        <w:t>具体落实以本地实施办法为准。</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kern w:val="2"/>
          <w:sz w:val="32"/>
          <w:szCs w:val="32"/>
          <w:lang w:val="en-US" w:eastAsia="zh-CN" w:bidi="ar-SA"/>
        </w:rPr>
      </w:pPr>
      <w:bookmarkStart w:id="330" w:name="_Toc6600"/>
      <w:r>
        <w:rPr>
          <w:rFonts w:hint="eastAsia" w:asciiTheme="minorEastAsia" w:hAnsiTheme="minorEastAsia" w:eastAsiaTheme="minorEastAsia" w:cstheme="minorEastAsia"/>
          <w:b/>
          <w:bCs/>
          <w:kern w:val="2"/>
          <w:sz w:val="32"/>
          <w:szCs w:val="32"/>
          <w:lang w:val="en-US" w:eastAsia="zh-CN" w:bidi="ar-SA"/>
        </w:rPr>
        <w:t>【享受条件】</w:t>
      </w:r>
      <w:bookmarkEnd w:id="330"/>
    </w:p>
    <w:p>
      <w:pPr>
        <w:keepNext w:val="0"/>
        <w:keepLines w:val="0"/>
        <w:pageBreakBefore w:val="0"/>
        <w:kinsoku/>
        <w:wordWrap/>
        <w:overflowPunct/>
        <w:topLinePunct w:val="0"/>
        <w:autoSpaceDE/>
        <w:autoSpaceDN/>
        <w:bidi w:val="0"/>
        <w:adjustRightInd/>
        <w:snapToGrid/>
        <w:spacing w:line="500" w:lineRule="exact"/>
        <w:ind w:firstLine="640" w:firstLineChars="200"/>
        <w:jc w:val="both"/>
        <w:textAlignment w:val="auto"/>
        <w:outlineLvl w:val="2"/>
        <w:rPr>
          <w:rFonts w:hint="eastAsia" w:asciiTheme="minorEastAsia" w:hAnsiTheme="minorEastAsia" w:eastAsiaTheme="minorEastAsia" w:cstheme="minorEastAsia"/>
          <w:strike/>
          <w:dstrike w:val="0"/>
          <w:color w:val="000000"/>
          <w:sz w:val="32"/>
          <w:szCs w:val="32"/>
          <w:lang w:val="en-US" w:eastAsia="zh-CN"/>
        </w:rPr>
      </w:pPr>
      <w:bookmarkStart w:id="331" w:name="_Toc14821"/>
      <w:r>
        <w:rPr>
          <w:rFonts w:hint="eastAsia" w:asciiTheme="minorEastAsia" w:hAnsiTheme="minorEastAsia" w:eastAsiaTheme="minorEastAsia" w:cstheme="minorEastAsia"/>
          <w:color w:val="000000"/>
          <w:sz w:val="32"/>
          <w:szCs w:val="32"/>
        </w:rPr>
        <w:t>在缓缴期限内，企业可根据自身经营状况向社会保险登记部门申请缓缴企业职工基本养老保险费、失业保险费和工伤保险费。新开办企业可自参保当月起申请缓缴；企业行业类型变更为上述行业的，可自变更当月起申请缓缴。社会保险登记部门审核企业是否适用缓缴政策时，应以企业参保登记时自行申报的行业类型为依据。现有信息无法满足划分行业类型需要的，可实行告知承诺制，由企业出具所属行业类型的书面承诺，并承担相应法律责任。</w:t>
      </w:r>
      <w:bookmarkEnd w:id="331"/>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rPr>
      </w:pPr>
      <w:r>
        <w:rPr>
          <w:rFonts w:hint="eastAsia" w:asciiTheme="minorEastAsia" w:hAnsiTheme="minorEastAsia" w:eastAsiaTheme="minorEastAsia" w:cstheme="minorEastAsia"/>
          <w:color w:val="000000"/>
          <w:sz w:val="32"/>
          <w:szCs w:val="32"/>
          <w:lang w:val="en-US" w:eastAsia="zh-CN"/>
        </w:rPr>
        <w:t>申请缓缴三项社保费的企业所属行业按照《关于做好失业保险稳岗位提技能防失业和对特困行业阶段性实施缓缴社会保险费工作的通知》（黑人社发〔2022〕10号）和《扩大实施缓缴政策的困难行业名单》（附件）执行；中小微企业类型按照《关于印发中小企业划型标准规定的通知》（工信部联企业〔2011〕300号）、《关于印发〈统计上大中小微型企业划分办法（2017）〉的通知》（国统字〔2017〕213号）、《关于印发〈金融业企业划型标准规定〉的通知》（银发〔2015〕309号）等规定的划型标准执行。</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2"/>
        <w:rPr>
          <w:rFonts w:hint="eastAsia"/>
          <w:b/>
          <w:color w:val="000000"/>
          <w:sz w:val="31"/>
          <w:szCs w:val="31"/>
        </w:rPr>
      </w:pPr>
      <w:bookmarkStart w:id="332" w:name="_Toc27209"/>
      <w:bookmarkStart w:id="333" w:name="_Toc28641"/>
      <w:r>
        <w:rPr>
          <w:rFonts w:hint="eastAsia"/>
          <w:b/>
          <w:color w:val="000000"/>
          <w:sz w:val="31"/>
          <w:szCs w:val="31"/>
        </w:rPr>
        <w:t>【</w:t>
      </w:r>
      <w:r>
        <w:rPr>
          <w:rFonts w:hint="eastAsia"/>
          <w:b/>
          <w:color w:val="000000"/>
          <w:sz w:val="31"/>
          <w:szCs w:val="31"/>
          <w:lang w:eastAsia="zh-CN"/>
        </w:rPr>
        <w:t>办理流程</w:t>
      </w:r>
      <w:r>
        <w:rPr>
          <w:rFonts w:hint="eastAsia"/>
          <w:b/>
          <w:color w:val="000000"/>
          <w:sz w:val="31"/>
          <w:szCs w:val="31"/>
        </w:rPr>
        <w:t>】</w:t>
      </w:r>
      <w:bookmarkEnd w:id="332"/>
      <w:bookmarkEnd w:id="333"/>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2"/>
          <w:szCs w:val="32"/>
          <w:lang w:val="en-US" w:eastAsia="zh-CN"/>
        </w:rPr>
      </w:pPr>
      <w:r>
        <w:rPr>
          <w:rFonts w:hint="eastAsia"/>
          <w:color w:val="000000"/>
          <w:sz w:val="32"/>
          <w:szCs w:val="32"/>
          <w:lang w:val="en-US" w:eastAsia="zh-CN"/>
        </w:rPr>
        <w:t>参保企业可登录黑龙江省人力资源和社会保障公共服务平台申请缓缴职工基本养老保险费。登录黑龙江省人力资源和社会保障网上服务大厅申请缓缴工伤、失业保险费。企业也可直接到参保所在地经办机构窗口提交三项社保费缓缴申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2"/>
          <w:szCs w:val="32"/>
          <w:lang w:val="en-US" w:eastAsia="zh-CN"/>
        </w:rPr>
      </w:pPr>
      <w:r>
        <w:rPr>
          <w:rFonts w:hint="eastAsia"/>
          <w:color w:val="000000"/>
          <w:sz w:val="32"/>
          <w:szCs w:val="32"/>
          <w:lang w:val="en-US" w:eastAsia="zh-CN"/>
        </w:rPr>
        <w:t>参保单位核对参保登记时自行申报的行业类型信息，填写并提交《缓缴社会保险费承诺书》，选择申请缓缴费款所属期，确认行业类型，提交申请。企业只需申请一次，无需每月申请。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color w:val="000000"/>
          <w:sz w:val="32"/>
          <w:szCs w:val="32"/>
        </w:rPr>
      </w:pPr>
      <w:r>
        <w:rPr>
          <w:rFonts w:hint="eastAsia"/>
          <w:color w:val="000000"/>
          <w:sz w:val="32"/>
          <w:szCs w:val="32"/>
          <w:lang w:eastAsia="zh-CN"/>
        </w:rPr>
        <w:t>已通过申请的企业在税务部门申报即享受，资料留存备查。</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2"/>
        <w:rPr>
          <w:rFonts w:hint="eastAsia"/>
          <w:sz w:val="24"/>
          <w:szCs w:val="24"/>
        </w:rPr>
      </w:pPr>
      <w:bookmarkStart w:id="334" w:name="_Toc16722"/>
      <w:bookmarkStart w:id="335" w:name="_Toc9248"/>
      <w:r>
        <w:rPr>
          <w:rFonts w:hint="eastAsia"/>
          <w:b/>
          <w:color w:val="000000"/>
          <w:sz w:val="31"/>
          <w:szCs w:val="31"/>
        </w:rPr>
        <w:t>【政策依据】</w:t>
      </w:r>
      <w:bookmarkEnd w:id="334"/>
      <w:bookmarkEnd w:id="335"/>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color w:val="000000"/>
          <w:sz w:val="32"/>
          <w:szCs w:val="32"/>
          <w:lang w:val="en-US" w:eastAsia="zh-CN"/>
        </w:rPr>
        <w:t>《人力资源社会保障部财政部国家税务总局关于做好失业保险稳岗位提技能防失业工作的通知》（人社部发〔2022〕23号）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bookmarkStart w:id="336" w:name="_Toc9369"/>
      <w:bookmarkStart w:id="337" w:name="_Toc16465"/>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color w:val="000000"/>
          <w:sz w:val="32"/>
          <w:szCs w:val="32"/>
          <w:lang w:val="en-US" w:eastAsia="zh-CN"/>
        </w:rPr>
        <w:t>《人力资源社会保障部 国家发展改革委 财政部 税务总局关于扩大阶段性缓缴社会保险费政策实施范围等问题的通知</w:t>
      </w:r>
      <w:bookmarkEnd w:id="336"/>
      <w:bookmarkEnd w:id="337"/>
      <w:r>
        <w:rPr>
          <w:rFonts w:hint="eastAsia" w:asciiTheme="minorEastAsia" w:hAnsiTheme="minorEastAsia" w:eastAsiaTheme="minorEastAsia" w:cstheme="minorEastAsia"/>
          <w:color w:val="000000"/>
          <w:sz w:val="32"/>
          <w:szCs w:val="32"/>
          <w:lang w:val="en-US" w:eastAsia="zh-CN"/>
        </w:rPr>
        <w:t>》（人社部发〔2022〕31号）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color w:val="000000"/>
          <w:sz w:val="32"/>
          <w:szCs w:val="32"/>
          <w:lang w:val="en-US" w:eastAsia="zh-CN"/>
        </w:rPr>
        <w:t>《人力资源社会保障部办公厅国家税务总局办公厅关于特困行业阶段性实施缓缴企业社会保险费政策的通知》（人社厅发〔2022〕16号）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color w:val="000000"/>
          <w:sz w:val="32"/>
          <w:szCs w:val="32"/>
          <w:lang w:val="en-US" w:eastAsia="zh-CN"/>
        </w:rPr>
        <w:t>4.《人力资源社会保障部办公厅 国家发展改革委办公厅 财政部办公厅 国家税务总局办公厅关于进一步做好阶段性缓缴社会保险费政策实施工作有关问题的通知》（人社厅发〔2022〕50号）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sz w:val="32"/>
          <w:szCs w:val="32"/>
          <w:lang w:val="en-US" w:eastAsia="zh-CN"/>
        </w:rPr>
        <w:t>5.</w:t>
      </w:r>
      <w:r>
        <w:rPr>
          <w:rFonts w:hint="eastAsia" w:asciiTheme="minorEastAsia" w:hAnsiTheme="minorEastAsia" w:eastAsiaTheme="minorEastAsia" w:cstheme="minorEastAsia"/>
          <w:color w:val="000000"/>
          <w:sz w:val="32"/>
          <w:szCs w:val="32"/>
          <w:lang w:val="en-US" w:eastAsia="zh-CN"/>
        </w:rPr>
        <w:t>《关于做好失业保险稳岗位提技能防失业和对特困行业阶段性实施缓缴社会保险费工作的通知》（黑人社发(2022〕10号）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sz w:val="32"/>
          <w:szCs w:val="32"/>
          <w:lang w:val="en-US" w:eastAsia="zh-CN"/>
        </w:rPr>
        <w:t>6.</w:t>
      </w:r>
      <w:r>
        <w:rPr>
          <w:rFonts w:hint="eastAsia" w:asciiTheme="minorEastAsia" w:hAnsiTheme="minorEastAsia" w:eastAsiaTheme="minorEastAsia" w:cstheme="minorEastAsia"/>
          <w:color w:val="000000"/>
          <w:sz w:val="32"/>
          <w:szCs w:val="32"/>
          <w:lang w:val="en-US" w:eastAsia="zh-CN"/>
        </w:rPr>
        <w:t>《关于做好扩大阶段性缓缴社会保险费政策实施范围等工作的通知》（黑人社发〔2022〕12号）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40" w:firstLineChars="200"/>
        <w:jc w:val="both"/>
        <w:textAlignment w:val="auto"/>
        <w:rPr>
          <w:rFonts w:hint="eastAsia" w:asciiTheme="minorEastAsia" w:hAnsiTheme="minorEastAsia" w:eastAsiaTheme="minorEastAsia" w:cstheme="minorEastAsia"/>
          <w:color w:val="000000"/>
          <w:sz w:val="32"/>
          <w:szCs w:val="32"/>
          <w:lang w:val="en-US" w:eastAsia="zh-CN"/>
        </w:rPr>
      </w:pPr>
      <w:r>
        <w:rPr>
          <w:rFonts w:hint="eastAsia" w:asciiTheme="minorEastAsia" w:hAnsiTheme="minorEastAsia" w:eastAsiaTheme="minorEastAsia" w:cstheme="minorEastAsia"/>
          <w:color w:val="000000"/>
          <w:sz w:val="32"/>
          <w:szCs w:val="32"/>
          <w:lang w:val="en-US" w:eastAsia="zh-CN"/>
        </w:rPr>
        <w:t>7.《关于进一步做好落实阶段性缓缴社会保险费政策有关工作的通知》（黑人社函〔2022〕469号）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38" w:name="_Toc31036"/>
      <w:bookmarkStart w:id="339" w:name="_Toc21985"/>
      <w:bookmarkStart w:id="340" w:name="_Toc11989"/>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41" w:name="_Toc31443"/>
      <w:r>
        <w:rPr>
          <w:rFonts w:hint="eastAsia"/>
          <w:lang w:val="en-US" w:eastAsia="zh-CN"/>
        </w:rPr>
        <w:t>（十四）制造业中小微企业继续延缓缴纳部分税费政策</w:t>
      </w:r>
      <w:bookmarkEnd w:id="338"/>
      <w:bookmarkEnd w:id="341"/>
    </w:p>
    <w:p>
      <w:pPr>
        <w:pageBreakBefore w:val="0"/>
        <w:kinsoku/>
        <w:wordWrap/>
        <w:overflowPunct/>
        <w:topLinePunct w:val="0"/>
        <w:bidi w:val="0"/>
        <w:spacing w:line="500" w:lineRule="exact"/>
        <w:ind w:firstLine="643" w:firstLineChars="200"/>
        <w:jc w:val="both"/>
        <w:textAlignment w:val="auto"/>
        <w:outlineLvl w:val="2"/>
        <w:rPr>
          <w:rFonts w:hint="eastAsia" w:ascii="宋体" w:hAnsi="宋体" w:eastAsia="宋体" w:cs="宋体"/>
          <w:sz w:val="32"/>
          <w:szCs w:val="32"/>
        </w:rPr>
      </w:pPr>
      <w:bookmarkStart w:id="342" w:name="_Toc1805"/>
      <w:r>
        <w:rPr>
          <w:rFonts w:hint="eastAsia" w:ascii="宋体" w:hAnsi="宋体" w:eastAsia="宋体" w:cs="宋体"/>
          <w:b/>
          <w:bCs/>
          <w:sz w:val="32"/>
          <w:szCs w:val="32"/>
          <w:lang w:val="en-US" w:eastAsia="zh-CN"/>
        </w:rPr>
        <w:t>【享受主体</w:t>
      </w:r>
      <w:r>
        <w:rPr>
          <w:rFonts w:hint="eastAsia" w:ascii="宋体" w:hAnsi="宋体" w:eastAsia="宋体" w:cs="宋体"/>
          <w:sz w:val="32"/>
          <w:szCs w:val="32"/>
        </w:rPr>
        <w:t>】</w:t>
      </w:r>
      <w:bookmarkEnd w:id="342"/>
    </w:p>
    <w:p>
      <w:pPr>
        <w:pageBreakBefore w:val="0"/>
        <w:kinsoku/>
        <w:wordWrap/>
        <w:overflowPunct/>
        <w:topLinePunct w:val="0"/>
        <w:bidi w:val="0"/>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rPr>
        <w:t>符合条件的制造业中小微企业（含个人独资企业、合伙企业、个体工商户）</w:t>
      </w:r>
    </w:p>
    <w:p>
      <w:pPr>
        <w:pageBreakBefore w:val="0"/>
        <w:kinsoku/>
        <w:wordWrap/>
        <w:overflowPunct/>
        <w:topLinePunct w:val="0"/>
        <w:bidi w:val="0"/>
        <w:spacing w:line="500" w:lineRule="exact"/>
        <w:ind w:firstLine="643" w:firstLineChars="200"/>
        <w:jc w:val="both"/>
        <w:textAlignment w:val="auto"/>
        <w:outlineLvl w:val="2"/>
        <w:rPr>
          <w:rFonts w:hint="eastAsia" w:ascii="宋体" w:hAnsi="宋体" w:eastAsia="宋体" w:cs="宋体"/>
          <w:b/>
          <w:bCs/>
          <w:sz w:val="32"/>
          <w:szCs w:val="32"/>
          <w:lang w:val="en-US" w:eastAsia="zh-CN"/>
        </w:rPr>
      </w:pPr>
      <w:bookmarkStart w:id="343" w:name="_Toc19995"/>
      <w:r>
        <w:rPr>
          <w:rFonts w:hint="eastAsia" w:ascii="宋体" w:hAnsi="宋体" w:eastAsia="宋体" w:cs="宋体"/>
          <w:b/>
          <w:bCs/>
          <w:sz w:val="32"/>
          <w:szCs w:val="32"/>
          <w:lang w:val="en-US" w:eastAsia="zh-CN"/>
        </w:rPr>
        <w:t>【优惠内容】</w:t>
      </w:r>
      <w:bookmarkEnd w:id="343"/>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b w:val="0"/>
          <w:bCs w:val="0"/>
          <w:sz w:val="32"/>
          <w:szCs w:val="32"/>
          <w:lang w:val="en-US" w:eastAsia="zh-CN"/>
        </w:rPr>
      </w:pPr>
      <w:bookmarkStart w:id="344" w:name="_Toc3701"/>
      <w:r>
        <w:rPr>
          <w:rFonts w:hint="eastAsia" w:ascii="宋体" w:hAnsi="宋体" w:eastAsia="宋体" w:cs="宋体"/>
          <w:b w:val="0"/>
          <w:bCs w:val="0"/>
          <w:sz w:val="32"/>
          <w:szCs w:val="32"/>
          <w:lang w:val="en-US" w:eastAsia="zh-CN"/>
        </w:rPr>
        <w:t>1.自2022年9月1日起，按照《国家税务总局 财政部关于延续实施制造业中小微企业延缓缴纳部分税费有关事项的公告》（2022年第2号）已享受延缓缴纳税费50%的制造业中型企业和延缓缴纳税费100%的制造业小微企业，其已缓缴税费的缓缴期限届满后继续延长4个月。</w:t>
      </w:r>
      <w:bookmarkEnd w:id="344"/>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b w:val="0"/>
          <w:bCs w:val="0"/>
          <w:sz w:val="32"/>
          <w:szCs w:val="32"/>
          <w:lang w:val="en-US" w:eastAsia="zh-CN"/>
        </w:rPr>
      </w:pPr>
      <w:bookmarkStart w:id="345" w:name="_Toc20860"/>
      <w:r>
        <w:rPr>
          <w:rFonts w:hint="eastAsia" w:ascii="宋体" w:hAnsi="宋体" w:eastAsia="宋体" w:cs="宋体"/>
          <w:b w:val="0"/>
          <w:bCs w:val="0"/>
          <w:sz w:val="32"/>
          <w:szCs w:val="32"/>
          <w:lang w:val="en-US" w:eastAsia="zh-CN"/>
        </w:rPr>
        <w:t>2.延缓缴纳的税费包括所属期为2021年11月、12月，2022年2月、3月、4月、5月、6月（按月缴纳）或者2021年第四季度，2022年第一季度、第二季度（按季缴纳）已按规定缓缴的企业所得税、个人所得税、国内增值税、国内消费税及附征的城市维护建设税、教育费附加、地方教育附加，不包括代扣代缴、代收代缴以及向税务机关申请代开发票时缴纳的税费。</w:t>
      </w:r>
      <w:bookmarkEnd w:id="345"/>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b w:val="0"/>
          <w:bCs w:val="0"/>
          <w:sz w:val="32"/>
          <w:szCs w:val="32"/>
          <w:lang w:val="en-US" w:eastAsia="zh-CN"/>
        </w:rPr>
      </w:pPr>
      <w:bookmarkStart w:id="346" w:name="_Toc27841"/>
      <w:r>
        <w:rPr>
          <w:rFonts w:hint="eastAsia" w:ascii="宋体" w:hAnsi="宋体" w:eastAsia="宋体" w:cs="宋体"/>
          <w:b w:val="0"/>
          <w:bCs w:val="0"/>
          <w:sz w:val="32"/>
          <w:szCs w:val="32"/>
          <w:lang w:val="en-US" w:eastAsia="zh-CN"/>
        </w:rPr>
        <w:t>3.上述企业2021年11月和2022年2月延缓缴纳的税费在2022年9月1日后至《</w:t>
      </w:r>
      <w:r>
        <w:rPr>
          <w:rFonts w:hint="eastAsia" w:ascii="宋体" w:hAnsi="宋体" w:eastAsia="宋体" w:cs="宋体"/>
          <w:sz w:val="32"/>
          <w:szCs w:val="32"/>
          <w:lang w:val="en-US" w:eastAsia="zh-CN"/>
        </w:rPr>
        <w:t>国家税务总局 财政部关于制造业中小微企业继续延缓缴纳部分税费有关事项的公告》（2022年第17号）</w:t>
      </w:r>
      <w:r>
        <w:rPr>
          <w:rFonts w:hint="eastAsia" w:ascii="宋体" w:hAnsi="宋体" w:eastAsia="宋体" w:cs="宋体"/>
          <w:b w:val="0"/>
          <w:bCs w:val="0"/>
          <w:sz w:val="32"/>
          <w:szCs w:val="32"/>
          <w:lang w:val="en-US" w:eastAsia="zh-CN"/>
        </w:rPr>
        <w:t>发布前已缴纳入库的，可自愿选择申请办理退税（费）并享受延续缓缴政策。</w:t>
      </w:r>
      <w:bookmarkEnd w:id="346"/>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sz w:val="32"/>
          <w:szCs w:val="32"/>
        </w:rPr>
      </w:pPr>
      <w:bookmarkStart w:id="347" w:name="_Toc29977"/>
      <w:r>
        <w:rPr>
          <w:rFonts w:hint="eastAsia" w:ascii="宋体" w:hAnsi="宋体" w:eastAsia="宋体" w:cs="宋体"/>
          <w:b w:val="0"/>
          <w:bCs w:val="0"/>
          <w:sz w:val="32"/>
          <w:szCs w:val="32"/>
          <w:lang w:val="en-US" w:eastAsia="zh-CN"/>
        </w:rPr>
        <w:t>4.</w:t>
      </w:r>
      <w:r>
        <w:rPr>
          <w:rFonts w:hint="eastAsia" w:ascii="宋体" w:hAnsi="宋体" w:eastAsia="宋体" w:cs="宋体"/>
          <w:sz w:val="32"/>
          <w:szCs w:val="32"/>
          <w:lang w:eastAsia="zh-CN"/>
        </w:rPr>
        <w:t>缓缴</w:t>
      </w:r>
      <w:r>
        <w:rPr>
          <w:rFonts w:hint="eastAsia" w:ascii="宋体" w:hAnsi="宋体" w:eastAsia="宋体" w:cs="宋体"/>
          <w:sz w:val="32"/>
          <w:szCs w:val="32"/>
        </w:rPr>
        <w:t>期限届满，纳税人应依法缴纳相应月份或者季度的税费。</w:t>
      </w:r>
      <w:r>
        <w:rPr>
          <w:rFonts w:hint="eastAsia" w:ascii="宋体" w:hAnsi="宋体" w:eastAsia="宋体" w:cs="宋体"/>
          <w:b w:val="0"/>
          <w:bCs w:val="0"/>
          <w:sz w:val="32"/>
          <w:szCs w:val="32"/>
          <w:lang w:val="en-US" w:eastAsia="zh-CN"/>
        </w:rPr>
        <w:t>符合《中华人民共和国税收征收管理法》及其实施细则规定可以申请延期缴纳税款的，可依法申请办理延期缴纳税款。</w:t>
      </w:r>
      <w:bookmarkEnd w:id="347"/>
    </w:p>
    <w:p>
      <w:pPr>
        <w:pageBreakBefore w:val="0"/>
        <w:kinsoku/>
        <w:wordWrap/>
        <w:overflowPunct/>
        <w:topLinePunct w:val="0"/>
        <w:bidi w:val="0"/>
        <w:spacing w:line="500" w:lineRule="exact"/>
        <w:ind w:firstLine="643" w:firstLineChars="200"/>
        <w:jc w:val="both"/>
        <w:textAlignment w:val="auto"/>
        <w:outlineLvl w:val="2"/>
        <w:rPr>
          <w:rFonts w:hint="eastAsia" w:ascii="宋体" w:hAnsi="宋体" w:eastAsia="宋体" w:cs="宋体"/>
          <w:b/>
          <w:bCs/>
          <w:sz w:val="32"/>
          <w:szCs w:val="32"/>
          <w:lang w:val="en-US" w:eastAsia="zh-CN"/>
        </w:rPr>
      </w:pPr>
      <w:bookmarkStart w:id="348" w:name="_Toc30730"/>
      <w:r>
        <w:rPr>
          <w:rFonts w:hint="eastAsia" w:ascii="宋体" w:hAnsi="宋体" w:eastAsia="宋体" w:cs="宋体"/>
          <w:b/>
          <w:bCs/>
          <w:sz w:val="32"/>
          <w:szCs w:val="32"/>
          <w:lang w:val="en-US" w:eastAsia="zh-CN"/>
        </w:rPr>
        <w:t>【享受条件】</w:t>
      </w:r>
      <w:bookmarkEnd w:id="348"/>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b/>
          <w:bCs/>
          <w:sz w:val="32"/>
          <w:szCs w:val="32"/>
          <w:lang w:val="en-US" w:eastAsia="zh-CN"/>
        </w:rPr>
      </w:pPr>
      <w:bookmarkStart w:id="349" w:name="_Toc23550"/>
      <w:r>
        <w:rPr>
          <w:rFonts w:hint="eastAsia" w:ascii="宋体" w:hAnsi="宋体" w:eastAsia="宋体" w:cs="宋体"/>
          <w:b w:val="0"/>
          <w:bCs w:val="0"/>
          <w:sz w:val="32"/>
          <w:szCs w:val="32"/>
          <w:lang w:val="en-US" w:eastAsia="zh-CN"/>
        </w:rPr>
        <w:t>按照《国家税务总局 财政部关于延续实施制造业中小微企业延缓缴纳部分税费有关事项的公告》（2022年第2号）已享受延缓缴纳税费50%的制造业中型企业（</w:t>
      </w:r>
      <w:r>
        <w:rPr>
          <w:rFonts w:hint="eastAsia" w:ascii="宋体" w:hAnsi="宋体" w:eastAsia="宋体" w:cs="宋体"/>
          <w:sz w:val="32"/>
          <w:szCs w:val="32"/>
        </w:rPr>
        <w:t>含个人独资企业、合伙企业、个体工商户</w:t>
      </w:r>
      <w:r>
        <w:rPr>
          <w:rFonts w:hint="eastAsia" w:ascii="宋体" w:hAnsi="宋体" w:eastAsia="宋体" w:cs="宋体"/>
          <w:sz w:val="32"/>
          <w:szCs w:val="32"/>
          <w:lang w:eastAsia="zh-CN"/>
        </w:rPr>
        <w:t>）</w:t>
      </w:r>
      <w:r>
        <w:rPr>
          <w:rFonts w:hint="eastAsia" w:ascii="宋体" w:hAnsi="宋体" w:eastAsia="宋体" w:cs="宋体"/>
          <w:b w:val="0"/>
          <w:bCs w:val="0"/>
          <w:sz w:val="32"/>
          <w:szCs w:val="32"/>
          <w:lang w:val="en-US" w:eastAsia="zh-CN"/>
        </w:rPr>
        <w:t>和延缓缴纳税费100%的制造业小微企业（</w:t>
      </w:r>
      <w:r>
        <w:rPr>
          <w:rFonts w:hint="eastAsia" w:ascii="宋体" w:hAnsi="宋体" w:eastAsia="宋体" w:cs="宋体"/>
          <w:sz w:val="32"/>
          <w:szCs w:val="32"/>
        </w:rPr>
        <w:t>含个人独资企业、合伙企业、个体工商户</w:t>
      </w:r>
      <w:r>
        <w:rPr>
          <w:rFonts w:hint="eastAsia" w:ascii="宋体" w:hAnsi="宋体" w:eastAsia="宋体" w:cs="宋体"/>
          <w:sz w:val="32"/>
          <w:szCs w:val="32"/>
          <w:lang w:eastAsia="zh-CN"/>
        </w:rPr>
        <w:t>）</w:t>
      </w:r>
      <w:r>
        <w:rPr>
          <w:rFonts w:hint="eastAsia" w:ascii="宋体" w:hAnsi="宋体" w:eastAsia="宋体" w:cs="宋体"/>
          <w:b w:val="0"/>
          <w:bCs w:val="0"/>
          <w:sz w:val="32"/>
          <w:szCs w:val="32"/>
          <w:lang w:val="en-US" w:eastAsia="zh-CN"/>
        </w:rPr>
        <w:t>。</w:t>
      </w:r>
      <w:bookmarkEnd w:id="349"/>
    </w:p>
    <w:p>
      <w:pPr>
        <w:pageBreakBefore w:val="0"/>
        <w:kinsoku/>
        <w:wordWrap/>
        <w:overflowPunct/>
        <w:topLinePunct w:val="0"/>
        <w:bidi w:val="0"/>
        <w:spacing w:line="500" w:lineRule="exact"/>
        <w:ind w:firstLine="640" w:firstLineChars="200"/>
        <w:jc w:val="both"/>
        <w:textAlignment w:val="auto"/>
        <w:outlineLvl w:val="2"/>
        <w:rPr>
          <w:rFonts w:hint="eastAsia" w:ascii="宋体" w:hAnsi="宋体" w:eastAsia="宋体" w:cs="宋体"/>
          <w:sz w:val="32"/>
          <w:szCs w:val="32"/>
        </w:rPr>
      </w:pPr>
      <w:bookmarkStart w:id="350" w:name="_Toc26556"/>
      <w:r>
        <w:rPr>
          <w:rFonts w:hint="eastAsia" w:ascii="宋体" w:hAnsi="宋体" w:eastAsia="宋体" w:cs="宋体"/>
          <w:sz w:val="32"/>
          <w:szCs w:val="32"/>
        </w:rPr>
        <w:t>【</w:t>
      </w:r>
      <w:r>
        <w:rPr>
          <w:rFonts w:hint="eastAsia" w:ascii="宋体" w:hAnsi="宋体" w:eastAsia="宋体" w:cs="宋体"/>
          <w:b/>
          <w:bCs/>
          <w:sz w:val="32"/>
          <w:szCs w:val="32"/>
          <w:lang w:val="en-US" w:eastAsia="zh-CN"/>
        </w:rPr>
        <w:t>办理流程</w:t>
      </w:r>
      <w:r>
        <w:rPr>
          <w:rFonts w:hint="eastAsia" w:ascii="宋体" w:hAnsi="宋体" w:eastAsia="宋体" w:cs="宋体"/>
          <w:sz w:val="32"/>
          <w:szCs w:val="32"/>
        </w:rPr>
        <w:t>】</w:t>
      </w:r>
      <w:bookmarkEnd w:id="350"/>
    </w:p>
    <w:p>
      <w:pPr>
        <w:pageBreakBefore w:val="0"/>
        <w:kinsoku/>
        <w:wordWrap/>
        <w:overflowPunct/>
        <w:topLinePunct w:val="0"/>
        <w:bidi w:val="0"/>
        <w:spacing w:line="500" w:lineRule="exact"/>
        <w:ind w:firstLine="640" w:firstLineChars="200"/>
        <w:jc w:val="both"/>
        <w:textAlignment w:val="auto"/>
        <w:rPr>
          <w:rFonts w:hint="eastAsia" w:ascii="宋体" w:hAnsi="宋体" w:eastAsia="宋体" w:cs="宋体"/>
          <w:b w:val="0"/>
          <w:bCs w:val="0"/>
          <w:sz w:val="32"/>
          <w:szCs w:val="32"/>
          <w:lang w:val="en-US" w:eastAsia="zh-CN"/>
        </w:rPr>
      </w:pPr>
      <w:r>
        <w:rPr>
          <w:rFonts w:hint="eastAsia" w:ascii="宋体" w:hAnsi="宋体" w:eastAsia="宋体" w:cs="宋体"/>
          <w:sz w:val="32"/>
          <w:szCs w:val="32"/>
          <w:lang w:eastAsia="zh-CN"/>
        </w:rPr>
        <w:t>免申即享，即</w:t>
      </w:r>
      <w:r>
        <w:rPr>
          <w:rFonts w:hint="eastAsia" w:ascii="宋体" w:hAnsi="宋体" w:eastAsia="宋体" w:cs="宋体"/>
          <w:b w:val="0"/>
          <w:bCs w:val="0"/>
          <w:sz w:val="32"/>
          <w:szCs w:val="32"/>
          <w:lang w:val="en-US" w:eastAsia="zh-CN"/>
        </w:rPr>
        <w:t>制造业中小微企业已按照《国家税务总局 财政部关于延续实施制造业中小微企业延缓缴纳部分税费有关事项的公告》（2022年第2号）规定享受延缓缴纳税费政策的，在延缓缴纳期限届满后，无需纳税人操作，缓缴期限自动延长4个月。</w:t>
      </w:r>
    </w:p>
    <w:p>
      <w:pPr>
        <w:pageBreakBefore w:val="0"/>
        <w:kinsoku/>
        <w:wordWrap/>
        <w:overflowPunct/>
        <w:topLinePunct w:val="0"/>
        <w:bidi w:val="0"/>
        <w:spacing w:line="500" w:lineRule="exact"/>
        <w:ind w:firstLine="643" w:firstLineChars="200"/>
        <w:jc w:val="both"/>
        <w:textAlignment w:val="auto"/>
        <w:outlineLvl w:val="2"/>
        <w:rPr>
          <w:rFonts w:hint="eastAsia" w:ascii="宋体" w:hAnsi="宋体" w:eastAsia="宋体" w:cs="宋体"/>
          <w:b/>
          <w:bCs/>
          <w:sz w:val="32"/>
          <w:szCs w:val="32"/>
          <w:lang w:val="en-US" w:eastAsia="zh-CN"/>
        </w:rPr>
      </w:pPr>
      <w:bookmarkStart w:id="351" w:name="_Toc25568"/>
      <w:r>
        <w:rPr>
          <w:rFonts w:hint="eastAsia" w:ascii="宋体" w:hAnsi="宋体" w:eastAsia="宋体" w:cs="宋体"/>
          <w:b/>
          <w:bCs/>
          <w:sz w:val="32"/>
          <w:szCs w:val="32"/>
          <w:lang w:val="en-US" w:eastAsia="zh-CN"/>
        </w:rPr>
        <w:t>【政策依据】</w:t>
      </w:r>
      <w:bookmarkEnd w:id="351"/>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outlineLvl w:val="2"/>
        <w:rPr>
          <w:rFonts w:hint="eastAsia" w:ascii="宋体" w:hAnsi="宋体" w:eastAsia="宋体" w:cs="宋体"/>
          <w:b/>
          <w:bCs/>
          <w:sz w:val="32"/>
          <w:szCs w:val="32"/>
          <w:lang w:val="en-US" w:eastAsia="zh-CN"/>
        </w:rPr>
      </w:pPr>
      <w:bookmarkStart w:id="352" w:name="_Toc32462"/>
      <w:r>
        <w:rPr>
          <w:rFonts w:hint="eastAsia" w:ascii="宋体" w:hAnsi="宋体" w:eastAsia="宋体" w:cs="宋体"/>
          <w:sz w:val="32"/>
          <w:szCs w:val="32"/>
          <w:lang w:val="en-US" w:eastAsia="zh-CN"/>
        </w:rPr>
        <w:t>1.《国家税务总局 财政部关于制造业中小微企业继续延缓缴纳部分税费有关事项的公告》（2022年第17号）</w:t>
      </w:r>
      <w:bookmarkEnd w:id="352"/>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lang w:val="en-US" w:eastAsia="zh-CN"/>
        </w:rPr>
        <w:t>2.</w:t>
      </w:r>
      <w:r>
        <w:rPr>
          <w:rFonts w:hint="eastAsia" w:ascii="宋体" w:hAnsi="宋体" w:eastAsia="宋体" w:cs="宋体"/>
          <w:sz w:val="32"/>
          <w:szCs w:val="32"/>
        </w:rPr>
        <w:t>《国家税务总局 财政部关于延续实施制造业中小微企业延缓缴纳部分税费有关事项的公告》（2022年第2号）</w:t>
      </w:r>
    </w:p>
    <w:p>
      <w:pPr>
        <w:pStyle w:val="4"/>
        <w:pageBreakBefore w:val="0"/>
        <w:kinsoku/>
        <w:wordWrap/>
        <w:overflowPunct/>
        <w:topLinePunct w:val="0"/>
        <w:bidi w:val="0"/>
        <w:spacing w:line="500" w:lineRule="exact"/>
        <w:ind w:firstLine="643" w:firstLineChars="200"/>
        <w:textAlignment w:val="auto"/>
        <w:outlineLvl w:val="0"/>
        <w:rPr>
          <w:rFonts w:hint="eastAsia"/>
          <w:lang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353" w:name="_Toc19557"/>
      <w:r>
        <w:rPr>
          <w:rFonts w:hint="eastAsia"/>
          <w:lang w:eastAsia="zh-CN"/>
        </w:rPr>
        <w:t>（十五）</w:t>
      </w:r>
      <w:r>
        <w:rPr>
          <w:rFonts w:hint="eastAsia"/>
        </w:rPr>
        <w:t>高新技术企业扣除设备器具所得税税前政策</w:t>
      </w:r>
      <w:bookmarkEnd w:id="353"/>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32"/>
          <w:szCs w:val="32"/>
          <w:lang w:val="en-US" w:eastAsia="zh-CN" w:bidi="ar-SA"/>
        </w:rPr>
      </w:pPr>
      <w:r>
        <w:rPr>
          <w:rFonts w:hint="eastAsia" w:ascii="Calibri" w:hAnsi="Calibri" w:eastAsia="宋体" w:cs="Times New Roman"/>
          <w:b/>
          <w:kern w:val="2"/>
          <w:sz w:val="32"/>
          <w:szCs w:val="32"/>
          <w:lang w:val="en-US" w:eastAsia="zh-CN" w:bidi="ar-SA"/>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rPr>
        <w:t>高新技术企业</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rPr>
        <w:t>高新技术企业</w:t>
      </w:r>
      <w:r>
        <w:rPr>
          <w:rFonts w:hint="eastAsia" w:ascii="宋体" w:hAnsi="宋体" w:eastAsia="宋体" w:cs="宋体"/>
          <w:kern w:val="2"/>
          <w:sz w:val="32"/>
          <w:szCs w:val="32"/>
          <w:lang w:val="en-US" w:eastAsia="zh-CN" w:bidi="ar-SA"/>
        </w:rPr>
        <w:t>在2022年10月1日至2022年12月31日</w:t>
      </w:r>
      <w:r>
        <w:rPr>
          <w:rFonts w:hint="eastAsia" w:ascii="宋体" w:hAnsi="宋体" w:eastAsia="宋体" w:cs="宋体"/>
          <w:sz w:val="32"/>
          <w:szCs w:val="32"/>
        </w:rPr>
        <w:t>期间新购置的设备、器具，允许当年一次性全额在计算应纳税所得额时扣除，并允许在税前实行100%加计扣除。</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color w:val="auto"/>
          <w:kern w:val="2"/>
          <w:sz w:val="32"/>
          <w:szCs w:val="32"/>
          <w:lang w:val="en-US" w:eastAsia="zh-CN" w:bidi="ar-SA"/>
        </w:rPr>
      </w:pPr>
      <w:r>
        <w:rPr>
          <w:rFonts w:hint="eastAsia" w:ascii="Calibri" w:hAnsi="Calibri" w:eastAsia="宋体" w:cs="Times New Roman"/>
          <w:b/>
          <w:color w:val="auto"/>
          <w:kern w:val="2"/>
          <w:sz w:val="32"/>
          <w:szCs w:val="32"/>
          <w:lang w:val="en-US" w:eastAsia="zh-CN" w:bidi="ar-SA"/>
        </w:rPr>
        <w:t>【</w:t>
      </w:r>
      <w:r>
        <w:rPr>
          <w:rFonts w:hint="eastAsia" w:ascii="Calibri" w:hAnsi="Calibri" w:eastAsia="宋体" w:cs="Times New Roman"/>
          <w:b/>
          <w:color w:val="auto"/>
          <w:kern w:val="2"/>
          <w:sz w:val="32"/>
          <w:szCs w:val="32"/>
          <w:lang w:val="en-US" w:eastAsia="zh-Hans" w:bidi="ar-SA"/>
        </w:rPr>
        <w:t>享受条件</w:t>
      </w:r>
      <w:r>
        <w:rPr>
          <w:rFonts w:hint="eastAsia" w:ascii="Calibri" w:hAnsi="Calibri" w:eastAsia="宋体" w:cs="Times New Roman"/>
          <w:b/>
          <w:color w:val="auto"/>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color w:val="auto"/>
          <w:sz w:val="32"/>
          <w:szCs w:val="32"/>
          <w:lang w:val="en-US" w:eastAsia="zh-CN"/>
        </w:rPr>
      </w:pPr>
      <w:r>
        <w:rPr>
          <w:rFonts w:hint="eastAsia" w:ascii="宋体" w:hAnsi="宋体" w:eastAsia="宋体" w:cs="宋体"/>
          <w:color w:val="auto"/>
          <w:sz w:val="32"/>
          <w:szCs w:val="32"/>
          <w:lang w:val="en-US" w:eastAsia="zh-CN"/>
        </w:rPr>
        <w:t>1.高新技术企业在2022年10月1日至2022年12月31日期间新购置的设备、器具，允许当年一次性全额在计算应纳税所得额时扣除，并允许在税前实行100%加计扣除。</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imes New Roman" w:hAnsi="Times New Roman" w:eastAsia="宋体" w:cs="Times New Roman"/>
        </w:rPr>
      </w:pPr>
      <w:r>
        <w:rPr>
          <w:rFonts w:hint="eastAsia" w:ascii="宋体" w:hAnsi="宋体" w:eastAsia="宋体" w:cs="宋体"/>
          <w:color w:val="auto"/>
          <w:sz w:val="32"/>
          <w:szCs w:val="32"/>
          <w:lang w:val="en-US" w:eastAsia="zh-CN"/>
        </w:rPr>
        <w:t>2.凡在2022年第四季度内具有高新技术企业资格的企业，均可适用该项政策。企业选择适用该项政策当年不足扣除的，可结转至以后年度按现行有关规定执行。</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ascii="宋体" w:hAnsi="宋体" w:eastAsia="宋体" w:cs="宋体"/>
          <w:kern w:val="0"/>
          <w:sz w:val="24"/>
          <w:szCs w:val="24"/>
          <w:lang w:val="en-US" w:eastAsia="zh-CN" w:bidi="ar-SA"/>
        </w:rPr>
      </w:pPr>
      <w:r>
        <w:rPr>
          <w:rFonts w:hint="eastAsia" w:ascii="宋体" w:hAnsi="宋体" w:eastAsia="宋体" w:cs="宋体"/>
          <w:color w:val="auto"/>
          <w:kern w:val="0"/>
          <w:sz w:val="32"/>
          <w:szCs w:val="32"/>
          <w:lang w:val="en-US" w:eastAsia="zh-CN" w:bidi="ar-SA"/>
        </w:rPr>
        <w:t>3.所称设备、器具是指除房屋、建筑物以外的固定资产； 所称高新技术企业的条件和管理办法按照《科技部 财政部 国家税务总局关于修订印发&lt;高新技术企业认定管理办法&gt;的通知》（国科发火〔2016〕32号）执行。</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jc w:val="both"/>
        <w:textAlignment w:val="auto"/>
        <w:rPr>
          <w:rFonts w:hint="eastAsia" w:ascii="宋体" w:hAnsi="宋体" w:eastAsia="宋体" w:cs="宋体"/>
          <w:b/>
          <w:bCs/>
          <w:sz w:val="32"/>
          <w:szCs w:val="32"/>
        </w:rPr>
      </w:pPr>
      <w:r>
        <w:rPr>
          <w:rFonts w:hint="eastAsia" w:ascii="宋体" w:hAnsi="宋体" w:eastAsia="宋体" w:cs="宋体"/>
          <w:b/>
          <w:bCs/>
          <w:sz w:val="32"/>
          <w:szCs w:val="32"/>
        </w:rPr>
        <w:t>【</w:t>
      </w:r>
      <w:r>
        <w:rPr>
          <w:rFonts w:hint="eastAsia" w:ascii="Calibri" w:hAnsi="Calibri" w:eastAsia="宋体" w:cs="Times New Roman"/>
          <w:b/>
          <w:bCs/>
          <w:kern w:val="2"/>
          <w:sz w:val="32"/>
          <w:szCs w:val="32"/>
          <w:lang w:val="en-US" w:eastAsia="zh-CN" w:bidi="ar-SA"/>
        </w:rPr>
        <w:t>办理流程</w:t>
      </w:r>
      <w:r>
        <w:rPr>
          <w:rFonts w:hint="eastAsia" w:ascii="宋体" w:hAnsi="宋体" w:eastAsia="宋体" w:cs="宋体"/>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申报即享受，资料留存备查。</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黑体" w:hAnsi="黑体" w:eastAsia="黑体" w:cs="黑体"/>
          <w:sz w:val="32"/>
          <w:szCs w:val="32"/>
          <w:lang w:eastAsia="zh-CN"/>
        </w:rPr>
      </w:pPr>
      <w:r>
        <w:rPr>
          <w:rFonts w:hint="eastAsia" w:ascii="宋体" w:hAnsi="宋体" w:eastAsia="宋体" w:cs="宋体"/>
          <w:sz w:val="32"/>
          <w:szCs w:val="32"/>
        </w:rPr>
        <w:t>《财政部 税务总局 科技部关于加大支持科技创新税前扣除力度的公告》（2022年第28号）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lang w:eastAsia="zh-CN"/>
        </w:rPr>
      </w:pPr>
      <w:bookmarkStart w:id="354" w:name="_Toc30782"/>
      <w:r>
        <w:rPr>
          <w:rFonts w:hint="eastAsia"/>
          <w:lang w:val="en-US" w:eastAsia="zh-CN"/>
        </w:rPr>
        <w:t>（十六）</w:t>
      </w:r>
      <w:r>
        <w:rPr>
          <w:rFonts w:hint="eastAsia"/>
          <w:lang w:eastAsia="zh-CN"/>
        </w:rPr>
        <w:t>其他企业研发费用加计扣除政策</w:t>
      </w:r>
      <w:bookmarkEnd w:id="354"/>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宋体" w:hAnsi="宋体" w:eastAsia="宋体" w:cs="宋体"/>
          <w:b w:val="0"/>
          <w:bCs w:val="0"/>
          <w:color w:val="FF0000"/>
          <w:kern w:val="44"/>
          <w:sz w:val="18"/>
          <w:szCs w:val="18"/>
          <w:lang w:val="en-US" w:eastAsia="zh-CN" w:bidi="ar-SA"/>
        </w:rPr>
      </w:pPr>
      <w:r>
        <w:rPr>
          <w:rFonts w:hint="eastAsia" w:ascii="Calibri" w:hAnsi="Calibri" w:eastAsia="宋体" w:cs="Times New Roman"/>
          <w:b/>
          <w:kern w:val="2"/>
          <w:sz w:val="32"/>
          <w:szCs w:val="32"/>
          <w:lang w:val="en-US" w:eastAsia="zh-CN" w:bidi="ar-SA"/>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现行适用研发费用税前加计扣除比例75%的企业。</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lang w:val="en-US" w:eastAsia="zh-CN"/>
        </w:rPr>
        <w:t>现行适用研发费用税前加计扣除比例75%的企业，在2022年10月1日至2022年12月31日期间，税前加计扣除比例提高至100%。</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w:t>
      </w:r>
      <w:r>
        <w:rPr>
          <w:rFonts w:hint="eastAsia" w:ascii="Calibri" w:hAnsi="Calibri" w:eastAsia="宋体" w:cs="Times New Roman"/>
          <w:b/>
          <w:kern w:val="2"/>
          <w:sz w:val="32"/>
          <w:szCs w:val="32"/>
          <w:lang w:val="en-US" w:eastAsia="zh-Hans" w:bidi="ar-SA"/>
        </w:rPr>
        <w:t>享受条件</w:t>
      </w:r>
      <w:r>
        <w:rPr>
          <w:rFonts w:hint="eastAsia" w:ascii="Calibri" w:hAnsi="Calibri" w:eastAsia="宋体" w:cs="Times New Roman"/>
          <w:b/>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1.</w:t>
      </w:r>
      <w:r>
        <w:rPr>
          <w:rFonts w:hint="eastAsia" w:ascii="宋体" w:hAnsi="宋体" w:eastAsia="宋体" w:cs="宋体"/>
          <w:sz w:val="32"/>
          <w:szCs w:val="32"/>
        </w:rPr>
        <w:t>现行适用研发费用税前加计扣除比例75%的企业，</w:t>
      </w:r>
      <w:r>
        <w:rPr>
          <w:rFonts w:hint="eastAsia" w:ascii="宋体" w:hAnsi="宋体" w:eastAsia="宋体" w:cs="宋体"/>
          <w:sz w:val="32"/>
          <w:szCs w:val="32"/>
          <w:lang w:val="en-US" w:eastAsia="zh-CN"/>
        </w:rPr>
        <w:t>包括：除烟草制造业、住宿和餐饮业、批发和零售业、房地产业、租赁和商务服务业、娱乐业等负面清单行业，以及制造业、科技型中小企业以外的其他研发费用加计扣除比例仍为75%的企业。</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lang w:val="en-US" w:eastAsia="zh-CN"/>
        </w:rPr>
        <w:t>2.</w:t>
      </w:r>
      <w:r>
        <w:rPr>
          <w:rFonts w:hint="eastAsia" w:ascii="宋体" w:hAnsi="宋体" w:eastAsia="宋体" w:cs="宋体"/>
          <w:sz w:val="32"/>
          <w:szCs w:val="32"/>
        </w:rPr>
        <w:t>企业在2022年度企业所得税汇算清缴计算享受研发费用加计扣除优惠时，四季度研发费用可由企业自行选择按实际发生数计算，或者按全年实际发生的研发费用乘以2022年10月1日后的经营月份数占其2022年度实际经营月份数的比例计算。</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lang w:val="en-US" w:eastAsia="zh-CN"/>
        </w:rPr>
        <w:t>3.</w:t>
      </w:r>
      <w:r>
        <w:rPr>
          <w:rFonts w:hint="eastAsia" w:ascii="宋体" w:hAnsi="宋体" w:eastAsia="宋体" w:cs="宋体"/>
          <w:sz w:val="32"/>
          <w:szCs w:val="32"/>
        </w:rPr>
        <w:t>企业享受研发费用税前加计扣除政策的相关政策口径和管理，按照《财政部 国家税务总局 科技部关于完善研究开发费用税前加计扣除政策的通知》（财税〔2015〕119号）、《财政部 税务总局 科技部关于企业委托境外研究开发费用税前加计扣除有关政策问题的通知》（财税〔2018〕64号）等文件相关规定执行。</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【办理流程】</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申报即享受，资料留存备查。</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pPr>
      <w:r>
        <w:rPr>
          <w:rFonts w:hint="eastAsia" w:ascii="Calibri" w:hAnsi="Calibri" w:eastAsia="宋体" w:cs="Times New Roman"/>
          <w:b/>
          <w:kern w:val="2"/>
          <w:sz w:val="32"/>
          <w:szCs w:val="32"/>
          <w:lang w:val="en-US" w:eastAsia="zh-CN" w:bidi="ar-SA"/>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eastAsia="zh-CN"/>
        </w:rPr>
      </w:pPr>
      <w:r>
        <w:rPr>
          <w:rFonts w:hint="eastAsia" w:ascii="宋体" w:hAnsi="宋体" w:eastAsia="宋体" w:cs="宋体"/>
          <w:sz w:val="32"/>
          <w:szCs w:val="32"/>
        </w:rPr>
        <w:t>《财政部 税务总局 科技部关于加大支持科技创新税前扣除力度的公告》（2022年第28号）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p>
    <w:p>
      <w:pPr>
        <w:keepNext/>
        <w:keepLines/>
        <w:pageBreakBefore w:val="0"/>
        <w:widowControl w:val="0"/>
        <w:kinsoku/>
        <w:wordWrap/>
        <w:overflowPunct/>
        <w:topLinePunct w:val="0"/>
        <w:autoSpaceDE/>
        <w:autoSpaceDN/>
        <w:bidi w:val="0"/>
        <w:adjustRightInd/>
        <w:snapToGrid/>
        <w:spacing w:before="260" w:after="260" w:line="500" w:lineRule="exact"/>
        <w:ind w:firstLine="643" w:firstLineChars="200"/>
        <w:jc w:val="both"/>
        <w:textAlignment w:val="auto"/>
        <w:outlineLvl w:val="1"/>
        <w:rPr>
          <w:rFonts w:hint="eastAsia" w:ascii="黑体" w:hAnsi="黑体" w:eastAsia="黑体" w:cs="黑体"/>
          <w:b/>
          <w:bCs/>
          <w:kern w:val="2"/>
          <w:sz w:val="32"/>
          <w:szCs w:val="32"/>
          <w:lang w:val="en-US" w:eastAsia="zh-CN" w:bidi="ar-SA"/>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55" w:name="_Toc10549"/>
      <w:r>
        <w:rPr>
          <w:rFonts w:hint="eastAsia"/>
          <w:lang w:val="en-US" w:eastAsia="zh-CN"/>
        </w:rPr>
        <w:t>（十七）支持居民换购住房个人所得税优惠政策</w:t>
      </w:r>
      <w:bookmarkEnd w:id="355"/>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出售自有住房并在现住房出售后1年内在市场重新购买住房的纳税人</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自2022年10月1日至2023年12月31日，出售自有住房并在现住房出售后1年内在市场重新购买住房的纳税人，对其出售现住房已缴纳的个人所得税予以退税优惠。其中，新购住房金额大于或等于现住房转让金额的，全部退还已缴纳的个人所得税；新购住房金额小于现住房转让金额的，按新购住房金额占现住房转让金额的比例退还出售现住房已缴纳的个人所得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1.纳税人出售和重新购买的住房应在同一城市范围内。同一城市范围是指同一直辖市、副省级城市、地级市（地区、州、盟）所辖全部行政区划范围。</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2.出售自有住房的纳税人与新购住房之间须直接相关，应为新购住房产权人或产权人之一。</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w:t>
      </w:r>
      <w:r>
        <w:rPr>
          <w:rFonts w:hint="eastAsia" w:asciiTheme="minorEastAsia" w:hAnsiTheme="minorEastAsia" w:eastAsiaTheme="minorEastAsia" w:cstheme="minorEastAsia"/>
          <w:b/>
          <w:bCs/>
          <w:sz w:val="32"/>
          <w:szCs w:val="32"/>
          <w:lang w:eastAsia="zh-CN"/>
        </w:rPr>
        <w:t>办理流程</w:t>
      </w:r>
      <w:r>
        <w:rPr>
          <w:rFonts w:hint="eastAsia" w:asciiTheme="minorEastAsia" w:hAnsiTheme="minorEastAsia" w:eastAsiaTheme="minorEastAsia" w:cstheme="minorEastAsia"/>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符合退税优惠政策条件的纳税人应向主管税务机关提供合法、有效的售房、购房合同和主管税务机关要求提供的其他有关材料，经主管税务机关审核后办理退税。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rPr>
        <w:t>《财政部 税务总局关于支持居民换购住房有关个人所得税政策的公告》（2022年第30号）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2.《国家税务总局关于支持居民换购住房个人所得税政策有关征管事项的公告》</w:t>
      </w:r>
      <w:r>
        <w:rPr>
          <w:rFonts w:hint="eastAsia" w:asciiTheme="minorEastAsia" w:hAnsiTheme="minorEastAsia" w:eastAsiaTheme="minorEastAsia" w:cstheme="minorEastAsia"/>
          <w:sz w:val="32"/>
          <w:szCs w:val="32"/>
        </w:rPr>
        <w:t>（2022年第</w:t>
      </w:r>
      <w:r>
        <w:rPr>
          <w:rFonts w:hint="eastAsia" w:asciiTheme="minorEastAsia" w:hAnsiTheme="minorEastAsia" w:eastAsiaTheme="minorEastAsia" w:cstheme="minorEastAsia"/>
          <w:sz w:val="32"/>
          <w:szCs w:val="32"/>
          <w:lang w:val="en-US" w:eastAsia="zh-CN"/>
        </w:rPr>
        <w:t>21</w:t>
      </w:r>
      <w:r>
        <w:rPr>
          <w:rFonts w:hint="eastAsia" w:asciiTheme="minorEastAsia" w:hAnsiTheme="minorEastAsia" w:eastAsiaTheme="minorEastAsia" w:cstheme="minorEastAsia"/>
          <w:sz w:val="32"/>
          <w:szCs w:val="32"/>
        </w:rPr>
        <w:t>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56" w:name="_Toc30270"/>
      <w:r>
        <w:rPr>
          <w:rFonts w:hint="eastAsia"/>
          <w:lang w:val="en-US" w:eastAsia="zh-CN"/>
        </w:rPr>
        <w:t>（十八）银行业金融机构、金融资产管理公司不良债权以物抵债增值税政策</w:t>
      </w:r>
      <w:bookmarkEnd w:id="356"/>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【享受主体】</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color w:val="auto"/>
          <w:sz w:val="32"/>
          <w:szCs w:val="32"/>
        </w:rPr>
        <w:t>银行业金融机构、金融资产管理公司</w:t>
      </w:r>
      <w:r>
        <w:rPr>
          <w:rFonts w:hint="eastAsia" w:asciiTheme="minorEastAsia" w:hAnsiTheme="minorEastAsia" w:eastAsiaTheme="minorEastAsia" w:cstheme="minorEastAsia"/>
          <w:color w:val="auto"/>
          <w:sz w:val="32"/>
          <w:szCs w:val="32"/>
          <w:lang w:eastAsia="zh-CN"/>
        </w:rPr>
        <w:t>中的增值税一般纳税人</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【优惠内容】</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2022年8月1日至2023年7月31日,</w:t>
      </w:r>
      <w:r>
        <w:rPr>
          <w:rFonts w:hint="eastAsia" w:asciiTheme="minorEastAsia" w:hAnsiTheme="minorEastAsia" w:eastAsiaTheme="minorEastAsia" w:cstheme="minorEastAsia"/>
          <w:color w:val="auto"/>
          <w:sz w:val="32"/>
          <w:szCs w:val="32"/>
        </w:rPr>
        <w:t>银行业金融机构、金融资产管理公司中的增值税一般纳税人处置抵债不动产，可选择以取得的全部价款和价外费用扣除取得该抵债不动产时的作价为销售额，适用9%税率计算缴纳增值税。</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【享受条件】</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1.</w:t>
      </w:r>
      <w:r>
        <w:rPr>
          <w:rFonts w:hint="eastAsia" w:asciiTheme="minorEastAsia" w:hAnsiTheme="minorEastAsia" w:eastAsiaTheme="minorEastAsia" w:cstheme="minorEastAsia"/>
          <w:color w:val="auto"/>
          <w:sz w:val="32"/>
          <w:szCs w:val="32"/>
        </w:rPr>
        <w:t>按照上述规定从全部价款和价外费用中扣除抵债不动产的作价，应当取得人民法院、仲裁机构生效的法律文书。</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2.</w:t>
      </w:r>
      <w:r>
        <w:rPr>
          <w:rFonts w:hint="eastAsia" w:asciiTheme="minorEastAsia" w:hAnsiTheme="minorEastAsia" w:eastAsiaTheme="minorEastAsia" w:cstheme="minorEastAsia"/>
          <w:color w:val="auto"/>
          <w:sz w:val="32"/>
          <w:szCs w:val="32"/>
        </w:rPr>
        <w:t>选择上述办法计算销售额的银行业金融机构、金融资产管理公司处置抵债不动产时，抵债不动产作价的部分不得向购买方开具增值税专用发票。</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3.</w:t>
      </w:r>
      <w:r>
        <w:rPr>
          <w:rFonts w:hint="eastAsia" w:asciiTheme="minorEastAsia" w:hAnsiTheme="minorEastAsia" w:eastAsiaTheme="minorEastAsia" w:cstheme="minorEastAsia"/>
          <w:color w:val="auto"/>
          <w:sz w:val="32"/>
          <w:szCs w:val="32"/>
        </w:rPr>
        <w:t>所称抵债不动产、抵债资产，是指经人民法院判决裁定或仲裁机构仲裁的抵债不动产、抵债资产。其中，金融资产管理公司的抵债不动产、抵债资产，限于其承接银行业金融机构不良债权涉及的抵债不动产、抵债资产。</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val="en-US" w:eastAsia="zh-CN"/>
        </w:rPr>
      </w:pPr>
      <w:r>
        <w:rPr>
          <w:rFonts w:hint="eastAsia" w:asciiTheme="minorEastAsia" w:hAnsiTheme="minorEastAsia" w:eastAsiaTheme="minorEastAsia" w:cstheme="minorEastAsia"/>
          <w:color w:val="auto"/>
          <w:sz w:val="32"/>
          <w:szCs w:val="32"/>
          <w:lang w:val="en-US" w:eastAsia="zh-CN"/>
        </w:rPr>
        <w:t>4.所称</w:t>
      </w:r>
      <w:r>
        <w:rPr>
          <w:rFonts w:hint="eastAsia" w:asciiTheme="minorEastAsia" w:hAnsiTheme="minorEastAsia" w:eastAsiaTheme="minorEastAsia" w:cstheme="minorEastAsia"/>
          <w:color w:val="auto"/>
          <w:sz w:val="32"/>
          <w:szCs w:val="32"/>
        </w:rPr>
        <w:t>银行业金融机构，是指在中华人民共和国境内设立的商业银行、农村合作银行、农村信用社、村镇银行、农村资金互助社以及政策性银行。</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val="en-US" w:eastAsia="zh-CN"/>
        </w:rPr>
        <w:t>5.政策</w:t>
      </w:r>
      <w:r>
        <w:rPr>
          <w:rFonts w:hint="eastAsia" w:asciiTheme="minorEastAsia" w:hAnsiTheme="minorEastAsia" w:eastAsiaTheme="minorEastAsia" w:cstheme="minorEastAsia"/>
          <w:color w:val="auto"/>
          <w:sz w:val="32"/>
          <w:szCs w:val="32"/>
        </w:rPr>
        <w:t>执行期限为2022年8月1日至2023年7月31日。</w:t>
      </w:r>
      <w:r>
        <w:rPr>
          <w:rFonts w:hint="eastAsia" w:asciiTheme="minorEastAsia" w:hAnsiTheme="minorEastAsia" w:eastAsiaTheme="minorEastAsia" w:cstheme="minorEastAsia"/>
          <w:color w:val="auto"/>
          <w:sz w:val="32"/>
          <w:szCs w:val="32"/>
          <w:lang w:eastAsia="zh-CN"/>
        </w:rPr>
        <w:t>在</w:t>
      </w:r>
      <w:r>
        <w:rPr>
          <w:rFonts w:hint="eastAsia" w:asciiTheme="minorEastAsia" w:hAnsiTheme="minorEastAsia" w:eastAsiaTheme="minorEastAsia" w:cstheme="minorEastAsia"/>
          <w:color w:val="auto"/>
          <w:sz w:val="32"/>
          <w:szCs w:val="32"/>
          <w:lang w:val="en-US" w:eastAsia="zh-CN"/>
        </w:rPr>
        <w:t>《财政部 税务总局关于银行业金融机构、金融资产管理公司不良债权以物抵债有关税收政策的公告》（以下简称公告）</w:t>
      </w:r>
      <w:r>
        <w:rPr>
          <w:rFonts w:hint="eastAsia" w:asciiTheme="minorEastAsia" w:hAnsiTheme="minorEastAsia" w:eastAsiaTheme="minorEastAsia" w:cstheme="minorEastAsia"/>
          <w:color w:val="auto"/>
          <w:sz w:val="32"/>
          <w:szCs w:val="32"/>
        </w:rPr>
        <w:t>发布之前已征收入库的按照上述规定应予减免的税款，可抵减纳税人以后月份应缴纳的税款或办理税款退库。已向处置不动产的购买方全额开具增值税专用发票的，将上述增值税专用发票追回后方可适用</w:t>
      </w:r>
      <w:r>
        <w:rPr>
          <w:rFonts w:hint="eastAsia" w:asciiTheme="minorEastAsia" w:hAnsiTheme="minorEastAsia" w:eastAsiaTheme="minorEastAsia" w:cstheme="minorEastAsia"/>
          <w:color w:val="auto"/>
          <w:sz w:val="32"/>
          <w:szCs w:val="32"/>
          <w:lang w:eastAsia="zh-CN"/>
        </w:rPr>
        <w:t>公告的</w:t>
      </w:r>
      <w:r>
        <w:rPr>
          <w:rFonts w:hint="eastAsia" w:asciiTheme="minorEastAsia" w:hAnsiTheme="minorEastAsia" w:eastAsiaTheme="minorEastAsia" w:cstheme="minorEastAsia"/>
          <w:color w:val="auto"/>
          <w:sz w:val="32"/>
          <w:szCs w:val="32"/>
        </w:rPr>
        <w:t>规定。</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lang w:eastAsia="zh-CN"/>
        </w:rPr>
      </w:pPr>
      <w:r>
        <w:rPr>
          <w:rFonts w:hint="eastAsia" w:asciiTheme="minorEastAsia" w:hAnsiTheme="minorEastAsia" w:eastAsiaTheme="minorEastAsia" w:cstheme="minorEastAsia"/>
          <w:b/>
          <w:bCs/>
          <w:color w:val="auto"/>
          <w:sz w:val="32"/>
          <w:szCs w:val="32"/>
          <w:lang w:eastAsia="zh-CN"/>
        </w:rPr>
        <w:t>【办理流程】</w:t>
      </w:r>
    </w:p>
    <w:p>
      <w:pPr>
        <w:pStyle w:val="2"/>
        <w:keepNext w:val="0"/>
        <w:keepLines w:val="0"/>
        <w:pageBreakBefore w:val="0"/>
        <w:widowControl w:val="0"/>
        <w:kinsoku/>
        <w:wordWrap/>
        <w:overflowPunct/>
        <w:topLinePunct w:val="0"/>
        <w:autoSpaceDE/>
        <w:autoSpaceDN/>
        <w:bidi w:val="0"/>
        <w:adjustRightInd/>
        <w:snapToGrid/>
        <w:spacing w:before="0" w:after="0"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000000"/>
          <w:kern w:val="2"/>
          <w:sz w:val="32"/>
          <w:szCs w:val="32"/>
          <w:lang w:val="en-US" w:eastAsia="zh-CN" w:bidi="ar-SA"/>
        </w:rPr>
        <w:t>申报即享受</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3" w:firstLineChars="200"/>
        <w:jc w:val="both"/>
        <w:textAlignment w:val="auto"/>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【政策依据】</w:t>
      </w:r>
    </w:p>
    <w:p>
      <w:pPr>
        <w:keepNext w:val="0"/>
        <w:keepLines w:val="0"/>
        <w:pageBreakBefore w:val="0"/>
        <w:widowControl w:val="0"/>
        <w:suppressAutoHyphens/>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lang w:eastAsia="zh-CN"/>
        </w:rPr>
      </w:pPr>
      <w:r>
        <w:rPr>
          <w:rFonts w:hint="eastAsia" w:asciiTheme="minorEastAsia" w:hAnsiTheme="minorEastAsia" w:eastAsiaTheme="minorEastAsia" w:cstheme="minorEastAsia"/>
          <w:color w:val="auto"/>
          <w:sz w:val="32"/>
          <w:szCs w:val="32"/>
          <w:lang w:val="en-US" w:eastAsia="zh-CN"/>
        </w:rPr>
        <w:t>《财政部 税务总局关于银行业金融机构、金融资产管理公司不良债权以物抵债有关税收政策的公告》（2022年第31号）</w:t>
      </w:r>
    </w:p>
    <w:p>
      <w:pPr>
        <w:pStyle w:val="4"/>
        <w:pageBreakBefore w:val="0"/>
        <w:kinsoku/>
        <w:wordWrap/>
        <w:overflowPunct/>
        <w:topLinePunct w:val="0"/>
        <w:bidi w:val="0"/>
        <w:spacing w:line="500" w:lineRule="exact"/>
        <w:ind w:firstLine="643" w:firstLineChars="200"/>
        <w:textAlignment w:val="auto"/>
        <w:outlineLvl w:val="0"/>
        <w:rPr>
          <w:rFonts w:hint="eastAsia"/>
          <w:b/>
          <w:bCs w:val="0"/>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57" w:name="_Toc14087"/>
      <w:r>
        <w:rPr>
          <w:rFonts w:hint="eastAsia"/>
          <w:b/>
          <w:bCs w:val="0"/>
          <w:lang w:val="en-US" w:eastAsia="zh-CN"/>
        </w:rPr>
        <w:t>（十九）</w:t>
      </w:r>
      <w:r>
        <w:rPr>
          <w:rFonts w:hint="eastAsia"/>
          <w:lang w:val="en-US" w:eastAsia="zh-CN"/>
        </w:rPr>
        <w:t>银行业金融机构、金融资产管理公司免征契税政策</w:t>
      </w:r>
      <w:bookmarkEnd w:id="357"/>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Calibri" w:hAnsi="Calibri" w:eastAsia="宋体" w:cs="Times New Roman"/>
          <w:sz w:val="32"/>
          <w:szCs w:val="32"/>
          <w:lang w:val="en-US" w:eastAsia="zh-CN"/>
        </w:rPr>
      </w:pPr>
      <w:r>
        <w:rPr>
          <w:rFonts w:hint="eastAsia" w:ascii="Calibri" w:hAnsi="Calibri" w:eastAsia="宋体" w:cs="Times New Roman"/>
          <w:color w:val="0000FF"/>
          <w:sz w:val="32"/>
          <w:szCs w:val="32"/>
          <w:lang w:val="en-US" w:eastAsia="zh-CN"/>
        </w:rPr>
        <w:t xml:space="preserve">   </w:t>
      </w:r>
      <w:r>
        <w:rPr>
          <w:rFonts w:hint="eastAsia" w:ascii="Calibri" w:hAnsi="Calibri" w:eastAsia="宋体" w:cs="Times New Roman"/>
          <w:color w:val="auto"/>
          <w:sz w:val="32"/>
          <w:szCs w:val="32"/>
          <w:lang w:val="en-US" w:eastAsia="zh-CN"/>
        </w:rPr>
        <w:t xml:space="preserve"> 银行业金融机构、金融资产管理公司</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【优惠内容】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 xml:space="preserve">  </w:t>
      </w:r>
      <w:r>
        <w:rPr>
          <w:rFonts w:hint="eastAsia" w:asciiTheme="minorEastAsia" w:hAnsiTheme="minorEastAsia" w:eastAsiaTheme="minorEastAsia" w:cstheme="minorEastAsia"/>
          <w:sz w:val="32"/>
          <w:szCs w:val="32"/>
          <w:lang w:val="en-US" w:eastAsia="zh-CN"/>
        </w:rPr>
        <w:t xml:space="preserve">  2022年8月1日至2023年7月31日，</w:t>
      </w:r>
      <w:r>
        <w:rPr>
          <w:rFonts w:hint="eastAsia" w:ascii="Calibri" w:hAnsi="Calibri" w:eastAsia="宋体" w:cs="Times New Roman"/>
          <w:sz w:val="32"/>
          <w:szCs w:val="32"/>
          <w:lang w:val="en-US" w:eastAsia="zh-CN"/>
        </w:rPr>
        <w:t>对银行业金融机构、金融资产管理公司接收抵债资产免征契税。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w:t>
      </w:r>
      <w:r>
        <w:rPr>
          <w:rFonts w:hint="eastAsia" w:ascii="Calibri" w:hAnsi="Calibri" w:eastAsia="宋体" w:cs="Times New Roman"/>
          <w:b/>
          <w:bCs/>
          <w:sz w:val="32"/>
          <w:szCs w:val="32"/>
          <w:lang w:val="en-US" w:eastAsia="zh-Hans"/>
        </w:rPr>
        <w:t>享受条件</w:t>
      </w:r>
      <w:r>
        <w:rPr>
          <w:rFonts w:hint="eastAsia" w:ascii="Calibri" w:hAnsi="Calibri" w:eastAsia="宋体"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sz w:val="32"/>
          <w:szCs w:val="32"/>
          <w:lang w:val="en-US" w:eastAsia="zh-CN"/>
        </w:rPr>
      </w:pPr>
      <w:r>
        <w:rPr>
          <w:rFonts w:hint="eastAsia" w:cs="Times New Roman"/>
          <w:b/>
          <w:bCs/>
          <w:sz w:val="32"/>
          <w:szCs w:val="32"/>
          <w:lang w:val="en-US" w:eastAsia="zh-CN"/>
        </w:rPr>
        <w:t xml:space="preserve">   </w:t>
      </w:r>
      <w:r>
        <w:rPr>
          <w:rFonts w:hint="eastAsia" w:asciiTheme="minorEastAsia" w:hAnsiTheme="minorEastAsia" w:eastAsiaTheme="minorEastAsia" w:cstheme="minorEastAsia"/>
          <w:sz w:val="32"/>
          <w:szCs w:val="32"/>
          <w:lang w:val="en-US" w:eastAsia="zh-CN"/>
        </w:rPr>
        <w:t xml:space="preserve"> 所称银行业金融机构，是指在中华人民共和国境内设立的商业银行、农村合作银行、农村信用社、村镇银行、农村资金互助社以及政策性银行。</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抵债不动产、抵债资产，是指经人民法院判决裁定或仲裁机构仲裁的抵债不动产、抵债资产。其中，金融资产管理公司的抵债不动产、抵债资产，限于其承接银行业金融机构不良债权涉及的抵债不动产、抵债资产。执行期限为2022年8月1日至2023年7月31日。</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w:t>
      </w:r>
      <w:r>
        <w:rPr>
          <w:rFonts w:hint="eastAsia" w:ascii="Calibri" w:hAnsi="Calibri" w:eastAsia="宋体" w:cs="Times New Roman"/>
          <w:b/>
          <w:bCs/>
          <w:sz w:val="32"/>
          <w:szCs w:val="32"/>
          <w:lang w:eastAsia="zh-CN"/>
        </w:rPr>
        <w:t>办理流程</w:t>
      </w:r>
      <w:r>
        <w:rPr>
          <w:rFonts w:hint="eastAsia" w:ascii="Calibri" w:hAnsi="Calibri" w:eastAsia="宋体"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向主管税务机关提供相关资料，经审核后享受。</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lang w:eastAsia="zh-CN"/>
        </w:rPr>
        <w:t>《财政部</w:t>
      </w:r>
      <w:r>
        <w:rPr>
          <w:rFonts w:hint="eastAsia" w:asciiTheme="majorEastAsia" w:hAnsiTheme="majorEastAsia" w:eastAsiaTheme="majorEastAsia" w:cstheme="majorEastAsia"/>
          <w:sz w:val="32"/>
          <w:szCs w:val="32"/>
          <w:lang w:val="en-US" w:eastAsia="zh-CN"/>
        </w:rPr>
        <w:t xml:space="preserve"> 税务总局关于银行业金融机构、金融资产管理公司不良债权以物抵债有关税收政策的公告</w:t>
      </w:r>
      <w:r>
        <w:rPr>
          <w:rFonts w:hint="eastAsia" w:asciiTheme="majorEastAsia" w:hAnsiTheme="majorEastAsia" w:eastAsiaTheme="majorEastAsia" w:cstheme="majorEastAsia"/>
          <w:sz w:val="32"/>
          <w:szCs w:val="32"/>
          <w:lang w:eastAsia="zh-CN"/>
        </w:rPr>
        <w:t>》（</w:t>
      </w:r>
      <w:r>
        <w:rPr>
          <w:rFonts w:hint="eastAsia" w:asciiTheme="majorEastAsia" w:hAnsiTheme="majorEastAsia" w:eastAsiaTheme="majorEastAsia" w:cstheme="majorEastAsia"/>
          <w:sz w:val="32"/>
          <w:szCs w:val="32"/>
          <w:lang w:val="en-US" w:eastAsia="zh-CN"/>
        </w:rPr>
        <w:t>2022年第31号）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r>
        <w:rPr>
          <w:rFonts w:hint="eastAsia"/>
          <w:lang w:val="en-US" w:eastAsia="zh-CN"/>
        </w:rPr>
        <w:tab/>
      </w:r>
    </w:p>
    <w:p>
      <w:pPr>
        <w:pStyle w:val="4"/>
        <w:pageBreakBefore w:val="0"/>
        <w:kinsoku/>
        <w:wordWrap/>
        <w:overflowPunct/>
        <w:topLinePunct w:val="0"/>
        <w:bidi w:val="0"/>
        <w:spacing w:line="500" w:lineRule="exact"/>
        <w:ind w:firstLine="643" w:firstLineChars="200"/>
        <w:textAlignment w:val="auto"/>
        <w:outlineLvl w:val="0"/>
        <w:rPr>
          <w:rFonts w:hint="default"/>
          <w:lang w:val="en-US" w:eastAsia="zh-CN"/>
        </w:rPr>
      </w:pPr>
      <w:bookmarkStart w:id="358" w:name="_Toc26091"/>
      <w:r>
        <w:rPr>
          <w:rFonts w:hint="eastAsia"/>
          <w:lang w:val="en-US" w:eastAsia="zh-CN"/>
        </w:rPr>
        <w:t>（二十）</w:t>
      </w:r>
      <w:r>
        <w:rPr>
          <w:rFonts w:hint="default"/>
          <w:lang w:val="en-US" w:eastAsia="zh-CN"/>
        </w:rPr>
        <w:t>银行业金融机构、金融资产管理公司</w:t>
      </w:r>
      <w:r>
        <w:rPr>
          <w:rFonts w:hint="eastAsia"/>
          <w:lang w:val="en-US" w:eastAsia="zh-CN"/>
        </w:rPr>
        <w:t>免征印花税政策</w:t>
      </w:r>
      <w:bookmarkEnd w:id="358"/>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Calibri" w:eastAsia="宋体" w:cs="Times New Roman"/>
          <w:color w:val="auto"/>
          <w:sz w:val="32"/>
          <w:szCs w:val="32"/>
          <w:lang w:val="en-US" w:eastAsia="zh-CN"/>
        </w:rPr>
      </w:pPr>
      <w:r>
        <w:rPr>
          <w:rFonts w:hint="eastAsia" w:ascii="Calibri" w:hAnsi="Calibri" w:eastAsia="宋体" w:cs="Times New Roman"/>
          <w:color w:val="0000FF"/>
          <w:sz w:val="32"/>
          <w:szCs w:val="32"/>
          <w:lang w:val="en-US" w:eastAsia="zh-CN"/>
        </w:rPr>
        <w:t xml:space="preserve">    </w:t>
      </w:r>
      <w:r>
        <w:rPr>
          <w:rFonts w:hint="eastAsia" w:ascii="Times New Roman" w:hAnsi="Calibri" w:eastAsia="宋体" w:cs="Times New Roman"/>
          <w:color w:val="auto"/>
          <w:sz w:val="32"/>
          <w:szCs w:val="32"/>
          <w:lang w:val="en-US" w:eastAsia="zh-CN"/>
        </w:rPr>
        <w:t>银行业金融机构、金融资产管理公司</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【优惠内容】</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 xml:space="preserve">   </w:t>
      </w:r>
      <w:r>
        <w:rPr>
          <w:rFonts w:hint="eastAsia" w:asciiTheme="minorEastAsia" w:hAnsiTheme="minorEastAsia" w:eastAsiaTheme="minorEastAsia" w:cstheme="minorEastAsia"/>
          <w:sz w:val="32"/>
          <w:szCs w:val="32"/>
          <w:lang w:val="en-US" w:eastAsia="zh-CN"/>
        </w:rPr>
        <w:t xml:space="preserve"> 2022年8月1日至2023年7月31日</w:t>
      </w:r>
      <w:r>
        <w:rPr>
          <w:rFonts w:hint="eastAsia" w:ascii="Calibri" w:hAnsi="Calibri" w:eastAsia="宋体" w:cs="Times New Roman"/>
          <w:sz w:val="32"/>
          <w:szCs w:val="32"/>
          <w:lang w:val="en-US" w:eastAsia="zh-CN"/>
        </w:rPr>
        <w:t>，对银行业金融机构、金融资产管理公司接收、处置抵债过程中涉及的合同、产权转移书据和营业账簿免征印花税。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w:t>
      </w:r>
      <w:r>
        <w:rPr>
          <w:rFonts w:hint="eastAsia" w:ascii="Calibri" w:hAnsi="Calibri" w:eastAsia="宋体" w:cs="Times New Roman"/>
          <w:b/>
          <w:bCs/>
          <w:sz w:val="32"/>
          <w:szCs w:val="32"/>
          <w:lang w:val="en-US" w:eastAsia="zh-Hans"/>
        </w:rPr>
        <w:t>享受条件</w:t>
      </w:r>
      <w:r>
        <w:rPr>
          <w:rFonts w:hint="eastAsia" w:ascii="Calibri" w:hAnsi="Calibri" w:eastAsia="宋体"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eastAsia="宋体"/>
          <w:lang w:val="en-US" w:eastAsia="zh-CN"/>
        </w:rPr>
      </w:pPr>
      <w:r>
        <w:rPr>
          <w:rFonts w:hint="eastAsia" w:cs="Times New Roman"/>
          <w:b w:val="0"/>
          <w:bCs w:val="0"/>
          <w:sz w:val="32"/>
          <w:szCs w:val="32"/>
          <w:lang w:val="en-US" w:eastAsia="zh-CN"/>
        </w:rPr>
        <w:t>所称</w:t>
      </w:r>
      <w:r>
        <w:rPr>
          <w:rFonts w:hint="eastAsia" w:asciiTheme="minorEastAsia" w:hAnsiTheme="minorEastAsia" w:eastAsiaTheme="minorEastAsia" w:cstheme="minorEastAsia"/>
          <w:sz w:val="32"/>
          <w:szCs w:val="32"/>
          <w:lang w:val="en-US" w:eastAsia="zh-CN"/>
        </w:rPr>
        <w:t>银</w:t>
      </w:r>
      <w:r>
        <w:rPr>
          <w:rFonts w:hint="eastAsia" w:ascii="Calibri" w:hAnsi="Calibri" w:eastAsia="宋体" w:cs="Times New Roman"/>
          <w:sz w:val="32"/>
          <w:szCs w:val="32"/>
          <w:lang w:val="en-US" w:eastAsia="zh-CN"/>
        </w:rPr>
        <w:t>行业金融机构，是指在中华人民共和国境内设立的商业银行、农村合作银行、农村</w:t>
      </w:r>
      <w:r>
        <w:rPr>
          <w:rFonts w:hint="eastAsia" w:ascii="Times New Roman" w:hAnsi="Calibri" w:eastAsia="宋体" w:cs="Times New Roman"/>
          <w:color w:val="auto"/>
          <w:sz w:val="32"/>
          <w:szCs w:val="32"/>
          <w:lang w:val="en-US" w:eastAsia="zh-CN"/>
        </w:rPr>
        <w:t>信用社、村镇银行、农村资金互助社以及政策性银行。</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lang w:val="en-US" w:eastAsia="zh-CN"/>
        </w:rPr>
      </w:pPr>
      <w:r>
        <w:rPr>
          <w:rFonts w:hint="eastAsia" w:ascii="Calibri" w:hAnsi="Calibri" w:eastAsia="宋体" w:cs="Times New Roman"/>
          <w:sz w:val="32"/>
          <w:szCs w:val="32"/>
          <w:lang w:val="en-US" w:eastAsia="zh-CN"/>
        </w:rPr>
        <w:t>抵债不动产、抵债资产，是指经人民法院判决裁定或仲裁机构仲裁的抵债不动产、抵债资产。其中，金融资产管理公司的抵债不动产、抵债资产，限于其承接银行业金融机构不良债权涉及的抵债不动产、抵债资产。</w:t>
      </w:r>
      <w:r>
        <w:rPr>
          <w:rFonts w:hint="eastAsia" w:asciiTheme="minorEastAsia" w:hAnsiTheme="minorEastAsia" w:eastAsiaTheme="minorEastAsia" w:cstheme="minorEastAsia"/>
          <w:sz w:val="32"/>
          <w:szCs w:val="32"/>
          <w:lang w:val="en-US" w:eastAsia="zh-CN"/>
        </w:rPr>
        <w:t>执行期限为2022年8月1日至2023年7月31日。</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w:t>
      </w:r>
      <w:r>
        <w:rPr>
          <w:rFonts w:hint="eastAsia" w:ascii="Calibri" w:hAnsi="Calibri" w:eastAsia="宋体" w:cs="Times New Roman"/>
          <w:b/>
          <w:bCs/>
          <w:sz w:val="32"/>
          <w:szCs w:val="32"/>
          <w:lang w:eastAsia="zh-CN"/>
        </w:rPr>
        <w:t>办理流程</w:t>
      </w:r>
      <w:r>
        <w:rPr>
          <w:rFonts w:hint="eastAsia" w:ascii="Calibri" w:hAnsi="Calibri" w:eastAsia="宋体" w:cs="Times New Roman"/>
          <w:b/>
          <w:bCs/>
          <w:sz w:val="32"/>
          <w:szCs w:val="32"/>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Calibri" w:hAnsi="Calibri" w:eastAsia="宋体" w:cs="Times New Roman"/>
          <w:sz w:val="32"/>
          <w:szCs w:val="32"/>
          <w:lang w:val="en-US" w:eastAsia="zh-CN"/>
        </w:rPr>
      </w:pPr>
      <w:r>
        <w:rPr>
          <w:rFonts w:hint="eastAsia" w:ascii="Calibri" w:hAnsi="Calibri" w:eastAsia="宋体" w:cs="Times New Roman"/>
          <w:sz w:val="32"/>
          <w:szCs w:val="32"/>
          <w:lang w:val="en-US" w:eastAsia="zh-CN"/>
        </w:rPr>
        <w:t>向主管税务机关申报享受，相关资料留存备查。</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Calibri" w:hAnsi="Calibri" w:eastAsia="宋体" w:cs="Times New Roman"/>
          <w:b/>
          <w:bCs/>
          <w:sz w:val="32"/>
          <w:szCs w:val="32"/>
        </w:rPr>
      </w:pPr>
      <w:r>
        <w:rPr>
          <w:rFonts w:hint="eastAsia" w:ascii="Calibri" w:hAnsi="Calibri" w:eastAsia="宋体" w:cs="Times New Roman"/>
          <w:b/>
          <w:bCs/>
          <w:sz w:val="32"/>
          <w:szCs w:val="32"/>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Calibri" w:hAnsi="Calibri" w:eastAsia="宋体" w:cs="Times New Roman"/>
          <w:sz w:val="32"/>
          <w:szCs w:val="32"/>
          <w:lang w:val="en-US" w:eastAsia="zh-CN"/>
        </w:rPr>
      </w:pPr>
      <w:r>
        <w:rPr>
          <w:rFonts w:hint="eastAsia" w:ascii="Calibri" w:hAnsi="Calibri" w:eastAsia="宋体" w:cs="Times New Roman"/>
          <w:sz w:val="32"/>
          <w:szCs w:val="32"/>
          <w:lang w:eastAsia="zh-CN"/>
        </w:rPr>
        <w:t>《财政部</w:t>
      </w:r>
      <w:r>
        <w:rPr>
          <w:rFonts w:hint="eastAsia" w:ascii="Calibri" w:hAnsi="Calibri" w:eastAsia="宋体" w:cs="Times New Roman"/>
          <w:sz w:val="32"/>
          <w:szCs w:val="32"/>
          <w:lang w:val="en-US" w:eastAsia="zh-CN"/>
        </w:rPr>
        <w:t xml:space="preserve"> 税务总局关于银行业金融机构、金融资产管理公司不良债权以物抵债有关税收政策的公告</w:t>
      </w:r>
      <w:r>
        <w:rPr>
          <w:rFonts w:hint="eastAsia" w:ascii="Calibri" w:hAnsi="Calibri" w:eastAsia="宋体" w:cs="Times New Roman"/>
          <w:sz w:val="32"/>
          <w:szCs w:val="32"/>
          <w:lang w:eastAsia="zh-CN"/>
        </w:rPr>
        <w:t>》（</w:t>
      </w:r>
      <w:r>
        <w:rPr>
          <w:rFonts w:hint="eastAsia" w:asciiTheme="minorEastAsia" w:hAnsiTheme="minorEastAsia" w:eastAsiaTheme="minorEastAsia" w:cstheme="minorEastAsia"/>
          <w:sz w:val="32"/>
          <w:szCs w:val="32"/>
          <w:lang w:val="en-US" w:eastAsia="zh-CN"/>
        </w:rPr>
        <w:t>2022年第31号</w:t>
      </w:r>
      <w:r>
        <w:rPr>
          <w:rFonts w:hint="eastAsia" w:ascii="Calibri" w:hAnsi="Calibri" w:eastAsia="宋体" w:cs="Times New Roman"/>
          <w:sz w:val="32"/>
          <w:szCs w:val="32"/>
          <w:lang w:val="en-US" w:eastAsia="zh-CN"/>
        </w:rPr>
        <w:t>）</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59" w:name="_Toc2738"/>
      <w:bookmarkStart w:id="360" w:name="_Toc30628"/>
      <w:r>
        <w:rPr>
          <w:rFonts w:hint="eastAsia"/>
          <w:lang w:val="en-US" w:eastAsia="zh-CN"/>
        </w:rPr>
        <w:t>（二十一）企业投入基础研究企业所得税优惠政策</w:t>
      </w:r>
      <w:bookmarkEnd w:id="359"/>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企业投入基础研究税前扣除及加计扣除政策适用于所有企业，基础研究资金收入免征企业所得税政策适用于符合条件的非营利性科学技术研究开发机构（以下简称非营利性科研机构）、高等学校和政府性自然科学基金。</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自2022年1月1日起执行</w:t>
      </w:r>
      <w:r>
        <w:rPr>
          <w:rFonts w:hint="eastAsia" w:asciiTheme="minorEastAsia" w:hAnsiTheme="minorEastAsia" w:cstheme="minorEastAsia"/>
          <w:sz w:val="32"/>
          <w:szCs w:val="32"/>
          <w:lang w:eastAsia="zh-CN"/>
        </w:rPr>
        <w:t>。</w:t>
      </w:r>
    </w:p>
    <w:p>
      <w:pPr>
        <w:pStyle w:val="15"/>
        <w:keepNext w:val="0"/>
        <w:keepLines w:val="0"/>
        <w:widowControl/>
        <w:suppressLineNumbers w:val="0"/>
        <w:spacing w:before="0" w:beforeAutospacing="0" w:after="0" w:afterAutospacing="0" w:line="23" w:lineRule="atLeast"/>
        <w:ind w:right="0" w:firstLine="640" w:firstLineChars="200"/>
        <w:jc w:val="both"/>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 xml:space="preserve">对企业出资给非营利性科研机构、高等学校和政府性自然科学基金用于基础研究的支出，在计算应纳税所得额时可按实际发生额在税前扣除，并可按 100%在税前加计扣除。  </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rPr>
        <w:t>对非营利性科研机构、高等学校接收企业、个人和其他组织机构基础研究资金收入，免征企业所得税。</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【享受条件】</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auto"/>
          <w:sz w:val="32"/>
          <w:szCs w:val="32"/>
          <w:lang w:eastAsia="zh-CN"/>
        </w:rPr>
        <w:t>一、</w:t>
      </w:r>
      <w:r>
        <w:rPr>
          <w:rFonts w:hint="eastAsia" w:asciiTheme="minorEastAsia" w:hAnsiTheme="minorEastAsia" w:eastAsiaTheme="minorEastAsia" w:cstheme="minorEastAsia"/>
          <w:sz w:val="32"/>
          <w:szCs w:val="32"/>
        </w:rPr>
        <w:t>所称非营利性科研机构、高等学校包括国家设立的科研机构和高等学校、民办非营利性科研机构和高等学校，具体按以下条件确定：</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（一）国家设立的科研机构和高等学校是指利用财政性资金设立的、取得《事业单位法人证书》的科研机构和公办高等学校，包括中央和地方所属科研机构和高等学校。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（二）民办非营利性科研机构和高等学校，是指同时满足以下条件的科研机构和高等学校：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1.根据《民办非企业单位登记管理暂行条例》在民政部门登记，并取得《民办非企业单位（法人）登记证书》。</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对于民办非营利性科研机构，其《民办非企业单位（法人）登记证书》记载的业务范围应属于科学研究与技术开发、成果转让、科技咨询与服务、科技成果评估范围。对业务范围存在争议的，由税务机关转请县级（含）以上科技行政主管部门确认。</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对于民办非营利性高等学校，应取得教育主管部门颁发的《民办学校办学许可证》，记载学校类型为“高等学校”。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3.经认定取得企业所得税非营利组织免税资格。</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lang w:eastAsia="zh-CN"/>
        </w:rPr>
        <w:t>二</w:t>
      </w:r>
      <w:r>
        <w:rPr>
          <w:rFonts w:hint="eastAsia" w:asciiTheme="minorEastAsia" w:hAnsiTheme="minorEastAsia" w:eastAsiaTheme="minorEastAsia" w:cstheme="minorEastAsia"/>
          <w:color w:val="auto"/>
          <w:sz w:val="32"/>
          <w:szCs w:val="32"/>
        </w:rPr>
        <w:t>、所称政府性自然科学基金是指国家和地方政府设立的自然科学基金委员会管理的自然科学基金。</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color w:val="auto"/>
          <w:sz w:val="32"/>
          <w:szCs w:val="32"/>
          <w:lang w:eastAsia="zh-CN"/>
        </w:rPr>
        <w:t>三</w:t>
      </w:r>
      <w:r>
        <w:rPr>
          <w:rFonts w:hint="eastAsia" w:asciiTheme="minorEastAsia" w:hAnsiTheme="minorEastAsia" w:eastAsiaTheme="minorEastAsia" w:cstheme="minorEastAsia"/>
          <w:color w:val="auto"/>
          <w:sz w:val="32"/>
          <w:szCs w:val="32"/>
        </w:rPr>
        <w:t>、</w:t>
      </w:r>
      <w:r>
        <w:rPr>
          <w:rFonts w:hint="eastAsia" w:asciiTheme="minorEastAsia" w:hAnsiTheme="minorEastAsia" w:eastAsiaTheme="minorEastAsia" w:cstheme="minorEastAsia"/>
          <w:sz w:val="32"/>
          <w:szCs w:val="32"/>
        </w:rPr>
        <w:t>所称基础研究是指通过对事物的特性、结构和相互关系进行分析，从而阐述和检验各种假设、原理和定律的活动。具体依据以下内容判断：</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一）基础研究不预设某一特定的应用或使用目的，主要是为获得关于现象和可观察事实的基本原理的新知识，可针对已知或具有前沿性的科学问题，或者针对人们普遍感兴趣的某些广泛领域，以未来广泛应用为目标。</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二）基础研究可细分为两种类型，一是自由探索性基础研究，即为了增进知识，不追求经济或社会效益，也不积极谋求将其应用于实际问题或把成果转移到负责应用的部门。二是目标导向（定向）基础研究，旨在获取某方面知识、期望为探索解决当前已知或未来可能发现的问题奠定基础。</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三）基础研究成果通常表现为新原理、新理论、新规律或新知识，并以论文、著作、研究报告等形式为主。同时，由于基础研究具有较强的探索性、存在失败的风险，论文、著作、研究报告等也可以体现为试错或证伪等成果。</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上述基础研究不包括在境外开展的研究，也不包括社会科学、艺术或人文学方面的研究。</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【办理流程】</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heme="minorEastAsia" w:hAnsiTheme="minorEastAsia" w:eastAsiaTheme="minorEastAsia" w:cstheme="minorEastAsia"/>
          <w:color w:val="0000FF"/>
          <w:sz w:val="32"/>
          <w:szCs w:val="32"/>
        </w:rPr>
      </w:pPr>
      <w:r>
        <w:rPr>
          <w:rFonts w:hint="eastAsia" w:asciiTheme="minorEastAsia" w:hAnsiTheme="minorEastAsia" w:eastAsiaTheme="minorEastAsia" w:cstheme="minorEastAsia"/>
          <w:sz w:val="32"/>
          <w:szCs w:val="32"/>
        </w:rPr>
        <w:t>申报即享受</w:t>
      </w:r>
      <w:r>
        <w:rPr>
          <w:rFonts w:hint="eastAsia" w:asciiTheme="minorEastAsia" w:hAnsiTheme="minorEastAsia" w:eastAsiaTheme="minorEastAsia" w:cstheme="minorEastAsia"/>
          <w:sz w:val="32"/>
          <w:szCs w:val="32"/>
          <w:lang w:eastAsia="zh-CN"/>
        </w:rPr>
        <w:t>、资料留存备查</w:t>
      </w:r>
      <w:r>
        <w:rPr>
          <w:rFonts w:hint="eastAsia" w:asciiTheme="minorEastAsia" w:hAnsiTheme="minorEastAsia" w:eastAsiaTheme="minorEastAsia" w:cstheme="minorEastAsia"/>
          <w:color w:val="0000FF"/>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rPr>
        <w:t>【政策依据】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lang w:val="en-US" w:eastAsia="zh-CN"/>
        </w:rPr>
      </w:pPr>
      <w:r>
        <w:rPr>
          <w:rFonts w:hint="eastAsia" w:asciiTheme="minorEastAsia" w:hAnsiTheme="minorEastAsia" w:eastAsiaTheme="minorEastAsia" w:cstheme="minorEastAsia"/>
          <w:sz w:val="32"/>
          <w:szCs w:val="32"/>
        </w:rPr>
        <w:t>《财政部 税务总局关于企业投入基础研究税收优惠政策的公告》（2022年第32号）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61" w:name="_Toc14458"/>
      <w:r>
        <w:rPr>
          <w:rFonts w:hint="eastAsia"/>
          <w:lang w:val="en-US" w:eastAsia="zh-CN"/>
        </w:rPr>
        <w:t>（二十二）抗击疫情房产税、城镇土地使用税支持政策</w:t>
      </w:r>
      <w:bookmarkEnd w:id="318"/>
      <w:bookmarkEnd w:id="319"/>
      <w:bookmarkEnd w:id="339"/>
      <w:bookmarkEnd w:id="340"/>
      <w:bookmarkEnd w:id="360"/>
      <w:bookmarkEnd w:id="361"/>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62" w:name="_Toc2351"/>
      <w:bookmarkStart w:id="363" w:name="_Toc2084"/>
      <w:r>
        <w:rPr>
          <w:rFonts w:hint="eastAsia" w:asciiTheme="minorEastAsia" w:hAnsiTheme="minorEastAsia" w:eastAsiaTheme="minorEastAsia" w:cstheme="minorEastAsia"/>
          <w:b/>
          <w:bCs/>
          <w:sz w:val="32"/>
          <w:szCs w:val="32"/>
          <w:lang w:val="en-US" w:eastAsia="zh-CN"/>
        </w:rPr>
        <w:t>【享受主体】</w:t>
      </w:r>
      <w:bookmarkEnd w:id="362"/>
      <w:bookmarkEnd w:id="36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属于交通运输业（铁路运输、道路运输、航空运输、多式联运和运输代理四类）、住宿和餐饮业、零售业、文体和娱乐业（指文化、体育和娱乐业）、旅游业（指旅行社及相关服务、游览景区管理两类）、居民服务业的纳税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将房产、土地出租给交通运输业（铁路运输、道路运输、航空运输、多式联运和运输代理四类）、住宿和餐饮业、零售业、文体和娱乐业（指文化、体育和娱乐业）、旅游业（指旅行社及相关服务、游览景区管理两类）、居民服务业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64" w:name="_Toc5532"/>
      <w:bookmarkStart w:id="365" w:name="_Toc10938"/>
      <w:r>
        <w:rPr>
          <w:rFonts w:hint="eastAsia" w:asciiTheme="minorEastAsia" w:hAnsiTheme="minorEastAsia" w:eastAsiaTheme="minorEastAsia" w:cstheme="minorEastAsia"/>
          <w:b/>
          <w:bCs/>
          <w:sz w:val="32"/>
          <w:szCs w:val="32"/>
          <w:lang w:val="en-US" w:eastAsia="zh-CN"/>
        </w:rPr>
        <w:t>【优惠内容】</w:t>
      </w:r>
      <w:bookmarkEnd w:id="364"/>
      <w:bookmarkEnd w:id="36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对符合减免税条件的市场主体，减免房产税、城镇土地使用税。</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66" w:name="_Toc19869"/>
      <w:bookmarkStart w:id="367" w:name="_Toc15180"/>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366"/>
      <w:bookmarkEnd w:id="36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rPr>
        <w:t>自用房产、土地的纳税人，同时符合以下条件的，可申报房产税、城镇土地使用税困难减免：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房产、土地坐落于2022年被列为疫情中高风险地区所在县级行政区域内。</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免税期限为自划定为中高风险地区的月份起至解除中高风险地区的月份止。</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rPr>
        <w:t>出租房产、土地的纳税人，同时符合以下条件的，可申报房产税、城镇土地使用税困难减免：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在2022年免收一个月以上（含）租金。纳税人免收租金1个月（含）以上，是指：按月减免1个月（含）以上租金的；或者通过定额、比例等其他方式减免租金，按照有效合同（协议）计算的减免租金额度，相当于1个月（含）以上租金的。</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免收1个月（含）以上租金的，在免收租金期间，对免收租金的房产、土地免征房产税、城镇土地使用税。免收租金超过1个月但不足1个半月的，按1个月计算；免收租金超过1个半月但不足2个月的，按2个月计算，以此类推。</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68" w:name="_Toc27762"/>
      <w:bookmarkStart w:id="369" w:name="_Toc29511"/>
      <w:r>
        <w:rPr>
          <w:rFonts w:hint="eastAsia" w:asciiTheme="minorEastAsia" w:hAnsiTheme="minorEastAsia" w:eastAsiaTheme="minorEastAsia" w:cstheme="minorEastAsia"/>
          <w:b/>
          <w:bCs/>
          <w:sz w:val="32"/>
          <w:szCs w:val="32"/>
          <w:lang w:val="en-US" w:eastAsia="zh-CN"/>
        </w:rPr>
        <w:t>【办理流程】</w:t>
      </w:r>
      <w:bookmarkEnd w:id="368"/>
      <w:bookmarkEnd w:id="36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eastAsia="zh-CN"/>
        </w:rPr>
        <w:t>申报即享受，资料留存备查</w:t>
      </w:r>
      <w:r>
        <w:rPr>
          <w:rFonts w:hint="eastAsia" w:asciiTheme="minorEastAsia" w:hAnsiTheme="minorEastAsia" w:cstheme="minorEastAsia"/>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70" w:name="_Toc24410"/>
      <w:bookmarkStart w:id="371" w:name="_Toc22065"/>
      <w:r>
        <w:rPr>
          <w:rFonts w:hint="eastAsia" w:asciiTheme="minorEastAsia" w:hAnsiTheme="minorEastAsia" w:eastAsiaTheme="minorEastAsia" w:cstheme="minorEastAsia"/>
          <w:b/>
          <w:bCs/>
          <w:sz w:val="32"/>
          <w:szCs w:val="32"/>
          <w:lang w:val="en-US" w:eastAsia="zh-CN"/>
        </w:rPr>
        <w:t>【政策依据】</w:t>
      </w:r>
      <w:bookmarkEnd w:id="370"/>
      <w:bookmarkEnd w:id="37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1.《黑龙江省贯彻落实&lt;</w:t>
      </w:r>
      <w:r>
        <w:rPr>
          <w:rFonts w:hint="eastAsia" w:asciiTheme="minorEastAsia" w:hAnsiTheme="minorEastAsia" w:eastAsiaTheme="minorEastAsia" w:cstheme="minorEastAsia"/>
          <w:sz w:val="32"/>
          <w:szCs w:val="32"/>
          <w:lang w:eastAsia="zh-CN"/>
        </w:rPr>
        <w:t>促进服务业领域困难行业恢复发展的若干政策〉的具体措施》（黑</w:t>
      </w:r>
      <w:r>
        <w:rPr>
          <w:rFonts w:hint="eastAsia" w:asciiTheme="minorEastAsia" w:hAnsiTheme="minorEastAsia" w:eastAsiaTheme="minorEastAsia" w:cstheme="minorEastAsia"/>
          <w:sz w:val="32"/>
          <w:szCs w:val="32"/>
        </w:rPr>
        <w:t>发改财金</w:t>
      </w:r>
      <w:r>
        <w:rPr>
          <w:rFonts w:hint="eastAsia" w:asciiTheme="minorEastAsia" w:hAnsiTheme="minorEastAsia" w:eastAsiaTheme="minorEastAsia" w:cstheme="minorEastAsia"/>
          <w:sz w:val="32"/>
          <w:szCs w:val="32"/>
          <w:lang w:eastAsia="zh-CN"/>
        </w:rPr>
        <w:t>函</w:t>
      </w:r>
      <w:r>
        <w:rPr>
          <w:rFonts w:hint="eastAsia" w:asciiTheme="minorEastAsia" w:hAnsiTheme="minorEastAsia" w:eastAsiaTheme="minorEastAsia" w:cstheme="minorEastAsia"/>
          <w:sz w:val="32"/>
          <w:szCs w:val="32"/>
        </w:rPr>
        <w:t>〔2022〕</w:t>
      </w:r>
      <w:r>
        <w:rPr>
          <w:rFonts w:hint="eastAsia" w:asciiTheme="minorEastAsia" w:hAnsiTheme="minorEastAsia" w:eastAsiaTheme="minorEastAsia" w:cstheme="minorEastAsia"/>
          <w:sz w:val="32"/>
          <w:szCs w:val="32"/>
          <w:lang w:val="en-US" w:eastAsia="zh-CN"/>
        </w:rPr>
        <w:t>104</w:t>
      </w:r>
      <w:r>
        <w:rPr>
          <w:rFonts w:hint="eastAsia" w:asciiTheme="minorEastAsia" w:hAnsiTheme="minorEastAsia" w:eastAsiaTheme="minorEastAsia" w:cstheme="minorEastAsia"/>
          <w:sz w:val="32"/>
          <w:szCs w:val="32"/>
        </w:rPr>
        <w:t>号</w:t>
      </w:r>
      <w:r>
        <w:rPr>
          <w:rFonts w:hint="eastAsia" w:asciiTheme="minorEastAsia" w:hAnsiTheme="minorEastAsia" w:eastAsiaTheme="minorEastAsia" w:cstheme="minorEastAsia"/>
          <w:sz w:val="32"/>
          <w:szCs w:val="32"/>
          <w:lang w:eastAsia="zh-CN"/>
        </w:rPr>
        <w:t>印发）</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国家税务总局黑龙江省税务局关于印发</w:t>
      </w:r>
      <w:r>
        <w:rPr>
          <w:rFonts w:hint="eastAsia" w:asciiTheme="minorEastAsia" w:hAnsiTheme="minorEastAsia" w:eastAsiaTheme="minorEastAsia" w:cstheme="minorEastAsia"/>
          <w:sz w:val="32"/>
          <w:szCs w:val="32"/>
          <w:lang w:eastAsia="zh-CN"/>
        </w:rPr>
        <w:t>〈关于促进服务业领域困难行业恢复发展的税收减免政策兑现指南〉的公告</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2022</w:t>
      </w:r>
      <w:r>
        <w:rPr>
          <w:rFonts w:hint="eastAsia" w:asciiTheme="minorEastAsia" w:hAnsiTheme="minorEastAsia" w:eastAsiaTheme="minorEastAsia" w:cstheme="minorEastAsia"/>
          <w:sz w:val="32"/>
          <w:szCs w:val="32"/>
          <w:lang w:eastAsia="zh-CN"/>
        </w:rPr>
        <w:t>年第</w:t>
      </w:r>
      <w:r>
        <w:rPr>
          <w:rFonts w:hint="eastAsia" w:asciiTheme="minorEastAsia" w:hAnsiTheme="minorEastAsia" w:eastAsiaTheme="minorEastAsia" w:cstheme="minorEastAsia"/>
          <w:sz w:val="32"/>
          <w:szCs w:val="32"/>
          <w:lang w:val="en-US" w:eastAsia="zh-CN"/>
        </w:rPr>
        <w:t>6号）</w:t>
      </w:r>
      <w:bookmarkStart w:id="372" w:name="_Toc19788"/>
    </w:p>
    <w:p>
      <w:pPr>
        <w:pStyle w:val="25"/>
        <w:ind w:left="0" w:leftChars="0" w:firstLine="0" w:firstLineChars="0"/>
        <w:rPr>
          <w:rFonts w:hint="eastAsia" w:asciiTheme="minorEastAsia" w:hAnsiTheme="minorEastAsia" w:eastAsiaTheme="minorEastAsia" w:cstheme="minorEastAsia"/>
          <w:sz w:val="32"/>
          <w:szCs w:val="32"/>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73" w:name="_Toc27805"/>
      <w:bookmarkStart w:id="374" w:name="_Toc6511"/>
      <w:bookmarkStart w:id="375" w:name="_Toc29967"/>
      <w:bookmarkStart w:id="376" w:name="_Toc12913"/>
      <w:bookmarkStart w:id="377" w:name="_Toc2430"/>
      <w:r>
        <w:rPr>
          <w:rFonts w:hint="eastAsia"/>
          <w:lang w:val="en-US" w:eastAsia="zh-CN"/>
        </w:rPr>
        <w:t>（二十三）扩大受疫情影响减免房产税、城镇土地使用税政策</w:t>
      </w:r>
      <w:bookmarkEnd w:id="373"/>
      <w:bookmarkEnd w:id="374"/>
      <w:bookmarkEnd w:id="375"/>
      <w:bookmarkEnd w:id="376"/>
      <w:bookmarkEnd w:id="377"/>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78" w:name="_Toc22101"/>
      <w:bookmarkStart w:id="379" w:name="_Toc25820"/>
      <w:bookmarkStart w:id="380" w:name="_Toc18707"/>
      <w:r>
        <w:rPr>
          <w:rFonts w:hint="eastAsia" w:asciiTheme="minorEastAsia" w:hAnsiTheme="minorEastAsia" w:eastAsiaTheme="minorEastAsia" w:cstheme="minorEastAsia"/>
          <w:b/>
          <w:bCs/>
          <w:sz w:val="32"/>
          <w:szCs w:val="32"/>
          <w:lang w:val="en-US" w:eastAsia="zh-CN"/>
        </w:rPr>
        <w:t>【享受主体】</w:t>
      </w:r>
      <w:bookmarkEnd w:id="378"/>
      <w:bookmarkEnd w:id="379"/>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cstheme="minorEastAsia"/>
          <w:color w:val="auto"/>
          <w:sz w:val="32"/>
          <w:szCs w:val="32"/>
          <w:lang w:val="en-US" w:eastAsia="zh-CN"/>
        </w:rPr>
        <w:t>自用房产、土地的</w:t>
      </w:r>
      <w:r>
        <w:rPr>
          <w:rFonts w:hint="eastAsia" w:asciiTheme="minorEastAsia" w:hAnsiTheme="minorEastAsia" w:eastAsiaTheme="minorEastAsia" w:cstheme="minorEastAsia"/>
          <w:color w:val="auto"/>
          <w:sz w:val="32"/>
          <w:szCs w:val="32"/>
          <w:lang w:val="en-US" w:eastAsia="zh-CN"/>
        </w:rPr>
        <w:t>增值税小规模纳税人和个体工商户</w:t>
      </w:r>
      <w:r>
        <w:rPr>
          <w:rFonts w:hint="eastAsia" w:asciiTheme="minorEastAsia" w:hAnsiTheme="minorEastAsia" w:cstheme="minorEastAsia"/>
          <w:color w:val="auto"/>
          <w:sz w:val="32"/>
          <w:szCs w:val="32"/>
          <w:lang w:val="en-US" w:eastAsia="zh-CN"/>
        </w:rPr>
        <w:t>；</w:t>
      </w:r>
      <w:r>
        <w:rPr>
          <w:rFonts w:hint="eastAsia" w:asciiTheme="minorEastAsia" w:hAnsiTheme="minorEastAsia" w:cstheme="minorEastAsia"/>
          <w:sz w:val="32"/>
          <w:szCs w:val="32"/>
          <w:lang w:val="en-US" w:eastAsia="zh-CN"/>
        </w:rPr>
        <w:t>将</w:t>
      </w:r>
      <w:r>
        <w:rPr>
          <w:rFonts w:hint="eastAsia" w:asciiTheme="minorEastAsia" w:hAnsiTheme="minorEastAsia" w:eastAsiaTheme="minorEastAsia" w:cstheme="minorEastAsia"/>
          <w:sz w:val="32"/>
          <w:szCs w:val="32"/>
          <w:lang w:val="en-US" w:eastAsia="zh-CN"/>
        </w:rPr>
        <w:t>房产、土地</w:t>
      </w:r>
      <w:r>
        <w:rPr>
          <w:rFonts w:hint="eastAsia" w:asciiTheme="minorEastAsia" w:hAnsiTheme="minorEastAsia" w:cstheme="minorEastAsia"/>
          <w:sz w:val="32"/>
          <w:szCs w:val="32"/>
          <w:lang w:val="en-US" w:eastAsia="zh-CN"/>
        </w:rPr>
        <w:t>出租给增值税小规模纳税人、个体工商户</w:t>
      </w:r>
      <w:r>
        <w:rPr>
          <w:rFonts w:hint="eastAsia" w:asciiTheme="minorEastAsia" w:hAnsiTheme="minorEastAsia" w:eastAsiaTheme="minorEastAsia" w:cstheme="minorEastAsia"/>
          <w:sz w:val="32"/>
          <w:szCs w:val="32"/>
          <w:lang w:val="en-US" w:eastAsia="zh-CN"/>
        </w:rPr>
        <w:t>的纳税人</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81" w:name="_Toc23128"/>
      <w:r>
        <w:rPr>
          <w:rFonts w:hint="eastAsia" w:asciiTheme="minorEastAsia" w:hAnsiTheme="minorEastAsia" w:eastAsiaTheme="minorEastAsia" w:cstheme="minorEastAsia"/>
          <w:b/>
          <w:bCs/>
          <w:sz w:val="32"/>
          <w:szCs w:val="32"/>
          <w:lang w:val="en-US" w:eastAsia="zh-CN"/>
        </w:rPr>
        <w:t>【优惠内容】</w:t>
      </w:r>
      <w:bookmarkEnd w:id="380"/>
      <w:bookmarkEnd w:id="381"/>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Calibri" w:hAnsi="Calibri" w:eastAsia="宋体" w:cs="Times New Roman"/>
          <w:sz w:val="32"/>
          <w:szCs w:val="32"/>
          <w:lang w:eastAsia="zh-CN"/>
        </w:rPr>
      </w:pPr>
      <w:r>
        <w:rPr>
          <w:rFonts w:hint="eastAsia" w:asciiTheme="minorEastAsia" w:hAnsiTheme="minorEastAsia" w:eastAsiaTheme="minorEastAsia" w:cstheme="minorEastAsia"/>
          <w:sz w:val="32"/>
          <w:szCs w:val="32"/>
          <w:lang w:eastAsia="zh-CN"/>
        </w:rPr>
        <w:t>2022年1月1日至2022年12月31日，</w:t>
      </w:r>
      <w:r>
        <w:rPr>
          <w:rFonts w:hint="eastAsia" w:ascii="Calibri" w:hAnsi="Calibri" w:eastAsia="宋体" w:cs="Times New Roman"/>
          <w:sz w:val="32"/>
          <w:szCs w:val="32"/>
          <w:lang w:eastAsia="zh-CN"/>
        </w:rPr>
        <w:t>对符合条件的纳税人免征房产税、城镇土地使用税，具体期限为：</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lang w:eastAsia="zh-CN"/>
        </w:rPr>
        <w:t>符合自用房产、土地减免税条件的纳税人。免税期限为自划定为中高风险地区的月份起至解除中高风险地区的月份止。</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eastAsia="zh-CN"/>
        </w:rPr>
        <w:t>符合出租房产、土地减免税条件的纳税人。免收1个月（含）以上租金的，每免收1个月（含）租金，对免收租金的房产、土地免征3个月房产税、城镇土地使用税，最多减免一年（12个月）。免收租金超过1个月但不足1个半月的，按1个月计算；免收租金超过1个半月但不足2个月的，按2个月计算，以此类推。</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lang w:eastAsia="zh-CN"/>
        </w:rPr>
        <w:t>此前将房产、土地出租给交通运输业（铁路运输、道路运输、航空运输、多式联运和运输代理四类）、住宿和餐饮业、零售业、文体和娱乐业（指文化、体育和娱乐业）、旅游业（指旅行社及相关服务、游览景区管理两类）、居民服务业增值税小规模纳税人和个体工商户的纳税人，按就高不重复的原则执行。</w:t>
      </w:r>
    </w:p>
    <w:p>
      <w:pPr>
        <w:pageBreakBefore w:val="0"/>
        <w:kinsoku/>
        <w:wordWrap/>
        <w:overflowPunct/>
        <w:topLinePunct w:val="0"/>
        <w:bidi w:val="0"/>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82" w:name="_Toc27070"/>
      <w:bookmarkStart w:id="383" w:name="_Toc3316"/>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382"/>
      <w:bookmarkEnd w:id="383"/>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lang w:eastAsia="zh-CN"/>
        </w:rPr>
        <w:t>增值税小规模纳税人和个体工商户，自用房产、土地坐落于2022年被列为疫情中高风险地区所在县级行政区域内的，可申报房产税、城镇土地使用税困难减免。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eastAsia="zh-CN"/>
        </w:rPr>
        <w:t>出租房产、土地的纳税人，同时符合以下条件的，可申报房产税、城镇土地使用税困难减免。</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z w:val="32"/>
          <w:szCs w:val="32"/>
          <w:lang w:eastAsia="zh-CN"/>
        </w:rPr>
        <w:t>将房产、土地出租给增值税小规模纳税人、个体工商户。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（2）</w:t>
      </w:r>
      <w:r>
        <w:rPr>
          <w:rFonts w:hint="eastAsia" w:asciiTheme="minorEastAsia" w:hAnsiTheme="minorEastAsia" w:eastAsiaTheme="minorEastAsia" w:cstheme="minorEastAsia"/>
          <w:sz w:val="32"/>
          <w:szCs w:val="32"/>
          <w:lang w:eastAsia="zh-CN"/>
        </w:rPr>
        <w:t>在2022年免收一个月以上（含）租金。纳税人免收租金1个月（含）以上，是指按月减免1个月（含）以上租金的；或者通过定额、比例等其他方式减免租金，按照有效合同（协议）计算的减免租金额度，相当于1个月（含）以上租金的；或者延长1个月（含）以上租期而不加收租金的。</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sz w:val="32"/>
          <w:szCs w:val="32"/>
        </w:rPr>
      </w:pPr>
      <w:bookmarkStart w:id="384" w:name="_Toc3183"/>
      <w:bookmarkStart w:id="385" w:name="_Toc6528"/>
      <w:r>
        <w:rPr>
          <w:rFonts w:hint="eastAsia" w:asciiTheme="minorEastAsia" w:hAnsiTheme="minorEastAsia" w:eastAsiaTheme="minorEastAsia" w:cstheme="minorEastAsia"/>
          <w:b/>
          <w:bCs/>
          <w:sz w:val="32"/>
          <w:szCs w:val="32"/>
          <w:lang w:val="en-US" w:eastAsia="zh-CN"/>
        </w:rPr>
        <w:t>【办理流程】</w:t>
      </w:r>
      <w:bookmarkEnd w:id="384"/>
      <w:bookmarkEnd w:id="38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eastAsia="zh-CN"/>
        </w:rPr>
        <w:t>申报即享受，资料留存备查。</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86" w:name="_Toc2082"/>
      <w:bookmarkStart w:id="387" w:name="_Toc16337"/>
      <w:r>
        <w:rPr>
          <w:rFonts w:hint="eastAsia" w:asciiTheme="minorEastAsia" w:hAnsiTheme="minorEastAsia" w:eastAsiaTheme="minorEastAsia" w:cstheme="minorEastAsia"/>
          <w:b/>
          <w:bCs/>
          <w:sz w:val="32"/>
          <w:szCs w:val="32"/>
          <w:lang w:val="en-US" w:eastAsia="zh-CN"/>
        </w:rPr>
        <w:t>【政策依据】</w:t>
      </w:r>
      <w:bookmarkEnd w:id="386"/>
      <w:bookmarkEnd w:id="38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w:t>
      </w:r>
      <w:r>
        <w:rPr>
          <w:rFonts w:hint="eastAsia" w:asciiTheme="minorEastAsia" w:hAnsiTheme="minorEastAsia" w:eastAsiaTheme="minorEastAsia" w:cstheme="minorEastAsia"/>
          <w:spacing w:val="20"/>
          <w:sz w:val="32"/>
          <w:szCs w:val="32"/>
          <w:lang w:val="en-US" w:eastAsia="zh-CN"/>
        </w:rPr>
        <w:t>黑龙江省人民政府关于印发贯彻落实国务院扎实稳住经</w:t>
      </w:r>
      <w:r>
        <w:rPr>
          <w:rFonts w:hint="eastAsia" w:asciiTheme="minorEastAsia" w:hAnsiTheme="minorEastAsia" w:eastAsiaTheme="minorEastAsia" w:cstheme="minorEastAsia"/>
          <w:sz w:val="32"/>
          <w:szCs w:val="32"/>
          <w:lang w:val="en-US" w:eastAsia="zh-CN"/>
        </w:rPr>
        <w:t>济一揽子政策措施实施方案的通知》（黑政规﹝2022﹞3号）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2.《黑龙江省财政厅 国家税务总局黑龙江省税务局关于印发&lt;稳住经济一揽子政策措施有关税收政策兑现指南&gt;的公告》（2022年第9号）</w:t>
      </w:r>
    </w:p>
    <w:p>
      <w:pPr>
        <w:pStyle w:val="4"/>
        <w:pageBreakBefore w:val="0"/>
        <w:kinsoku/>
        <w:wordWrap/>
        <w:overflowPunct/>
        <w:topLinePunct w:val="0"/>
        <w:bidi w:val="0"/>
        <w:spacing w:line="500" w:lineRule="exact"/>
        <w:ind w:firstLine="643" w:firstLineChars="200"/>
        <w:textAlignment w:val="auto"/>
        <w:outlineLvl w:val="0"/>
        <w:rPr>
          <w:rFonts w:hint="eastAsia" w:asciiTheme="minorEastAsia" w:hAnsiTheme="minorEastAsia" w:eastAsiaTheme="minorEastAsia" w:cstheme="minorEastAsia"/>
          <w:sz w:val="32"/>
          <w:szCs w:val="32"/>
          <w:lang w:val="en-US" w:eastAsia="zh-CN"/>
        </w:rPr>
      </w:pPr>
      <w:bookmarkStart w:id="388" w:name="_Toc9828"/>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89" w:name="_Toc15181"/>
      <w:r>
        <w:rPr>
          <w:rFonts w:hint="eastAsia"/>
          <w:lang w:val="en-US" w:eastAsia="zh-CN"/>
        </w:rPr>
        <w:t>（二十四）阶段性缓缴职工基本医疗保险单位缴费政策</w:t>
      </w:r>
      <w:bookmarkEnd w:id="388"/>
      <w:bookmarkEnd w:id="389"/>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90" w:name="_Toc8577"/>
      <w:r>
        <w:rPr>
          <w:rFonts w:hint="eastAsia" w:asciiTheme="minorEastAsia" w:hAnsiTheme="minorEastAsia" w:eastAsiaTheme="minorEastAsia" w:cstheme="minorEastAsia"/>
          <w:b/>
          <w:bCs/>
          <w:sz w:val="32"/>
          <w:szCs w:val="32"/>
          <w:lang w:val="en-US" w:eastAsia="zh-CN"/>
        </w:rPr>
        <w:t>【享受主体】</w:t>
      </w:r>
      <w:bookmarkEnd w:id="390"/>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val="en-US" w:eastAsia="zh-CN"/>
        </w:rPr>
      </w:pPr>
      <w:r>
        <w:rPr>
          <w:rFonts w:hint="eastAsia" w:ascii="宋体" w:hAnsi="宋体" w:eastAsia="宋体"/>
          <w:sz w:val="32"/>
          <w:szCs w:val="24"/>
        </w:rPr>
        <w:t>统筹基金累计结存可支付月数大于6 个月统筹地区</w:t>
      </w:r>
      <w:r>
        <w:rPr>
          <w:rFonts w:hint="eastAsia" w:ascii="宋体" w:hAnsi="宋体" w:eastAsia="宋体"/>
          <w:sz w:val="32"/>
          <w:szCs w:val="24"/>
          <w:lang w:eastAsia="zh-CN"/>
        </w:rPr>
        <w:t>的</w:t>
      </w:r>
      <w:r>
        <w:rPr>
          <w:rFonts w:hint="eastAsia" w:asciiTheme="minorEastAsia" w:hAnsiTheme="minorEastAsia" w:cstheme="minorEastAsia"/>
          <w:color w:val="auto"/>
          <w:sz w:val="32"/>
          <w:szCs w:val="32"/>
          <w:lang w:val="en-US" w:eastAsia="zh-CN"/>
        </w:rPr>
        <w:t>中小微企业、以单位方式参保的个体工商户。社会团体、基金会、社会服务机构、律师事务所、会计师事务所等社会组织参照执行。</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91" w:name="_Toc20655"/>
      <w:r>
        <w:rPr>
          <w:rFonts w:hint="eastAsia" w:asciiTheme="minorEastAsia" w:hAnsiTheme="minorEastAsia" w:eastAsiaTheme="minorEastAsia" w:cstheme="minorEastAsia"/>
          <w:b/>
          <w:bCs/>
          <w:sz w:val="32"/>
          <w:szCs w:val="32"/>
          <w:lang w:val="en-US" w:eastAsia="zh-CN"/>
        </w:rPr>
        <w:t>【优惠内容】</w:t>
      </w:r>
      <w:bookmarkEnd w:id="391"/>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符合条件参保单位自2022年7月起缓缴3个月职工医保单位缴费，缓缴期间免收滞纳金，缓缴期间待遇应享尽享。</w:t>
      </w:r>
    </w:p>
    <w:p>
      <w:pPr>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92" w:name="_Toc15103"/>
      <w:r>
        <w:rPr>
          <w:rFonts w:hint="eastAsia" w:asciiTheme="minorEastAsia" w:hAnsiTheme="minorEastAsia" w:eastAsiaTheme="minorEastAsia" w:cstheme="minorEastAsia"/>
          <w:b/>
          <w:bCs/>
          <w:sz w:val="32"/>
          <w:szCs w:val="32"/>
          <w:lang w:val="en-US" w:eastAsia="zh-CN"/>
        </w:rPr>
        <w:t>【享受条件】</w:t>
      </w:r>
      <w:bookmarkEnd w:id="392"/>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参保单位所在统筹地区统筹基金累计结存可支付月数大于6个月。</w:t>
      </w:r>
    </w:p>
    <w:p>
      <w:pPr>
        <w:pStyle w:val="8"/>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b/>
          <w:bCs/>
          <w:kern w:val="2"/>
          <w:sz w:val="32"/>
          <w:szCs w:val="32"/>
          <w:lang w:val="en-US" w:eastAsia="zh-CN" w:bidi="ar-SA"/>
        </w:rPr>
        <w:t>【办理流程】</w:t>
      </w:r>
    </w:p>
    <w:p>
      <w:pPr>
        <w:pStyle w:val="15"/>
        <w:keepNext w:val="0"/>
        <w:keepLines w:val="0"/>
        <w:widowControl/>
        <w:suppressLineNumbers w:val="0"/>
        <w:spacing w:before="0" w:beforeAutospacing="0" w:after="0" w:afterAutospacing="0" w:line="23" w:lineRule="atLeast"/>
        <w:ind w:right="0" w:firstLine="640" w:firstLineChars="200"/>
        <w:jc w:val="both"/>
        <w:rPr>
          <w:rFonts w:hint="eastAsia" w:asciiTheme="minorEastAsia" w:hAnsiTheme="minorEastAsia" w:cstheme="minorEastAsia"/>
          <w:color w:val="auto"/>
          <w:sz w:val="32"/>
          <w:szCs w:val="32"/>
          <w:lang w:val="en-US" w:eastAsia="zh-CN"/>
        </w:rPr>
      </w:pPr>
      <w:r>
        <w:rPr>
          <w:rFonts w:hint="eastAsia" w:asciiTheme="minorEastAsia" w:hAnsiTheme="minorEastAsia" w:cstheme="minorEastAsia"/>
          <w:color w:val="auto"/>
          <w:sz w:val="32"/>
          <w:szCs w:val="32"/>
          <w:lang w:val="en-US" w:eastAsia="zh-CN"/>
        </w:rPr>
        <w:t>免申即享，符合条件的参保单位无需提出缓缴申请即可享受缓缴单位缴费政策。</w:t>
      </w:r>
    </w:p>
    <w:p>
      <w:pPr>
        <w:keepNext w:val="0"/>
        <w:keepLines w:val="0"/>
        <w:pageBreakBefore w:val="0"/>
        <w:widowControl w:val="0"/>
        <w:kinsoku/>
        <w:wordWrap/>
        <w:overflowPunct/>
        <w:topLinePunct w:val="0"/>
        <w:autoSpaceDE/>
        <w:autoSpaceDN/>
        <w:bidi w:val="0"/>
        <w:adjustRightInd/>
        <w:snapToGrid/>
        <w:spacing w:line="500" w:lineRule="exact"/>
        <w:ind w:firstLine="643" w:firstLineChars="200"/>
        <w:jc w:val="both"/>
        <w:textAlignment w:val="auto"/>
        <w:outlineLvl w:val="2"/>
        <w:rPr>
          <w:rFonts w:hint="eastAsia" w:asciiTheme="minorEastAsia" w:hAnsiTheme="minorEastAsia" w:eastAsiaTheme="minorEastAsia" w:cstheme="minorEastAsia"/>
          <w:b/>
          <w:bCs/>
          <w:sz w:val="32"/>
          <w:szCs w:val="32"/>
          <w:lang w:val="en-US" w:eastAsia="zh-CN"/>
        </w:rPr>
      </w:pPr>
      <w:bookmarkStart w:id="393" w:name="_Toc18485"/>
      <w:r>
        <w:rPr>
          <w:rFonts w:hint="eastAsia" w:asciiTheme="minorEastAsia" w:hAnsiTheme="minorEastAsia" w:eastAsiaTheme="minorEastAsia" w:cstheme="minorEastAsia"/>
          <w:b/>
          <w:bCs/>
          <w:sz w:val="32"/>
          <w:szCs w:val="32"/>
          <w:lang w:val="en-US" w:eastAsia="zh-CN"/>
        </w:rPr>
        <w:t>【政策依据】</w:t>
      </w:r>
      <w:bookmarkEnd w:id="39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1.《国家医保局等四部门关于阶段性缓缴职工基本医疗保险单位缴费的通知》(医保发〔2022〕21号)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2.《关于落实阶段性缓缴职工基本医疗保险单位缴费政策的通知》（黑医保发〔2022〕37号）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94" w:name="_Toc24853"/>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395" w:name="_Toc23421"/>
      <w:r>
        <w:rPr>
          <w:rFonts w:hint="eastAsia"/>
          <w:lang w:val="en-US" w:eastAsia="zh-CN"/>
        </w:rPr>
        <w:t>（二十五）缓缴水土保持补偿费政策</w:t>
      </w:r>
      <w:bookmarkEnd w:id="394"/>
      <w:bookmarkEnd w:id="395"/>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宋体" w:hAnsi="宋体" w:eastAsia="宋体" w:cs="宋体"/>
          <w:b w:val="0"/>
          <w:bCs w:val="0"/>
          <w:color w:val="FF0000"/>
          <w:kern w:val="44"/>
          <w:sz w:val="18"/>
          <w:szCs w:val="18"/>
          <w:lang w:val="en-US" w:eastAsia="zh-CN" w:bidi="ar-SA"/>
        </w:rPr>
      </w:pPr>
      <w:r>
        <w:rPr>
          <w:rFonts w:hint="eastAsia" w:ascii="Calibri" w:hAnsi="Calibri" w:eastAsia="宋体" w:cs="Times New Roman"/>
          <w:b/>
          <w:kern w:val="2"/>
          <w:sz w:val="32"/>
          <w:szCs w:val="32"/>
          <w:lang w:val="en-US" w:eastAsia="zh-CN" w:bidi="ar-SA"/>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b w:val="0"/>
          <w:bCs w:val="0"/>
          <w:color w:val="FF0000"/>
          <w:kern w:val="44"/>
          <w:sz w:val="32"/>
          <w:szCs w:val="32"/>
          <w:lang w:val="en-US" w:eastAsia="zh-CN" w:bidi="ar-SA"/>
        </w:rPr>
      </w:pPr>
      <w:bookmarkStart w:id="396" w:name="_Toc602"/>
      <w:bookmarkStart w:id="397" w:name="_Toc20954"/>
      <w:bookmarkStart w:id="398" w:name="_Toc15164"/>
      <w:bookmarkStart w:id="399" w:name="_Toc1454"/>
      <w:bookmarkStart w:id="400" w:name="_Toc4979"/>
      <w:r>
        <w:rPr>
          <w:rFonts w:hint="eastAsia" w:ascii="宋体" w:hAnsi="宋体" w:eastAsia="宋体" w:cs="宋体"/>
          <w:sz w:val="32"/>
          <w:szCs w:val="32"/>
          <w:lang w:val="en-US" w:eastAsia="zh-CN"/>
        </w:rPr>
        <w:t>企业、个体工商户</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【优惠内容】</w:t>
      </w:r>
      <w:bookmarkEnd w:id="396"/>
      <w:bookmarkEnd w:id="397"/>
      <w:bookmarkEnd w:id="398"/>
      <w:bookmarkEnd w:id="399"/>
      <w:bookmarkEnd w:id="400"/>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bookmarkStart w:id="401" w:name="_Toc10674"/>
      <w:bookmarkStart w:id="402" w:name="_Toc21393"/>
      <w:bookmarkStart w:id="403" w:name="_Toc7924"/>
      <w:bookmarkStart w:id="404" w:name="_Toc4932"/>
      <w:bookmarkStart w:id="405" w:name="_Toc10024"/>
      <w:r>
        <w:rPr>
          <w:rFonts w:hint="eastAsia" w:ascii="宋体" w:hAnsi="宋体" w:eastAsia="宋体" w:cs="宋体"/>
          <w:sz w:val="32"/>
          <w:szCs w:val="32"/>
          <w:lang w:val="en-US" w:eastAsia="zh-CN"/>
        </w:rPr>
        <w:t>在2022年10月1日至12月31日期间，对企业和个体工商户应申报缴纳的水土保持补偿费，自应缴之日起缓缴一个季度，不收滞纳金。</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w:t>
      </w:r>
      <w:r>
        <w:rPr>
          <w:rFonts w:hint="eastAsia" w:ascii="Calibri" w:hAnsi="Calibri" w:eastAsia="宋体" w:cs="Times New Roman"/>
          <w:b/>
          <w:kern w:val="2"/>
          <w:sz w:val="32"/>
          <w:szCs w:val="32"/>
          <w:lang w:val="en-US" w:eastAsia="zh-Hans" w:bidi="ar-SA"/>
        </w:rPr>
        <w:t>享受条件</w:t>
      </w:r>
      <w:r>
        <w:rPr>
          <w:rFonts w:hint="eastAsia" w:ascii="Calibri" w:hAnsi="Calibri" w:eastAsia="宋体" w:cs="Times New Roman"/>
          <w:b/>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缴纳水土保持补偿费的企业、个体工商户。</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【办理流程】</w:t>
      </w:r>
    </w:p>
    <w:bookmarkEnd w:id="401"/>
    <w:bookmarkEnd w:id="402"/>
    <w:bookmarkEnd w:id="403"/>
    <w:bookmarkEnd w:id="404"/>
    <w:bookmarkEnd w:id="405"/>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符合缓缴水土保持补偿费、规定的企业和个体工商户无需另行提出缓缴申请、无需额外提供证明材料，正常办理缴费申报后即可自动享受缓缴政策。</w:t>
      </w:r>
      <w:bookmarkStart w:id="406" w:name="_Toc22554"/>
      <w:bookmarkStart w:id="407" w:name="_Toc30337"/>
      <w:bookmarkStart w:id="408" w:name="_Toc10146"/>
      <w:bookmarkStart w:id="409" w:name="_Toc26772"/>
      <w:bookmarkStart w:id="410" w:name="_Toc29585"/>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【政策依据】</w:t>
      </w:r>
      <w:bookmarkEnd w:id="406"/>
      <w:bookmarkEnd w:id="407"/>
      <w:bookmarkEnd w:id="408"/>
      <w:bookmarkEnd w:id="409"/>
      <w:bookmarkEnd w:id="410"/>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lang w:val="en-US" w:eastAsia="zh-CN"/>
        </w:rPr>
      </w:pPr>
      <w:r>
        <w:rPr>
          <w:rFonts w:hint="eastAsia" w:ascii="宋体" w:hAnsi="宋体" w:eastAsia="宋体" w:cs="宋体"/>
          <w:sz w:val="32"/>
          <w:szCs w:val="32"/>
          <w:lang w:val="en-US" w:eastAsia="zh-CN"/>
        </w:rPr>
        <w:t>1.《财政部、国家发展改革委关于缓缴涉及企业、个体工商户部分行政事业性收费的公告》（2022年第29号）</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2.《国家税务总局关于水土保持补偿费等政府非税收入项目征管职责划转有关事项的公告》（2020年第21号）</w:t>
      </w: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411" w:name="_Toc9758"/>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412" w:name="_Toc11650"/>
      <w:r>
        <w:rPr>
          <w:rFonts w:hint="eastAsia"/>
          <w:lang w:val="en-US" w:eastAsia="zh-CN"/>
        </w:rPr>
        <w:t>（二十六）缓缴城镇垃圾处理费政策</w:t>
      </w:r>
      <w:bookmarkEnd w:id="411"/>
      <w:bookmarkEnd w:id="412"/>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宋体" w:hAnsi="宋体" w:eastAsia="宋体" w:cs="宋体"/>
          <w:b w:val="0"/>
          <w:bCs w:val="0"/>
          <w:color w:val="FF0000"/>
          <w:kern w:val="44"/>
          <w:sz w:val="18"/>
          <w:szCs w:val="18"/>
          <w:lang w:val="en-US" w:eastAsia="zh-CN" w:bidi="ar-SA"/>
        </w:rPr>
      </w:pPr>
      <w:r>
        <w:rPr>
          <w:rFonts w:hint="eastAsia" w:ascii="Calibri" w:hAnsi="Calibri" w:eastAsia="宋体" w:cs="Times New Roman"/>
          <w:b/>
          <w:kern w:val="2"/>
          <w:sz w:val="32"/>
          <w:szCs w:val="32"/>
          <w:lang w:val="en-US" w:eastAsia="zh-CN" w:bidi="ar-SA"/>
        </w:rPr>
        <w:t>【享受主体】</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企业、个体工商户</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【优惠内容】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在2022年10月1日至12月31日期间，对企业和个体工商户应申报缴纳的城镇垃圾处理费，自应缴之日起缓缴一个季度，不收滞纳金。</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w:t>
      </w:r>
      <w:r>
        <w:rPr>
          <w:rFonts w:hint="eastAsia" w:ascii="Calibri" w:hAnsi="Calibri" w:eastAsia="宋体" w:cs="Times New Roman"/>
          <w:b/>
          <w:kern w:val="2"/>
          <w:sz w:val="32"/>
          <w:szCs w:val="32"/>
          <w:lang w:val="en-US" w:eastAsia="zh-Hans" w:bidi="ar-SA"/>
        </w:rPr>
        <w:t>享受条件</w:t>
      </w:r>
      <w:r>
        <w:rPr>
          <w:rFonts w:hint="eastAsia" w:ascii="Calibri" w:hAnsi="Calibri" w:eastAsia="宋体" w:cs="Times New Roman"/>
          <w:b/>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缴纳城镇垃圾处理费的企业、个体工商户。</w:t>
      </w:r>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【办理流程】</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bookmarkStart w:id="413" w:name="_Toc15545"/>
      <w:r>
        <w:rPr>
          <w:rFonts w:hint="eastAsia" w:ascii="宋体" w:hAnsi="宋体" w:eastAsia="宋体" w:cs="宋体"/>
          <w:sz w:val="32"/>
          <w:szCs w:val="32"/>
          <w:lang w:val="en-US" w:eastAsia="zh-CN"/>
        </w:rPr>
        <w:t>符合缓缴城镇垃圾处理费规定的企业和个体工商户无需另行提出缓缴申请、无需额外提供证明材料，正常办理缴费申报后即可自动享受缓缴政策。</w:t>
      </w:r>
      <w:bookmarkEnd w:id="413"/>
    </w:p>
    <w:p>
      <w:pPr>
        <w:keepNext/>
        <w:keepLines/>
        <w:pageBreakBefore w:val="0"/>
        <w:widowControl w:val="0"/>
        <w:kinsoku/>
        <w:wordWrap/>
        <w:overflowPunct/>
        <w:topLinePunct w:val="0"/>
        <w:autoSpaceDE/>
        <w:autoSpaceDN/>
        <w:bidi w:val="0"/>
        <w:adjustRightInd/>
        <w:snapToGrid/>
        <w:spacing w:before="0" w:after="0" w:line="500" w:lineRule="exact"/>
        <w:ind w:firstLine="643" w:firstLineChars="200"/>
        <w:jc w:val="both"/>
        <w:textAlignment w:val="auto"/>
        <w:outlineLvl w:val="3"/>
        <w:rPr>
          <w:rFonts w:hint="eastAsia" w:ascii="Calibri" w:hAnsi="Calibri" w:eastAsia="宋体" w:cs="Times New Roman"/>
          <w:b/>
          <w:kern w:val="2"/>
          <w:sz w:val="18"/>
          <w:szCs w:val="18"/>
          <w:lang w:val="en-US" w:eastAsia="zh-CN" w:bidi="ar-SA"/>
        </w:rPr>
      </w:pPr>
      <w:r>
        <w:rPr>
          <w:rFonts w:hint="eastAsia" w:ascii="Calibri" w:hAnsi="Calibri" w:eastAsia="宋体" w:cs="Times New Roman"/>
          <w:b/>
          <w:kern w:val="2"/>
          <w:sz w:val="32"/>
          <w:szCs w:val="32"/>
          <w:lang w:val="en-US" w:eastAsia="zh-CN" w:bidi="ar-SA"/>
        </w:rPr>
        <w:t>【政策依据】</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1.《财政部、国家发展改革委关于缓缴涉及企业、个体工商户部分行政事业性收费的公告》（2022年第29号）</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default"/>
          <w:lang w:val="en-US" w:eastAsia="zh-CN"/>
        </w:rPr>
      </w:pPr>
      <w:r>
        <w:rPr>
          <w:rFonts w:hint="eastAsia" w:ascii="宋体" w:hAnsi="宋体" w:eastAsia="宋体" w:cs="宋体"/>
          <w:sz w:val="32"/>
          <w:szCs w:val="32"/>
          <w:lang w:val="en-US" w:eastAsia="zh-CN"/>
        </w:rPr>
        <w:t>2.《</w:t>
      </w:r>
      <w:r>
        <w:rPr>
          <w:rFonts w:hint="default" w:ascii="宋体" w:hAnsi="宋体" w:eastAsia="宋体" w:cs="宋体"/>
          <w:sz w:val="32"/>
          <w:szCs w:val="32"/>
          <w:lang w:val="en-US" w:eastAsia="zh-CN"/>
        </w:rPr>
        <w:t>国家税务总局 财政部 自然资源部 住房和城乡建设部 中国人民银行关于土地闲置费 城镇垃圾处理费划转有关征管事项的公告</w:t>
      </w:r>
      <w:r>
        <w:rPr>
          <w:rFonts w:hint="eastAsia" w:ascii="宋体" w:hAnsi="宋体" w:eastAsia="宋体" w:cs="宋体"/>
          <w:sz w:val="32"/>
          <w:szCs w:val="32"/>
          <w:lang w:val="en-US" w:eastAsia="zh-CN"/>
        </w:rPr>
        <w:t>》（2021年第12号）</w:t>
      </w:r>
    </w:p>
    <w:p>
      <w:pPr>
        <w:pStyle w:val="2"/>
        <w:numPr>
          <w:ilvl w:val="0"/>
          <w:numId w:val="0"/>
        </w:numPr>
        <w:ind w:left="592" w:leftChars="0"/>
        <w:rPr>
          <w:rFonts w:hint="eastAsia"/>
          <w:lang w:val="en-US" w:eastAsia="zh-CN"/>
        </w:rPr>
      </w:pPr>
    </w:p>
    <w:p>
      <w:pPr>
        <w:pStyle w:val="3"/>
        <w:pageBreakBefore w:val="0"/>
        <w:kinsoku/>
        <w:wordWrap/>
        <w:overflowPunct/>
        <w:topLinePunct w:val="0"/>
        <w:bidi w:val="0"/>
        <w:spacing w:line="500" w:lineRule="exact"/>
        <w:ind w:firstLine="883" w:firstLineChars="200"/>
        <w:textAlignment w:val="auto"/>
        <w:rPr>
          <w:rFonts w:hint="eastAsia" w:ascii="黑体" w:hAnsi="黑体" w:eastAsia="黑体" w:cs="黑体"/>
        </w:rPr>
      </w:pPr>
      <w:bookmarkStart w:id="414" w:name="_Toc29817"/>
      <w:bookmarkStart w:id="415" w:name="_Toc2944"/>
      <w:bookmarkStart w:id="416" w:name="_Toc6576"/>
    </w:p>
    <w:p>
      <w:pPr>
        <w:pStyle w:val="3"/>
        <w:pageBreakBefore w:val="0"/>
        <w:kinsoku/>
        <w:wordWrap/>
        <w:overflowPunct/>
        <w:topLinePunct w:val="0"/>
        <w:bidi w:val="0"/>
        <w:spacing w:line="500" w:lineRule="exact"/>
        <w:ind w:firstLine="883" w:firstLineChars="200"/>
        <w:textAlignment w:val="auto"/>
        <w:rPr>
          <w:rFonts w:hint="eastAsia"/>
        </w:rPr>
      </w:pPr>
      <w:bookmarkStart w:id="417" w:name="_Toc25956"/>
      <w:r>
        <w:rPr>
          <w:rFonts w:hint="eastAsia" w:ascii="黑体" w:hAnsi="黑体" w:eastAsia="黑体" w:cs="黑体"/>
        </w:rPr>
        <w:t>二、延续实施的税费支持政策</w:t>
      </w:r>
      <w:bookmarkEnd w:id="372"/>
      <w:bookmarkEnd w:id="414"/>
      <w:bookmarkEnd w:id="415"/>
      <w:bookmarkEnd w:id="416"/>
      <w:bookmarkEnd w:id="417"/>
      <w:bookmarkStart w:id="418" w:name="_Toc25776"/>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19" w:name="_Toc2995"/>
      <w:bookmarkStart w:id="420" w:name="_Toc8095"/>
      <w:bookmarkStart w:id="421" w:name="_Toc21387"/>
      <w:bookmarkStart w:id="422" w:name="_Toc8929"/>
      <w:r>
        <w:rPr>
          <w:rFonts w:hint="eastAsia"/>
        </w:rPr>
        <w:t>（</w:t>
      </w:r>
      <w:r>
        <w:rPr>
          <w:rFonts w:hint="eastAsia"/>
          <w:lang w:val="en-US" w:eastAsia="zh-CN"/>
        </w:rPr>
        <w:t>二十七</w:t>
      </w:r>
      <w:r>
        <w:rPr>
          <w:rFonts w:hint="eastAsia"/>
        </w:rPr>
        <w:t>）重点群体创业税费扣减政策</w:t>
      </w:r>
      <w:bookmarkEnd w:id="418"/>
      <w:bookmarkEnd w:id="419"/>
      <w:bookmarkEnd w:id="420"/>
      <w:bookmarkEnd w:id="421"/>
      <w:bookmarkEnd w:id="422"/>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23" w:name="_Toc28437"/>
      <w:bookmarkStart w:id="424" w:name="_Toc1475"/>
      <w:r>
        <w:rPr>
          <w:rFonts w:hint="eastAsia" w:asciiTheme="minorEastAsia" w:hAnsiTheme="minorEastAsia" w:eastAsiaTheme="minorEastAsia" w:cstheme="minorEastAsia"/>
          <w:b/>
          <w:bCs/>
          <w:sz w:val="32"/>
          <w:szCs w:val="32"/>
          <w:lang w:val="en-US" w:eastAsia="zh-CN"/>
        </w:rPr>
        <w:t>【享受主体】</w:t>
      </w:r>
      <w:bookmarkEnd w:id="423"/>
      <w:bookmarkEnd w:id="42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建档立卡贫困人口、持《就业创业证》（注明“自主创业税收政策”或“毕业年度内自主创业税收政策”）或《就业失业登记证》（注明“自主创业税收政策”）的人员，具体包括：</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1.纳入全国扶贫开发信息系统的建档立卡贫困人口。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2.在人力资源社会保障部门公共就业服务机构登记失业半年以上的人员。</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3.零就业家庭、享受城市居民最低生活保障家庭劳动年龄内的登记失业人员。</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4.毕业年度内高校毕业生。高校毕业生是指实施高等学历教育的普通高等学校、成人高等学校应届毕业的学生；毕业年度是指毕业所在自然年，即1月1日至12月31日。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25" w:name="_Toc31220"/>
      <w:bookmarkStart w:id="426" w:name="_Toc27952"/>
      <w:r>
        <w:rPr>
          <w:rFonts w:hint="eastAsia" w:asciiTheme="minorEastAsia" w:hAnsiTheme="minorEastAsia" w:eastAsiaTheme="minorEastAsia" w:cstheme="minorEastAsia"/>
          <w:b/>
          <w:bCs/>
          <w:sz w:val="32"/>
          <w:szCs w:val="32"/>
          <w:lang w:val="en-US" w:eastAsia="zh-CN"/>
        </w:rPr>
        <w:t>【优惠内容】</w:t>
      </w:r>
      <w:bookmarkEnd w:id="425"/>
      <w:bookmarkEnd w:id="42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rPr>
        <w:t>自2019年1月1日至2025年12月31日，上述人员从事个体经营的，自办理个体工商户登记当月起，在3年（36个月）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r>
        <w:rPr>
          <w:rFonts w:hint="eastAsia" w:asciiTheme="minorEastAsia" w:hAnsiTheme="minorEastAsia" w:cstheme="minorEastAsia"/>
          <w:sz w:val="32"/>
          <w:szCs w:val="32"/>
          <w:lang w:eastAsia="zh-CN"/>
        </w:rPr>
        <w:t>黑龙江省限额标准为</w:t>
      </w:r>
      <w:r>
        <w:rPr>
          <w:rFonts w:hint="eastAsia" w:asciiTheme="minorEastAsia" w:hAnsiTheme="minorEastAsia" w:eastAsiaTheme="minorEastAsia" w:cstheme="minorEastAsia"/>
          <w:sz w:val="32"/>
          <w:szCs w:val="32"/>
        </w:rPr>
        <w:t>每户每年</w:t>
      </w:r>
      <w:r>
        <w:rPr>
          <w:rFonts w:hint="eastAsia" w:asciiTheme="minorEastAsia" w:hAnsiTheme="minorEastAsia" w:cstheme="minorEastAsia"/>
          <w:sz w:val="32"/>
          <w:szCs w:val="32"/>
          <w:lang w:val="en-US" w:eastAsia="zh-CN"/>
        </w:rPr>
        <w:t>14400</w:t>
      </w:r>
      <w:r>
        <w:rPr>
          <w:rFonts w:hint="eastAsia" w:asciiTheme="minorEastAsia" w:hAnsiTheme="minorEastAsia" w:eastAsiaTheme="minorEastAsia" w:cstheme="minorEastAsia"/>
          <w:sz w:val="32"/>
          <w:szCs w:val="32"/>
        </w:rPr>
        <w:t>元</w:t>
      </w:r>
      <w:r>
        <w:rPr>
          <w:rFonts w:hint="eastAsia" w:asciiTheme="minorEastAsia" w:hAnsiTheme="minorEastAsia" w:cstheme="minorEastAsia"/>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27" w:name="_Toc27062"/>
      <w:bookmarkStart w:id="428" w:name="_Toc9303"/>
      <w:r>
        <w:rPr>
          <w:rFonts w:hint="eastAsia" w:asciiTheme="minorEastAsia" w:hAnsiTheme="minorEastAsia" w:eastAsiaTheme="minorEastAsia" w:cstheme="minorEastAsia"/>
          <w:b/>
          <w:bCs/>
          <w:sz w:val="32"/>
          <w:szCs w:val="32"/>
          <w:lang w:val="en-US" w:eastAsia="zh-CN"/>
        </w:rPr>
        <w:t>【享受条件】</w:t>
      </w:r>
      <w:bookmarkEnd w:id="427"/>
      <w:bookmarkEnd w:id="42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纳税人实际应缴纳的增值税、城市维护建设税、教育费附加、地方教育附加和个人所得税小于减免税限额的，以实际应缴纳的增值税、城市维护建设税、教育费附加、地方教育附加和个人所得税税额为限；实际应缴纳的增值税、城市维护建设税、教育费附加、地方教育附加和个人所得税大于减免税限额的，以减免税限额为限。</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29" w:name="_Toc6909"/>
      <w:bookmarkStart w:id="430" w:name="_Toc16268"/>
      <w:r>
        <w:rPr>
          <w:rFonts w:hint="eastAsia" w:asciiTheme="minorEastAsia" w:hAnsiTheme="minorEastAsia" w:eastAsiaTheme="minorEastAsia" w:cstheme="minorEastAsia"/>
          <w:b/>
          <w:bCs/>
          <w:sz w:val="32"/>
          <w:szCs w:val="32"/>
          <w:lang w:val="en-US" w:eastAsia="zh-CN"/>
        </w:rPr>
        <w:t>【办理流程】</w:t>
      </w:r>
      <w:bookmarkEnd w:id="429"/>
      <w:bookmarkEnd w:id="43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val="0"/>
          <w:bCs w:val="0"/>
          <w:color w:val="0000FF"/>
          <w:sz w:val="32"/>
          <w:szCs w:val="32"/>
        </w:rPr>
      </w:pPr>
      <w:bookmarkStart w:id="431" w:name="_Toc12399"/>
      <w:bookmarkStart w:id="432" w:name="_Toc20773"/>
      <w:r>
        <w:rPr>
          <w:rFonts w:hint="eastAsia" w:asciiTheme="minorEastAsia" w:hAnsiTheme="minorEastAsia" w:eastAsiaTheme="minorEastAsia" w:cstheme="minorEastAsia"/>
          <w:b/>
          <w:bCs/>
          <w:sz w:val="32"/>
          <w:szCs w:val="32"/>
          <w:lang w:val="en-US" w:eastAsia="zh-CN"/>
        </w:rPr>
        <w:t>【政策依据】</w:t>
      </w:r>
      <w:bookmarkEnd w:id="431"/>
      <w:bookmarkEnd w:id="43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eastAsiaTheme="minorEastAsia" w:cstheme="minorEastAsia"/>
          <w:color w:val="auto"/>
          <w:sz w:val="32"/>
          <w:szCs w:val="32"/>
        </w:rPr>
        <w:t>《财政部 税务总局 人力资源社会保障部</w:t>
      </w:r>
      <w:r>
        <w:rPr>
          <w:rFonts w:hint="eastAsia" w:asciiTheme="minorEastAsia" w:hAnsiTheme="minorEastAsia" w:cstheme="minorEastAsia"/>
          <w:color w:val="auto"/>
          <w:sz w:val="32"/>
          <w:szCs w:val="32"/>
          <w:lang w:val="en-US" w:eastAsia="zh-CN"/>
        </w:rPr>
        <w:t xml:space="preserve"> </w:t>
      </w:r>
      <w:r>
        <w:rPr>
          <w:rFonts w:hint="eastAsia" w:asciiTheme="minorEastAsia" w:hAnsiTheme="minorEastAsia" w:eastAsiaTheme="minorEastAsia" w:cstheme="minorEastAsia"/>
          <w:color w:val="auto"/>
          <w:sz w:val="32"/>
          <w:szCs w:val="32"/>
        </w:rPr>
        <w:t>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sz w:val="32"/>
          <w:szCs w:val="32"/>
        </w:rPr>
        <w:t>2.</w:t>
      </w:r>
      <w:r>
        <w:rPr>
          <w:rFonts w:hint="eastAsia" w:asciiTheme="minorEastAsia" w:hAnsiTheme="minorEastAsia" w:eastAsiaTheme="minorEastAsia" w:cstheme="minorEastAsia"/>
          <w:color w:val="auto"/>
          <w:sz w:val="32"/>
          <w:szCs w:val="32"/>
        </w:rPr>
        <w:t>《财政部 税务总局 人力资源社会保障部 国务院扶贫办关于进一步支持和促进重点群体创业就业有关税收政策的通知》（财税〔2019〕22号）</w:t>
      </w:r>
    </w:p>
    <w:p>
      <w:pPr>
        <w:pageBreakBefore w:val="0"/>
        <w:kinsoku/>
        <w:wordWrap/>
        <w:overflowPunct/>
        <w:topLinePunct w:val="0"/>
        <w:bidi w:val="0"/>
        <w:spacing w:line="500" w:lineRule="exact"/>
        <w:ind w:firstLine="640" w:firstLineChars="200"/>
        <w:jc w:val="both"/>
        <w:textAlignment w:val="auto"/>
        <w:rPr>
          <w:rFonts w:hint="default" w:asciiTheme="minorEastAsia" w:hAnsiTheme="minorEastAsia" w:eastAsiaTheme="minorEastAsia" w:cstheme="minorEastAsia"/>
          <w:color w:val="auto"/>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color w:val="auto"/>
          <w:sz w:val="32"/>
          <w:szCs w:val="32"/>
          <w:lang w:eastAsia="zh-CN"/>
        </w:rPr>
        <w:t>《黑龙江省财政厅</w:t>
      </w:r>
      <w:r>
        <w:rPr>
          <w:rFonts w:hint="eastAsia" w:asciiTheme="minorEastAsia" w:hAnsiTheme="minorEastAsia" w:eastAsiaTheme="minorEastAsia" w:cstheme="minorEastAsia"/>
          <w:color w:val="auto"/>
          <w:sz w:val="32"/>
          <w:szCs w:val="32"/>
          <w:lang w:val="en-US" w:eastAsia="zh-CN"/>
        </w:rPr>
        <w:t xml:space="preserve"> 国家税务总局黑龙江省税务局 黑龙江省人力资源和社会保障厅 黑龙江省乡村振兴局</w:t>
      </w:r>
      <w:r>
        <w:rPr>
          <w:rFonts w:hint="eastAsia" w:asciiTheme="minorEastAsia" w:hAnsiTheme="minorEastAsia" w:eastAsiaTheme="minorEastAsia" w:cstheme="minorEastAsia"/>
          <w:color w:val="auto"/>
          <w:sz w:val="32"/>
          <w:szCs w:val="32"/>
          <w:lang w:eastAsia="zh-CN"/>
        </w:rPr>
        <w:t>关于延长支持和促进重点群体创业就业有关税收政策执行期限的公告》（</w:t>
      </w:r>
      <w:r>
        <w:rPr>
          <w:rFonts w:hint="eastAsia" w:asciiTheme="minorEastAsia" w:hAnsiTheme="minorEastAsia" w:eastAsiaTheme="minorEastAsia" w:cstheme="minorEastAsia"/>
          <w:color w:val="auto"/>
          <w:sz w:val="32"/>
          <w:szCs w:val="32"/>
          <w:lang w:val="en-US" w:eastAsia="zh-CN"/>
        </w:rPr>
        <w:t>2021年第7号）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eastAsiaTheme="minorEastAsia" w:cstheme="minorEastAsia"/>
          <w:color w:val="auto"/>
          <w:sz w:val="32"/>
          <w:szCs w:val="32"/>
          <w:lang w:eastAsia="zh-CN"/>
        </w:rPr>
        <w:t>《</w:t>
      </w:r>
      <w:r>
        <w:rPr>
          <w:rFonts w:hint="eastAsia" w:asciiTheme="minorEastAsia" w:hAnsiTheme="minorEastAsia" w:eastAsiaTheme="minorEastAsia" w:cstheme="minorEastAsia"/>
          <w:color w:val="auto"/>
          <w:sz w:val="32"/>
          <w:szCs w:val="32"/>
        </w:rPr>
        <w:t>关于转发</w:t>
      </w:r>
      <w:r>
        <w:rPr>
          <w:rFonts w:hint="eastAsia" w:asciiTheme="minorEastAsia" w:hAnsiTheme="minorEastAsia" w:cstheme="minorEastAsia"/>
          <w:color w:val="auto"/>
          <w:sz w:val="32"/>
          <w:szCs w:val="32"/>
          <w:lang w:val="en-US" w:eastAsia="zh-CN"/>
        </w:rPr>
        <w:t>&lt;</w:t>
      </w:r>
      <w:r>
        <w:rPr>
          <w:rFonts w:hint="eastAsia" w:asciiTheme="minorEastAsia" w:hAnsiTheme="minorEastAsia" w:eastAsiaTheme="minorEastAsia" w:cstheme="minorEastAsia"/>
          <w:color w:val="auto"/>
          <w:sz w:val="32"/>
          <w:szCs w:val="32"/>
        </w:rPr>
        <w:t>财政部 税务总局 人力资源社会保障部 国务院扶贫办关于进一步支持和促进重点群体创业就业有关税收政策的通知</w:t>
      </w:r>
      <w:r>
        <w:rPr>
          <w:rFonts w:hint="eastAsia" w:asciiTheme="minorEastAsia" w:hAnsiTheme="minorEastAsia" w:cstheme="minorEastAsia"/>
          <w:color w:val="auto"/>
          <w:sz w:val="32"/>
          <w:szCs w:val="32"/>
          <w:lang w:val="en-US" w:eastAsia="zh-CN"/>
        </w:rPr>
        <w:t>&gt;</w:t>
      </w:r>
      <w:r>
        <w:rPr>
          <w:rFonts w:hint="eastAsia" w:asciiTheme="minorEastAsia" w:hAnsiTheme="minorEastAsia" w:eastAsiaTheme="minorEastAsia" w:cstheme="minorEastAsia"/>
          <w:color w:val="auto"/>
          <w:sz w:val="32"/>
          <w:szCs w:val="32"/>
        </w:rPr>
        <w:t>的通知</w:t>
      </w:r>
      <w:r>
        <w:rPr>
          <w:rFonts w:hint="eastAsia" w:asciiTheme="minorEastAsia" w:hAnsiTheme="minorEastAsia" w:eastAsiaTheme="minorEastAsia" w:cstheme="minorEastAsia"/>
          <w:color w:val="auto"/>
          <w:sz w:val="32"/>
          <w:szCs w:val="32"/>
          <w:lang w:eastAsia="zh-CN"/>
        </w:rPr>
        <w:t>》（</w:t>
      </w:r>
      <w:r>
        <w:rPr>
          <w:rFonts w:hint="eastAsia" w:asciiTheme="minorEastAsia" w:hAnsiTheme="minorEastAsia" w:eastAsiaTheme="minorEastAsia" w:cstheme="minorEastAsia"/>
          <w:color w:val="auto"/>
          <w:sz w:val="32"/>
          <w:szCs w:val="32"/>
        </w:rPr>
        <w:t>黑财规审〔2019〕3号</w:t>
      </w:r>
      <w:r>
        <w:rPr>
          <w:rFonts w:hint="eastAsia" w:asciiTheme="minorEastAsia" w:hAnsiTheme="minorEastAsia" w:eastAsiaTheme="minorEastAsia" w:cstheme="minorEastAsia"/>
          <w:color w:val="auto"/>
          <w:sz w:val="32"/>
          <w:szCs w:val="32"/>
          <w:lang w:eastAsia="zh-CN"/>
        </w:rPr>
        <w:t>）</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33" w:name="_Toc17182"/>
      <w:bookmarkStart w:id="434" w:name="_Toc25722"/>
      <w:bookmarkStart w:id="435" w:name="_Toc28591"/>
    </w:p>
    <w:p>
      <w:pPr>
        <w:pStyle w:val="4"/>
        <w:pageBreakBefore w:val="0"/>
        <w:kinsoku/>
        <w:wordWrap/>
        <w:overflowPunct/>
        <w:topLinePunct w:val="0"/>
        <w:bidi w:val="0"/>
        <w:spacing w:line="500" w:lineRule="exact"/>
        <w:ind w:firstLine="643" w:firstLineChars="200"/>
        <w:textAlignment w:val="auto"/>
        <w:outlineLvl w:val="0"/>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36" w:name="_Toc13175"/>
      <w:bookmarkStart w:id="437" w:name="_Toc11824"/>
      <w:r>
        <w:rPr>
          <w:rFonts w:hint="eastAsia"/>
        </w:rPr>
        <w:t>（</w:t>
      </w:r>
      <w:r>
        <w:rPr>
          <w:rFonts w:hint="eastAsia"/>
          <w:lang w:eastAsia="zh-CN"/>
        </w:rPr>
        <w:t>二</w:t>
      </w:r>
      <w:r>
        <w:rPr>
          <w:rFonts w:hint="eastAsia"/>
        </w:rPr>
        <w:t>十</w:t>
      </w:r>
      <w:r>
        <w:rPr>
          <w:rFonts w:hint="eastAsia"/>
          <w:lang w:eastAsia="zh-CN"/>
        </w:rPr>
        <w:t>八</w:t>
      </w:r>
      <w:r>
        <w:rPr>
          <w:rFonts w:hint="eastAsia"/>
        </w:rPr>
        <w:t>）吸纳重点群体就业税费扣减政策</w:t>
      </w:r>
      <w:bookmarkEnd w:id="433"/>
      <w:bookmarkEnd w:id="434"/>
      <w:bookmarkEnd w:id="435"/>
      <w:bookmarkEnd w:id="436"/>
      <w:bookmarkEnd w:id="437"/>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38" w:name="_Toc25271"/>
      <w:bookmarkStart w:id="439" w:name="_Toc18328"/>
      <w:r>
        <w:rPr>
          <w:rFonts w:hint="eastAsia" w:asciiTheme="minorEastAsia" w:hAnsiTheme="minorEastAsia" w:eastAsiaTheme="minorEastAsia" w:cstheme="minorEastAsia"/>
          <w:b/>
          <w:bCs/>
          <w:sz w:val="32"/>
          <w:szCs w:val="32"/>
          <w:lang w:val="en-US" w:eastAsia="zh-CN"/>
        </w:rPr>
        <w:t>【享受主体】</w:t>
      </w:r>
      <w:bookmarkEnd w:id="438"/>
      <w:bookmarkEnd w:id="43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招用建档立卡贫困人口，以及在人力资源社会保障部门公共就业服务机构登记失业半年以上且持《就业创业证》或《就业失业登记证》（注明“企业吸纳税收政策”）人员，并与其签订1年以上期限劳动合同并依法缴纳社会保险费的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40" w:name="_Toc32491"/>
      <w:bookmarkStart w:id="441" w:name="_Toc25763"/>
      <w:r>
        <w:rPr>
          <w:rFonts w:hint="eastAsia" w:asciiTheme="minorEastAsia" w:hAnsiTheme="minorEastAsia" w:eastAsiaTheme="minorEastAsia" w:cstheme="minorEastAsia"/>
          <w:b/>
          <w:bCs/>
          <w:sz w:val="32"/>
          <w:szCs w:val="32"/>
          <w:lang w:val="en-US" w:eastAsia="zh-CN"/>
        </w:rPr>
        <w:t>【优惠内容】</w:t>
      </w:r>
      <w:bookmarkEnd w:id="440"/>
      <w:bookmarkEnd w:id="44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企业招用建档立卡贫困人口，以及在人力资源社会保障部门公共就业服务机构登记失业半年以上且持《就业创业证》或《就业失业登记证》（注明“企业吸纳税收政策”）的人员，与其签订1年以上期限劳动合同并依法缴纳社会保险费的，自签订劳动合同并缴纳社会保险当月起，在3年（36个月）内按实际招用人数予以定额依次扣减增值税、城市维护建设税、教育费附加、地方教育附加和企业所得税优惠。定额标准为每人每年6000元，最高可上浮30%，各省、自治区、直辖市人民政府可根据本地区实际情况在此幅度内确定具体定额标准。</w:t>
      </w:r>
      <w:r>
        <w:rPr>
          <w:rFonts w:hint="eastAsia" w:asciiTheme="minorEastAsia" w:hAnsiTheme="minorEastAsia" w:cstheme="minorEastAsia"/>
          <w:sz w:val="32"/>
          <w:szCs w:val="32"/>
          <w:lang w:eastAsia="zh-CN"/>
        </w:rPr>
        <w:t>黑龙江省</w:t>
      </w:r>
      <w:r>
        <w:rPr>
          <w:rFonts w:hint="eastAsia" w:asciiTheme="minorEastAsia" w:hAnsiTheme="minorEastAsia" w:eastAsiaTheme="minorEastAsia" w:cstheme="minorEastAsia"/>
          <w:sz w:val="32"/>
          <w:szCs w:val="32"/>
        </w:rPr>
        <w:t>定额标准为每人每年</w:t>
      </w:r>
      <w:r>
        <w:rPr>
          <w:rFonts w:hint="eastAsia" w:asciiTheme="minorEastAsia" w:hAnsiTheme="minorEastAsia" w:eastAsiaTheme="minorEastAsia" w:cstheme="minorEastAsia"/>
          <w:sz w:val="32"/>
          <w:szCs w:val="32"/>
          <w:lang w:val="en-US" w:eastAsia="zh-CN"/>
        </w:rPr>
        <w:t>7800</w:t>
      </w:r>
      <w:r>
        <w:rPr>
          <w:rFonts w:hint="eastAsia" w:asciiTheme="minorEastAsia" w:hAnsiTheme="minorEastAsia" w:eastAsiaTheme="minorEastAsia" w:cstheme="minorEastAsia"/>
          <w:sz w:val="32"/>
          <w:szCs w:val="32"/>
        </w:rPr>
        <w:t>元。</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42" w:name="_Toc20185"/>
      <w:bookmarkStart w:id="443" w:name="_Toc17864"/>
      <w:r>
        <w:rPr>
          <w:rFonts w:hint="eastAsia" w:asciiTheme="minorEastAsia" w:hAnsiTheme="minorEastAsia" w:eastAsiaTheme="minorEastAsia" w:cstheme="minorEastAsia"/>
          <w:b/>
          <w:bCs/>
          <w:sz w:val="32"/>
          <w:szCs w:val="32"/>
          <w:lang w:val="en-US" w:eastAsia="zh-CN"/>
        </w:rPr>
        <w:t>【享受条件】</w:t>
      </w:r>
      <w:bookmarkEnd w:id="442"/>
      <w:bookmarkEnd w:id="44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1.上述政策中的企业，是指属于增值税纳税人或企业所得税纳税人的企业等单位。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企业与招用建档立卡贫困人口，以及在人力资源社会保障部门公共就业服务机构登记失业半年以上且持《就业创业证》或《就业失业登记证》（注明“企业吸纳税收政策”）的人员签订1年以上期限劳动合同并依法缴纳社会保险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3.按上述标准计算的税收扣减额应在企业当年实际应缴纳的增值税、城市维护建设税、教育费附加、地方教育附加和企业所得税税额中扣减，当年扣减不完的，不得结转下年使用。</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4.城市维护建设税、教育费附加、地方教育附加的计税依据是享受本政策前的增值税应纳税额。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5.企业招用就业人员既可以适用本通知规定的税收优惠政策，又可以适用其他扶持就业专项税收优惠政策的，企业可以选择适用最优惠的政策，但不得重复享受。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44" w:name="_Toc27595"/>
      <w:bookmarkStart w:id="445" w:name="_Toc28877"/>
      <w:r>
        <w:rPr>
          <w:rFonts w:hint="eastAsia" w:asciiTheme="minorEastAsia" w:hAnsiTheme="minorEastAsia" w:eastAsiaTheme="minorEastAsia" w:cstheme="minorEastAsia"/>
          <w:b/>
          <w:bCs/>
          <w:sz w:val="32"/>
          <w:szCs w:val="32"/>
          <w:lang w:val="en-US" w:eastAsia="zh-CN"/>
        </w:rPr>
        <w:t>【办理流程】</w:t>
      </w:r>
      <w:bookmarkEnd w:id="444"/>
      <w:bookmarkEnd w:id="44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46" w:name="_Toc25306"/>
      <w:bookmarkStart w:id="447" w:name="_Toc15209"/>
      <w:r>
        <w:rPr>
          <w:rFonts w:hint="eastAsia" w:asciiTheme="minorEastAsia" w:hAnsiTheme="minorEastAsia" w:eastAsiaTheme="minorEastAsia" w:cstheme="minorEastAsia"/>
          <w:b/>
          <w:bCs/>
          <w:sz w:val="32"/>
          <w:szCs w:val="32"/>
          <w:lang w:val="en-US" w:eastAsia="zh-CN"/>
        </w:rPr>
        <w:t>【政策依据】</w:t>
      </w:r>
      <w:bookmarkEnd w:id="446"/>
      <w:bookmarkEnd w:id="44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 人力资源社会保障部 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人力资源社会保障部 国务院扶贫办关于进一步支持和促进重点群体创业就业有关税收政策的通知》（财税〔2019〕22号）</w:t>
      </w:r>
    </w:p>
    <w:p>
      <w:pPr>
        <w:pageBreakBefore w:val="0"/>
        <w:kinsoku/>
        <w:wordWrap/>
        <w:overflowPunct/>
        <w:topLinePunct w:val="0"/>
        <w:bidi w:val="0"/>
        <w:spacing w:line="500" w:lineRule="exact"/>
        <w:ind w:firstLine="640" w:firstLineChars="200"/>
        <w:jc w:val="both"/>
        <w:textAlignment w:val="auto"/>
        <w:rPr>
          <w:rFonts w:hint="default"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国家税务总局黑龙江省税务局 黑龙江省人力资源和社会保障厅 黑龙江省乡村振兴局</w:t>
      </w:r>
      <w:r>
        <w:rPr>
          <w:rFonts w:hint="eastAsia" w:asciiTheme="minorEastAsia" w:hAnsiTheme="minorEastAsia" w:eastAsiaTheme="minorEastAsia" w:cstheme="minorEastAsia"/>
          <w:sz w:val="32"/>
          <w:szCs w:val="32"/>
          <w:lang w:eastAsia="zh-CN"/>
        </w:rPr>
        <w:t>关于延长支持和促进重点群体创业就业有关税收政策执行期限的公告》（</w:t>
      </w:r>
      <w:r>
        <w:rPr>
          <w:rFonts w:hint="eastAsia" w:asciiTheme="minorEastAsia" w:hAnsiTheme="minorEastAsia" w:eastAsiaTheme="minorEastAsia" w:cstheme="minorEastAsia"/>
          <w:sz w:val="32"/>
          <w:szCs w:val="32"/>
          <w:lang w:val="en-US" w:eastAsia="zh-CN"/>
        </w:rPr>
        <w:t>2021年第7号）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4.</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关于转发</w:t>
      </w:r>
      <w:r>
        <w:rPr>
          <w:rFonts w:hint="eastAsia" w:asciiTheme="minorEastAsia" w:hAnsiTheme="minorEastAsia" w:cstheme="minorEastAsia"/>
          <w:sz w:val="32"/>
          <w:szCs w:val="32"/>
          <w:lang w:val="en-US" w:eastAsia="zh-CN"/>
        </w:rPr>
        <w:t>&lt;</w:t>
      </w:r>
      <w:r>
        <w:rPr>
          <w:rFonts w:hint="eastAsia" w:asciiTheme="minorEastAsia" w:hAnsiTheme="minorEastAsia" w:eastAsiaTheme="minorEastAsia" w:cstheme="minorEastAsia"/>
          <w:sz w:val="32"/>
          <w:szCs w:val="32"/>
        </w:rPr>
        <w:t>财政部 税务总局 人力资源社会保障部 国务院扶贫办关于进一步支持和促进重点群体创业就业有关税收政策的通知</w:t>
      </w:r>
      <w:r>
        <w:rPr>
          <w:rFonts w:hint="eastAsia" w:asciiTheme="minorEastAsia" w:hAnsiTheme="minorEastAsia" w:cstheme="minorEastAsia"/>
          <w:sz w:val="32"/>
          <w:szCs w:val="32"/>
          <w:lang w:val="en-US" w:eastAsia="zh-CN"/>
        </w:rPr>
        <w:t>&gt;</w:t>
      </w:r>
      <w:r>
        <w:rPr>
          <w:rFonts w:hint="eastAsia" w:asciiTheme="minorEastAsia" w:hAnsiTheme="minorEastAsia" w:eastAsiaTheme="minorEastAsia" w:cstheme="minorEastAsia"/>
          <w:sz w:val="32"/>
          <w:szCs w:val="32"/>
        </w:rPr>
        <w:t>的通知</w:t>
      </w:r>
      <w:r>
        <w:rPr>
          <w:rFonts w:hint="eastAsia" w:asciiTheme="minorEastAsia" w:hAnsiTheme="minorEastAsia" w:eastAsiaTheme="minorEastAsia" w:cstheme="minorEastAsia"/>
          <w:sz w:val="32"/>
          <w:szCs w:val="32"/>
          <w:lang w:eastAsia="zh-CN"/>
        </w:rPr>
        <w:t>》（</w:t>
      </w:r>
      <w:r>
        <w:rPr>
          <w:rFonts w:hint="eastAsia" w:asciiTheme="minorEastAsia" w:hAnsiTheme="minorEastAsia" w:eastAsiaTheme="minorEastAsia" w:cstheme="minorEastAsia"/>
          <w:sz w:val="32"/>
          <w:szCs w:val="32"/>
        </w:rPr>
        <w:t>黑财规审〔2019〕3号</w:t>
      </w:r>
      <w:r>
        <w:rPr>
          <w:rFonts w:hint="eastAsia" w:asciiTheme="minorEastAsia" w:hAnsiTheme="minorEastAsia" w:eastAsiaTheme="minorEastAsia" w:cstheme="minorEastAsia"/>
          <w:sz w:val="32"/>
          <w:szCs w:val="32"/>
          <w:lang w:eastAsia="zh-CN"/>
        </w:rPr>
        <w:t>）</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asciiTheme="minorEastAsia" w:hAnsiTheme="minorEastAsia" w:eastAsiaTheme="minorEastAsia" w:cstheme="minorEastAsia"/>
          <w:szCs w:val="32"/>
        </w:rPr>
      </w:pPr>
      <w:bookmarkStart w:id="448" w:name="_Toc12822"/>
      <w:bookmarkStart w:id="449" w:name="_Toc4526"/>
      <w:bookmarkStart w:id="450" w:name="_Toc22814"/>
      <w:bookmarkStart w:id="451" w:name="_Toc10078"/>
      <w:r>
        <w:rPr>
          <w:rFonts w:hint="eastAsia"/>
        </w:rPr>
        <w:t>（</w:t>
      </w:r>
      <w:r>
        <w:rPr>
          <w:rFonts w:hint="eastAsia"/>
          <w:lang w:eastAsia="zh-CN"/>
        </w:rPr>
        <w:t>二十九</w:t>
      </w:r>
      <w:r>
        <w:rPr>
          <w:rFonts w:hint="eastAsia"/>
        </w:rPr>
        <w:t>）企业扶贫捐赠所得税税前扣除政策</w:t>
      </w:r>
      <w:bookmarkEnd w:id="448"/>
      <w:bookmarkEnd w:id="449"/>
      <w:bookmarkEnd w:id="450"/>
      <w:bookmarkEnd w:id="451"/>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52" w:name="_Toc6172"/>
      <w:bookmarkStart w:id="453" w:name="_Toc6800"/>
      <w:r>
        <w:rPr>
          <w:rFonts w:hint="eastAsia" w:asciiTheme="minorEastAsia" w:hAnsiTheme="minorEastAsia" w:eastAsiaTheme="minorEastAsia" w:cstheme="minorEastAsia"/>
          <w:b/>
          <w:bCs/>
          <w:sz w:val="32"/>
          <w:szCs w:val="32"/>
          <w:lang w:val="en-US" w:eastAsia="zh-CN"/>
        </w:rPr>
        <w:t>【享受主体】</w:t>
      </w:r>
      <w:bookmarkEnd w:id="452"/>
      <w:bookmarkEnd w:id="45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通过公益性社会组织或者县级（含县级）以上人民政府及其组成部门和直属机构，捐赠支出用于目标脱贫地区扶贫的企业。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54" w:name="_Toc3325"/>
      <w:bookmarkStart w:id="455" w:name="_Toc22540"/>
      <w:r>
        <w:rPr>
          <w:rFonts w:hint="eastAsia" w:asciiTheme="minorEastAsia" w:hAnsiTheme="minorEastAsia" w:eastAsiaTheme="minorEastAsia" w:cstheme="minorEastAsia"/>
          <w:b/>
          <w:bCs/>
          <w:sz w:val="32"/>
          <w:szCs w:val="32"/>
        </w:rPr>
        <w:t>【优惠内容】</w:t>
      </w:r>
      <w:bookmarkEnd w:id="454"/>
      <w:bookmarkEnd w:id="45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企业通过公益性社会组织或者县级（含县级）以上人民政府及其组成部门和直属机构，用于目标脱贫地区的扶贫捐赠支出，准予在计算企业所得税应纳税所得额时据实扣除。在政策执行期限内，目标脱贫地区实现脱贫的，可继续适用上述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rPr>
      </w:pPr>
      <w:bookmarkStart w:id="456" w:name="_Toc15900"/>
      <w:bookmarkStart w:id="457" w:name="_Toc15011"/>
      <w:r>
        <w:rPr>
          <w:rFonts w:hint="eastAsia" w:asciiTheme="minorEastAsia" w:hAnsiTheme="minorEastAsia" w:eastAsiaTheme="minorEastAsia" w:cstheme="minorEastAsia"/>
          <w:b/>
          <w:bCs/>
          <w:sz w:val="32"/>
          <w:szCs w:val="32"/>
        </w:rPr>
        <w:t>【享受条件】</w:t>
      </w:r>
      <w:bookmarkEnd w:id="456"/>
      <w:bookmarkEnd w:id="45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1.“目标脱贫地区”包括832个国家扶贫开发工作重点县、集中连片特困地区县（新疆阿克苏地区6县1市享受片区政策）和建档立卡贫困村。</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2.企业同时发生扶贫捐赠支出和其他公益性捐赠支出，在计算公益性捐赠支出年度扣除限额时，符合上述条件的扶贫捐赠支出不计算在内。</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3.企业在2015年1月1日至2018年12月31日期间已发生的符合上述条件的扶贫捐赠支出，尚未在计算企业所得税应纳税所得额时扣除的部分，可执行上述企业所得税政策。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58" w:name="_Toc604"/>
      <w:bookmarkStart w:id="459" w:name="_Toc19326"/>
      <w:r>
        <w:rPr>
          <w:rFonts w:hint="eastAsia" w:asciiTheme="minorEastAsia" w:hAnsiTheme="minorEastAsia" w:eastAsiaTheme="minorEastAsia" w:cstheme="minorEastAsia"/>
          <w:b/>
          <w:bCs/>
          <w:sz w:val="32"/>
          <w:szCs w:val="32"/>
          <w:lang w:val="en-US" w:eastAsia="zh-CN"/>
        </w:rPr>
        <w:t>【办理流程】</w:t>
      </w:r>
      <w:bookmarkEnd w:id="458"/>
      <w:bookmarkEnd w:id="459"/>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60" w:name="_Toc21322"/>
      <w:bookmarkStart w:id="461" w:name="_Toc6309"/>
      <w:r>
        <w:rPr>
          <w:rFonts w:hint="eastAsia" w:asciiTheme="minorEastAsia" w:hAnsiTheme="minorEastAsia" w:eastAsiaTheme="minorEastAsia" w:cstheme="minorEastAsia"/>
          <w:b/>
          <w:bCs/>
          <w:sz w:val="32"/>
          <w:szCs w:val="32"/>
          <w:lang w:val="en-US" w:eastAsia="zh-CN"/>
        </w:rPr>
        <w:t>【政策依据】</w:t>
      </w:r>
      <w:bookmarkEnd w:id="460"/>
      <w:bookmarkEnd w:id="46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 人力资源社会保障部 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国务院扶贫办关于企业扶贫捐赠所得税税前扣除政策的公告》（2019年第49号）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62" w:name="_Toc29601"/>
      <w:bookmarkStart w:id="463" w:name="_Toc13693"/>
      <w:bookmarkStart w:id="464" w:name="_Toc22645"/>
      <w:bookmarkStart w:id="465" w:name="_Toc6554"/>
      <w:bookmarkStart w:id="466" w:name="_Toc30515"/>
      <w:r>
        <w:rPr>
          <w:rFonts w:hint="eastAsia"/>
        </w:rPr>
        <w:t>（</w:t>
      </w:r>
      <w:r>
        <w:rPr>
          <w:rFonts w:hint="eastAsia"/>
          <w:lang w:eastAsia="zh-CN"/>
        </w:rPr>
        <w:t>三十</w:t>
      </w:r>
      <w:r>
        <w:rPr>
          <w:rFonts w:hint="eastAsia"/>
        </w:rPr>
        <w:t>）扶贫货物捐赠免征增值税政策</w:t>
      </w:r>
      <w:bookmarkEnd w:id="462"/>
      <w:bookmarkEnd w:id="463"/>
      <w:bookmarkEnd w:id="464"/>
      <w:bookmarkEnd w:id="465"/>
      <w:bookmarkEnd w:id="466"/>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67" w:name="_Toc17875"/>
      <w:bookmarkStart w:id="468" w:name="_Toc26299"/>
      <w:r>
        <w:rPr>
          <w:rFonts w:hint="eastAsia" w:asciiTheme="minorEastAsia" w:hAnsiTheme="minorEastAsia" w:eastAsiaTheme="minorEastAsia" w:cstheme="minorEastAsia"/>
          <w:b/>
          <w:bCs/>
          <w:sz w:val="32"/>
          <w:szCs w:val="32"/>
          <w:lang w:val="en-US" w:eastAsia="zh-CN"/>
        </w:rPr>
        <w:t>【享受主体】</w:t>
      </w:r>
      <w:bookmarkEnd w:id="467"/>
      <w:bookmarkEnd w:id="46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将自产、委托加工或购买的货物通过公益性社会组织、县级及以上人民政府及其组成部门和直属机构，或直接无偿捐赠给目标脱贫地区单位和个人的单位或者个体工商户</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69" w:name="_Toc17649"/>
      <w:bookmarkStart w:id="470" w:name="_Toc32008"/>
      <w:r>
        <w:rPr>
          <w:rFonts w:hint="eastAsia" w:asciiTheme="minorEastAsia" w:hAnsiTheme="minorEastAsia" w:eastAsiaTheme="minorEastAsia" w:cstheme="minorEastAsia"/>
          <w:b/>
          <w:bCs/>
          <w:sz w:val="32"/>
          <w:szCs w:val="32"/>
          <w:lang w:val="en-US" w:eastAsia="zh-CN"/>
        </w:rPr>
        <w:t>【优惠内容】</w:t>
      </w:r>
      <w:bookmarkEnd w:id="469"/>
      <w:bookmarkEnd w:id="47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2025年12月31日，对单位或者个体工商户将自产、委托加工或购买的货物通过公益性社会组织、县级及以上人民政府及其组成部门和直属机构，或直接无偿捐赠给目标脱贫地区的单位和个人，免征增值税。在政策执行期限内，目标脱贫地区实现脱贫的，可继续适用上述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71" w:name="_Toc30827"/>
      <w:bookmarkStart w:id="472" w:name="_Toc14335"/>
      <w:r>
        <w:rPr>
          <w:rFonts w:hint="eastAsia" w:asciiTheme="minorEastAsia" w:hAnsiTheme="minorEastAsia" w:eastAsiaTheme="minorEastAsia" w:cstheme="minorEastAsia"/>
          <w:b/>
          <w:bCs/>
          <w:sz w:val="32"/>
          <w:szCs w:val="32"/>
          <w:lang w:val="en-US" w:eastAsia="zh-CN"/>
        </w:rPr>
        <w:t>【享受条件】</w:t>
      </w:r>
      <w:bookmarkEnd w:id="471"/>
      <w:bookmarkEnd w:id="47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1.“目标脱贫地区”包括832个国家扶贫开发工作重点县、集中连片特困地区县（新疆阿克苏地区6县1市享受片区政策）和建档立卡贫困村。</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2.在2015年1月1日至2018年12月31日期间已发生的符合上述条件的扶贫货物捐赠，可追溯执行上述增值税政策。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3.2019年第55号公告发布前（即2019年4月10日前），已征收入库的按规定应予免征的增值税税款，可抵减纳税人以后月份应缴纳的增值税税款或者办理税款退库。已向购买方开具增值税专用发票的，应将专用发票追回后方可办理免税。无法追回专用发票的，不予免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73" w:name="_Toc18415"/>
      <w:bookmarkStart w:id="474" w:name="_Toc26804"/>
      <w:r>
        <w:rPr>
          <w:rFonts w:hint="eastAsia" w:asciiTheme="minorEastAsia" w:hAnsiTheme="minorEastAsia" w:eastAsiaTheme="minorEastAsia" w:cstheme="minorEastAsia"/>
          <w:b/>
          <w:bCs/>
          <w:sz w:val="32"/>
          <w:szCs w:val="32"/>
          <w:lang w:val="en-US" w:eastAsia="zh-CN"/>
        </w:rPr>
        <w:t>【办理流程】</w:t>
      </w:r>
      <w:bookmarkEnd w:id="473"/>
      <w:bookmarkEnd w:id="47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val="0"/>
          <w:bCs w:val="0"/>
          <w:sz w:val="32"/>
          <w:szCs w:val="32"/>
          <w:lang w:val="en-US" w:eastAsia="zh-CN"/>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75" w:name="_Toc26169"/>
      <w:bookmarkStart w:id="476" w:name="_Toc24633"/>
      <w:r>
        <w:rPr>
          <w:rFonts w:hint="eastAsia" w:asciiTheme="minorEastAsia" w:hAnsiTheme="minorEastAsia" w:eastAsiaTheme="minorEastAsia" w:cstheme="minorEastAsia"/>
          <w:b/>
          <w:bCs/>
          <w:sz w:val="32"/>
          <w:szCs w:val="32"/>
          <w:lang w:val="en-US" w:eastAsia="zh-CN"/>
        </w:rPr>
        <w:t>【政策依据】</w:t>
      </w:r>
      <w:bookmarkEnd w:id="475"/>
      <w:bookmarkEnd w:id="47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 人力资源社会保障部 国家乡村振兴局关于延长部分扶贫税收优惠政策执行期限的公告》（2021年第18号）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国务院扶贫办关于扶贫货物捐赠免征增值税政策的公告》（2019年第55号）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77" w:name="_Toc28593"/>
      <w:bookmarkStart w:id="478" w:name="_Toc17606"/>
      <w:bookmarkStart w:id="479" w:name="_Toc5099"/>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80" w:name="_Toc4458"/>
      <w:bookmarkStart w:id="481" w:name="_Toc28553"/>
      <w:r>
        <w:rPr>
          <w:rFonts w:hint="eastAsia"/>
        </w:rPr>
        <w:t>（</w:t>
      </w:r>
      <w:r>
        <w:rPr>
          <w:rFonts w:hint="eastAsia"/>
          <w:lang w:eastAsia="zh-CN"/>
        </w:rPr>
        <w:t>三十一</w:t>
      </w:r>
      <w:r>
        <w:rPr>
          <w:rFonts w:hint="eastAsia"/>
        </w:rPr>
        <w:t>）自主就业退役士兵创业税费扣减政策</w:t>
      </w:r>
      <w:bookmarkEnd w:id="477"/>
      <w:bookmarkEnd w:id="478"/>
      <w:bookmarkEnd w:id="479"/>
      <w:bookmarkEnd w:id="480"/>
      <w:bookmarkEnd w:id="481"/>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82" w:name="_Toc7441"/>
      <w:bookmarkStart w:id="483" w:name="_Toc22665"/>
      <w:r>
        <w:rPr>
          <w:rFonts w:hint="eastAsia" w:asciiTheme="minorEastAsia" w:hAnsiTheme="minorEastAsia" w:eastAsiaTheme="minorEastAsia" w:cstheme="minorEastAsia"/>
          <w:b/>
          <w:bCs/>
          <w:sz w:val="32"/>
          <w:szCs w:val="32"/>
          <w:lang w:val="en-US" w:eastAsia="zh-CN"/>
        </w:rPr>
        <w:t>【享受主体】</w:t>
      </w:r>
      <w:bookmarkEnd w:id="482"/>
      <w:bookmarkEnd w:id="48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自主就业退役士兵</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84" w:name="_Toc6093"/>
      <w:bookmarkStart w:id="485" w:name="_Toc19785"/>
      <w:r>
        <w:rPr>
          <w:rFonts w:hint="eastAsia" w:asciiTheme="minorEastAsia" w:hAnsiTheme="minorEastAsia" w:eastAsiaTheme="minorEastAsia" w:cstheme="minorEastAsia"/>
          <w:b/>
          <w:bCs/>
          <w:sz w:val="32"/>
          <w:szCs w:val="32"/>
          <w:lang w:val="en-US" w:eastAsia="zh-CN"/>
        </w:rPr>
        <w:t>【优惠内容】</w:t>
      </w:r>
      <w:bookmarkEnd w:id="484"/>
      <w:bookmarkEnd w:id="485"/>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486" w:name="_Toc16929"/>
      <w:bookmarkStart w:id="487" w:name="_Toc15988"/>
      <w:r>
        <w:rPr>
          <w:rFonts w:hint="eastAsia" w:asciiTheme="minorEastAsia" w:hAnsiTheme="minorEastAsia" w:eastAsiaTheme="minorEastAsia" w:cstheme="minorEastAsia"/>
          <w:sz w:val="32"/>
          <w:szCs w:val="32"/>
        </w:rPr>
        <w:t>自2019年1月1日至2023年12月31日，自主就业退役士兵从事个体经营的，自办理个体工商户登记当月起，在3年（36个月，下同）内按每户每年12000元为限额依次扣减其当年实际应缴纳的增值税、城市维护建设税、教育费附加、地方教育附加和个人所得税。限额标准最高可上浮20%，各省、自治区、直辖市人民政府可根据本地区实际情况在此幅度内确定具体限额标准。</w:t>
      </w:r>
      <w:bookmarkEnd w:id="486"/>
    </w:p>
    <w:p>
      <w:pPr>
        <w:pageBreakBefore w:val="0"/>
        <w:kinsoku/>
        <w:wordWrap/>
        <w:overflowPunct/>
        <w:topLinePunct w:val="0"/>
        <w:bidi w:val="0"/>
        <w:spacing w:line="500" w:lineRule="exact"/>
        <w:ind w:firstLine="640" w:firstLineChars="200"/>
        <w:jc w:val="both"/>
        <w:textAlignment w:val="auto"/>
        <w:outlineLvl w:val="1"/>
        <w:rPr>
          <w:rFonts w:hint="eastAsia" w:asciiTheme="minorEastAsia" w:hAnsiTheme="minorEastAsia" w:eastAsiaTheme="minorEastAsia" w:cstheme="minorEastAsia"/>
          <w:sz w:val="32"/>
          <w:szCs w:val="32"/>
        </w:rPr>
      </w:pPr>
      <w:bookmarkStart w:id="488" w:name="_Toc5635"/>
      <w:r>
        <w:rPr>
          <w:rFonts w:hint="eastAsia" w:asciiTheme="minorEastAsia" w:hAnsiTheme="minorEastAsia" w:eastAsiaTheme="minorEastAsia" w:cstheme="minorEastAsia"/>
          <w:sz w:val="32"/>
          <w:szCs w:val="32"/>
        </w:rPr>
        <w:t>黑龙江省每户每年14400元限额为标准依次扣减。</w:t>
      </w:r>
      <w:bookmarkEnd w:id="488"/>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89" w:name="_Toc16398"/>
      <w:r>
        <w:rPr>
          <w:rFonts w:hint="eastAsia" w:asciiTheme="minorEastAsia" w:hAnsiTheme="minorEastAsia" w:eastAsiaTheme="minorEastAsia" w:cstheme="minorEastAsia"/>
          <w:b/>
          <w:bCs/>
          <w:sz w:val="32"/>
          <w:szCs w:val="32"/>
          <w:lang w:val="en-US" w:eastAsia="zh-CN"/>
        </w:rPr>
        <w:t>【享受条件】</w:t>
      </w:r>
      <w:bookmarkEnd w:id="487"/>
      <w:bookmarkEnd w:id="48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1.自主就业退役士兵，是指依照《退役士兵安置条例》（国务院 中央军委令第608号）的规定退出现役并按自主就业方式安置的退役士兵。</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2.纳税人年度应缴纳税款小于上述扣减限额的，减免税额以其实际缴纳的税款为限；大于上述扣减限额的，以上述扣减限额为限。</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3.纳税人的实际经营期不足1年的，应当按月换算其减免税限额。换算公式为：减免税限额=年度减免税限额÷12×实际经营月数。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4.城市维护建设税、教育费附加、地方教育附加的计税依据是享受本项税收优惠政策前的增值税应纳税额。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490" w:name="_Toc24800"/>
      <w:bookmarkStart w:id="491" w:name="_Toc23050"/>
      <w:r>
        <w:rPr>
          <w:rFonts w:hint="eastAsia" w:asciiTheme="minorEastAsia" w:hAnsiTheme="minorEastAsia" w:eastAsiaTheme="minorEastAsia" w:cstheme="minorEastAsia"/>
          <w:b/>
          <w:bCs/>
          <w:sz w:val="32"/>
          <w:szCs w:val="32"/>
          <w:lang w:val="en-US" w:eastAsia="zh-CN"/>
        </w:rPr>
        <w:t>【办理流程】</w:t>
      </w:r>
      <w:bookmarkEnd w:id="490"/>
      <w:bookmarkEnd w:id="49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92" w:name="_Toc26021"/>
      <w:bookmarkStart w:id="493" w:name="_Toc26666"/>
      <w:r>
        <w:rPr>
          <w:rFonts w:hint="eastAsia" w:asciiTheme="minorEastAsia" w:hAnsiTheme="minorEastAsia" w:eastAsiaTheme="minorEastAsia" w:cstheme="minorEastAsia"/>
          <w:b/>
          <w:bCs/>
          <w:sz w:val="32"/>
          <w:szCs w:val="32"/>
          <w:lang w:val="en-US" w:eastAsia="zh-CN"/>
        </w:rPr>
        <w:t>【政策依据】</w:t>
      </w:r>
      <w:bookmarkEnd w:id="492"/>
      <w:bookmarkEnd w:id="49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退役军人部关于进一步扶持自主就业退役士兵创业就业有关税收政策的通知》（财税〔2019〕21号）</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《黑龙江省财政厅 国家税务总局黑龙江省税务局 黑龙江省退役军人事务厅关于延长退役士兵创业就业有关税收政策执行期限的公告》（2022年第1号）</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4.《黑龙江省财政厅 国家税务总局黑龙江省税务局 黑龙江省退役军人事务厅转发</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财政部 税务总局退役军人部关于进一步扶持自主就业退役士兵创业就业有关税收政策的通知</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的通知》（黑财规审〔2019〕2号）</w:t>
      </w:r>
    </w:p>
    <w:p>
      <w:pPr>
        <w:pStyle w:val="25"/>
        <w:pageBreakBefore w:val="0"/>
        <w:kinsoku/>
        <w:wordWrap/>
        <w:overflowPunct/>
        <w:topLinePunct w:val="0"/>
        <w:bidi w:val="0"/>
        <w:spacing w:line="500" w:lineRule="exact"/>
        <w:textAlignment w:val="auto"/>
        <w:rPr>
          <w:rFonts w:hint="eastAsia"/>
          <w:lang w:val="en-US" w:eastAsia="zh-CN"/>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494" w:name="_Toc345"/>
      <w:bookmarkStart w:id="495" w:name="_Toc17833"/>
      <w:bookmarkStart w:id="496" w:name="_Toc16317"/>
      <w:bookmarkStart w:id="497" w:name="_Toc31803"/>
      <w:bookmarkStart w:id="498" w:name="_Toc16691"/>
      <w:r>
        <w:rPr>
          <w:rFonts w:hint="eastAsia"/>
        </w:rPr>
        <w:t>（</w:t>
      </w:r>
      <w:r>
        <w:rPr>
          <w:rFonts w:hint="eastAsia"/>
          <w:lang w:eastAsia="zh-CN"/>
        </w:rPr>
        <w:t>三十二</w:t>
      </w:r>
      <w:r>
        <w:rPr>
          <w:rFonts w:hint="eastAsia"/>
        </w:rPr>
        <w:t>）吸纳退役士兵就业税费扣减政策</w:t>
      </w:r>
      <w:bookmarkEnd w:id="494"/>
      <w:bookmarkEnd w:id="495"/>
      <w:bookmarkEnd w:id="496"/>
      <w:bookmarkEnd w:id="497"/>
      <w:bookmarkEnd w:id="498"/>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499" w:name="_Toc853"/>
      <w:bookmarkStart w:id="500" w:name="_Toc19621"/>
      <w:r>
        <w:rPr>
          <w:rFonts w:hint="eastAsia" w:asciiTheme="minorEastAsia" w:hAnsiTheme="minorEastAsia" w:eastAsiaTheme="minorEastAsia" w:cstheme="minorEastAsia"/>
          <w:b/>
          <w:bCs/>
          <w:sz w:val="32"/>
          <w:szCs w:val="32"/>
          <w:lang w:val="en-US" w:eastAsia="zh-CN"/>
        </w:rPr>
        <w:t>【享受主体】</w:t>
      </w:r>
      <w:bookmarkEnd w:id="499"/>
      <w:bookmarkEnd w:id="50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招用自主就业退役士兵并与其签订1年以上期限劳动合同并依法缴纳社会保险费的企业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01" w:name="_Toc30487"/>
      <w:bookmarkStart w:id="502" w:name="_Toc7620"/>
      <w:r>
        <w:rPr>
          <w:rFonts w:hint="eastAsia" w:asciiTheme="minorEastAsia" w:hAnsiTheme="minorEastAsia" w:eastAsiaTheme="minorEastAsia" w:cstheme="minorEastAsia"/>
          <w:b/>
          <w:bCs/>
          <w:sz w:val="32"/>
          <w:szCs w:val="32"/>
          <w:lang w:val="en-US" w:eastAsia="zh-CN"/>
        </w:rPr>
        <w:t>【优惠内容】</w:t>
      </w:r>
      <w:bookmarkEnd w:id="501"/>
      <w:bookmarkEnd w:id="50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企业招用自主就业退役士兵，与其签订1年以上期限劳动合同并依法缴纳社会保险费的，自签订劳动合同并缴纳社会保险当月起，在3年内按实际招用人数予以定额依次扣减增值税、城市维护建设税、教育费附加、地方教育附加和企业所得税优惠。定额标准为每人每年6000元，最高可上浮50%，各省、自治区、直辖市人民政府可根据本地区实际情况在此幅度内确定具体定额标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rPr>
        <w:t>黑龙江省每人每年9000元定额标准依次扣减。</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03" w:name="_Toc944"/>
      <w:bookmarkStart w:id="504" w:name="_Toc27333"/>
      <w:r>
        <w:rPr>
          <w:rFonts w:hint="eastAsia" w:asciiTheme="minorEastAsia" w:hAnsiTheme="minorEastAsia" w:eastAsiaTheme="minorEastAsia" w:cstheme="minorEastAsia"/>
          <w:b/>
          <w:bCs/>
          <w:sz w:val="32"/>
          <w:szCs w:val="32"/>
          <w:lang w:val="en-US" w:eastAsia="zh-CN"/>
        </w:rPr>
        <w:t>【享受条件】</w:t>
      </w:r>
      <w:bookmarkEnd w:id="503"/>
      <w:bookmarkEnd w:id="50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1.自主就业退役士兵，是指依照《退役士兵安置条例》（国务院 中央军委令第608号）的规定退出现役并按自主就业方式安置的退役士兵。</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2.本政策中的企业，是指属于增值税纳税人或企业所得税纳税人的企业等单位。</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3.企业与招用自主就业退役士兵签订1年以上期限劳动合同并依法缴纳社会保险费。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4.企业既可以适用上述税收优惠政策，又可以适用其他扶持就业专项税收优惠政策的，可以选择适用最优惠的政策，但不得重复享受。</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企业按招用人数和签订的劳动合同时间核算企业减免税总额，在核算减免税总额内每月依次扣减增值税、城市维护建设税、教育费附加和地方教育附加。企业实际应缴纳的增值税、城市维护建设税、教育费附加和地方教育附加小于核算减免税总额的，以实际应缴纳的增值税、城市维护建设税、教育费附加和地方教育附加为限；实际应缴纳的增值税、城市维护建设税、教育费附加和地方教育附加大于核算减免税总额的，以核算减免税总额为限。</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纳税年度终了，如果企业实际减免的增值税、城市维护建设税、教育费附加和地方教育附加小于核算减免税总额，企业在企业所得税汇算清缴时以差额部分扣减企业所得税。当年扣减不完的，不再结转以后年度扣减。</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自主就业退役士兵在企业工作不满1年的，应当按月换算减免税限额。计算公式为：企业核算减免税总额=Σ每名自主就业退役士兵本年度在本单位工作月份÷12×具体定额标准。</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6.</w:t>
      </w:r>
      <w:r>
        <w:rPr>
          <w:rFonts w:hint="eastAsia" w:asciiTheme="minorEastAsia" w:hAnsiTheme="minorEastAsia" w:eastAsiaTheme="minorEastAsia" w:cstheme="minorEastAsia"/>
          <w:sz w:val="32"/>
          <w:szCs w:val="32"/>
        </w:rPr>
        <w:t>城市维护建设税、教育费附加、地方教育附加的计税依据是享受本政策前的增值税应纳税额。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05" w:name="_Toc7097"/>
      <w:bookmarkStart w:id="506" w:name="_Toc27735"/>
      <w:r>
        <w:rPr>
          <w:rFonts w:hint="eastAsia" w:asciiTheme="minorEastAsia" w:hAnsiTheme="minorEastAsia" w:eastAsiaTheme="minorEastAsia" w:cstheme="minorEastAsia"/>
          <w:b/>
          <w:bCs/>
          <w:sz w:val="32"/>
          <w:szCs w:val="32"/>
          <w:lang w:val="en-US" w:eastAsia="zh-CN"/>
        </w:rPr>
        <w:t>【办理流程】</w:t>
      </w:r>
      <w:bookmarkEnd w:id="505"/>
      <w:bookmarkEnd w:id="506"/>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07" w:name="_Toc31186"/>
      <w:bookmarkStart w:id="508" w:name="_Toc28885"/>
      <w:r>
        <w:rPr>
          <w:rFonts w:hint="eastAsia" w:asciiTheme="minorEastAsia" w:hAnsiTheme="minorEastAsia" w:eastAsiaTheme="minorEastAsia" w:cstheme="minorEastAsia"/>
          <w:b/>
          <w:bCs/>
          <w:sz w:val="32"/>
          <w:szCs w:val="32"/>
          <w:lang w:val="en-US" w:eastAsia="zh-CN"/>
        </w:rPr>
        <w:t>【政策依据】</w:t>
      </w:r>
      <w:bookmarkEnd w:id="507"/>
      <w:bookmarkEnd w:id="50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退役军人部关于进一步扶持自主就业退役士兵创业就业有关税收政策的通知》（财税〔2019〕21号）</w:t>
      </w:r>
    </w:p>
    <w:p>
      <w:pPr>
        <w:pageBreakBefore w:val="0"/>
        <w:numPr>
          <w:ilvl w:val="0"/>
          <w:numId w:val="0"/>
        </w:numPr>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《黑龙江省财政厅 国家税务总局黑龙江省税务局 黑龙江省退役军人事务厅关于延长退役士兵创业就业有关税收政策执行期限的公告》（2022年第1号）</w:t>
      </w:r>
    </w:p>
    <w:p>
      <w:pPr>
        <w:pageBreakBefore w:val="0"/>
        <w:widowControl w:val="0"/>
        <w:numPr>
          <w:ilvl w:val="0"/>
          <w:numId w:val="0"/>
        </w:numPr>
        <w:kinsoku/>
        <w:wordWrap/>
        <w:overflowPunct/>
        <w:topLinePunct w:val="0"/>
        <w:bidi w:val="0"/>
        <w:adjustRightInd/>
        <w:snapToGrid/>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lang w:val="en-US" w:eastAsia="zh-CN"/>
        </w:rPr>
        <w:t>4.《黑龙江省财政厅 国家税务总局黑龙江省税务局 黑龙江省退役军人事务厅转发</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财政部 税务总局退役军人部关于进一步扶持自主就业退役士兵创业就业有关税收政策的通知</w:t>
      </w:r>
      <w:r>
        <w:rPr>
          <w:rFonts w:hint="default" w:ascii="Cambria Math" w:hAnsi="Cambria Math" w:cs="Cambria Math" w:eastAsiaTheme="minorEastAsia"/>
          <w:sz w:val="32"/>
          <w:szCs w:val="32"/>
          <w:lang w:val="en-US" w:eastAsia="zh-CN"/>
        </w:rPr>
        <w:t>〉</w:t>
      </w:r>
      <w:r>
        <w:rPr>
          <w:rFonts w:hint="eastAsia" w:asciiTheme="minorEastAsia" w:hAnsiTheme="minorEastAsia" w:eastAsiaTheme="minorEastAsia" w:cstheme="minorEastAsia"/>
          <w:sz w:val="32"/>
          <w:szCs w:val="32"/>
          <w:lang w:val="en-US" w:eastAsia="zh-CN"/>
        </w:rPr>
        <w:t>的通知》（黑财规审〔2019〕2号）</w:t>
      </w:r>
    </w:p>
    <w:p>
      <w:pPr>
        <w:pStyle w:val="4"/>
        <w:pageBreakBefore w:val="0"/>
        <w:widowControl w:val="0"/>
        <w:kinsoku/>
        <w:wordWrap/>
        <w:overflowPunct/>
        <w:topLinePunct w:val="0"/>
        <w:bidi w:val="0"/>
        <w:adjustRightInd/>
        <w:snapToGrid/>
        <w:spacing w:line="500" w:lineRule="exact"/>
        <w:ind w:firstLine="643" w:firstLineChars="200"/>
        <w:textAlignment w:val="auto"/>
        <w:outlineLvl w:val="0"/>
        <w:rPr>
          <w:rFonts w:hint="eastAsia"/>
        </w:rPr>
      </w:pPr>
      <w:bookmarkStart w:id="509" w:name="_Toc12049"/>
      <w:bookmarkStart w:id="510" w:name="_Toc3547"/>
      <w:bookmarkStart w:id="511" w:name="_Toc11274"/>
    </w:p>
    <w:p>
      <w:pPr>
        <w:pStyle w:val="4"/>
        <w:pageBreakBefore w:val="0"/>
        <w:widowControl w:val="0"/>
        <w:kinsoku/>
        <w:wordWrap/>
        <w:overflowPunct/>
        <w:topLinePunct w:val="0"/>
        <w:bidi w:val="0"/>
        <w:adjustRightInd/>
        <w:snapToGrid/>
        <w:spacing w:line="500" w:lineRule="exact"/>
        <w:ind w:firstLine="643" w:firstLineChars="200"/>
        <w:textAlignment w:val="auto"/>
        <w:outlineLvl w:val="0"/>
        <w:rPr>
          <w:rFonts w:hint="eastAsia"/>
        </w:rPr>
      </w:pPr>
      <w:bookmarkStart w:id="512" w:name="_Toc16109"/>
      <w:bookmarkStart w:id="513" w:name="_Toc1444"/>
      <w:r>
        <w:rPr>
          <w:rFonts w:hint="eastAsia"/>
        </w:rPr>
        <w:t>（</w:t>
      </w:r>
      <w:r>
        <w:rPr>
          <w:rFonts w:hint="eastAsia"/>
          <w:lang w:eastAsia="zh-CN"/>
        </w:rPr>
        <w:t>三</w:t>
      </w:r>
      <w:r>
        <w:rPr>
          <w:rFonts w:hint="eastAsia"/>
        </w:rPr>
        <w:t>十</w:t>
      </w:r>
      <w:r>
        <w:rPr>
          <w:rFonts w:hint="eastAsia"/>
          <w:lang w:eastAsia="zh-CN"/>
        </w:rPr>
        <w:t>三</w:t>
      </w:r>
      <w:r>
        <w:rPr>
          <w:rFonts w:hint="eastAsia"/>
        </w:rPr>
        <w:t>）科技企业孵化器等免征房产税、城镇土地使用税和</w:t>
      </w:r>
      <w:bookmarkEnd w:id="509"/>
      <w:r>
        <w:rPr>
          <w:rFonts w:hint="eastAsia"/>
        </w:rPr>
        <w:t>增值税政策</w:t>
      </w:r>
      <w:bookmarkEnd w:id="510"/>
      <w:bookmarkEnd w:id="511"/>
      <w:bookmarkEnd w:id="512"/>
      <w:bookmarkEnd w:id="513"/>
    </w:p>
    <w:p>
      <w:pPr>
        <w:pageBreakBefore w:val="0"/>
        <w:kinsoku/>
        <w:wordWrap/>
        <w:overflowPunct/>
        <w:topLinePunct w:val="0"/>
        <w:bidi w:val="0"/>
        <w:spacing w:line="500" w:lineRule="exact"/>
        <w:ind w:firstLine="643" w:firstLineChars="200"/>
        <w:jc w:val="both"/>
        <w:textAlignment w:val="auto"/>
        <w:outlineLvl w:val="1"/>
        <w:rPr>
          <w:rFonts w:hint="eastAsia"/>
        </w:rPr>
      </w:pPr>
      <w:bookmarkStart w:id="514" w:name="_Toc9200"/>
      <w:bookmarkStart w:id="515" w:name="_Toc7258"/>
      <w:r>
        <w:rPr>
          <w:rFonts w:hint="eastAsia" w:asciiTheme="minorEastAsia" w:hAnsiTheme="minorEastAsia" w:eastAsiaTheme="minorEastAsia" w:cstheme="minorEastAsia"/>
          <w:b/>
          <w:bCs/>
          <w:sz w:val="32"/>
          <w:szCs w:val="32"/>
          <w:lang w:val="en-US" w:eastAsia="zh-CN"/>
        </w:rPr>
        <w:t>【享受主体】</w:t>
      </w:r>
      <w:bookmarkEnd w:id="514"/>
      <w:bookmarkEnd w:id="515"/>
    </w:p>
    <w:p>
      <w:pPr>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国家级、省级科技企业孵化器、大学科技园和国家备案众创空间</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16" w:name="_Toc5010"/>
      <w:bookmarkStart w:id="517" w:name="_Toc23973"/>
      <w:r>
        <w:rPr>
          <w:rFonts w:hint="eastAsia" w:asciiTheme="minorEastAsia" w:hAnsiTheme="minorEastAsia" w:eastAsiaTheme="minorEastAsia" w:cstheme="minorEastAsia"/>
          <w:b/>
          <w:bCs/>
          <w:sz w:val="32"/>
          <w:szCs w:val="32"/>
          <w:lang w:val="en-US" w:eastAsia="zh-CN"/>
        </w:rPr>
        <w:t>【优惠内容】</w:t>
      </w:r>
      <w:bookmarkEnd w:id="516"/>
      <w:bookmarkEnd w:id="51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1.自2019年1月1日至2023年12月31日，对国家级、省级科技企业孵化器、大学科技园和国家备案众创空间自用以及无偿或通过出租等方式提供给在孵对象使用的房产、土地，免征房产税和城镇土地使用税。</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2.自2019年1月1日至2023年12月31日，对国家级、省级科技企业孵化器、大学科技园和国家备案众创空间向在孵对象提供孵化服务取得的收入，免征增值税。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18" w:name="_Toc30135"/>
      <w:bookmarkStart w:id="519" w:name="_Toc15101"/>
      <w:r>
        <w:rPr>
          <w:rFonts w:hint="eastAsia" w:asciiTheme="minorEastAsia" w:hAnsiTheme="minorEastAsia" w:eastAsiaTheme="minorEastAsia" w:cstheme="minorEastAsia"/>
          <w:b/>
          <w:bCs/>
          <w:sz w:val="32"/>
          <w:szCs w:val="32"/>
          <w:lang w:val="en-US" w:eastAsia="zh-CN"/>
        </w:rPr>
        <w:t>【享受条件】</w:t>
      </w:r>
      <w:bookmarkEnd w:id="518"/>
      <w:bookmarkEnd w:id="51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1.孵化服务是指为在孵对象提供的经纪代理、经营租赁、研发和技术、信息技术、鉴证咨询服务。</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2.国家级、省级科技企业孵化器、大学科技园和国家备案众创空间应当单独核算孵化服务收入。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3.国家级科技企业孵化器、大学科技园和国家备案众创空间认定和管理办法由国务院科技、教育部门另行发布；省级科技企业孵化器、大学科技园认定和管理办法由省级科技、教育部门另行发布。</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4.国家级、省级科技企业孵化器、大学科技园和国家备案众创空间应按规定申报享受免税政策，并将房产土地权属资料、房产原值资料、房产土地租赁合同、孵化协议等留存备查。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5.2018年12月31日以前认定的国家级科技企业孵化器、大学科技园，自2019年1月1日起享受本政策规定的税收优惠。2019年1月1日以后认定的国家级、省级科技企业孵化器、大学科技园和国家备案众创空间，自认定之日次月起享受本政策规定的税收优惠。2019年1月1日以后被取消资格的，自取消资格之日次月起停止享受本政策规定的税收优惠。</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20" w:name="_Toc10266"/>
      <w:bookmarkStart w:id="521" w:name="_Toc30077"/>
      <w:r>
        <w:rPr>
          <w:rFonts w:hint="eastAsia" w:asciiTheme="minorEastAsia" w:hAnsiTheme="minorEastAsia" w:eastAsiaTheme="minorEastAsia" w:cstheme="minorEastAsia"/>
          <w:b/>
          <w:bCs/>
          <w:sz w:val="32"/>
          <w:szCs w:val="32"/>
          <w:lang w:val="en-US" w:eastAsia="zh-CN"/>
        </w:rPr>
        <w:t>【办理流程】</w:t>
      </w:r>
      <w:bookmarkEnd w:id="520"/>
      <w:bookmarkEnd w:id="52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22" w:name="_Toc684"/>
      <w:bookmarkStart w:id="523" w:name="_Toc27605"/>
      <w:r>
        <w:rPr>
          <w:rFonts w:hint="eastAsia" w:asciiTheme="minorEastAsia" w:hAnsiTheme="minorEastAsia" w:eastAsiaTheme="minorEastAsia" w:cstheme="minorEastAsia"/>
          <w:b/>
          <w:bCs/>
          <w:sz w:val="32"/>
          <w:szCs w:val="32"/>
          <w:lang w:val="en-US" w:eastAsia="zh-CN"/>
        </w:rPr>
        <w:t>【政策依据】</w:t>
      </w:r>
      <w:bookmarkEnd w:id="522"/>
      <w:bookmarkEnd w:id="52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科技部 教育部关于科技企业孵化器大学科技园和众创空间税收政策的通知》（财税〔2018〕120号）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24" w:name="_Toc32284"/>
      <w:bookmarkStart w:id="525" w:name="_Toc26932"/>
      <w:bookmarkStart w:id="526" w:name="_Toc7096"/>
      <w:bookmarkStart w:id="527" w:name="_Toc32505"/>
      <w:bookmarkStart w:id="528" w:name="_Toc4024"/>
      <w:r>
        <w:rPr>
          <w:rFonts w:hint="eastAsia"/>
        </w:rPr>
        <w:t>（</w:t>
      </w:r>
      <w:r>
        <w:rPr>
          <w:rFonts w:hint="eastAsia"/>
          <w:b/>
          <w:bCs w:val="0"/>
          <w:lang w:eastAsia="zh-CN"/>
        </w:rPr>
        <w:t>三</w:t>
      </w:r>
      <w:r>
        <w:rPr>
          <w:rFonts w:hint="eastAsia"/>
        </w:rPr>
        <w:t>十</w:t>
      </w:r>
      <w:r>
        <w:rPr>
          <w:rFonts w:hint="eastAsia"/>
          <w:lang w:eastAsia="zh-CN"/>
        </w:rPr>
        <w:t>四</w:t>
      </w:r>
      <w:r>
        <w:rPr>
          <w:rFonts w:hint="eastAsia"/>
        </w:rPr>
        <w:t>）高校学生公寓免征房产税、印花税政策</w:t>
      </w:r>
      <w:bookmarkEnd w:id="524"/>
      <w:bookmarkEnd w:id="525"/>
      <w:bookmarkEnd w:id="526"/>
      <w:bookmarkEnd w:id="527"/>
      <w:bookmarkEnd w:id="528"/>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29" w:name="_Toc12440"/>
      <w:bookmarkStart w:id="530" w:name="_Toc27635"/>
      <w:r>
        <w:rPr>
          <w:rFonts w:hint="eastAsia" w:asciiTheme="minorEastAsia" w:hAnsiTheme="minorEastAsia" w:eastAsiaTheme="minorEastAsia" w:cstheme="minorEastAsia"/>
          <w:b/>
          <w:bCs/>
          <w:sz w:val="32"/>
          <w:szCs w:val="32"/>
          <w:lang w:val="en-US" w:eastAsia="zh-CN"/>
        </w:rPr>
        <w:t>【享受主体】</w:t>
      </w:r>
      <w:bookmarkEnd w:id="529"/>
      <w:bookmarkEnd w:id="53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运营高校学生公寓的纳税人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31" w:name="_Toc4196"/>
      <w:bookmarkStart w:id="532" w:name="_Toc22271"/>
      <w:r>
        <w:rPr>
          <w:rFonts w:hint="eastAsia" w:asciiTheme="minorEastAsia" w:hAnsiTheme="minorEastAsia" w:eastAsiaTheme="minorEastAsia" w:cstheme="minorEastAsia"/>
          <w:b/>
          <w:bCs/>
          <w:sz w:val="32"/>
          <w:szCs w:val="32"/>
          <w:lang w:val="en-US" w:eastAsia="zh-CN"/>
        </w:rPr>
        <w:t>【优惠内容】</w:t>
      </w:r>
      <w:bookmarkEnd w:id="531"/>
      <w:bookmarkEnd w:id="53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1.自2019年1月1日至2023年12月31日，对高校学生公寓免征房产税。</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2.自2019年1月1日至2023年12月31日，对与高校学生签订的高校学生公寓租赁合同，免征印花税。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33" w:name="_Toc6724"/>
      <w:bookmarkStart w:id="534" w:name="_Toc20577"/>
      <w:r>
        <w:rPr>
          <w:rFonts w:hint="eastAsia" w:asciiTheme="minorEastAsia" w:hAnsiTheme="minorEastAsia" w:eastAsiaTheme="minorEastAsia" w:cstheme="minorEastAsia"/>
          <w:b/>
          <w:bCs/>
          <w:sz w:val="32"/>
          <w:szCs w:val="32"/>
          <w:lang w:val="en-US" w:eastAsia="zh-CN"/>
        </w:rPr>
        <w:t>【享受条件】</w:t>
      </w:r>
      <w:bookmarkEnd w:id="533"/>
      <w:bookmarkEnd w:id="53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1.高校学生公寓，是指为高校学生提供住宿服务，按照国家规定的收费标准收取住宿费的学生公寓。</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2.企业享受本政策，应按规定进行免税申报，并将不动产权属证明、载有房产原值的相关材料、房产用途证明、租赁合同等资料留存备查。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35" w:name="_Toc24391"/>
      <w:bookmarkStart w:id="536" w:name="_Toc861"/>
      <w:r>
        <w:rPr>
          <w:rFonts w:hint="eastAsia" w:asciiTheme="minorEastAsia" w:hAnsiTheme="minorEastAsia" w:eastAsiaTheme="minorEastAsia" w:cstheme="minorEastAsia"/>
          <w:b/>
          <w:bCs/>
          <w:sz w:val="32"/>
          <w:szCs w:val="32"/>
          <w:lang w:val="en-US" w:eastAsia="zh-CN"/>
        </w:rPr>
        <w:t>【办理流程】</w:t>
      </w:r>
      <w:bookmarkEnd w:id="535"/>
      <w:bookmarkEnd w:id="53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37" w:name="_Toc3338"/>
      <w:bookmarkStart w:id="538" w:name="_Toc24812"/>
      <w:r>
        <w:rPr>
          <w:rFonts w:hint="eastAsia" w:asciiTheme="minorEastAsia" w:hAnsiTheme="minorEastAsia" w:eastAsiaTheme="minorEastAsia" w:cstheme="minorEastAsia"/>
          <w:b/>
          <w:bCs/>
          <w:sz w:val="32"/>
          <w:szCs w:val="32"/>
          <w:lang w:val="en-US" w:eastAsia="zh-CN"/>
        </w:rPr>
        <w:t>【政策依据】</w:t>
      </w:r>
      <w:bookmarkEnd w:id="537"/>
      <w:bookmarkEnd w:id="53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cstheme="minorEastAsia"/>
          <w:sz w:val="32"/>
          <w:szCs w:val="32"/>
          <w:lang w:val="en-US" w:eastAsia="zh-CN"/>
        </w:rPr>
        <w:t>.</w:t>
      </w:r>
      <w:r>
        <w:rPr>
          <w:rFonts w:hint="eastAsia" w:asciiTheme="minorEastAsia" w:hAnsiTheme="minorEastAsia" w:eastAsiaTheme="minorEastAsia" w:cstheme="minorEastAsia"/>
          <w:sz w:val="32"/>
          <w:szCs w:val="32"/>
        </w:rPr>
        <w:t>《财政部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2.《财政部 税务总局关于高校学生公寓房产税 印花税政策的通知》（财税〔2019〕14号）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39" w:name="_Toc10471"/>
      <w:bookmarkStart w:id="540" w:name="_Toc25437"/>
      <w:bookmarkStart w:id="541" w:name="_Toc24398"/>
      <w:bookmarkStart w:id="542" w:name="_Toc18325"/>
      <w:bookmarkStart w:id="543" w:name="_Toc8242"/>
      <w:r>
        <w:rPr>
          <w:rFonts w:hint="eastAsia"/>
        </w:rPr>
        <w:t>（</w:t>
      </w:r>
      <w:r>
        <w:rPr>
          <w:rFonts w:hint="eastAsia"/>
          <w:lang w:eastAsia="zh-CN"/>
        </w:rPr>
        <w:t>三</w:t>
      </w:r>
      <w:r>
        <w:rPr>
          <w:rFonts w:hint="eastAsia"/>
        </w:rPr>
        <w:t>十</w:t>
      </w:r>
      <w:r>
        <w:rPr>
          <w:rFonts w:hint="eastAsia"/>
          <w:lang w:eastAsia="zh-CN"/>
        </w:rPr>
        <w:t>五</w:t>
      </w:r>
      <w:r>
        <w:rPr>
          <w:rFonts w:hint="eastAsia"/>
        </w:rPr>
        <w:t>）城市公交站场等运营用地免征城镇土地使用税策</w:t>
      </w:r>
      <w:bookmarkEnd w:id="539"/>
      <w:bookmarkEnd w:id="540"/>
      <w:bookmarkEnd w:id="541"/>
      <w:bookmarkEnd w:id="542"/>
      <w:bookmarkEnd w:id="543"/>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44" w:name="_Toc8204"/>
      <w:bookmarkStart w:id="545" w:name="_Toc8819"/>
      <w:r>
        <w:rPr>
          <w:rFonts w:hint="eastAsia" w:asciiTheme="minorEastAsia" w:hAnsiTheme="minorEastAsia" w:eastAsiaTheme="minorEastAsia" w:cstheme="minorEastAsia"/>
          <w:b/>
          <w:bCs/>
          <w:sz w:val="32"/>
          <w:szCs w:val="32"/>
          <w:lang w:val="en-US" w:eastAsia="zh-CN"/>
        </w:rPr>
        <w:t>【享受主体】</w:t>
      </w:r>
      <w:bookmarkEnd w:id="544"/>
      <w:bookmarkEnd w:id="54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运营城市公交站场、道路客运站场、城市轨道交通系统的纳税人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46" w:name="_Toc16660"/>
      <w:bookmarkStart w:id="547" w:name="_Toc9989"/>
      <w:r>
        <w:rPr>
          <w:rFonts w:hint="eastAsia" w:asciiTheme="minorEastAsia" w:hAnsiTheme="minorEastAsia" w:eastAsiaTheme="minorEastAsia" w:cstheme="minorEastAsia"/>
          <w:b/>
          <w:bCs/>
          <w:sz w:val="32"/>
          <w:szCs w:val="32"/>
          <w:lang w:val="en-US" w:eastAsia="zh-CN"/>
        </w:rPr>
        <w:t>【优惠内容】</w:t>
      </w:r>
      <w:bookmarkEnd w:id="546"/>
      <w:bookmarkEnd w:id="547"/>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自2019年1月1日至2023年12月31日，对城市公交站场、道路客运站场、城市轨道交通系统运营用地，免征城镇土地使用税。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48" w:name="_Toc6308"/>
      <w:bookmarkStart w:id="549" w:name="_Toc21660"/>
      <w:r>
        <w:rPr>
          <w:rFonts w:hint="eastAsia" w:asciiTheme="minorEastAsia" w:hAnsiTheme="minorEastAsia" w:eastAsiaTheme="minorEastAsia" w:cstheme="minorEastAsia"/>
          <w:b/>
          <w:bCs/>
          <w:sz w:val="32"/>
          <w:szCs w:val="32"/>
          <w:lang w:val="en-US" w:eastAsia="zh-CN"/>
        </w:rPr>
        <w:t>【享受条件】</w:t>
      </w:r>
      <w:bookmarkEnd w:id="548"/>
      <w:bookmarkEnd w:id="54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1.城市公交站场运营用地，包括城市公交首末车站、停车场、保养场、站场办公用地、生产辅助用地。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道路客运站场运营用地，包括站前广场、停车场、发车位、站务用地、站场办公用地、生产辅助用地。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城市轨道交通系统运营用地，包括车站（含出入口、通道、公共配套及附属设施）、运营控制中心、车辆基地（含单独的综合维修中心、车辆段）以及线路用地，不包括购物中心、商铺等商业设施用地。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2.城市公交站场、道路客运站场，是指经县级以上（含县级）人民政府交通运输主管部门等批准建设的，为公众及旅客、运输经营者提供站务服务的场所。</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城市轨道交通系统，是指依规定批准建设的，采用专用轨道导向运行的城市公共客运交通系统，包括地铁系统、轻轨系统、单轨系统、有轨电车、磁浮系统、自动导向轨道系统、市域快速轨道系统，不包括旅游景区等单位内部为特定人群服务的轨道系统。</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3.纳税人享受本政策，应按规定进行免税申报，并将不动产权属证明、土地用途证明等资料留存备查。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50" w:name="_Toc6675"/>
      <w:bookmarkStart w:id="551" w:name="_Toc11558"/>
      <w:r>
        <w:rPr>
          <w:rFonts w:hint="eastAsia" w:asciiTheme="minorEastAsia" w:hAnsiTheme="minorEastAsia" w:eastAsiaTheme="minorEastAsia" w:cstheme="minorEastAsia"/>
          <w:b/>
          <w:bCs/>
          <w:sz w:val="32"/>
          <w:szCs w:val="32"/>
          <w:lang w:val="en-US" w:eastAsia="zh-CN"/>
        </w:rPr>
        <w:t>【办理流程】</w:t>
      </w:r>
      <w:bookmarkEnd w:id="550"/>
      <w:bookmarkEnd w:id="55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52" w:name="_Toc17242"/>
      <w:bookmarkStart w:id="553" w:name="_Toc1547"/>
      <w:r>
        <w:rPr>
          <w:rFonts w:hint="eastAsia" w:asciiTheme="minorEastAsia" w:hAnsiTheme="minorEastAsia" w:eastAsiaTheme="minorEastAsia" w:cstheme="minorEastAsia"/>
          <w:b/>
          <w:bCs/>
          <w:sz w:val="32"/>
          <w:szCs w:val="32"/>
          <w:lang w:val="en-US" w:eastAsia="zh-CN"/>
        </w:rPr>
        <w:t>【政策依据】</w:t>
      </w:r>
      <w:bookmarkEnd w:id="552"/>
      <w:bookmarkEnd w:id="55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税务总局关于继续对城市公交站场 道路客运站场 城市轨道交通系统减免城镇土地使用税优惠政策的通知》（财税〔2019〕11号）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54" w:name="_Toc24142"/>
      <w:bookmarkStart w:id="555" w:name="_Toc11031"/>
      <w:bookmarkStart w:id="556" w:name="_Toc22163"/>
      <w:bookmarkStart w:id="557" w:name="_Toc129"/>
      <w:bookmarkStart w:id="558" w:name="_Toc977"/>
      <w:r>
        <w:rPr>
          <w:rFonts w:hint="eastAsia"/>
        </w:rPr>
        <w:t>（</w:t>
      </w:r>
      <w:r>
        <w:rPr>
          <w:rFonts w:hint="eastAsia"/>
          <w:lang w:eastAsia="zh-CN"/>
        </w:rPr>
        <w:t>三</w:t>
      </w:r>
      <w:r>
        <w:rPr>
          <w:rFonts w:hint="eastAsia"/>
        </w:rPr>
        <w:t>十</w:t>
      </w:r>
      <w:r>
        <w:rPr>
          <w:rFonts w:hint="eastAsia"/>
          <w:lang w:eastAsia="zh-CN"/>
        </w:rPr>
        <w:t>六</w:t>
      </w:r>
      <w:r>
        <w:rPr>
          <w:rFonts w:hint="eastAsia"/>
        </w:rPr>
        <w:t>）农产品批发市场、农贸市场免征房产税、城镇土</w:t>
      </w:r>
      <w:bookmarkEnd w:id="554"/>
      <w:bookmarkStart w:id="559" w:name="_Toc15333"/>
      <w:r>
        <w:rPr>
          <w:rFonts w:hint="eastAsia"/>
        </w:rPr>
        <w:t>地使用税政策</w:t>
      </w:r>
      <w:bookmarkEnd w:id="555"/>
      <w:bookmarkEnd w:id="556"/>
      <w:bookmarkEnd w:id="557"/>
      <w:bookmarkEnd w:id="558"/>
      <w:bookmarkEnd w:id="559"/>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60" w:name="_Toc27358"/>
      <w:bookmarkStart w:id="561" w:name="_Toc15262"/>
      <w:r>
        <w:rPr>
          <w:rFonts w:hint="eastAsia" w:asciiTheme="minorEastAsia" w:hAnsiTheme="minorEastAsia" w:eastAsiaTheme="minorEastAsia" w:cstheme="minorEastAsia"/>
          <w:b/>
          <w:bCs/>
          <w:sz w:val="32"/>
          <w:szCs w:val="32"/>
          <w:lang w:val="en-US" w:eastAsia="zh-CN"/>
        </w:rPr>
        <w:t>【享受主体】</w:t>
      </w:r>
      <w:bookmarkEnd w:id="560"/>
      <w:bookmarkEnd w:id="56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农产品批发市场、农贸市场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62" w:name="_Toc16002"/>
      <w:bookmarkStart w:id="563" w:name="_Toc7420"/>
      <w:r>
        <w:rPr>
          <w:rFonts w:hint="eastAsia" w:asciiTheme="minorEastAsia" w:hAnsiTheme="minorEastAsia" w:eastAsiaTheme="minorEastAsia" w:cstheme="minorEastAsia"/>
          <w:b/>
          <w:bCs/>
          <w:sz w:val="32"/>
          <w:szCs w:val="32"/>
          <w:lang w:val="en-US" w:eastAsia="zh-CN"/>
        </w:rPr>
        <w:t>【优惠内容】</w:t>
      </w:r>
      <w:bookmarkEnd w:id="562"/>
      <w:bookmarkEnd w:id="56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对农产品批发市场、农贸市场（包括自有和承租，下同）专门用于经营农产品的房产、土地，暂免征收房产税和城镇土地使用税。对同时经营其他产品的农产品批发市场和农贸市场使用的房产、土地，按其他产品与农产品交易场地面积的比例确定征免房产税和城镇土地使用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64" w:name="_Toc25310"/>
      <w:bookmarkStart w:id="565" w:name="_Toc18999"/>
      <w:r>
        <w:rPr>
          <w:rFonts w:hint="eastAsia" w:asciiTheme="minorEastAsia" w:hAnsiTheme="minorEastAsia" w:eastAsiaTheme="minorEastAsia" w:cstheme="minorEastAsia"/>
          <w:b/>
          <w:bCs/>
          <w:sz w:val="32"/>
          <w:szCs w:val="32"/>
          <w:lang w:val="en-US" w:eastAsia="zh-CN"/>
        </w:rPr>
        <w:t>【享受条件】</w:t>
      </w:r>
      <w:bookmarkEnd w:id="564"/>
      <w:bookmarkEnd w:id="56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农产品批发市场和农贸市场，是指经工商登记注册，供买卖双方进行农产品及其初加工品现货批发或零售交易的场所。农产品包括粮油、肉禽蛋、蔬菜、干鲜果品、水产品、调味品、棉麻、活畜、可食用的林产品以及由省、自治区、直辖市财税部门确定的其他可食用的农产品。</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2.享受本政策的房产、土地，是指农产品批发市场、农贸市场直接为农产品交易提供服务的房产、土地。农产品批发市场、农贸市场的行政办公区、生活区，以及商业餐饮娱乐等非直接</w:t>
      </w:r>
      <w:r>
        <w:rPr>
          <w:rFonts w:hint="eastAsia" w:asciiTheme="minorEastAsia" w:hAnsiTheme="minorEastAsia" w:cstheme="minorEastAsia"/>
          <w:sz w:val="32"/>
          <w:szCs w:val="32"/>
          <w:lang w:eastAsia="zh-CN"/>
        </w:rPr>
        <w:t>为</w:t>
      </w:r>
      <w:r>
        <w:rPr>
          <w:rFonts w:hint="eastAsia" w:asciiTheme="minorEastAsia" w:hAnsiTheme="minorEastAsia" w:eastAsiaTheme="minorEastAsia" w:cstheme="minorEastAsia"/>
          <w:sz w:val="32"/>
          <w:szCs w:val="32"/>
        </w:rPr>
        <w:t>农产品交易提供服务的房产、土地，不属于规定的优惠范围，应按规定征收房产税和城镇土地使用税。</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3.企业享受本政策，应按规定进行免税申报，并将不动产权属证明、载有房产原值的相关材料、租赁协议、房产土地用途证明等资料留存备查。</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66" w:name="_Toc20323"/>
      <w:bookmarkStart w:id="567" w:name="_Toc29238"/>
      <w:r>
        <w:rPr>
          <w:rFonts w:hint="eastAsia" w:asciiTheme="minorEastAsia" w:hAnsiTheme="minorEastAsia" w:eastAsiaTheme="minorEastAsia" w:cstheme="minorEastAsia"/>
          <w:b/>
          <w:bCs/>
          <w:sz w:val="32"/>
          <w:szCs w:val="32"/>
          <w:lang w:val="en-US" w:eastAsia="zh-CN"/>
        </w:rPr>
        <w:t>【办理流程】</w:t>
      </w:r>
      <w:bookmarkEnd w:id="566"/>
      <w:bookmarkEnd w:id="56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68" w:name="_Toc5811"/>
      <w:bookmarkStart w:id="569" w:name="_Toc16405"/>
      <w:r>
        <w:rPr>
          <w:rFonts w:hint="eastAsia" w:asciiTheme="minorEastAsia" w:hAnsiTheme="minorEastAsia" w:eastAsiaTheme="minorEastAsia" w:cstheme="minorEastAsia"/>
          <w:b/>
          <w:bCs/>
          <w:sz w:val="32"/>
          <w:szCs w:val="32"/>
          <w:lang w:val="en-US" w:eastAsia="zh-CN"/>
        </w:rPr>
        <w:t>【政策依据】</w:t>
      </w:r>
      <w:bookmarkEnd w:id="568"/>
      <w:bookmarkEnd w:id="56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税务总局关于继续实行农产品批发市场 农贸市场房产税 城镇土地使用税优惠政策的通知》（财税〔2019〕12号）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70" w:name="_Toc3148"/>
      <w:bookmarkStart w:id="571" w:name="_Toc3348"/>
      <w:bookmarkStart w:id="572" w:name="_Toc13295"/>
      <w:bookmarkStart w:id="573" w:name="_Toc17933"/>
      <w:bookmarkStart w:id="574" w:name="_Toc30271"/>
      <w:r>
        <w:rPr>
          <w:rFonts w:hint="eastAsia"/>
        </w:rPr>
        <w:t>（</w:t>
      </w:r>
      <w:r>
        <w:rPr>
          <w:rFonts w:hint="eastAsia"/>
          <w:lang w:eastAsia="zh-CN"/>
        </w:rPr>
        <w:t>三</w:t>
      </w:r>
      <w:r>
        <w:rPr>
          <w:rFonts w:hint="eastAsia"/>
        </w:rPr>
        <w:t>十</w:t>
      </w:r>
      <w:r>
        <w:rPr>
          <w:rFonts w:hint="eastAsia"/>
          <w:lang w:eastAsia="zh-CN"/>
        </w:rPr>
        <w:t>七</w:t>
      </w:r>
      <w:r>
        <w:rPr>
          <w:rFonts w:hint="eastAsia"/>
        </w:rPr>
        <w:t>）从事污染防治的第三方企业减免企业所得税政</w:t>
      </w:r>
      <w:bookmarkEnd w:id="570"/>
      <w:r>
        <w:rPr>
          <w:rFonts w:hint="eastAsia"/>
        </w:rPr>
        <w:t>策</w:t>
      </w:r>
      <w:bookmarkEnd w:id="571"/>
      <w:bookmarkEnd w:id="572"/>
      <w:bookmarkEnd w:id="573"/>
      <w:bookmarkEnd w:id="574"/>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75" w:name="_Toc11314"/>
      <w:bookmarkStart w:id="576" w:name="_Toc25048"/>
      <w:r>
        <w:rPr>
          <w:rFonts w:hint="eastAsia" w:asciiTheme="minorEastAsia" w:hAnsiTheme="minorEastAsia" w:eastAsiaTheme="minorEastAsia" w:cstheme="minorEastAsia"/>
          <w:b/>
          <w:bCs/>
          <w:sz w:val="32"/>
          <w:szCs w:val="32"/>
          <w:lang w:val="en-US" w:eastAsia="zh-CN"/>
        </w:rPr>
        <w:t>【享受主体】</w:t>
      </w:r>
      <w:bookmarkEnd w:id="575"/>
      <w:bookmarkEnd w:id="57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符合条件的从事污染防治的第三方企业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77" w:name="_Toc21127"/>
      <w:bookmarkStart w:id="578" w:name="_Toc20495"/>
      <w:r>
        <w:rPr>
          <w:rFonts w:hint="eastAsia" w:asciiTheme="minorEastAsia" w:hAnsiTheme="minorEastAsia" w:eastAsiaTheme="minorEastAsia" w:cstheme="minorEastAsia"/>
          <w:b/>
          <w:bCs/>
          <w:sz w:val="32"/>
          <w:szCs w:val="32"/>
          <w:lang w:val="en-US" w:eastAsia="zh-CN"/>
        </w:rPr>
        <w:t>【优惠内容】</w:t>
      </w:r>
      <w:bookmarkEnd w:id="577"/>
      <w:bookmarkEnd w:id="57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自2019年1月1日至2023年12月31日，对符合条件的从事污染防治的第三方企业(以下称第三方防治企业)减按15%的税率征收企业所得税。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79" w:name="_Toc29991"/>
      <w:bookmarkStart w:id="580" w:name="_Toc8340"/>
      <w:r>
        <w:rPr>
          <w:rFonts w:hint="eastAsia" w:asciiTheme="minorEastAsia" w:hAnsiTheme="minorEastAsia" w:eastAsiaTheme="minorEastAsia" w:cstheme="minorEastAsia"/>
          <w:b/>
          <w:bCs/>
          <w:sz w:val="32"/>
          <w:szCs w:val="32"/>
          <w:lang w:val="en-US" w:eastAsia="zh-CN"/>
        </w:rPr>
        <w:t>【享受条件】</w:t>
      </w:r>
      <w:bookmarkEnd w:id="579"/>
      <w:bookmarkEnd w:id="58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1.第三方防治企业是指受排污企业或政府委托，负责环境污染治理设施(包括自动连续监测设施，下同)运营维护的企业。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2.第三方防治企业应当同时符合以下条件：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（1）在中国境内(不包括港、澳、台地区)依法注册的居民企业；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（2）具有1年以上连续从事环境污染治理设施运营实践，且能够保证设施正常运行；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（3）具有至少5名从事本领域工作且具有环保相关专业中级及以上技术职称的技术人员，或者至少2名从事本领域工作且具有环保相关专业高级及以上技术职称的技术人员；</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（4）从事环境保护设施运营服务的年度营业收入占总收入的比例不低于60%；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（5）具备检验能力，拥有自有实验室，仪器配置可满足运行服务范围内常规污染物指标的检测需求；</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（6）保证其运营的环境保护设施正常运行，使污染物排放指标能够连续稳定达到国家或者地方规定的排放标准要求；</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（7）具有良好的纳税信用，近三年内纳税信用等级未被评定为C级或D级。</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81" w:name="_Toc10844"/>
      <w:bookmarkStart w:id="582" w:name="_Toc32184"/>
      <w:r>
        <w:rPr>
          <w:rFonts w:hint="eastAsia" w:asciiTheme="minorEastAsia" w:hAnsiTheme="minorEastAsia" w:eastAsiaTheme="minorEastAsia" w:cstheme="minorEastAsia"/>
          <w:b/>
          <w:bCs/>
          <w:sz w:val="32"/>
          <w:szCs w:val="32"/>
          <w:lang w:val="en-US" w:eastAsia="zh-CN"/>
        </w:rPr>
        <w:t>【办理流程】</w:t>
      </w:r>
      <w:bookmarkEnd w:id="581"/>
      <w:bookmarkEnd w:id="58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83" w:name="_Toc22962"/>
      <w:bookmarkStart w:id="584" w:name="_Toc22952"/>
      <w:r>
        <w:rPr>
          <w:rFonts w:hint="eastAsia" w:asciiTheme="minorEastAsia" w:hAnsiTheme="minorEastAsia" w:eastAsiaTheme="minorEastAsia" w:cstheme="minorEastAsia"/>
          <w:b/>
          <w:bCs/>
          <w:sz w:val="32"/>
          <w:szCs w:val="32"/>
          <w:lang w:val="en-US" w:eastAsia="zh-CN"/>
        </w:rPr>
        <w:t>【政策依据】</w:t>
      </w:r>
      <w:bookmarkEnd w:id="583"/>
      <w:bookmarkEnd w:id="58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widowControl w:val="0"/>
        <w:kinsoku/>
        <w:wordWrap/>
        <w:overflowPunct/>
        <w:topLinePunct w:val="0"/>
        <w:bidi w:val="0"/>
        <w:adjustRightInd/>
        <w:snapToGrid/>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国家发展改革委 生态环境部关于从事污染防治的第三方企业所得税政策问题的公告》（2019年第60号）</w:t>
      </w:r>
    </w:p>
    <w:p>
      <w:pPr>
        <w:pStyle w:val="25"/>
        <w:rPr>
          <w:rFonts w:hint="eastAsia"/>
        </w:rPr>
      </w:pPr>
    </w:p>
    <w:p>
      <w:pPr>
        <w:pStyle w:val="4"/>
        <w:pageBreakBefore w:val="0"/>
        <w:widowControl w:val="0"/>
        <w:kinsoku/>
        <w:wordWrap/>
        <w:overflowPunct/>
        <w:topLinePunct w:val="0"/>
        <w:bidi w:val="0"/>
        <w:adjustRightInd/>
        <w:snapToGrid/>
        <w:spacing w:line="500" w:lineRule="exact"/>
        <w:ind w:firstLine="643" w:firstLineChars="200"/>
        <w:textAlignment w:val="auto"/>
        <w:outlineLvl w:val="0"/>
        <w:rPr>
          <w:rFonts w:hint="eastAsia"/>
        </w:rPr>
      </w:pPr>
      <w:bookmarkStart w:id="585" w:name="_Toc13377"/>
      <w:bookmarkStart w:id="586" w:name="_Toc11328"/>
      <w:bookmarkStart w:id="587" w:name="_Toc30358"/>
      <w:bookmarkStart w:id="588" w:name="_Toc3440"/>
      <w:bookmarkStart w:id="589" w:name="_Toc29125"/>
      <w:r>
        <w:rPr>
          <w:rFonts w:hint="eastAsia"/>
        </w:rPr>
        <w:t>（</w:t>
      </w:r>
      <w:r>
        <w:rPr>
          <w:rFonts w:hint="eastAsia"/>
          <w:lang w:eastAsia="zh-CN"/>
        </w:rPr>
        <w:t>三</w:t>
      </w:r>
      <w:r>
        <w:rPr>
          <w:rFonts w:hint="eastAsia"/>
        </w:rPr>
        <w:t>十</w:t>
      </w:r>
      <w:r>
        <w:rPr>
          <w:rFonts w:hint="eastAsia"/>
          <w:lang w:eastAsia="zh-CN"/>
        </w:rPr>
        <w:t>八</w:t>
      </w:r>
      <w:r>
        <w:rPr>
          <w:rFonts w:hint="eastAsia"/>
        </w:rPr>
        <w:t>）支持疫情防护救治等免征个人所得税政策</w:t>
      </w:r>
      <w:bookmarkEnd w:id="585"/>
      <w:bookmarkEnd w:id="586"/>
      <w:bookmarkEnd w:id="587"/>
      <w:bookmarkEnd w:id="588"/>
      <w:bookmarkEnd w:id="589"/>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90" w:name="_Toc27280"/>
      <w:bookmarkStart w:id="591" w:name="_Toc30267"/>
      <w:r>
        <w:rPr>
          <w:rFonts w:hint="eastAsia" w:asciiTheme="minorEastAsia" w:hAnsiTheme="minorEastAsia" w:eastAsiaTheme="minorEastAsia" w:cstheme="minorEastAsia"/>
          <w:b/>
          <w:bCs/>
          <w:sz w:val="32"/>
          <w:szCs w:val="32"/>
          <w:lang w:val="en-US" w:eastAsia="zh-CN"/>
        </w:rPr>
        <w:t>【享受主体】</w:t>
      </w:r>
      <w:bookmarkEnd w:id="590"/>
      <w:bookmarkEnd w:id="59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1.参加疫情防治工作的医务人员和防疫工作者。</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2.获得单位发给用于预防新型冠状病毒感染的肺炎的药品、医疗用品和防护用品等实物(不包括现金）的个人。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592" w:name="_Toc18084"/>
      <w:bookmarkStart w:id="593" w:name="_Toc24228"/>
      <w:r>
        <w:rPr>
          <w:rFonts w:hint="eastAsia" w:asciiTheme="minorEastAsia" w:hAnsiTheme="minorEastAsia" w:eastAsiaTheme="minorEastAsia" w:cstheme="minorEastAsia"/>
          <w:b/>
          <w:bCs/>
          <w:sz w:val="32"/>
          <w:szCs w:val="32"/>
          <w:lang w:val="en-US" w:eastAsia="zh-CN"/>
        </w:rPr>
        <w:t>【优惠内容】</w:t>
      </w:r>
      <w:bookmarkEnd w:id="592"/>
      <w:bookmarkEnd w:id="59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1.自2020年1月1日至2023年12月31日，对参加疫情防治工作的医务人员和防疫工作者按照政府规定标准取得的临时性工作补助和奖金，免征个人所得税。政府规定标准包括各级政府规定的补助和奖金标准。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对省级及省级以上人民政府规定的对参与疫情防控人员的临时性工作补助和奖金，比照执行。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2.自2020年1月1日至2023年12月31日，单位发给个人用于预防新型冠状病毒感染的肺炎的药品、医疗用品和防护用品等实物（不包括现金），不计入工资、薪金收入，免征个人所得税。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94" w:name="_Toc654"/>
      <w:bookmarkStart w:id="595" w:name="_Toc28540"/>
      <w:r>
        <w:rPr>
          <w:rFonts w:hint="eastAsia" w:asciiTheme="minorEastAsia" w:hAnsiTheme="minorEastAsia" w:eastAsiaTheme="minorEastAsia" w:cstheme="minorEastAsia"/>
          <w:b/>
          <w:bCs/>
          <w:sz w:val="32"/>
          <w:szCs w:val="32"/>
          <w:lang w:val="en-US" w:eastAsia="zh-CN"/>
        </w:rPr>
        <w:t>【办理流程】</w:t>
      </w:r>
      <w:bookmarkEnd w:id="594"/>
      <w:bookmarkEnd w:id="59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596" w:name="_Toc24271"/>
      <w:bookmarkStart w:id="597" w:name="_Toc1900"/>
      <w:r>
        <w:rPr>
          <w:rFonts w:hint="eastAsia" w:asciiTheme="minorEastAsia" w:hAnsiTheme="minorEastAsia" w:eastAsiaTheme="minorEastAsia" w:cstheme="minorEastAsia"/>
          <w:b/>
          <w:bCs/>
          <w:sz w:val="32"/>
          <w:szCs w:val="32"/>
          <w:lang w:val="en-US" w:eastAsia="zh-CN"/>
        </w:rPr>
        <w:t>【政策依据】</w:t>
      </w:r>
      <w:bookmarkEnd w:id="596"/>
      <w:bookmarkEnd w:id="59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税务总局关于延长部分税收优惠政策执行期限的公告》（2022年第4号）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税务总局关于支持新型冠状病毒感染的肺炎疫情防控有关个人所得税政策的公告》（2020年第10号）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598" w:name="_Toc13019"/>
      <w:bookmarkStart w:id="599" w:name="_Toc22716"/>
      <w:bookmarkStart w:id="600" w:name="_Toc24414"/>
      <w:bookmarkStart w:id="601" w:name="_Toc9763"/>
      <w:bookmarkStart w:id="602" w:name="_Toc18100"/>
      <w:r>
        <w:rPr>
          <w:rFonts w:hint="eastAsia"/>
        </w:rPr>
        <w:t>（</w:t>
      </w:r>
      <w:r>
        <w:rPr>
          <w:rFonts w:hint="eastAsia"/>
          <w:lang w:eastAsia="zh-CN"/>
        </w:rPr>
        <w:t>三十九</w:t>
      </w:r>
      <w:r>
        <w:rPr>
          <w:rFonts w:hint="eastAsia"/>
        </w:rPr>
        <w:t>）商品储备免征印花税和房产税、城镇土地使用税政策</w:t>
      </w:r>
      <w:bookmarkEnd w:id="598"/>
      <w:bookmarkEnd w:id="599"/>
      <w:bookmarkEnd w:id="600"/>
      <w:bookmarkEnd w:id="601"/>
      <w:bookmarkEnd w:id="602"/>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03" w:name="_Toc17109"/>
      <w:bookmarkStart w:id="604" w:name="_Toc1179"/>
      <w:r>
        <w:rPr>
          <w:rFonts w:hint="eastAsia" w:asciiTheme="minorEastAsia" w:hAnsiTheme="minorEastAsia" w:eastAsiaTheme="minorEastAsia" w:cstheme="minorEastAsia"/>
          <w:b/>
          <w:bCs/>
          <w:sz w:val="32"/>
          <w:szCs w:val="32"/>
          <w:lang w:val="en-US" w:eastAsia="zh-CN"/>
        </w:rPr>
        <w:t>【享受主体】</w:t>
      </w:r>
      <w:bookmarkEnd w:id="603"/>
      <w:bookmarkEnd w:id="60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商品储备管理公司及其直属库</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05" w:name="_Toc12574"/>
      <w:bookmarkStart w:id="606" w:name="_Toc11975"/>
      <w:r>
        <w:rPr>
          <w:rFonts w:hint="eastAsia" w:asciiTheme="minorEastAsia" w:hAnsiTheme="minorEastAsia" w:eastAsiaTheme="minorEastAsia" w:cstheme="minorEastAsia"/>
          <w:b/>
          <w:bCs/>
          <w:sz w:val="32"/>
          <w:szCs w:val="32"/>
          <w:lang w:val="en-US" w:eastAsia="zh-CN"/>
        </w:rPr>
        <w:t>【优惠内容】</w:t>
      </w:r>
      <w:bookmarkEnd w:id="605"/>
      <w:bookmarkEnd w:id="60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1.自2019年1月1日至2023年12月31日，对商品储备管理公司及其直属库资金账簿免征印花税；对其承担商品储备业务过程中书立的购销合同免征印花税，对合同其他各方当事人应缴纳的印花税照章征收。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2.自2019年1月1日至2023年12月31日，对商品储备管理公司及其直属库自用的承担商品储备业务的房产、土地，免征房产税、城镇土地使用税。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07" w:name="_Toc1020"/>
      <w:bookmarkStart w:id="608" w:name="_Toc16183"/>
      <w:r>
        <w:rPr>
          <w:rFonts w:hint="eastAsia" w:asciiTheme="minorEastAsia" w:hAnsiTheme="minorEastAsia" w:eastAsiaTheme="minorEastAsia" w:cstheme="minorEastAsia"/>
          <w:b/>
          <w:bCs/>
          <w:sz w:val="32"/>
          <w:szCs w:val="32"/>
          <w:lang w:val="en-US" w:eastAsia="zh-CN"/>
        </w:rPr>
        <w:t>【享受条件】</w:t>
      </w:r>
      <w:bookmarkEnd w:id="607"/>
      <w:bookmarkEnd w:id="60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1.商品储备管理公司及其直属库，是指接受县级以上政府有关部门委托，承担粮（含大豆）、食用油、棉、糖、肉5种商品储备任务，取得财政储备经费或者补贴的商品储备企业。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2.承担中央政府有关部门委托商品储备业务的储备管理公司及其直属库，包括中国储备粮管理集团有限公司及其分公司、直属库，华商储备商品管理中心有限公司及其管理的国家储备糖库、国家储备肉库。</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承担地方政府有关部门委托商品储备业务的储备管理公司及其直属库，由省、自治区、直辖市财政、税务部门会同有关部门明确或者制定具体管理办法，并报省、自治区、直辖市人民政府批准。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3.企业享受本政策，应按规定进行免税申报，并将不动产权属证明、房产原值、承担商品储备业务情况、储备库建设规划等资料留存备查。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4.2022年1月1日以后已缴上述应予免税的款项，从企业应纳的相应税款中抵扣或者予以退税。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09" w:name="_Toc2019"/>
      <w:bookmarkStart w:id="610" w:name="_Toc509"/>
      <w:r>
        <w:rPr>
          <w:rFonts w:hint="eastAsia" w:asciiTheme="minorEastAsia" w:hAnsiTheme="minorEastAsia" w:eastAsiaTheme="minorEastAsia" w:cstheme="minorEastAsia"/>
          <w:b/>
          <w:bCs/>
          <w:sz w:val="32"/>
          <w:szCs w:val="32"/>
          <w:lang w:val="en-US" w:eastAsia="zh-CN"/>
        </w:rPr>
        <w:t>【办理流程】</w:t>
      </w:r>
      <w:bookmarkEnd w:id="609"/>
      <w:bookmarkEnd w:id="61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11" w:name="_Toc17815"/>
      <w:bookmarkStart w:id="612" w:name="_Toc15004"/>
      <w:r>
        <w:rPr>
          <w:rFonts w:hint="eastAsia" w:asciiTheme="minorEastAsia" w:hAnsiTheme="minorEastAsia" w:eastAsiaTheme="minorEastAsia" w:cstheme="minorEastAsia"/>
          <w:b/>
          <w:bCs/>
          <w:sz w:val="32"/>
          <w:szCs w:val="32"/>
          <w:lang w:val="en-US" w:eastAsia="zh-CN"/>
        </w:rPr>
        <w:t>【政策依据】</w:t>
      </w:r>
      <w:bookmarkEnd w:id="611"/>
      <w:bookmarkEnd w:id="61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税务总局关于延续执行部分国家商品储备税收优惠政策的公告》（2022年第8号）</w:t>
      </w:r>
    </w:p>
    <w:p>
      <w:pPr>
        <w:pageBreakBefore w:val="0"/>
        <w:kinsoku/>
        <w:wordWrap/>
        <w:overflowPunct/>
        <w:topLinePunct w:val="0"/>
        <w:bidi w:val="0"/>
        <w:spacing w:line="500" w:lineRule="exact"/>
        <w:ind w:firstLine="640" w:firstLineChars="200"/>
        <w:jc w:val="both"/>
        <w:textAlignment w:val="auto"/>
        <w:rPr>
          <w:rFonts w:hint="eastAsia"/>
        </w:rPr>
      </w:pPr>
      <w:r>
        <w:rPr>
          <w:rFonts w:hint="eastAsia" w:asciiTheme="minorEastAsia" w:hAnsiTheme="minorEastAsia" w:eastAsiaTheme="minorEastAsia" w:cstheme="minorEastAsia"/>
          <w:sz w:val="32"/>
          <w:szCs w:val="32"/>
        </w:rPr>
        <w:t>2. 《财政部 税务总局关于部分国家储备商品有关税收政策的公告》（2019年第77号）</w:t>
      </w: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13" w:name="_Toc19921"/>
      <w:bookmarkStart w:id="614" w:name="_Toc13173"/>
      <w:bookmarkStart w:id="615" w:name="_Toc4093"/>
      <w:bookmarkStart w:id="616" w:name="_Toc13920"/>
      <w:bookmarkStart w:id="617" w:name="_Toc29073"/>
      <w:r>
        <w:rPr>
          <w:rFonts w:hint="eastAsia"/>
        </w:rPr>
        <w:t>（</w:t>
      </w:r>
      <w:r>
        <w:rPr>
          <w:rFonts w:hint="eastAsia"/>
          <w:lang w:eastAsia="zh-CN"/>
        </w:rPr>
        <w:t>四十</w:t>
      </w:r>
      <w:r>
        <w:rPr>
          <w:rFonts w:hint="eastAsia"/>
        </w:rPr>
        <w:t>）制造业中小微企业继续延缓缴纳2021年第四季度部分税费</w:t>
      </w:r>
      <w:bookmarkEnd w:id="613"/>
      <w:bookmarkEnd w:id="614"/>
      <w:bookmarkEnd w:id="615"/>
      <w:bookmarkEnd w:id="616"/>
      <w:bookmarkEnd w:id="617"/>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18" w:name="_Toc11099"/>
      <w:bookmarkStart w:id="619" w:name="_Toc6366"/>
      <w:r>
        <w:rPr>
          <w:rFonts w:hint="eastAsia" w:asciiTheme="minorEastAsia" w:hAnsiTheme="minorEastAsia" w:eastAsiaTheme="minorEastAsia" w:cstheme="minorEastAsia"/>
          <w:b/>
          <w:bCs/>
          <w:sz w:val="32"/>
          <w:szCs w:val="32"/>
          <w:lang w:val="en-US" w:eastAsia="zh-CN"/>
        </w:rPr>
        <w:t>【享受主体】</w:t>
      </w:r>
      <w:bookmarkEnd w:id="618"/>
      <w:bookmarkEnd w:id="61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符合条件的制造业中小微企业（含个人独资企业、合伙企业、个体工商户）</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20" w:name="_Toc7129"/>
      <w:bookmarkStart w:id="621" w:name="_Toc20267"/>
      <w:r>
        <w:rPr>
          <w:rFonts w:hint="eastAsia" w:asciiTheme="minorEastAsia" w:hAnsiTheme="minorEastAsia" w:eastAsiaTheme="minorEastAsia" w:cstheme="minorEastAsia"/>
          <w:b/>
          <w:bCs/>
          <w:sz w:val="32"/>
          <w:szCs w:val="32"/>
          <w:lang w:val="en-US" w:eastAsia="zh-CN"/>
        </w:rPr>
        <w:t>【优惠内容】</w:t>
      </w:r>
      <w:bookmarkEnd w:id="620"/>
      <w:bookmarkEnd w:id="62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《国家税务总局 财政部关于制造业中小微企业延缓缴纳2021年第四季度部分税费有关事项的公告》（2021年第30号）规定的制造业中小微企业延缓缴纳2021年第四季度部分税费政策，缓缴期限继续延长6个月。</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22" w:name="_Toc11194"/>
      <w:bookmarkStart w:id="623" w:name="_Toc2949"/>
      <w:r>
        <w:rPr>
          <w:rFonts w:hint="eastAsia" w:asciiTheme="minorEastAsia" w:hAnsiTheme="minorEastAsia" w:eastAsiaTheme="minorEastAsia" w:cstheme="minorEastAsia"/>
          <w:b/>
          <w:bCs/>
          <w:sz w:val="32"/>
          <w:szCs w:val="32"/>
          <w:lang w:val="en-US" w:eastAsia="zh-CN"/>
        </w:rPr>
        <w:t>【享受条件】</w:t>
      </w:r>
      <w:bookmarkEnd w:id="622"/>
      <w:bookmarkEnd w:id="62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制造业中型企业是指国民经济行业分类中行业门类为制造业，且年销售额2000万元以上（含2000万元）4亿元以下（不含4亿元）的企业。制造业小微企业是指国民经济行业分类中行业门类为制造业，且年销售额2000万元以下（不含2000万元）的企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销售额是指应征增值税销售额，包括纳税申报销售额、稽查查补销售额、纳税评估调整销售额。适用增值税差额征税政策的，以差额后的销售额确定。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2.制造业中小微企业年销售额按以下方式确定：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截至2021年9月30日成立满一年的企业，按照所属期为2020年10月至2021年9月的销售额确定；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截至2021年9月30日成立不满一年的企业，按照所属期截至2021年9月30日的销售额/实际经营月份×12个月的销售额确定；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2021年10月1日及以后成立的企业，按照首个申报期销售额/实际经营月份×12个月的销售额确定。</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延缓缴纳的税费包括所属期为2021年10月、11月、12月(按月缴纳)或者2021年第四季度(按季缴纳)的企业所得税、个人所得税(代扣代缴除外)、国内增值税、国内消费税及附征的城市维护建设税、教育费附加、地方教育附加，不包括向税务机关申请代开发票时缴纳的税费。</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享受2021年第四季度缓缴企业所得税政策的制造业中小微企业，在办理2021年度企业所得税汇算清缴年度申报时，产生的应补税款与2021年第四季度已缓缴的税款一并延后缴纳入库，产生的应退税款由纳税人按照有关规定办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5.享受2021年第四季度缓缴企业所得税政策的制造业中小微企业，2021年第四季度延缓缴纳的税费在2022年1月1日后本公告施行前已缴纳入库的，可自愿选择申请办理退税(费)并享受延续缓缴政策。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24" w:name="_Toc23096"/>
      <w:bookmarkStart w:id="625" w:name="_Toc29237"/>
      <w:r>
        <w:rPr>
          <w:rFonts w:hint="eastAsia" w:asciiTheme="minorEastAsia" w:hAnsiTheme="minorEastAsia" w:eastAsiaTheme="minorEastAsia" w:cstheme="minorEastAsia"/>
          <w:b/>
          <w:bCs/>
          <w:sz w:val="32"/>
          <w:szCs w:val="32"/>
          <w:lang w:val="en-US" w:eastAsia="zh-CN"/>
        </w:rPr>
        <w:t>【办理流程】</w:t>
      </w:r>
      <w:bookmarkEnd w:id="624"/>
      <w:bookmarkEnd w:id="62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26" w:name="_Toc28110"/>
      <w:bookmarkStart w:id="627" w:name="_Toc4573"/>
      <w:r>
        <w:rPr>
          <w:rFonts w:hint="eastAsia" w:asciiTheme="minorEastAsia" w:hAnsiTheme="minorEastAsia" w:eastAsiaTheme="minorEastAsia" w:cstheme="minorEastAsia"/>
          <w:b/>
          <w:bCs/>
          <w:sz w:val="32"/>
          <w:szCs w:val="32"/>
          <w:lang w:val="en-US" w:eastAsia="zh-CN"/>
        </w:rPr>
        <w:t>【政策依据】</w:t>
      </w:r>
      <w:bookmarkEnd w:id="626"/>
      <w:bookmarkEnd w:id="62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1.《国家税务总局 财政部关于延续实施制造业中小微企业延缓缴纳部分税费有关事项的公告》（2022年第2号）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2.《国家税务总局 财政部关于制造业中小微企业延缓缴纳2021年第四季度部分税费有关事项的公告》（2021年第30号）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28" w:name="_Toc27016"/>
      <w:bookmarkStart w:id="629" w:name="_Toc1451"/>
      <w:bookmarkStart w:id="630" w:name="_Toc2573"/>
      <w:bookmarkStart w:id="631" w:name="_Toc748"/>
      <w:bookmarkStart w:id="632" w:name="_Toc13167"/>
      <w:r>
        <w:rPr>
          <w:rFonts w:hint="eastAsia"/>
        </w:rPr>
        <w:t>（</w:t>
      </w:r>
      <w:r>
        <w:rPr>
          <w:rFonts w:hint="eastAsia"/>
          <w:lang w:eastAsia="zh-CN"/>
        </w:rPr>
        <w:t>四十一</w:t>
      </w:r>
      <w:r>
        <w:rPr>
          <w:rFonts w:hint="eastAsia"/>
        </w:rPr>
        <w:t>）生产、生活性服务业增值税加计抵减政策</w:t>
      </w:r>
      <w:bookmarkEnd w:id="628"/>
      <w:bookmarkEnd w:id="629"/>
      <w:bookmarkEnd w:id="630"/>
      <w:bookmarkEnd w:id="631"/>
      <w:bookmarkEnd w:id="632"/>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33" w:name="_Toc22485"/>
      <w:bookmarkStart w:id="634" w:name="_Toc7711"/>
      <w:r>
        <w:rPr>
          <w:rFonts w:hint="eastAsia" w:asciiTheme="minorEastAsia" w:hAnsiTheme="minorEastAsia" w:eastAsiaTheme="minorEastAsia" w:cstheme="minorEastAsia"/>
          <w:b/>
          <w:bCs/>
          <w:sz w:val="32"/>
          <w:szCs w:val="32"/>
          <w:lang w:val="en-US" w:eastAsia="zh-CN"/>
        </w:rPr>
        <w:t>【享受主体】</w:t>
      </w:r>
      <w:bookmarkEnd w:id="633"/>
      <w:bookmarkEnd w:id="63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生产、生活性服务业纳税人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35" w:name="_Toc6577"/>
      <w:bookmarkStart w:id="636" w:name="_Toc9745"/>
      <w:r>
        <w:rPr>
          <w:rFonts w:hint="eastAsia" w:asciiTheme="minorEastAsia" w:hAnsiTheme="minorEastAsia" w:eastAsiaTheme="minorEastAsia" w:cstheme="minorEastAsia"/>
          <w:b/>
          <w:bCs/>
          <w:sz w:val="32"/>
          <w:szCs w:val="32"/>
          <w:lang w:val="en-US" w:eastAsia="zh-CN"/>
        </w:rPr>
        <w:t>【优惠内容】</w:t>
      </w:r>
      <w:bookmarkEnd w:id="635"/>
      <w:bookmarkEnd w:id="63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1.自2019年4月1日至2022年12月31日，允许生产、生活性服务业纳税人按照当期可抵扣进项税额加计10%，抵减应纳税额。</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2.2019年10月1日至2022年12月31日，允许生活性服务业纳税人按照当期可抵扣进项税额加计15%，抵减应纳税额。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37" w:name="_Toc23115"/>
      <w:bookmarkStart w:id="638" w:name="_Toc21383"/>
      <w:r>
        <w:rPr>
          <w:rFonts w:hint="eastAsia" w:asciiTheme="minorEastAsia" w:hAnsiTheme="minorEastAsia" w:eastAsiaTheme="minorEastAsia" w:cstheme="minorEastAsia"/>
          <w:b/>
          <w:bCs/>
          <w:sz w:val="32"/>
          <w:szCs w:val="32"/>
          <w:lang w:val="en-US" w:eastAsia="zh-CN"/>
        </w:rPr>
        <w:t>【享受条件】</w:t>
      </w:r>
      <w:bookmarkEnd w:id="637"/>
      <w:bookmarkEnd w:id="63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生产、生活性服务业纳税人，是指提供邮政服务、电信服务、现代服务、生活服务（以下称四项服务）取得的销售额占全部销售额的比重超过50%的纳税人。四项服务的具体范围按照《销售服务、无形资产、不动产注释》（财税〔2016〕36号印发）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2019年3月31日前设立的纳税人，自2018年4月至2019年3月期间的销售额(经营期不满12个月的，按照实际经营期的销售额)符合上述规定条件的，自2019年4月1日起适用加计抵减政策。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2019年4月1日后设立的纳税人，自设立之日起3个月的销售额符合上述规定条件的，自登记为一般纳税人之日起适用加计抵减政策。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2.生活性服务业纳税人，是指提供生活服务取得的销售额占全部销售额的比重超过50%的纳税人。生活服务的具体范围按照《销售服务、无形资产、不动产注释》（财税〔2016〕36号印发）执行。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2019年9月30日前设立的纳税人，自2018年10月至2019年9月期间的销售额（经营期不满12个月的，按照实际经营期的销售额）符合上述规定条件的，自2019年10月1日起适用加计抵减15%政策。</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2019年10月1日后设立的纳税人，自设立之日起3个月的销售额符合上述规定条件的，自登记为一般纳税人之日起适用加计抵减15%政策。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39" w:name="_Toc16542"/>
      <w:bookmarkStart w:id="640" w:name="_Toc17776"/>
      <w:r>
        <w:rPr>
          <w:rFonts w:hint="eastAsia" w:asciiTheme="minorEastAsia" w:hAnsiTheme="minorEastAsia" w:eastAsiaTheme="minorEastAsia" w:cstheme="minorEastAsia"/>
          <w:b/>
          <w:bCs/>
          <w:sz w:val="32"/>
          <w:szCs w:val="32"/>
          <w:lang w:val="en-US" w:eastAsia="zh-CN"/>
        </w:rPr>
        <w:t>【办理流程】</w:t>
      </w:r>
      <w:bookmarkEnd w:id="639"/>
      <w:bookmarkEnd w:id="64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41" w:name="_Toc9516"/>
      <w:bookmarkStart w:id="642" w:name="_Toc20408"/>
      <w:r>
        <w:rPr>
          <w:rFonts w:hint="eastAsia" w:asciiTheme="minorEastAsia" w:hAnsiTheme="minorEastAsia" w:eastAsiaTheme="minorEastAsia" w:cstheme="minorEastAsia"/>
          <w:b/>
          <w:bCs/>
          <w:sz w:val="32"/>
          <w:szCs w:val="32"/>
          <w:lang w:val="en-US" w:eastAsia="zh-CN"/>
        </w:rPr>
        <w:t>【政策依据】</w:t>
      </w:r>
      <w:bookmarkEnd w:id="641"/>
      <w:bookmarkEnd w:id="64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税务总局关于促进服务业领域困难行业纾困发展有关增值税政策的公告》（2022年第11号）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 海关总署关于深化增值税改革有关政策的公告》（2019年39号）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3.《财政部 税务总局关于明确生活性服务业增值税加计抵减政策的公告》（2019年第87号）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43" w:name="_Toc16671"/>
      <w:bookmarkStart w:id="644" w:name="_Toc29875"/>
      <w:bookmarkStart w:id="645" w:name="_Toc10354"/>
      <w:bookmarkStart w:id="646" w:name="_Toc10279"/>
      <w:r>
        <w:rPr>
          <w:rFonts w:hint="eastAsia"/>
        </w:rPr>
        <w:t>（</w:t>
      </w:r>
      <w:r>
        <w:rPr>
          <w:rFonts w:hint="eastAsia"/>
          <w:lang w:eastAsia="zh-CN"/>
        </w:rPr>
        <w:t>四十二</w:t>
      </w:r>
      <w:r>
        <w:rPr>
          <w:rFonts w:hint="eastAsia"/>
        </w:rPr>
        <w:t>）创业投资企业和天使投资个人有关税收优惠政策</w:t>
      </w:r>
      <w:bookmarkEnd w:id="643"/>
      <w:bookmarkEnd w:id="644"/>
      <w:bookmarkEnd w:id="645"/>
      <w:bookmarkEnd w:id="646"/>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47" w:name="_Toc8160"/>
      <w:bookmarkStart w:id="648" w:name="_Toc13391"/>
      <w:r>
        <w:rPr>
          <w:rFonts w:hint="eastAsia" w:asciiTheme="minorEastAsia" w:hAnsiTheme="minorEastAsia" w:eastAsiaTheme="minorEastAsia" w:cstheme="minorEastAsia"/>
          <w:b/>
          <w:bCs/>
          <w:sz w:val="32"/>
          <w:szCs w:val="32"/>
          <w:lang w:val="en-US" w:eastAsia="zh-CN"/>
        </w:rPr>
        <w:t>【享受主体】</w:t>
      </w:r>
      <w:bookmarkEnd w:id="647"/>
      <w:bookmarkEnd w:id="64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公司制创业投资企业、有限合伙制创业投资企业合伙人和天使投资个人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49" w:name="_Toc8970"/>
      <w:bookmarkStart w:id="650" w:name="_Toc32131"/>
      <w:r>
        <w:rPr>
          <w:rFonts w:hint="eastAsia" w:asciiTheme="minorEastAsia" w:hAnsiTheme="minorEastAsia" w:eastAsiaTheme="minorEastAsia" w:cstheme="minorEastAsia"/>
          <w:b/>
          <w:bCs/>
          <w:sz w:val="32"/>
          <w:szCs w:val="32"/>
          <w:lang w:val="en-US" w:eastAsia="zh-CN"/>
        </w:rPr>
        <w:t>【优惠内容】</w:t>
      </w:r>
      <w:bookmarkEnd w:id="649"/>
      <w:bookmarkEnd w:id="65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公司制创业投资企业采取股权投资方式直接投资于种子期、初创期科技型企业（以下简称初创科技型企业）满2年（24个月，下同）的，可以按照投资额的70%在股权持有满2年的当年抵扣该公司制创业投资企业的应纳税所得额；当年不足抵扣的，可以在以后纳税年度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2.有限合伙制创业投资企业（以下简称合伙创投企业）采取股权投资方式直接投资于初创科技型企业满2年的，该合伙创投企业的合伙人分别按以下方式处理：</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（1）法人合伙人可以按照对初创科技型企业投资额的70%抵扣法人合伙人从合伙创投企业分得的所得；当年不足抵扣的，可以在以后纳税年度结转抵扣。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（2）个人合伙人可以按照对初创科技型企业投资额的70%抵扣个人合伙人从合伙创投企业分得的经营所得；当年不足抵扣的，可以在以后纳税年度结转抵扣。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天使投资个人采取股权投资方式直接投资于初创科技型企业满2年的，可以按照投资额的70%抵扣转让该初创科技型企业股权取得的应纳税所得额；当期不足抵扣的，可以在以后取得转让该初创科技型企业股权的应纳税所得额时结转抵扣。</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天使投资个人投资多个初创科技型企业的，对其中办理注销清算的初创科技型企业，天使投资个人对其投资额的70%尚未抵扣完的，可自注销清算之日起36个月内抵扣天使投资个人转让其他初创科技型企业股权取得的应纳税所得额。</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51" w:name="_Toc471"/>
      <w:bookmarkStart w:id="652" w:name="_Toc25238"/>
      <w:r>
        <w:rPr>
          <w:rFonts w:hint="eastAsia" w:asciiTheme="minorEastAsia" w:hAnsiTheme="minorEastAsia" w:eastAsiaTheme="minorEastAsia" w:cstheme="minorEastAsia"/>
          <w:b/>
          <w:bCs/>
          <w:sz w:val="32"/>
          <w:szCs w:val="32"/>
          <w:lang w:val="en-US" w:eastAsia="zh-CN"/>
        </w:rPr>
        <w:t>【享受条件】</w:t>
      </w:r>
      <w:bookmarkEnd w:id="651"/>
      <w:bookmarkEnd w:id="65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1.初创科技型企业，应同时符合以下条件：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（1）在中国境内（不含港、澳、台地区）注册成立、实行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查账征收的居民企业或合伙创投企业，且不属于被投资初创科技型企业的发起人；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（2）接受投资时，从业人数不超过300人，其中具有大学本科以上学历的从业人数不低于30%；资产总额和年销售收入均不超过5000万元；</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（3）接受投资时设立时间不超过5年（60个月）；</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（4）接受投资时以及接受投资后2年内未在境内外证券交易所上市；</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（5）接受投资当年及下一纳税年度，研发费用总额占成本费用支出的比例不低于20%。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2.创业投资企业，应同时符合以下条件：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（1）在中国境内（不含港、澳、台地区）注册成立、实行</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查账征收的居民企业或合伙创投企业，且不属于被投资初创科型企业的发起人；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（2）符合《创业投资企业管理暂行办法》（发展改革委等</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10部门令第39号）规定或者《私募投资基金监督管理暂行办法》（证监会令第105号）关于创业投资基金的特别规定，按照上述规定完成备案且规范运作；</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（3）投资后2年内，创业投资企业及其关联方持有被投资初创科技型企业的股权比例合计应低于50%。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3.天使投资个人，应同时符合以下条件：</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（1）不属于被投资初创科技型企业的发起人、雇员或其亲属（包括配偶、父母、子女、祖父母、外祖父母、孙子女、外孙子女、兄弟姐妹，下同），且与被投资初创科技型企业不存在劳务派遣等关系；</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（2）投资后2年内，本人及其亲属持有被投资初创科技型企业股权比例合计应低于50%。</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4.享受本政策的投资，仅限于通过向被投资初创科技型企业直接支付现金方式取得的股权投资，不包括受让其他股东的存量股权。</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sz w:val="32"/>
          <w:szCs w:val="32"/>
        </w:rPr>
        <w:t>5.自2019年1月1日至2023年12月31日期间已投资满2年及新发生的投资，可按《财政部 税务总局关于创业投资企业和天使投资个人有关税收政策的通知》（财税〔2018〕55号）、《财政部 税务总局关于实施小微企业普惠性税收减免政策的通知》（财税〔2019〕13号）以及《财政部 税务总局关于延续执行创</w:t>
      </w:r>
      <w:r>
        <w:rPr>
          <w:rFonts w:hint="eastAsia" w:asciiTheme="minorEastAsia" w:hAnsiTheme="minorEastAsia" w:eastAsiaTheme="minorEastAsia" w:cstheme="minorEastAsia"/>
          <w:color w:val="auto"/>
          <w:sz w:val="32"/>
          <w:szCs w:val="32"/>
        </w:rPr>
        <w:t>业投资企业和天使投资个人投资初创科技型企业有关政策条件的公告》(2022年第6号)规定适用税收政策</w:t>
      </w:r>
      <w:r>
        <w:rPr>
          <w:rFonts w:hint="eastAsia" w:asciiTheme="minorEastAsia" w:hAnsiTheme="minorEastAsia" w:eastAsiaTheme="minorEastAsia" w:cstheme="minorEastAsia"/>
          <w:color w:val="auto"/>
          <w:sz w:val="32"/>
          <w:szCs w:val="32"/>
          <w:lang w:eastAsia="zh-CN"/>
        </w:rPr>
        <w:t>。</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53" w:name="_Toc15440"/>
      <w:bookmarkStart w:id="654" w:name="_Toc30889"/>
      <w:r>
        <w:rPr>
          <w:rFonts w:hint="eastAsia" w:asciiTheme="minorEastAsia" w:hAnsiTheme="minorEastAsia" w:eastAsiaTheme="minorEastAsia" w:cstheme="minorEastAsia"/>
          <w:b/>
          <w:bCs/>
          <w:sz w:val="32"/>
          <w:szCs w:val="32"/>
          <w:lang w:val="en-US" w:eastAsia="zh-CN"/>
        </w:rPr>
        <w:t>【办理流程】</w:t>
      </w:r>
      <w:bookmarkEnd w:id="653"/>
      <w:bookmarkEnd w:id="65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55" w:name="_Toc6388"/>
      <w:bookmarkStart w:id="656" w:name="_Toc4215"/>
      <w:r>
        <w:rPr>
          <w:rFonts w:hint="eastAsia" w:asciiTheme="minorEastAsia" w:hAnsiTheme="minorEastAsia" w:eastAsiaTheme="minorEastAsia" w:cstheme="minorEastAsia"/>
          <w:b/>
          <w:bCs/>
          <w:sz w:val="32"/>
          <w:szCs w:val="32"/>
          <w:lang w:val="en-US" w:eastAsia="zh-CN"/>
        </w:rPr>
        <w:t>【政策依据】</w:t>
      </w:r>
      <w:bookmarkEnd w:id="655"/>
      <w:bookmarkEnd w:id="65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税务总局关于延续执行创业投资企业和天使投资个人投资初创科技型企业有关政策条件的公告》(2022年第6号)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税务总局关于实施小微企业普惠性税收减免政策的通知》（财税〔2019〕13号）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3.《财政部 税务总局关于创业投资企业和天使投资个人有关税收政策的通知》（财税〔2018〕55号）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57" w:name="_Toc30606"/>
      <w:bookmarkStart w:id="658" w:name="_Toc6854"/>
      <w:bookmarkStart w:id="659" w:name="_Toc17236"/>
      <w:bookmarkStart w:id="660" w:name="_Toc29289"/>
      <w:bookmarkStart w:id="661" w:name="_Toc22009"/>
      <w:r>
        <w:rPr>
          <w:rFonts w:hint="eastAsia"/>
        </w:rPr>
        <w:t>（</w:t>
      </w:r>
      <w:r>
        <w:rPr>
          <w:rFonts w:hint="eastAsia"/>
          <w:lang w:eastAsia="zh-CN"/>
        </w:rPr>
        <w:t>四</w:t>
      </w:r>
      <w:r>
        <w:rPr>
          <w:rFonts w:hint="eastAsia"/>
        </w:rPr>
        <w:t>十</w:t>
      </w:r>
      <w:r>
        <w:rPr>
          <w:rFonts w:hint="eastAsia"/>
          <w:lang w:eastAsia="zh-CN"/>
        </w:rPr>
        <w:t>三</w:t>
      </w:r>
      <w:r>
        <w:rPr>
          <w:rFonts w:hint="eastAsia"/>
        </w:rPr>
        <w:t>）全年一次性奖金个人所得税优惠政策</w:t>
      </w:r>
      <w:bookmarkEnd w:id="657"/>
      <w:bookmarkEnd w:id="658"/>
      <w:bookmarkEnd w:id="659"/>
      <w:bookmarkEnd w:id="660"/>
      <w:bookmarkEnd w:id="661"/>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62" w:name="_Toc29729"/>
      <w:bookmarkStart w:id="663" w:name="_Toc27186"/>
      <w:r>
        <w:rPr>
          <w:rFonts w:hint="eastAsia" w:asciiTheme="minorEastAsia" w:hAnsiTheme="minorEastAsia" w:eastAsiaTheme="minorEastAsia" w:cstheme="minorEastAsia"/>
          <w:b/>
          <w:bCs/>
          <w:sz w:val="32"/>
          <w:szCs w:val="32"/>
          <w:lang w:val="en-US" w:eastAsia="zh-CN"/>
        </w:rPr>
        <w:t>【享受主体】</w:t>
      </w:r>
      <w:bookmarkEnd w:id="662"/>
      <w:bookmarkEnd w:id="66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64" w:name="_Toc4978"/>
      <w:bookmarkStart w:id="665" w:name="_Toc7401"/>
      <w:r>
        <w:rPr>
          <w:rFonts w:hint="eastAsia" w:asciiTheme="minorEastAsia" w:hAnsiTheme="minorEastAsia" w:eastAsiaTheme="minorEastAsia" w:cstheme="minorEastAsia"/>
          <w:b/>
          <w:bCs/>
          <w:sz w:val="32"/>
          <w:szCs w:val="32"/>
          <w:lang w:val="en-US" w:eastAsia="zh-CN"/>
        </w:rPr>
        <w:t>【优惠内容】</w:t>
      </w:r>
      <w:bookmarkEnd w:id="664"/>
      <w:bookmarkEnd w:id="66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全年一次性奖金，在2023年12月31日前，不并入当年综合所得，以全年一次性奖金收入除以12个月得到的数额，按照按月换算后的综合所得税率表，确定适用税率和速算扣除数，单独计算纳税。计算公式为：应纳税额＝全年一次性奖金收入×适用税率－速算扣除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居民个人取得全年一次性奖金，也可以选择并入当年综合所得计算纳税。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66" w:name="_Toc7119"/>
      <w:bookmarkStart w:id="667" w:name="_Toc7619"/>
      <w:r>
        <w:rPr>
          <w:rFonts w:hint="eastAsia" w:asciiTheme="minorEastAsia" w:hAnsiTheme="minorEastAsia" w:eastAsiaTheme="minorEastAsia" w:cstheme="minorEastAsia"/>
          <w:b/>
          <w:bCs/>
          <w:sz w:val="32"/>
          <w:szCs w:val="32"/>
          <w:lang w:val="en-US" w:eastAsia="zh-CN"/>
        </w:rPr>
        <w:t>【享受条件】</w:t>
      </w:r>
      <w:bookmarkEnd w:id="666"/>
      <w:bookmarkEnd w:id="66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居民个人取得全年一次性奖金，应当符合《国家税务总局关于调整个人取得全年一次性奖金等计算征收个人所得税方法问题的通知》（国税发〔2005〕9号）规定。</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68" w:name="_Toc8056"/>
      <w:bookmarkStart w:id="669" w:name="_Toc23204"/>
      <w:r>
        <w:rPr>
          <w:rFonts w:hint="eastAsia" w:asciiTheme="minorEastAsia" w:hAnsiTheme="minorEastAsia" w:eastAsiaTheme="minorEastAsia" w:cstheme="minorEastAsia"/>
          <w:b/>
          <w:bCs/>
          <w:sz w:val="32"/>
          <w:szCs w:val="32"/>
          <w:lang w:val="en-US" w:eastAsia="zh-CN"/>
        </w:rPr>
        <w:t>【办理流程】</w:t>
      </w:r>
      <w:bookmarkEnd w:id="668"/>
      <w:bookmarkEnd w:id="66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70" w:name="_Toc3887"/>
      <w:bookmarkStart w:id="671" w:name="_Toc1632"/>
      <w:r>
        <w:rPr>
          <w:rFonts w:hint="eastAsia" w:asciiTheme="minorEastAsia" w:hAnsiTheme="minorEastAsia" w:eastAsiaTheme="minorEastAsia" w:cstheme="minorEastAsia"/>
          <w:b/>
          <w:bCs/>
          <w:sz w:val="32"/>
          <w:szCs w:val="32"/>
          <w:lang w:val="en-US" w:eastAsia="zh-CN"/>
        </w:rPr>
        <w:t>【政策依据】</w:t>
      </w:r>
      <w:bookmarkEnd w:id="670"/>
      <w:bookmarkEnd w:id="67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税务总局关于延续实施全年一次性奖金等个人所得税优惠政策的公告》（2021年第42号）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税务总局关于个人所得税法修改后有关优惠政策衔接问题的通知》（财税〔2018〕164号）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72" w:name="_Toc7463"/>
      <w:bookmarkStart w:id="673" w:name="_Toc4288"/>
      <w:bookmarkStart w:id="674" w:name="_Toc8309"/>
      <w:bookmarkStart w:id="675" w:name="_Toc14850"/>
      <w:bookmarkStart w:id="676" w:name="_Toc14275"/>
      <w:r>
        <w:rPr>
          <w:rFonts w:hint="eastAsia"/>
        </w:rPr>
        <w:t>（</w:t>
      </w:r>
      <w:r>
        <w:rPr>
          <w:rFonts w:hint="eastAsia"/>
          <w:lang w:eastAsia="zh-CN"/>
        </w:rPr>
        <w:t>四</w:t>
      </w:r>
      <w:r>
        <w:rPr>
          <w:rFonts w:hint="eastAsia"/>
        </w:rPr>
        <w:t>十</w:t>
      </w:r>
      <w:r>
        <w:rPr>
          <w:rFonts w:hint="eastAsia"/>
          <w:lang w:eastAsia="zh-CN"/>
        </w:rPr>
        <w:t>四</w:t>
      </w:r>
      <w:r>
        <w:rPr>
          <w:rFonts w:hint="eastAsia"/>
        </w:rPr>
        <w:t>）上市公司股权激励个人所得税优惠政策</w:t>
      </w:r>
      <w:bookmarkEnd w:id="672"/>
      <w:bookmarkEnd w:id="673"/>
      <w:bookmarkEnd w:id="674"/>
      <w:bookmarkEnd w:id="675"/>
      <w:bookmarkEnd w:id="676"/>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77" w:name="_Toc13405"/>
      <w:bookmarkStart w:id="678" w:name="_Toc8400"/>
      <w:r>
        <w:rPr>
          <w:rFonts w:hint="eastAsia" w:asciiTheme="minorEastAsia" w:hAnsiTheme="minorEastAsia" w:eastAsiaTheme="minorEastAsia" w:cstheme="minorEastAsia"/>
          <w:b/>
          <w:bCs/>
          <w:sz w:val="32"/>
          <w:szCs w:val="32"/>
          <w:lang w:val="en-US" w:eastAsia="zh-CN"/>
        </w:rPr>
        <w:t>【享受主体】</w:t>
      </w:r>
      <w:bookmarkEnd w:id="677"/>
      <w:bookmarkEnd w:id="67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79" w:name="_Toc25105"/>
      <w:bookmarkStart w:id="680" w:name="_Toc13497"/>
      <w:r>
        <w:rPr>
          <w:rFonts w:hint="eastAsia" w:asciiTheme="minorEastAsia" w:hAnsiTheme="minorEastAsia" w:eastAsiaTheme="minorEastAsia" w:cstheme="minorEastAsia"/>
          <w:b/>
          <w:bCs/>
          <w:sz w:val="32"/>
          <w:szCs w:val="32"/>
          <w:lang w:val="en-US" w:eastAsia="zh-CN"/>
        </w:rPr>
        <w:t>【优惠内容】</w:t>
      </w:r>
      <w:bookmarkEnd w:id="679"/>
      <w:bookmarkEnd w:id="68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居民个人取得股票期权、股票增值权、限制性股票、股权奖励等股权激励，符合相关政策条件的，在2022年12月31日前，不并入当年综合所得，全额单独适用综合所得税率表，计算纳税。计算公式为：</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应纳税额＝股权激励收入×适用税率－速算扣除数</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居民个人一个纳税年度内取得两次以上（含两次）股权激励的，应合并按规定计算纳税。</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81" w:name="_Toc6882"/>
      <w:bookmarkStart w:id="682" w:name="_Toc30647"/>
      <w:r>
        <w:rPr>
          <w:rFonts w:hint="eastAsia" w:asciiTheme="minorEastAsia" w:hAnsiTheme="minorEastAsia" w:eastAsiaTheme="minorEastAsia" w:cstheme="minorEastAsia"/>
          <w:b/>
          <w:bCs/>
          <w:sz w:val="32"/>
          <w:szCs w:val="32"/>
          <w:lang w:val="en-US" w:eastAsia="zh-CN"/>
        </w:rPr>
        <w:t>【享受条件】</w:t>
      </w:r>
      <w:bookmarkEnd w:id="681"/>
      <w:bookmarkEnd w:id="68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居民个人取得股票期权、股票增值权、限制性股票、股权奖励等股权激励，应当符合《财政部 国家税务总局关于个人股票期权所得征收个人所得税问题的通知》（财税〔2005〕35号）、《财政部 国家税务总局关于股票增值权所得和限制性股票所得征收个人所得税有关问题的通知》（财税〔2009〕5号）、《财政部</w:t>
      </w:r>
      <w:r>
        <w:rPr>
          <w:rFonts w:hint="eastAsia" w:asciiTheme="minorEastAsia" w:hAnsiTheme="minorEastAsia" w:cstheme="minorEastAsia"/>
          <w:sz w:val="32"/>
          <w:szCs w:val="32"/>
          <w:lang w:val="en-US" w:eastAsia="zh-CN"/>
        </w:rPr>
        <w:t xml:space="preserve"> </w:t>
      </w:r>
      <w:r>
        <w:rPr>
          <w:rFonts w:hint="eastAsia" w:asciiTheme="minorEastAsia" w:hAnsiTheme="minorEastAsia" w:eastAsiaTheme="minorEastAsia" w:cstheme="minorEastAsia"/>
          <w:sz w:val="32"/>
          <w:szCs w:val="32"/>
        </w:rPr>
        <w:t>国家税务总局关于将国家自主创新示范区有关税收试点政策推广到全国范围实施的通知》（财税〔2015〕116号）第四条、《财政部 国家税务总局关于完善股权激励和技术入股有关所得税政策的通知》（财税〔2016〕101号）第四条第（一）项规定的相关条件。</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83" w:name="_Toc5847"/>
      <w:bookmarkStart w:id="684" w:name="_Toc27519"/>
      <w:r>
        <w:rPr>
          <w:rFonts w:hint="eastAsia" w:asciiTheme="minorEastAsia" w:hAnsiTheme="minorEastAsia" w:eastAsiaTheme="minorEastAsia" w:cstheme="minorEastAsia"/>
          <w:b/>
          <w:bCs/>
          <w:sz w:val="32"/>
          <w:szCs w:val="32"/>
          <w:lang w:val="en-US" w:eastAsia="zh-CN"/>
        </w:rPr>
        <w:t>【办理流程】</w:t>
      </w:r>
      <w:bookmarkEnd w:id="683"/>
      <w:bookmarkEnd w:id="68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85" w:name="_Toc11054"/>
      <w:bookmarkStart w:id="686" w:name="_Toc28428"/>
      <w:r>
        <w:rPr>
          <w:rFonts w:hint="eastAsia" w:asciiTheme="minorEastAsia" w:hAnsiTheme="minorEastAsia" w:eastAsiaTheme="minorEastAsia" w:cstheme="minorEastAsia"/>
          <w:b/>
          <w:bCs/>
          <w:sz w:val="32"/>
          <w:szCs w:val="32"/>
          <w:lang w:val="en-US" w:eastAsia="zh-CN"/>
        </w:rPr>
        <w:t>【政策依据】</w:t>
      </w:r>
      <w:bookmarkEnd w:id="685"/>
      <w:bookmarkEnd w:id="68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税务总局关于延续实施全年一次性奖金等个人所得税优惠政策的公告》（2021年第42号）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税务总局关于个人所得税法修改后有关优惠政策衔接问题的通知》（财税〔2018〕164号）</w:t>
      </w:r>
    </w:p>
    <w:p>
      <w:pPr>
        <w:pStyle w:val="25"/>
        <w:pageBreakBefore w:val="0"/>
        <w:kinsoku/>
        <w:wordWrap/>
        <w:overflowPunct/>
        <w:topLinePunct w:val="0"/>
        <w:bidi w:val="0"/>
        <w:spacing w:line="500" w:lineRule="exact"/>
        <w:textAlignment w:val="auto"/>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rPr>
      </w:pPr>
      <w:bookmarkStart w:id="687" w:name="_Toc9009"/>
      <w:bookmarkStart w:id="688" w:name="_Toc26480"/>
      <w:bookmarkStart w:id="689" w:name="_Toc6516"/>
      <w:bookmarkStart w:id="690" w:name="_Toc18471"/>
      <w:bookmarkStart w:id="691" w:name="_Toc25361"/>
      <w:r>
        <w:rPr>
          <w:rFonts w:hint="eastAsia"/>
        </w:rPr>
        <w:t>（</w:t>
      </w:r>
      <w:r>
        <w:rPr>
          <w:rFonts w:hint="eastAsia"/>
          <w:lang w:eastAsia="zh-CN"/>
        </w:rPr>
        <w:t>四</w:t>
      </w:r>
      <w:r>
        <w:rPr>
          <w:rFonts w:hint="eastAsia"/>
        </w:rPr>
        <w:t>十</w:t>
      </w:r>
      <w:r>
        <w:rPr>
          <w:rFonts w:hint="eastAsia"/>
          <w:lang w:eastAsia="zh-CN"/>
        </w:rPr>
        <w:t>五</w:t>
      </w:r>
      <w:r>
        <w:rPr>
          <w:rFonts w:hint="eastAsia"/>
        </w:rPr>
        <w:t>）外籍个人津</w:t>
      </w:r>
      <w:r>
        <w:rPr>
          <w:rFonts w:hint="eastAsia"/>
          <w:lang w:val="en-US" w:eastAsia="zh-CN"/>
        </w:rPr>
        <w:t>补贴</w:t>
      </w:r>
      <w:r>
        <w:rPr>
          <w:rFonts w:hint="eastAsia"/>
        </w:rPr>
        <w:t>个人所得税优惠政策</w:t>
      </w:r>
      <w:bookmarkEnd w:id="687"/>
      <w:bookmarkEnd w:id="688"/>
      <w:bookmarkEnd w:id="689"/>
      <w:bookmarkEnd w:id="690"/>
      <w:bookmarkEnd w:id="691"/>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92" w:name="_Toc29437"/>
      <w:bookmarkStart w:id="693" w:name="_Toc20549"/>
      <w:r>
        <w:rPr>
          <w:rFonts w:hint="eastAsia" w:asciiTheme="minorEastAsia" w:hAnsiTheme="minorEastAsia" w:eastAsiaTheme="minorEastAsia" w:cstheme="minorEastAsia"/>
          <w:b/>
          <w:bCs/>
          <w:sz w:val="32"/>
          <w:szCs w:val="32"/>
          <w:lang w:val="en-US" w:eastAsia="zh-CN"/>
        </w:rPr>
        <w:t>【享受主体】</w:t>
      </w:r>
      <w:bookmarkEnd w:id="692"/>
      <w:bookmarkEnd w:id="693"/>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符合居民条件的外籍个人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694" w:name="_Toc5962"/>
      <w:bookmarkStart w:id="695" w:name="_Toc393"/>
      <w:r>
        <w:rPr>
          <w:rFonts w:hint="eastAsia" w:asciiTheme="minorEastAsia" w:hAnsiTheme="minorEastAsia" w:eastAsiaTheme="minorEastAsia" w:cstheme="minorEastAsia"/>
          <w:b/>
          <w:bCs/>
          <w:sz w:val="32"/>
          <w:szCs w:val="32"/>
          <w:lang w:val="en-US" w:eastAsia="zh-CN"/>
        </w:rPr>
        <w:t>【优惠内容】</w:t>
      </w:r>
      <w:bookmarkEnd w:id="694"/>
      <w:bookmarkEnd w:id="695"/>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自2019年1月1日至2023年12月31日，外籍个人符合居民个人条件的，可以选择享受个人所得税专项附加扣除，也可以选择按照《财政部 国家税务总局关于个人所得税若干政策问题的通知》（财税〔1994〕20号）、《国家税务总局关于外籍个人取得有关补贴征免个人所得税执行问题的通知》（国税发〔1997〕54号）和《财政部 国家税务总局关于外籍个人取得港澳地区住房等补贴征免个人所得税的通知》（财税〔2004〕29号）规定，享受住房补贴、语言训练费、子女教育费等津补贴免税优惠政策。</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96" w:name="_Toc32194"/>
      <w:bookmarkStart w:id="697" w:name="_Toc17679"/>
      <w:r>
        <w:rPr>
          <w:rFonts w:hint="eastAsia" w:asciiTheme="minorEastAsia" w:hAnsiTheme="minorEastAsia" w:eastAsiaTheme="minorEastAsia" w:cstheme="minorEastAsia"/>
          <w:b/>
          <w:bCs/>
          <w:sz w:val="32"/>
          <w:szCs w:val="32"/>
          <w:lang w:val="en-US" w:eastAsia="zh-CN"/>
        </w:rPr>
        <w:t>【享受条件】</w:t>
      </w:r>
      <w:bookmarkEnd w:id="696"/>
      <w:bookmarkEnd w:id="697"/>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外籍个人符合居民个人条件，可以选择享受个人所得税专项附加扣除，也可以选择享受住房补贴、语言训练费、子女教育费等津补贴免税优惠政策，但不得同时享受。外籍个人一经选择，在一个纳税年度内不得变更。</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698" w:name="_Toc25842"/>
      <w:bookmarkStart w:id="699" w:name="_Toc6135"/>
      <w:r>
        <w:rPr>
          <w:rFonts w:hint="eastAsia" w:asciiTheme="minorEastAsia" w:hAnsiTheme="minorEastAsia" w:eastAsiaTheme="minorEastAsia" w:cstheme="minorEastAsia"/>
          <w:b/>
          <w:bCs/>
          <w:sz w:val="32"/>
          <w:szCs w:val="32"/>
          <w:lang w:val="en-US" w:eastAsia="zh-CN"/>
        </w:rPr>
        <w:t>【办理流程】</w:t>
      </w:r>
      <w:bookmarkEnd w:id="698"/>
      <w:bookmarkEnd w:id="699"/>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申报即享受</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700" w:name="_Toc24971"/>
      <w:bookmarkStart w:id="701" w:name="_Toc7298"/>
      <w:r>
        <w:rPr>
          <w:rFonts w:hint="eastAsia" w:asciiTheme="minorEastAsia" w:hAnsiTheme="minorEastAsia" w:eastAsiaTheme="minorEastAsia" w:cstheme="minorEastAsia"/>
          <w:b/>
          <w:bCs/>
          <w:sz w:val="32"/>
          <w:szCs w:val="32"/>
          <w:lang w:val="en-US" w:eastAsia="zh-CN"/>
        </w:rPr>
        <w:t>【政策依据】</w:t>
      </w:r>
      <w:bookmarkEnd w:id="700"/>
      <w:bookmarkEnd w:id="701"/>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1.《财政部 税务总局关于延续实施外籍个人津补贴等有关个人所得税优惠政策的公告》（2021年第43号）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2.《财政部 税务总局关于个人所得税法修改后有关优惠政策衔接问题的通知》（财税〔2018〕164号）</w:t>
      </w:r>
    </w:p>
    <w:p>
      <w:pPr>
        <w:pStyle w:val="25"/>
        <w:rPr>
          <w:rFonts w:hint="eastAsia"/>
        </w:rPr>
      </w:pPr>
    </w:p>
    <w:p>
      <w:pPr>
        <w:pStyle w:val="4"/>
        <w:pageBreakBefore w:val="0"/>
        <w:kinsoku/>
        <w:wordWrap/>
        <w:overflowPunct/>
        <w:topLinePunct w:val="0"/>
        <w:bidi w:val="0"/>
        <w:spacing w:line="500" w:lineRule="exact"/>
        <w:ind w:firstLine="643" w:firstLineChars="200"/>
        <w:textAlignment w:val="auto"/>
        <w:outlineLvl w:val="0"/>
        <w:rPr>
          <w:rFonts w:hint="eastAsia"/>
          <w:lang w:eastAsia="zh-CN"/>
        </w:rPr>
      </w:pPr>
      <w:bookmarkStart w:id="702" w:name="_Toc3958"/>
      <w:bookmarkStart w:id="703" w:name="_Toc31484"/>
      <w:bookmarkStart w:id="704" w:name="_Toc22025"/>
      <w:bookmarkStart w:id="705" w:name="_Toc30679"/>
      <w:bookmarkStart w:id="706" w:name="_Toc11322"/>
      <w:r>
        <w:rPr>
          <w:rFonts w:hint="eastAsia"/>
          <w:lang w:eastAsia="zh-CN"/>
        </w:rPr>
        <w:t>（四十六）阶段性降低失业保险、工伤保险费率政策</w:t>
      </w:r>
      <w:bookmarkEnd w:id="702"/>
      <w:bookmarkEnd w:id="703"/>
      <w:bookmarkEnd w:id="704"/>
      <w:bookmarkEnd w:id="705"/>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sz w:val="24"/>
          <w:szCs w:val="24"/>
        </w:rPr>
      </w:pPr>
      <w:bookmarkStart w:id="707" w:name="_Toc11268"/>
      <w:bookmarkStart w:id="708" w:name="_Toc22319"/>
      <w:r>
        <w:rPr>
          <w:rFonts w:hint="eastAsia"/>
          <w:b/>
          <w:color w:val="000000"/>
          <w:sz w:val="31"/>
          <w:szCs w:val="31"/>
        </w:rPr>
        <w:t>【享受主体】</w:t>
      </w:r>
      <w:bookmarkEnd w:id="707"/>
      <w:bookmarkEnd w:id="708"/>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rPr>
        <w:t>失业保险、工伤保险参保单位</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sz w:val="24"/>
          <w:szCs w:val="24"/>
        </w:rPr>
      </w:pPr>
      <w:bookmarkStart w:id="709" w:name="_Toc28444"/>
      <w:bookmarkStart w:id="710" w:name="_Toc253"/>
      <w:r>
        <w:rPr>
          <w:rFonts w:hint="eastAsia"/>
          <w:b/>
          <w:color w:val="000000"/>
          <w:sz w:val="31"/>
          <w:szCs w:val="31"/>
        </w:rPr>
        <w:t>【优惠内容】</w:t>
      </w:r>
      <w:bookmarkEnd w:id="709"/>
      <w:bookmarkEnd w:id="710"/>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rPr>
        <w:t>延续实施阶段性降低失业保险、工伤保险费率政策1年，执行期限至2023年4月30日。</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auto"/>
          <w:sz w:val="31"/>
          <w:szCs w:val="31"/>
          <w:shd w:val="clear" w:color="auto" w:fill="auto"/>
        </w:rPr>
        <w:t>全省延续实施总费率1%的阶段性降低失业保险费率政策，符合条件的统筹地区可实施阶段性降低工伤保险费率政策，上述政策执行期限至2023年4月30日。</w:t>
      </w:r>
      <w:r>
        <w:rPr>
          <w:rFonts w:hint="eastAsia"/>
          <w:color w:val="auto"/>
          <w:sz w:val="31"/>
          <w:szCs w:val="31"/>
        </w:rPr>
        <w:t>工伤保险基金累计结余可支付月数在18至</w:t>
      </w:r>
      <w:r>
        <w:rPr>
          <w:rFonts w:hint="eastAsia"/>
          <w:color w:val="000000"/>
          <w:sz w:val="31"/>
          <w:szCs w:val="31"/>
        </w:rPr>
        <w:t>23个月的统筹地区可以现行费率为基础下调20%，累计结余可支付月数在24个月以上的统筹地区可以现行费率为基础下调50%。</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b/>
          <w:color w:val="000000"/>
          <w:sz w:val="31"/>
          <w:szCs w:val="31"/>
        </w:rPr>
      </w:pPr>
      <w:bookmarkStart w:id="711" w:name="_Toc30843"/>
      <w:bookmarkStart w:id="712" w:name="_Toc6275"/>
      <w:r>
        <w:rPr>
          <w:rFonts w:hint="eastAsia"/>
          <w:b/>
          <w:color w:val="000000"/>
          <w:sz w:val="31"/>
          <w:szCs w:val="31"/>
        </w:rPr>
        <w:t>【</w:t>
      </w:r>
      <w:r>
        <w:rPr>
          <w:rFonts w:hint="eastAsia"/>
          <w:b/>
          <w:color w:val="000000"/>
          <w:sz w:val="31"/>
          <w:szCs w:val="31"/>
          <w:lang w:eastAsia="zh-CN"/>
        </w:rPr>
        <w:t>办理流程</w:t>
      </w:r>
      <w:r>
        <w:rPr>
          <w:rFonts w:hint="eastAsia"/>
          <w:b/>
          <w:color w:val="000000"/>
          <w:sz w:val="31"/>
          <w:szCs w:val="31"/>
        </w:rPr>
        <w:t>】</w:t>
      </w:r>
      <w:bookmarkEnd w:id="711"/>
      <w:bookmarkEnd w:id="712"/>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000000"/>
          <w:sz w:val="31"/>
          <w:szCs w:val="31"/>
        </w:rPr>
        <w:t>在符合降率条件的统筹地区办理参保登记的企业，免申即享。</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2" w:firstLineChars="200"/>
        <w:jc w:val="both"/>
        <w:textAlignment w:val="auto"/>
        <w:outlineLvl w:val="1"/>
        <w:rPr>
          <w:rFonts w:hint="eastAsia"/>
          <w:b/>
          <w:color w:val="000000"/>
          <w:sz w:val="31"/>
          <w:szCs w:val="31"/>
        </w:rPr>
      </w:pPr>
      <w:bookmarkStart w:id="713" w:name="_Toc19861"/>
      <w:bookmarkStart w:id="714" w:name="_Toc32013"/>
      <w:r>
        <w:rPr>
          <w:rFonts w:hint="eastAsia"/>
          <w:b/>
          <w:color w:val="000000"/>
          <w:sz w:val="31"/>
          <w:szCs w:val="31"/>
        </w:rPr>
        <w:t>【政策依据】</w:t>
      </w:r>
      <w:bookmarkEnd w:id="713"/>
      <w:bookmarkEnd w:id="714"/>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lang w:val="en-US" w:eastAsia="zh-CN"/>
        </w:rPr>
        <w:t>1.</w:t>
      </w:r>
      <w:r>
        <w:rPr>
          <w:rFonts w:hint="eastAsia"/>
          <w:color w:val="000000"/>
          <w:sz w:val="31"/>
          <w:szCs w:val="31"/>
        </w:rPr>
        <w:t>《人力资源社会保障部财政部国家税务总局关于做好失业保险稳岗位提技能防失业工作的通知》（人社部发〔2022〕23号）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sz w:val="24"/>
          <w:szCs w:val="24"/>
        </w:rPr>
      </w:pPr>
      <w:r>
        <w:rPr>
          <w:rFonts w:hint="eastAsia"/>
          <w:color w:val="000000"/>
          <w:sz w:val="31"/>
          <w:szCs w:val="31"/>
        </w:rPr>
        <w:t>2.《人力资源社会保障部财政部关于继续阶段性降低社会保险费率的通知》（人社部发〔2018〕25号）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eastAsia"/>
          <w:color w:val="000000"/>
          <w:sz w:val="31"/>
          <w:szCs w:val="31"/>
        </w:rPr>
      </w:pPr>
      <w:r>
        <w:rPr>
          <w:rFonts w:hint="eastAsia"/>
          <w:color w:val="000000"/>
          <w:sz w:val="31"/>
          <w:szCs w:val="31"/>
          <w:lang w:val="en-US" w:eastAsia="zh-CN"/>
        </w:rPr>
        <w:t>3.</w:t>
      </w:r>
      <w:r>
        <w:rPr>
          <w:rFonts w:hint="eastAsia"/>
          <w:color w:val="000000"/>
          <w:sz w:val="31"/>
          <w:szCs w:val="31"/>
        </w:rPr>
        <w:t>《人力资源社会保障部财政部关于阶段性降低失业保险费率有关问题的通知》（人社部发〔2017〕14号）</w:t>
      </w:r>
    </w:p>
    <w:p>
      <w:pPr>
        <w:pStyle w:val="14"/>
        <w:keepNext w:val="0"/>
        <w:keepLines w:val="0"/>
        <w:pageBreakBefore w:val="0"/>
        <w:widowControl/>
        <w:kinsoku/>
        <w:wordWrap/>
        <w:overflowPunct/>
        <w:topLinePunct w:val="0"/>
        <w:autoSpaceDE/>
        <w:autoSpaceDN/>
        <w:bidi w:val="0"/>
        <w:adjustRightInd/>
        <w:snapToGrid/>
        <w:spacing w:beforeLines="0" w:afterLines="0" w:line="500" w:lineRule="exact"/>
        <w:ind w:firstLine="620" w:firstLineChars="200"/>
        <w:jc w:val="both"/>
        <w:textAlignment w:val="auto"/>
        <w:rPr>
          <w:rFonts w:hint="default" w:eastAsia="宋体"/>
          <w:color w:val="000000"/>
          <w:sz w:val="31"/>
          <w:szCs w:val="31"/>
          <w:lang w:val="en-US" w:eastAsia="zh-CN"/>
        </w:rPr>
      </w:pPr>
      <w:r>
        <w:rPr>
          <w:rFonts w:hint="eastAsia"/>
          <w:color w:val="000000"/>
          <w:sz w:val="31"/>
          <w:szCs w:val="31"/>
          <w:lang w:val="en-US" w:eastAsia="zh-CN"/>
        </w:rPr>
        <w:t>4.《关于做好失业保险稳岗位提技能防失业和对特困行业阶段性实施缓缴社会保险费工作的通知》（黑人社发(2022〕10号）</w:t>
      </w:r>
    </w:p>
    <w:p>
      <w:pPr>
        <w:pStyle w:val="25"/>
        <w:ind w:left="0" w:leftChars="0" w:firstLine="0" w:firstLineChars="0"/>
        <w:rPr>
          <w:rFonts w:hint="default"/>
        </w:rPr>
      </w:pPr>
    </w:p>
    <w:p>
      <w:pPr>
        <w:pStyle w:val="4"/>
        <w:pageBreakBefore w:val="0"/>
        <w:kinsoku/>
        <w:wordWrap/>
        <w:overflowPunct/>
        <w:topLinePunct w:val="0"/>
        <w:bidi w:val="0"/>
        <w:spacing w:line="500" w:lineRule="exact"/>
        <w:ind w:firstLine="643" w:firstLineChars="200"/>
        <w:textAlignment w:val="auto"/>
        <w:outlineLvl w:val="0"/>
        <w:rPr>
          <w:rFonts w:hint="eastAsia"/>
          <w:lang w:val="en-US" w:eastAsia="zh-CN"/>
        </w:rPr>
      </w:pPr>
      <w:bookmarkStart w:id="715" w:name="_Toc32532"/>
      <w:bookmarkStart w:id="716" w:name="_Toc14278"/>
      <w:bookmarkStart w:id="717" w:name="_Toc20558"/>
      <w:bookmarkStart w:id="718" w:name="_Toc7010"/>
      <w:r>
        <w:rPr>
          <w:rFonts w:hint="eastAsia"/>
          <w:lang w:eastAsia="zh-CN"/>
        </w:rPr>
        <w:t>（四十七）小型水库移民扶助基金减征政策</w:t>
      </w:r>
      <w:bookmarkEnd w:id="706"/>
      <w:bookmarkEnd w:id="715"/>
      <w:bookmarkEnd w:id="716"/>
      <w:bookmarkEnd w:id="717"/>
      <w:bookmarkEnd w:id="718"/>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719" w:name="_Toc2785"/>
      <w:bookmarkStart w:id="720" w:name="_Toc3420"/>
      <w:r>
        <w:rPr>
          <w:rFonts w:hint="eastAsia" w:asciiTheme="minorEastAsia" w:hAnsiTheme="minorEastAsia" w:eastAsiaTheme="minorEastAsia" w:cstheme="minorEastAsia"/>
          <w:b/>
          <w:bCs/>
          <w:sz w:val="32"/>
          <w:szCs w:val="32"/>
          <w:lang w:val="en-US" w:eastAsia="zh-CN"/>
        </w:rPr>
        <w:t>【享受主体】</w:t>
      </w:r>
      <w:bookmarkEnd w:id="719"/>
      <w:bookmarkEnd w:id="720"/>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除农业生产用电的单位外，所有缴纳电费的单位和自然人</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721" w:name="_Toc11918"/>
      <w:bookmarkStart w:id="722" w:name="_Toc21613"/>
      <w:r>
        <w:rPr>
          <w:rFonts w:hint="eastAsia" w:asciiTheme="minorEastAsia" w:hAnsiTheme="minorEastAsia" w:eastAsiaTheme="minorEastAsia" w:cstheme="minorEastAsia"/>
          <w:b/>
          <w:bCs/>
          <w:sz w:val="32"/>
          <w:szCs w:val="32"/>
          <w:lang w:val="en-US" w:eastAsia="zh-CN"/>
        </w:rPr>
        <w:t>【优惠内容】</w:t>
      </w:r>
      <w:bookmarkEnd w:id="721"/>
      <w:bookmarkEnd w:id="722"/>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eastAsia="zh-CN"/>
        </w:rPr>
        <w:t>根据财政部</w:t>
      </w:r>
      <w:r>
        <w:rPr>
          <w:rFonts w:hint="eastAsia" w:asciiTheme="minorEastAsia" w:hAnsiTheme="minorEastAsia" w:eastAsiaTheme="minorEastAsia" w:cstheme="minorEastAsia"/>
          <w:sz w:val="32"/>
          <w:szCs w:val="32"/>
          <w:lang w:val="en-US" w:eastAsia="zh-CN"/>
        </w:rPr>
        <w:t>2022年第5号公告，经省政府同意，我省小型水库移民扶助基金减按0.3厘/千瓦时征收，执行期限为2021年1月1日至2023年12月31日。</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对2021年1月1日以来超过0.3厘/千瓦时的征收部分，采取退付或抵缴以后应缴的小型水库移民扶助基金方式处理，由缴费人向税务部门办理退库或抵缴。</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723" w:name="_Toc13947"/>
      <w:bookmarkStart w:id="724" w:name="_Toc13047"/>
      <w:r>
        <w:rPr>
          <w:rFonts w:hint="eastAsia" w:asciiTheme="minorEastAsia" w:hAnsiTheme="minorEastAsia" w:eastAsiaTheme="minorEastAsia" w:cstheme="minorEastAsia"/>
          <w:b/>
          <w:bCs/>
          <w:sz w:val="32"/>
          <w:szCs w:val="32"/>
          <w:lang w:val="en-US" w:eastAsia="zh-CN"/>
        </w:rPr>
        <w:t>【</w:t>
      </w:r>
      <w:r>
        <w:rPr>
          <w:rFonts w:hint="eastAsia" w:asciiTheme="minorEastAsia" w:hAnsiTheme="minorEastAsia" w:eastAsiaTheme="minorEastAsia" w:cstheme="minorEastAsia"/>
          <w:b/>
          <w:bCs/>
          <w:sz w:val="32"/>
          <w:szCs w:val="32"/>
          <w:lang w:val="en-US" w:eastAsia="zh-Hans"/>
        </w:rPr>
        <w:t>享受条件</w:t>
      </w:r>
      <w:r>
        <w:rPr>
          <w:rFonts w:hint="eastAsia" w:asciiTheme="minorEastAsia" w:hAnsiTheme="minorEastAsia" w:eastAsiaTheme="minorEastAsia" w:cstheme="minorEastAsia"/>
          <w:b/>
          <w:bCs/>
          <w:sz w:val="32"/>
          <w:szCs w:val="32"/>
          <w:lang w:val="en-US" w:eastAsia="zh-CN"/>
        </w:rPr>
        <w:t>】</w:t>
      </w:r>
      <w:bookmarkEnd w:id="723"/>
      <w:bookmarkEnd w:id="724"/>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申报缴纳小型水库移民扶助基金的缴费单位。</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b/>
          <w:bCs/>
          <w:sz w:val="32"/>
          <w:szCs w:val="32"/>
          <w:lang w:val="en-US" w:eastAsia="zh-CN"/>
        </w:rPr>
      </w:pPr>
      <w:bookmarkStart w:id="725" w:name="_Toc11593"/>
      <w:bookmarkStart w:id="726" w:name="_Toc8520"/>
      <w:r>
        <w:rPr>
          <w:rFonts w:hint="eastAsia" w:asciiTheme="minorEastAsia" w:hAnsiTheme="minorEastAsia" w:eastAsiaTheme="minorEastAsia" w:cstheme="minorEastAsia"/>
          <w:b/>
          <w:bCs/>
          <w:sz w:val="32"/>
          <w:szCs w:val="32"/>
          <w:lang w:val="en-US" w:eastAsia="zh-CN"/>
        </w:rPr>
        <w:t>【办理流程】</w:t>
      </w:r>
      <w:bookmarkEnd w:id="725"/>
      <w:bookmarkEnd w:id="726"/>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向主管税务机关提出申请，主管税务机关按规定审核。</w:t>
      </w:r>
    </w:p>
    <w:p>
      <w:pPr>
        <w:pageBreakBefore w:val="0"/>
        <w:kinsoku/>
        <w:wordWrap/>
        <w:overflowPunct/>
        <w:topLinePunct w:val="0"/>
        <w:bidi w:val="0"/>
        <w:spacing w:line="500" w:lineRule="exact"/>
        <w:ind w:firstLine="643" w:firstLineChars="200"/>
        <w:jc w:val="both"/>
        <w:textAlignment w:val="auto"/>
        <w:outlineLvl w:val="1"/>
        <w:rPr>
          <w:rFonts w:hint="eastAsia" w:asciiTheme="minorEastAsia" w:hAnsiTheme="minorEastAsia" w:eastAsiaTheme="minorEastAsia" w:cstheme="minorEastAsia"/>
          <w:sz w:val="32"/>
          <w:szCs w:val="32"/>
        </w:rPr>
      </w:pPr>
      <w:bookmarkStart w:id="727" w:name="_Toc9931"/>
      <w:bookmarkStart w:id="728" w:name="_Toc29496"/>
      <w:r>
        <w:rPr>
          <w:rFonts w:hint="eastAsia" w:asciiTheme="minorEastAsia" w:hAnsiTheme="minorEastAsia" w:eastAsiaTheme="minorEastAsia" w:cstheme="minorEastAsia"/>
          <w:b/>
          <w:bCs/>
          <w:sz w:val="32"/>
          <w:szCs w:val="32"/>
          <w:lang w:val="en-US" w:eastAsia="zh-CN"/>
        </w:rPr>
        <w:t>【政策依据】</w:t>
      </w:r>
      <w:bookmarkEnd w:id="727"/>
      <w:bookmarkEnd w:id="728"/>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cstheme="minorEastAsia"/>
          <w:sz w:val="32"/>
          <w:szCs w:val="32"/>
          <w:lang w:val="en-US" w:eastAsia="zh-CN"/>
        </w:rPr>
        <w:t>1</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《财政部</w:t>
      </w:r>
      <w:r>
        <w:rPr>
          <w:rFonts w:hint="eastAsia" w:asciiTheme="minorEastAsia" w:hAnsiTheme="minorEastAsia" w:eastAsiaTheme="minorEastAsia" w:cstheme="minorEastAsia"/>
          <w:sz w:val="32"/>
          <w:szCs w:val="32"/>
          <w:lang w:val="en-US" w:eastAsia="zh-CN"/>
        </w:rPr>
        <w:t xml:space="preserve"> 发展改革委关于延长部分行政事业性收费、政府性基金优惠政策执行期限的公告</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2022年第5号公告</w:t>
      </w:r>
      <w:r>
        <w:rPr>
          <w:rFonts w:hint="eastAsia" w:asciiTheme="minorEastAsia" w:hAnsiTheme="minorEastAsia" w:eastAsiaTheme="minorEastAsia" w:cstheme="minorEastAsia"/>
          <w:sz w:val="32"/>
          <w:szCs w:val="32"/>
        </w:rPr>
        <w:t>）</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2</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eastAsiaTheme="minorEastAsia" w:cstheme="minorEastAsia"/>
          <w:sz w:val="32"/>
          <w:szCs w:val="32"/>
        </w:rPr>
        <w:t>《财政部关于</w:t>
      </w:r>
      <w:r>
        <w:rPr>
          <w:rFonts w:hint="eastAsia" w:asciiTheme="minorEastAsia" w:hAnsiTheme="minorEastAsia" w:eastAsiaTheme="minorEastAsia" w:cstheme="minorEastAsia"/>
          <w:sz w:val="32"/>
          <w:szCs w:val="32"/>
          <w:lang w:eastAsia="zh-CN"/>
        </w:rPr>
        <w:t>水土保持补偿费等四项非税收入划转税务部门征收的通知</w:t>
      </w:r>
      <w:r>
        <w:rPr>
          <w:rFonts w:hint="eastAsia" w:asciiTheme="minorEastAsia" w:hAnsiTheme="minorEastAsia" w:eastAsiaTheme="minorEastAsia" w:cstheme="minorEastAsia"/>
          <w:sz w:val="32"/>
          <w:szCs w:val="32"/>
        </w:rPr>
        <w:t>》（财税〔20</w:t>
      </w:r>
      <w:r>
        <w:rPr>
          <w:rFonts w:hint="eastAsia" w:asciiTheme="minorEastAsia" w:hAnsiTheme="minorEastAsia" w:eastAsiaTheme="minorEastAsia" w:cstheme="minorEastAsia"/>
          <w:sz w:val="32"/>
          <w:szCs w:val="32"/>
          <w:lang w:val="en-US" w:eastAsia="zh-CN"/>
        </w:rPr>
        <w:t>20</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58</w:t>
      </w:r>
      <w:r>
        <w:rPr>
          <w:rFonts w:hint="eastAsia" w:asciiTheme="minorEastAsia" w:hAnsiTheme="minorEastAsia" w:eastAsiaTheme="minorEastAsia" w:cstheme="minorEastAsia"/>
          <w:sz w:val="32"/>
          <w:szCs w:val="32"/>
        </w:rPr>
        <w:t>号）</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eastAsia="zh-CN"/>
        </w:rPr>
        <w:t>黑龙江省财政厅</w:t>
      </w:r>
      <w:r>
        <w:rPr>
          <w:rFonts w:hint="eastAsia" w:asciiTheme="minorEastAsia" w:hAnsiTheme="minorEastAsia" w:eastAsiaTheme="minorEastAsia" w:cstheme="minorEastAsia"/>
          <w:sz w:val="32"/>
          <w:szCs w:val="32"/>
          <w:lang w:val="en-US" w:eastAsia="zh-CN"/>
        </w:rPr>
        <w:t xml:space="preserve"> 黑龙江省发展和改革委员会 国家税务总局黑龙江省税务局关于延长小型水库移民扶助基金减征政策执行期限的公告</w:t>
      </w:r>
      <w:r>
        <w:rPr>
          <w:rFonts w:hint="eastAsia" w:asciiTheme="minorEastAsia" w:hAnsiTheme="minorEastAsia" w:eastAsiaTheme="minorEastAsia" w:cstheme="minorEastAsia"/>
          <w:sz w:val="32"/>
          <w:szCs w:val="32"/>
        </w:rPr>
        <w:t>》（</w:t>
      </w:r>
      <w:r>
        <w:rPr>
          <w:rFonts w:hint="eastAsia" w:asciiTheme="minorEastAsia" w:hAnsiTheme="minorEastAsia" w:eastAsiaTheme="minorEastAsia" w:cstheme="minorEastAsia"/>
          <w:sz w:val="32"/>
          <w:szCs w:val="32"/>
          <w:lang w:val="en-US" w:eastAsia="zh-CN"/>
        </w:rPr>
        <w:t>2022年第3号公告</w:t>
      </w:r>
      <w:r>
        <w:rPr>
          <w:rFonts w:hint="eastAsia" w:asciiTheme="minorEastAsia" w:hAnsiTheme="minorEastAsia" w:eastAsiaTheme="minorEastAsia" w:cstheme="minorEastAsia"/>
          <w:sz w:val="32"/>
          <w:szCs w:val="32"/>
        </w:rPr>
        <w:t>）</w:t>
      </w: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rPr>
      </w:pPr>
    </w:p>
    <w:p>
      <w:pPr>
        <w:pageBreakBefore w:val="0"/>
        <w:kinsoku/>
        <w:wordWrap/>
        <w:overflowPunct/>
        <w:topLinePunct w:val="0"/>
        <w:bidi w:val="0"/>
        <w:spacing w:line="500" w:lineRule="exact"/>
        <w:ind w:firstLine="640" w:firstLineChars="200"/>
        <w:jc w:val="both"/>
        <w:textAlignment w:val="auto"/>
        <w:rPr>
          <w:rFonts w:hint="eastAsia" w:asciiTheme="minorEastAsia" w:hAnsiTheme="minorEastAsia" w:eastAsiaTheme="minorEastAsia" w:cstheme="minorEastAsia"/>
          <w:sz w:val="32"/>
          <w:szCs w:val="32"/>
          <w:lang w:eastAsia="zh-CN"/>
        </w:rPr>
      </w:pPr>
    </w:p>
    <w:sectPr>
      <w:footerReference r:id="rId5" w:type="default"/>
      <w:pgSz w:w="11906" w:h="16838"/>
      <w:pgMar w:top="2098" w:right="1474" w:bottom="1984" w:left="1587" w:header="851" w:footer="992" w:gutter="0"/>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华文楷体">
    <w:altName w:val="楷体_GB2312"/>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FangSong_GB2312">
    <w:altName w:val="仿宋_GB2312"/>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Cambria Math">
    <w:panose1 w:val="02040503050406030204"/>
    <w:charset w:val="00"/>
    <w:family w:val="auto"/>
    <w:pitch w:val="default"/>
    <w:sig w:usb0="E00002FF" w:usb1="42002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0"/>
                    </w:pPr>
                    <w:r>
                      <w:fldChar w:fldCharType="begin"/>
                    </w:r>
                    <w:r>
                      <w:instrText xml:space="preserve"> PAGE  \* MERGEFORMAT </w:instrText>
                    </w:r>
                    <w:r>
                      <w:fldChar w:fldCharType="separate"/>
                    </w:r>
                    <w:r>
                      <w:t>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MxODZmMTYyOWZjYTlkOWRjMDNmMGMxNTc2Nzg5MzUifQ=="/>
  </w:docVars>
  <w:rsids>
    <w:rsidRoot w:val="00172A27"/>
    <w:rsid w:val="009B7CB0"/>
    <w:rsid w:val="00DF5DD0"/>
    <w:rsid w:val="01603314"/>
    <w:rsid w:val="0163473D"/>
    <w:rsid w:val="016E7690"/>
    <w:rsid w:val="02A8014D"/>
    <w:rsid w:val="02FE12B7"/>
    <w:rsid w:val="034A3242"/>
    <w:rsid w:val="04B464D7"/>
    <w:rsid w:val="05E20794"/>
    <w:rsid w:val="07922672"/>
    <w:rsid w:val="089B5687"/>
    <w:rsid w:val="08E44DF0"/>
    <w:rsid w:val="09470FF2"/>
    <w:rsid w:val="0A1D3A8D"/>
    <w:rsid w:val="0A8473EE"/>
    <w:rsid w:val="0C301E46"/>
    <w:rsid w:val="0D0D42A6"/>
    <w:rsid w:val="0D2D46A6"/>
    <w:rsid w:val="0DB17247"/>
    <w:rsid w:val="0E71393A"/>
    <w:rsid w:val="0EF07884"/>
    <w:rsid w:val="0F1C017E"/>
    <w:rsid w:val="104346BB"/>
    <w:rsid w:val="10DE7599"/>
    <w:rsid w:val="118E42B8"/>
    <w:rsid w:val="11A20B9C"/>
    <w:rsid w:val="11C2303D"/>
    <w:rsid w:val="12370274"/>
    <w:rsid w:val="1241787D"/>
    <w:rsid w:val="126C5D52"/>
    <w:rsid w:val="130413D4"/>
    <w:rsid w:val="13E2402F"/>
    <w:rsid w:val="143E6900"/>
    <w:rsid w:val="14C21618"/>
    <w:rsid w:val="14D7357E"/>
    <w:rsid w:val="14F71BA0"/>
    <w:rsid w:val="14FD5AA0"/>
    <w:rsid w:val="150B0BA0"/>
    <w:rsid w:val="151005DD"/>
    <w:rsid w:val="15934093"/>
    <w:rsid w:val="159827F8"/>
    <w:rsid w:val="15AB495D"/>
    <w:rsid w:val="16150190"/>
    <w:rsid w:val="16A86D63"/>
    <w:rsid w:val="172A4339"/>
    <w:rsid w:val="18142192"/>
    <w:rsid w:val="18167DE5"/>
    <w:rsid w:val="1819524E"/>
    <w:rsid w:val="18634301"/>
    <w:rsid w:val="18DD604E"/>
    <w:rsid w:val="19704F12"/>
    <w:rsid w:val="197A25BA"/>
    <w:rsid w:val="19BB3189"/>
    <w:rsid w:val="1A170F5D"/>
    <w:rsid w:val="1A1A2B57"/>
    <w:rsid w:val="1A440833"/>
    <w:rsid w:val="1AD6342F"/>
    <w:rsid w:val="1BA365CC"/>
    <w:rsid w:val="1BE264E9"/>
    <w:rsid w:val="1C016078"/>
    <w:rsid w:val="1C264DE2"/>
    <w:rsid w:val="1C3F38E2"/>
    <w:rsid w:val="1C50492F"/>
    <w:rsid w:val="1C8D5D64"/>
    <w:rsid w:val="1CD63041"/>
    <w:rsid w:val="1D225339"/>
    <w:rsid w:val="1D426AB6"/>
    <w:rsid w:val="1FA05E3F"/>
    <w:rsid w:val="1FCB2AEB"/>
    <w:rsid w:val="20195AD8"/>
    <w:rsid w:val="20865DE0"/>
    <w:rsid w:val="20DD7F65"/>
    <w:rsid w:val="20F10979"/>
    <w:rsid w:val="21111D2B"/>
    <w:rsid w:val="22646D37"/>
    <w:rsid w:val="22913FC5"/>
    <w:rsid w:val="22CB5ABB"/>
    <w:rsid w:val="22F71E0D"/>
    <w:rsid w:val="2430750C"/>
    <w:rsid w:val="24893F1E"/>
    <w:rsid w:val="25A74ACE"/>
    <w:rsid w:val="25E94BB7"/>
    <w:rsid w:val="26A77D84"/>
    <w:rsid w:val="26E375A8"/>
    <w:rsid w:val="26EE0B87"/>
    <w:rsid w:val="27A6098D"/>
    <w:rsid w:val="27FA36AC"/>
    <w:rsid w:val="29F31BB6"/>
    <w:rsid w:val="2A0E06CA"/>
    <w:rsid w:val="2A2B77FB"/>
    <w:rsid w:val="2A813FD6"/>
    <w:rsid w:val="2B0D3CDB"/>
    <w:rsid w:val="2B1D66AA"/>
    <w:rsid w:val="2B3F673F"/>
    <w:rsid w:val="2B6E5792"/>
    <w:rsid w:val="2B6F7CB2"/>
    <w:rsid w:val="2BB11CE5"/>
    <w:rsid w:val="2C1A0FA5"/>
    <w:rsid w:val="2C292BB3"/>
    <w:rsid w:val="2C4E3A9C"/>
    <w:rsid w:val="2C772CD0"/>
    <w:rsid w:val="2CF0314C"/>
    <w:rsid w:val="2D761228"/>
    <w:rsid w:val="2DC216C4"/>
    <w:rsid w:val="2EDA5E64"/>
    <w:rsid w:val="2F130C65"/>
    <w:rsid w:val="2F5A12B4"/>
    <w:rsid w:val="2FEC69A3"/>
    <w:rsid w:val="30CA45FE"/>
    <w:rsid w:val="312A3E2D"/>
    <w:rsid w:val="31916EA2"/>
    <w:rsid w:val="31CE09F0"/>
    <w:rsid w:val="337C5A8A"/>
    <w:rsid w:val="33C30E7F"/>
    <w:rsid w:val="35782921"/>
    <w:rsid w:val="357F7409"/>
    <w:rsid w:val="35DC31AD"/>
    <w:rsid w:val="365E134C"/>
    <w:rsid w:val="36985B79"/>
    <w:rsid w:val="371E29AB"/>
    <w:rsid w:val="372D3039"/>
    <w:rsid w:val="376C7F28"/>
    <w:rsid w:val="37875A9B"/>
    <w:rsid w:val="37893E7C"/>
    <w:rsid w:val="37CE225C"/>
    <w:rsid w:val="37FB2CB3"/>
    <w:rsid w:val="39067AF9"/>
    <w:rsid w:val="3992688B"/>
    <w:rsid w:val="3A3D2A31"/>
    <w:rsid w:val="3A656458"/>
    <w:rsid w:val="3A8754A0"/>
    <w:rsid w:val="3B25254F"/>
    <w:rsid w:val="3B4672D9"/>
    <w:rsid w:val="3C463D2B"/>
    <w:rsid w:val="3C9001F3"/>
    <w:rsid w:val="3CA13812"/>
    <w:rsid w:val="3CC64748"/>
    <w:rsid w:val="3CD60949"/>
    <w:rsid w:val="3D694CF3"/>
    <w:rsid w:val="3D94195D"/>
    <w:rsid w:val="3DDF7E5E"/>
    <w:rsid w:val="3E517150"/>
    <w:rsid w:val="3E8C52BF"/>
    <w:rsid w:val="3EFF79A8"/>
    <w:rsid w:val="3FB529D3"/>
    <w:rsid w:val="40E156D6"/>
    <w:rsid w:val="41A34024"/>
    <w:rsid w:val="41BC6D80"/>
    <w:rsid w:val="41DF5D98"/>
    <w:rsid w:val="42273B75"/>
    <w:rsid w:val="428A130D"/>
    <w:rsid w:val="42AD6925"/>
    <w:rsid w:val="4498750C"/>
    <w:rsid w:val="45406D4C"/>
    <w:rsid w:val="45D4511E"/>
    <w:rsid w:val="469F64AA"/>
    <w:rsid w:val="46C01ABB"/>
    <w:rsid w:val="46C92AFE"/>
    <w:rsid w:val="46FC0F9A"/>
    <w:rsid w:val="46FD438D"/>
    <w:rsid w:val="4722441D"/>
    <w:rsid w:val="478D52BD"/>
    <w:rsid w:val="47E807D3"/>
    <w:rsid w:val="48A037F8"/>
    <w:rsid w:val="48C51768"/>
    <w:rsid w:val="48F84515"/>
    <w:rsid w:val="48FF7AF0"/>
    <w:rsid w:val="492465F5"/>
    <w:rsid w:val="498B2D20"/>
    <w:rsid w:val="49916DD7"/>
    <w:rsid w:val="49E03184"/>
    <w:rsid w:val="4B5C7E21"/>
    <w:rsid w:val="4B92742F"/>
    <w:rsid w:val="4BCB5A30"/>
    <w:rsid w:val="4BE60FB6"/>
    <w:rsid w:val="4C5948B5"/>
    <w:rsid w:val="4C5A51DB"/>
    <w:rsid w:val="4D362066"/>
    <w:rsid w:val="4D3C6F3C"/>
    <w:rsid w:val="4D675086"/>
    <w:rsid w:val="4E8204FF"/>
    <w:rsid w:val="4EF521C2"/>
    <w:rsid w:val="4EF71B1A"/>
    <w:rsid w:val="4F7173DD"/>
    <w:rsid w:val="50FE0CB2"/>
    <w:rsid w:val="51921356"/>
    <w:rsid w:val="51CF686B"/>
    <w:rsid w:val="51E118E0"/>
    <w:rsid w:val="5280528E"/>
    <w:rsid w:val="52FC2436"/>
    <w:rsid w:val="530C2D1B"/>
    <w:rsid w:val="54562A6E"/>
    <w:rsid w:val="54B76950"/>
    <w:rsid w:val="55497DEE"/>
    <w:rsid w:val="55B5642F"/>
    <w:rsid w:val="5603264A"/>
    <w:rsid w:val="56806CF9"/>
    <w:rsid w:val="57CB26F4"/>
    <w:rsid w:val="57ED3476"/>
    <w:rsid w:val="583D7B65"/>
    <w:rsid w:val="58C01220"/>
    <w:rsid w:val="58F92AFA"/>
    <w:rsid w:val="590B285B"/>
    <w:rsid w:val="5930392B"/>
    <w:rsid w:val="5947647F"/>
    <w:rsid w:val="597528A0"/>
    <w:rsid w:val="599573F4"/>
    <w:rsid w:val="59C2196A"/>
    <w:rsid w:val="5A0C6AB3"/>
    <w:rsid w:val="5B077031"/>
    <w:rsid w:val="5B2159BB"/>
    <w:rsid w:val="5B2A352B"/>
    <w:rsid w:val="5B385A3F"/>
    <w:rsid w:val="5B611236"/>
    <w:rsid w:val="5B88487E"/>
    <w:rsid w:val="5C7D55B5"/>
    <w:rsid w:val="5C8A2BB0"/>
    <w:rsid w:val="5CB0219A"/>
    <w:rsid w:val="5D173B7D"/>
    <w:rsid w:val="5D4D1A7A"/>
    <w:rsid w:val="5E1E1EA6"/>
    <w:rsid w:val="5E322ABA"/>
    <w:rsid w:val="5F105D9A"/>
    <w:rsid w:val="5F763CDA"/>
    <w:rsid w:val="5F9C3286"/>
    <w:rsid w:val="5FB426C0"/>
    <w:rsid w:val="5FE655A9"/>
    <w:rsid w:val="603C634D"/>
    <w:rsid w:val="605B43CF"/>
    <w:rsid w:val="609A38A2"/>
    <w:rsid w:val="60B628C0"/>
    <w:rsid w:val="60D61620"/>
    <w:rsid w:val="60E01EA2"/>
    <w:rsid w:val="61D5434C"/>
    <w:rsid w:val="62535A71"/>
    <w:rsid w:val="626F3800"/>
    <w:rsid w:val="62901805"/>
    <w:rsid w:val="630D04EB"/>
    <w:rsid w:val="633D5133"/>
    <w:rsid w:val="634E01FC"/>
    <w:rsid w:val="63E118F3"/>
    <w:rsid w:val="64141844"/>
    <w:rsid w:val="646B076D"/>
    <w:rsid w:val="64812D60"/>
    <w:rsid w:val="64C565EF"/>
    <w:rsid w:val="653D7496"/>
    <w:rsid w:val="665A7ECD"/>
    <w:rsid w:val="66E1092D"/>
    <w:rsid w:val="67025B5C"/>
    <w:rsid w:val="67912DED"/>
    <w:rsid w:val="679D4B42"/>
    <w:rsid w:val="67EF71C3"/>
    <w:rsid w:val="682F3CF8"/>
    <w:rsid w:val="68744367"/>
    <w:rsid w:val="689157B3"/>
    <w:rsid w:val="694062EF"/>
    <w:rsid w:val="697A7855"/>
    <w:rsid w:val="69907FC6"/>
    <w:rsid w:val="69EA576E"/>
    <w:rsid w:val="6A3E4E9F"/>
    <w:rsid w:val="6A981F0C"/>
    <w:rsid w:val="6AC04760"/>
    <w:rsid w:val="6AC33920"/>
    <w:rsid w:val="6BCD22DB"/>
    <w:rsid w:val="6BEB3708"/>
    <w:rsid w:val="6C4904A2"/>
    <w:rsid w:val="6D4719D9"/>
    <w:rsid w:val="6D707F9A"/>
    <w:rsid w:val="6DC1511E"/>
    <w:rsid w:val="6DD8651E"/>
    <w:rsid w:val="6EEE6916"/>
    <w:rsid w:val="6F764ABA"/>
    <w:rsid w:val="706B3083"/>
    <w:rsid w:val="70833D7D"/>
    <w:rsid w:val="70872B2A"/>
    <w:rsid w:val="70B4425D"/>
    <w:rsid w:val="719252A4"/>
    <w:rsid w:val="71D77DB0"/>
    <w:rsid w:val="72714D30"/>
    <w:rsid w:val="737224A9"/>
    <w:rsid w:val="73835F05"/>
    <w:rsid w:val="744305C4"/>
    <w:rsid w:val="74A769FF"/>
    <w:rsid w:val="75A137D0"/>
    <w:rsid w:val="75D051C8"/>
    <w:rsid w:val="764315CE"/>
    <w:rsid w:val="764918D5"/>
    <w:rsid w:val="767A5631"/>
    <w:rsid w:val="776A53B0"/>
    <w:rsid w:val="77A53391"/>
    <w:rsid w:val="77CC7300"/>
    <w:rsid w:val="77FB1227"/>
    <w:rsid w:val="782A0E63"/>
    <w:rsid w:val="782C1E3B"/>
    <w:rsid w:val="78455BF7"/>
    <w:rsid w:val="786745B7"/>
    <w:rsid w:val="78C65EA6"/>
    <w:rsid w:val="79632380"/>
    <w:rsid w:val="79C847D6"/>
    <w:rsid w:val="79D65B2F"/>
    <w:rsid w:val="7A701F63"/>
    <w:rsid w:val="7B1339C9"/>
    <w:rsid w:val="7B4576D1"/>
    <w:rsid w:val="7B8F26E1"/>
    <w:rsid w:val="7C351F7B"/>
    <w:rsid w:val="7CCF011C"/>
    <w:rsid w:val="7CE53F9F"/>
    <w:rsid w:val="7D1954DC"/>
    <w:rsid w:val="7D997AD4"/>
    <w:rsid w:val="7DA731E6"/>
    <w:rsid w:val="7DC16F1B"/>
    <w:rsid w:val="7E3C2FC1"/>
    <w:rsid w:val="7E846D40"/>
    <w:rsid w:val="7E89529B"/>
    <w:rsid w:val="7E9305E2"/>
    <w:rsid w:val="7F0539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nhideWhenUsed="0" w:uiPriority="0" w:semiHidden="0" w:name="heading 4"/>
    <w:lsdException w:qFormat="1"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link w:val="28"/>
    <w:unhideWhenUsed/>
    <w:qFormat/>
    <w:uiPriority w:val="0"/>
    <w:pPr>
      <w:keepNext/>
      <w:keepLines/>
      <w:spacing w:before="260" w:beforeLines="0" w:beforeAutospacing="0" w:after="260" w:afterLines="0" w:afterAutospacing="0" w:line="500" w:lineRule="exact"/>
      <w:outlineLvl w:val="1"/>
    </w:pPr>
    <w:rPr>
      <w:rFonts w:ascii="Arial" w:hAnsi="Arial" w:eastAsia="黑体"/>
      <w:b/>
      <w:sz w:val="32"/>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paragraph" w:styleId="6">
    <w:name w:val="heading 4"/>
    <w:basedOn w:val="1"/>
    <w:next w:val="1"/>
    <w:qFormat/>
    <w:uiPriority w:val="0"/>
    <w:pPr>
      <w:keepNext/>
      <w:keepLines/>
      <w:spacing w:before="280" w:after="290" w:line="372" w:lineRule="auto"/>
      <w:outlineLvl w:val="3"/>
    </w:pPr>
    <w:rPr>
      <w:rFonts w:ascii="Arial" w:hAnsi="Arial" w:eastAsia="黑体"/>
      <w:b/>
      <w:sz w:val="28"/>
      <w:szCs w:val="22"/>
    </w:rPr>
  </w:style>
  <w:style w:type="paragraph" w:styleId="7">
    <w:name w:val="heading 5"/>
    <w:next w:val="1"/>
    <w:unhideWhenUsed/>
    <w:qFormat/>
    <w:uiPriority w:val="9"/>
    <w:pPr>
      <w:keepNext/>
      <w:keepLines/>
      <w:widowControl/>
      <w:spacing w:before="140" w:beforeLines="0" w:beforeAutospacing="0" w:after="35" w:afterLines="35" w:afterAutospacing="0" w:line="264" w:lineRule="auto"/>
      <w:ind w:firstLine="420" w:firstLineChars="200"/>
      <w:jc w:val="both"/>
      <w:outlineLvl w:val="4"/>
    </w:pPr>
    <w:rPr>
      <w:rFonts w:ascii="Arial" w:hAnsi="Arial" w:eastAsia="华文中宋" w:cs="Arial"/>
      <w:color w:val="000000"/>
      <w:kern w:val="2"/>
      <w:sz w:val="22"/>
      <w:szCs w:val="22"/>
      <w:lang w:val="en-US" w:eastAsia="zh-CN" w:bidi="ar-SA"/>
    </w:rPr>
  </w:style>
  <w:style w:type="character" w:default="1" w:styleId="17">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2">
    <w:name w:val="Body Text"/>
    <w:qFormat/>
    <w:uiPriority w:val="0"/>
    <w:pPr>
      <w:widowControl w:val="0"/>
      <w:suppressAutoHyphens/>
      <w:bidi w:val="0"/>
      <w:spacing w:before="0" w:after="140" w:line="276" w:lineRule="auto"/>
      <w:jc w:val="both"/>
    </w:pPr>
    <w:rPr>
      <w:rFonts w:ascii="Calibri" w:hAnsi="Calibri" w:eastAsia="宋体" w:cs="Times New Roman"/>
      <w:color w:val="auto"/>
      <w:kern w:val="2"/>
      <w:sz w:val="21"/>
      <w:szCs w:val="24"/>
      <w:lang w:val="en-US" w:eastAsia="zh-CN" w:bidi="ar-SA"/>
    </w:rPr>
  </w:style>
  <w:style w:type="paragraph" w:styleId="8">
    <w:name w:val="Normal Indent"/>
    <w:qFormat/>
    <w:uiPriority w:val="0"/>
    <w:pPr>
      <w:widowControl w:val="0"/>
      <w:ind w:firstLine="420" w:firstLineChars="200"/>
      <w:jc w:val="both"/>
    </w:pPr>
    <w:rPr>
      <w:rFonts w:ascii="Calibri" w:hAnsi="Calibri" w:eastAsia="宋体" w:cs="Times New Roman"/>
      <w:kern w:val="2"/>
      <w:sz w:val="21"/>
      <w:szCs w:val="24"/>
      <w:lang w:val="en-US" w:eastAsia="zh-CN" w:bidi="ar-SA"/>
    </w:rPr>
  </w:style>
  <w:style w:type="paragraph" w:styleId="9">
    <w:name w:val="toc 3"/>
    <w:basedOn w:val="1"/>
    <w:next w:val="1"/>
    <w:qFormat/>
    <w:uiPriority w:val="0"/>
    <w:pPr>
      <w:ind w:left="840" w:leftChars="400"/>
    </w:p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toc 1"/>
    <w:basedOn w:val="1"/>
    <w:next w:val="1"/>
    <w:qFormat/>
    <w:uiPriority w:val="0"/>
  </w:style>
  <w:style w:type="paragraph" w:styleId="13">
    <w:name w:val="toc 2"/>
    <w:basedOn w:val="1"/>
    <w:next w:val="1"/>
    <w:qFormat/>
    <w:uiPriority w:val="0"/>
    <w:pPr>
      <w:ind w:left="420" w:leftChars="200"/>
    </w:pPr>
  </w:style>
  <w:style w:type="paragraph" w:styleId="14">
    <w:name w:val="HTML Preformatted"/>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afterLines="0"/>
      <w:jc w:val="left"/>
    </w:pPr>
    <w:rPr>
      <w:rFonts w:hint="eastAsia" w:ascii="宋体" w:hAnsi="宋体" w:eastAsia="宋体" w:cs="宋体"/>
      <w:kern w:val="0"/>
      <w:sz w:val="24"/>
      <w:szCs w:val="24"/>
      <w:lang w:val="en-US" w:eastAsia="zh-CN" w:bidi="ar"/>
    </w:rPr>
  </w:style>
  <w:style w:type="paragraph" w:styleId="15">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18">
    <w:name w:val="Strong"/>
    <w:basedOn w:val="17"/>
    <w:qFormat/>
    <w:uiPriority w:val="0"/>
    <w:rPr>
      <w:b/>
      <w:bCs/>
    </w:rPr>
  </w:style>
  <w:style w:type="character" w:styleId="19">
    <w:name w:val="FollowedHyperlink"/>
    <w:basedOn w:val="17"/>
    <w:qFormat/>
    <w:uiPriority w:val="0"/>
    <w:rPr>
      <w:color w:val="800080"/>
      <w:u w:val="none"/>
    </w:rPr>
  </w:style>
  <w:style w:type="character" w:styleId="20">
    <w:name w:val="HTML Definition"/>
    <w:basedOn w:val="17"/>
    <w:qFormat/>
    <w:uiPriority w:val="0"/>
  </w:style>
  <w:style w:type="character" w:styleId="21">
    <w:name w:val="HTML Variable"/>
    <w:basedOn w:val="17"/>
    <w:qFormat/>
    <w:uiPriority w:val="0"/>
  </w:style>
  <w:style w:type="character" w:styleId="22">
    <w:name w:val="Hyperlink"/>
    <w:basedOn w:val="17"/>
    <w:qFormat/>
    <w:uiPriority w:val="0"/>
    <w:rPr>
      <w:color w:val="0000FF"/>
      <w:u w:val="none"/>
    </w:rPr>
  </w:style>
  <w:style w:type="character" w:styleId="23">
    <w:name w:val="HTML Code"/>
    <w:basedOn w:val="17"/>
    <w:qFormat/>
    <w:uiPriority w:val="0"/>
    <w:rPr>
      <w:rFonts w:ascii="Courier New" w:hAnsi="Courier New"/>
      <w:sz w:val="20"/>
    </w:rPr>
  </w:style>
  <w:style w:type="character" w:styleId="24">
    <w:name w:val="HTML Cite"/>
    <w:basedOn w:val="17"/>
    <w:qFormat/>
    <w:uiPriority w:val="0"/>
  </w:style>
  <w:style w:type="paragraph" w:customStyle="1" w:styleId="25">
    <w:name w:val="正文首行缩进1"/>
    <w:qFormat/>
    <w:uiPriority w:val="0"/>
    <w:pPr>
      <w:widowControl w:val="0"/>
      <w:autoSpaceDE w:val="0"/>
      <w:autoSpaceDN w:val="0"/>
      <w:spacing w:before="100" w:beforeAutospacing="1" w:after="0" w:line="240" w:lineRule="auto"/>
      <w:ind w:left="0" w:right="0" w:firstLine="420" w:firstLineChars="100"/>
      <w:jc w:val="left"/>
    </w:pPr>
    <w:rPr>
      <w:rFonts w:ascii="Calibri" w:hAnsi="Calibri" w:eastAsia="仿宋_GB2312" w:cs="仿宋_GB2312"/>
      <w:kern w:val="0"/>
      <w:sz w:val="32"/>
      <w:szCs w:val="32"/>
      <w:lang w:val="zh-CN" w:eastAsia="zh-CN" w:bidi="zh-CN"/>
    </w:rPr>
  </w:style>
  <w:style w:type="paragraph" w:customStyle="1" w:styleId="26">
    <w:name w:val="WPSOffice手动目录 1"/>
    <w:qFormat/>
    <w:uiPriority w:val="0"/>
    <w:pPr>
      <w:ind w:leftChars="0"/>
    </w:pPr>
    <w:rPr>
      <w:rFonts w:asciiTheme="minorHAnsi" w:hAnsiTheme="minorHAnsi" w:eastAsiaTheme="minorEastAsia" w:cstheme="minorBidi"/>
      <w:sz w:val="20"/>
      <w:szCs w:val="20"/>
    </w:rPr>
  </w:style>
  <w:style w:type="paragraph" w:customStyle="1" w:styleId="27">
    <w:name w:val="WPSOffice手动目录 2"/>
    <w:qFormat/>
    <w:uiPriority w:val="0"/>
    <w:pPr>
      <w:ind w:leftChars="200"/>
    </w:pPr>
    <w:rPr>
      <w:rFonts w:asciiTheme="minorHAnsi" w:hAnsiTheme="minorHAnsi" w:eastAsiaTheme="minorEastAsia" w:cstheme="minorBidi"/>
      <w:sz w:val="20"/>
      <w:szCs w:val="20"/>
    </w:rPr>
  </w:style>
  <w:style w:type="character" w:customStyle="1" w:styleId="28">
    <w:name w:val="标题 2 Char"/>
    <w:link w:val="4"/>
    <w:qFormat/>
    <w:uiPriority w:val="0"/>
    <w:rPr>
      <w:rFonts w:ascii="Arial" w:hAnsi="Arial" w:eastAsia="黑体"/>
      <w:b/>
      <w:sz w:val="32"/>
    </w:rPr>
  </w:style>
  <w:style w:type="character" w:customStyle="1" w:styleId="29">
    <w:name w:val="kind"/>
    <w:basedOn w:val="17"/>
    <w:qFormat/>
    <w:uiPriority w:val="0"/>
    <w:rPr>
      <w:color w:val="336699"/>
      <w:bdr w:val="single" w:color="336699" w:sz="6" w:space="0"/>
    </w:rPr>
  </w:style>
  <w:style w:type="character" w:customStyle="1" w:styleId="30">
    <w:name w:val="lastest"/>
    <w:basedOn w:val="17"/>
    <w:qFormat/>
    <w:uiPriority w:val="0"/>
  </w:style>
  <w:style w:type="character" w:customStyle="1" w:styleId="31">
    <w:name w:val="time"/>
    <w:basedOn w:val="17"/>
    <w:qFormat/>
    <w:uiPriority w:val="0"/>
    <w:rPr>
      <w:color w:val="999999"/>
      <w:sz w:val="21"/>
      <w:szCs w:val="21"/>
    </w:rPr>
  </w:style>
  <w:style w:type="character" w:customStyle="1" w:styleId="32">
    <w:name w:val="time1"/>
    <w:basedOn w:val="17"/>
    <w:qFormat/>
    <w:uiPriority w:val="0"/>
    <w:rPr>
      <w:color w:val="999999"/>
      <w:sz w:val="21"/>
      <w:szCs w:val="21"/>
    </w:rPr>
  </w:style>
  <w:style w:type="character" w:customStyle="1" w:styleId="33">
    <w:name w:val="bq"/>
    <w:basedOn w:val="17"/>
    <w:qFormat/>
    <w:uiPriority w:val="0"/>
  </w:style>
  <w:style w:type="character" w:customStyle="1" w:styleId="34">
    <w:name w:val="sort"/>
    <w:basedOn w:val="17"/>
    <w:qFormat/>
    <w:uiPriority w:val="0"/>
    <w:rPr>
      <w:rFonts w:ascii="华文楷体" w:hAnsi="华文楷体" w:eastAsia="华文楷体" w:cs="华文楷体"/>
      <w:color w:val="666666"/>
    </w:rPr>
  </w:style>
  <w:style w:type="character" w:customStyle="1" w:styleId="35">
    <w:name w:val="to"/>
    <w:basedOn w:val="17"/>
    <w:qFormat/>
    <w:uiPriority w:val="0"/>
  </w:style>
  <w:style w:type="character" w:customStyle="1" w:styleId="36">
    <w:name w:val="first-child"/>
    <w:basedOn w:val="17"/>
    <w:qFormat/>
    <w:uiPriority w:val="0"/>
  </w:style>
  <w:style w:type="character" w:customStyle="1" w:styleId="37">
    <w:name w:val="layui-layer-tabnow"/>
    <w:basedOn w:val="17"/>
    <w:qFormat/>
    <w:uiPriority w:val="0"/>
    <w:rPr>
      <w:bdr w:val="single" w:color="CCCCCC" w:sz="6" w:space="0"/>
      <w:shd w:val="clear" w:fill="FFFFFF"/>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61</Pages>
  <Words>25812</Words>
  <Characters>27343</Characters>
  <Lines>0</Lines>
  <Paragraphs>0</Paragraphs>
  <TotalTime>2</TotalTime>
  <ScaleCrop>false</ScaleCrop>
  <LinksUpToDate>false</LinksUpToDate>
  <CharactersWithSpaces>27521</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2022-05-14T01:37:00Z</dcterms:created>
  <dc:creator>Administrator.2016-20220221MT</dc:creator>
  <cp:lastModifiedBy>减税办1</cp:lastModifiedBy>
  <cp:lastPrinted>2022-07-04T09:23:00Z</cp:lastPrinted>
  <dcterms:modified xsi:type="dcterms:W3CDTF">2022-10-31T23:46:23Z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9D15FE6F191547E488D446FAAFB1E5D5</vt:lpwstr>
  </property>
</Properties>
</file>