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3"/>
        <w:spacing w:line="360" w:lineRule="auto"/>
        <w:rPr>
          <w:rFonts w:hint="eastAsia" w:ascii="宋体" w:hAnsi="宋体" w:eastAsia="宋体" w:cs="宋体"/>
          <w:color w:val="auto"/>
          <w:sz w:val="28"/>
          <w:szCs w:val="28"/>
          <w:highlight w:val="none"/>
        </w:rPr>
      </w:pPr>
    </w:p>
    <w:p>
      <w:pPr>
        <w:pStyle w:val="13"/>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国家税务总局黑龙江省税务局内部文件及资料印制服务项目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HTCL-ZB-243118</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8</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78902190"/>
      <w:bookmarkStart w:id="1" w:name="_Toc1124_WPSOffice_Level1"/>
      <w:bookmarkStart w:id="2" w:name="_Toc15817"/>
      <w:r>
        <w:rPr>
          <w:rFonts w:hint="eastAsia" w:ascii="宋体" w:hAnsi="宋体" w:eastAsia="宋体" w:cs="宋体"/>
          <w:color w:val="auto"/>
          <w:highlight w:val="none"/>
        </w:rPr>
        <w:t>招标公告</w:t>
      </w:r>
      <w:bookmarkEnd w:id="0"/>
      <w:bookmarkEnd w:id="1"/>
      <w:bookmarkEnd w:id="2"/>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国家税务总局黑龙江省税务局内部文件及资料印制服务项目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日9点00分（北京时间）前递交投标文件。</w:t>
            </w:r>
          </w:p>
        </w:tc>
      </w:tr>
    </w:tbl>
    <w:p>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HTCL-ZB-243118</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国家税务总局黑龙江省税务局内部文件及资料印制服务项目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335.20万元/年</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335.20万元/年</w:t>
      </w:r>
    </w:p>
    <w:p>
      <w:pPr>
        <w:pStyle w:val="2"/>
        <w:ind w:left="0" w:leftChars="0" w:firstLine="0" w:firstLineChars="0"/>
        <w:rPr>
          <w:rFonts w:hint="eastAsia" w:eastAsia="宋体"/>
          <w:color w:val="auto"/>
          <w:highlight w:val="none"/>
          <w:lang w:val="en-US" w:eastAsia="zh-CN"/>
        </w:rPr>
      </w:pPr>
      <w:r>
        <w:rPr>
          <w:rFonts w:hint="eastAsia"/>
          <w:color w:val="auto"/>
          <w:highlight w:val="none"/>
        </w:rPr>
        <w:t>采购需求：</w:t>
      </w:r>
      <w:r>
        <w:rPr>
          <w:rFonts w:hint="eastAsia" w:eastAsia="宋体"/>
          <w:color w:val="auto"/>
          <w:highlight w:val="none"/>
          <w:lang w:val="en-US" w:eastAsia="zh-CN"/>
        </w:rPr>
        <w:t>确定一家印刷企业作为国家税务总局黑龙江省税务局机关（2024-2026年度）内部文件及资料印制服务单位。印制内容包括会议材料、红头文件纸、会议简报、文件袋及信封等、档案装订盒及笔记本等、税收宣传单（宣传册）以及其他资料印制。</w:t>
      </w:r>
    </w:p>
    <w:p>
      <w:pPr>
        <w:pStyle w:val="2"/>
        <w:ind w:left="0" w:leftChars="0" w:firstLine="0" w:firstLineChars="0"/>
        <w:rPr>
          <w:rFonts w:hint="eastAsia" w:ascii="宋体" w:hAnsi="宋体" w:eastAsia="宋体" w:cs="宋体"/>
          <w:color w:val="auto"/>
          <w:sz w:val="21"/>
          <w:szCs w:val="21"/>
          <w:lang w:val="en-US" w:eastAsia="zh-CN"/>
        </w:rPr>
      </w:pPr>
      <w:r>
        <w:rPr>
          <w:rFonts w:hint="eastAsia" w:eastAsia="宋体"/>
          <w:color w:val="auto"/>
          <w:highlight w:val="none"/>
          <w:lang w:val="en-US" w:eastAsia="zh-CN"/>
        </w:rPr>
        <w:t>合同履行期限：</w:t>
      </w:r>
      <w:r>
        <w:rPr>
          <w:rFonts w:hint="eastAsia" w:ascii="宋体" w:hAnsi="宋体" w:eastAsia="宋体" w:cs="宋体"/>
          <w:color w:val="auto"/>
          <w:sz w:val="21"/>
          <w:szCs w:val="21"/>
          <w:highlight w:val="none"/>
          <w:lang w:val="en-US" w:eastAsia="zh-CN"/>
        </w:rPr>
        <w:t>自</w:t>
      </w:r>
      <w:r>
        <w:rPr>
          <w:rFonts w:hint="eastAsia" w:ascii="宋体" w:hAnsi="宋体" w:eastAsia="宋体" w:cs="宋体"/>
          <w:color w:val="auto"/>
          <w:sz w:val="21"/>
          <w:szCs w:val="21"/>
          <w:lang w:val="en-US" w:eastAsia="zh-CN"/>
        </w:rPr>
        <w:t>合同生效之日起一年内，按照《财政部关于推进和完善服务项目政府采购有关问题的通知》（财库〔2014〕37号）文件要求，采购结果最多3年沿用，合同一年一考核一续签。是否续签，由甲方视财政预算安排及乙方供应商资质条件（是否符合《政府采购法》第二十二条规定等）、服务质量、服务内容、服务满意度等绩效考核情况确定。急件任务一个工作日交货，普通任务五个工作日交货。</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color w:val="auto"/>
          <w:highlight w:val="none"/>
        </w:rPr>
      </w:pPr>
      <w:r>
        <w:rPr>
          <w:rFonts w:hint="eastAsia"/>
          <w:color w:val="auto"/>
          <w:highlight w:val="none"/>
        </w:rPr>
        <w:t>4、投标人必须具有印刷经营许可证。</w:t>
      </w:r>
    </w:p>
    <w:p>
      <w:pPr>
        <w:rPr>
          <w:rFonts w:hint="eastAsia"/>
          <w:color w:val="auto"/>
          <w:highlight w:val="none"/>
        </w:rPr>
      </w:pPr>
      <w:r>
        <w:rPr>
          <w:rFonts w:hint="eastAsia"/>
          <w:color w:val="auto"/>
          <w:highlight w:val="none"/>
        </w:rPr>
        <w:t>5、</w:t>
      </w:r>
      <w:r>
        <w:rPr>
          <w:rFonts w:hint="eastAsia"/>
          <w:lang w:val="en-US" w:eastAsia="zh-CN"/>
        </w:rPr>
        <w:t>投标人承诺能按照招标人的要求对印刷内容进行保密</w:t>
      </w:r>
      <w:r>
        <w:rPr>
          <w:rFonts w:hint="eastAsia"/>
          <w:color w:val="auto"/>
          <w:highlight w:val="none"/>
        </w:rPr>
        <w:t>。</w:t>
      </w:r>
    </w:p>
    <w:p>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6</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13</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pPr>
        <w:rPr>
          <w:rFonts w:hint="eastAsia" w:ascii="宋体" w:hAnsi="宋体" w:eastAsia="宋体" w:cs="宋体"/>
          <w:color w:val="auto"/>
          <w:highlight w:val="none"/>
        </w:rPr>
      </w:pPr>
      <w:bookmarkStart w:id="10" w:name="_Toc28359082"/>
      <w:bookmarkStart w:id="11" w:name="_Toc28359005"/>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84"/>
      <w:bookmarkStart w:id="15"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color w:val="auto"/>
          <w:highlight w:val="none"/>
          <w:lang w:eastAsia="zh-CN"/>
        </w:rPr>
        <w:t>高</w:t>
      </w:r>
      <w:r>
        <w:rPr>
          <w:rFonts w:hint="eastAsia" w:ascii="宋体" w:hAnsi="宋体" w:eastAsia="宋体" w:cs="宋体"/>
          <w:color w:val="auto"/>
          <w:highlight w:val="none"/>
        </w:rPr>
        <w:t>女士</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7915"/>
      <w:bookmarkStart w:id="20" w:name="_Toc26518_WPSOffice_Level1"/>
      <w:r>
        <w:rPr>
          <w:rStyle w:val="37"/>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Block"/>
            <w:bookmarkEnd w:id="22"/>
            <w:bookmarkStart w:id="23" w:name="sys_招标项目基本内容及要求其他：Block"/>
            <w:bookmarkEnd w:id="23"/>
            <w:bookmarkStart w:id="24" w:name="招标项目基本内容及要求：Block"/>
            <w:bookmarkEnd w:id="24"/>
            <w:bookmarkStart w:id="25" w:name="招标项目基本内容及要求其他：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w:t>
            </w:r>
            <w:r>
              <w:rPr>
                <w:rFonts w:hint="eastAsia" w:ascii="宋体" w:hAnsi="宋体" w:cs="宋体"/>
                <w:highlight w:val="none"/>
                <w:lang w:eastAsia="zh-CN"/>
              </w:rPr>
              <w:t>高</w:t>
            </w:r>
            <w:r>
              <w:rPr>
                <w:rFonts w:hint="eastAsia" w:ascii="宋体" w:hAnsi="宋体" w:eastAsia="宋体" w:cs="宋体"/>
                <w:highlight w:val="none"/>
              </w:rPr>
              <w:t>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335.20万元/年</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工</w:t>
            </w:r>
            <w:r>
              <w:rPr>
                <w:rFonts w:hint="eastAsia" w:ascii="宋体" w:hAnsi="宋体" w:eastAsia="宋体" w:cs="宋体"/>
                <w:color w:val="auto"/>
                <w:kern w:val="0"/>
                <w:highlight w:val="none"/>
                <w:lang w:val="en-US" w:eastAsia="zh-CN"/>
              </w:rPr>
              <w:t>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70000元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cs="宋体"/>
                <w:color w:val="auto"/>
                <w:highlight w:val="none"/>
                <w:lang w:val="en-US" w:eastAsia="zh-CN"/>
              </w:rPr>
              <w:t>乘以三年</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4"/>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188_WPSOffice_Level2"/>
      <w:bookmarkStart w:id="34" w:name="_Toc4961_WPSOffice_Level2"/>
      <w:bookmarkStart w:id="35" w:name="_Toc25935_WPSOffice_Level2"/>
      <w:bookmarkStart w:id="36" w:name="_Toc24604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31424_WPSOffice_Level2"/>
      <w:bookmarkStart w:id="38" w:name="_Toc2443_WPSOffice_Level2"/>
      <w:bookmarkStart w:id="39" w:name="_Toc32235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24836_WPSOffice_Level2"/>
      <w:bookmarkStart w:id="42" w:name="_Toc16269_WPSOffice_Level2"/>
      <w:bookmarkStart w:id="43" w:name="_Toc7005_WPSOffice_Level2"/>
      <w:bookmarkStart w:id="44" w:name="_Toc441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23459_WPSOffice_Level2"/>
      <w:bookmarkStart w:id="46" w:name="_Toc16294_WPSOffice_Level2"/>
      <w:bookmarkStart w:id="47" w:name="_Toc25382_WPSOffice_Level2"/>
      <w:bookmarkStart w:id="48" w:name="_Toc16119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28106_WPSOffice_Level2"/>
      <w:bookmarkStart w:id="50" w:name="_Toc9629_WPSOffice_Level2"/>
      <w:bookmarkStart w:id="51" w:name="_Toc16368_WPSOffice_Level2"/>
      <w:bookmarkStart w:id="52" w:name="_Toc17794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22507_WPSOffice_Level2"/>
      <w:bookmarkStart w:id="55" w:name="_Toc31973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3"/>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3"/>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3"/>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78902192"/>
      <w:bookmarkStart w:id="62" w:name="_Toc29813"/>
      <w:bookmarkStart w:id="63" w:name="_Toc17725_WPSOffice_Level1"/>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1538_WPSOffice_Level2"/>
      <w:bookmarkStart w:id="67" w:name="_Toc2481_WPSOffice_Level2"/>
      <w:r>
        <w:rPr>
          <w:rFonts w:hint="eastAsia" w:ascii="宋体" w:hAnsi="宋体" w:eastAsia="宋体" w:cs="宋体"/>
          <w:color w:val="auto"/>
          <w:highlight w:val="none"/>
        </w:rPr>
        <w:t>一、投标文件、电子文档的外封面、封口、封皮及目录</w:t>
      </w:r>
      <w:bookmarkEnd w:id="66"/>
      <w:bookmarkEnd w:id="67"/>
    </w:p>
    <w:tbl>
      <w:tblPr>
        <w:tblStyle w:val="27"/>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31052_WPSOffice_Level2"/>
      <w:bookmarkStart w:id="69" w:name="_Toc1266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7"/>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sys_资格性证明材料：Document"/>
            <w:bookmarkStart w:id="71" w:name="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7"/>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7"/>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2"/>
              <w:ind w:firstLine="420"/>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2"/>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2"/>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2"/>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122_WPSOffice_Level2"/>
      <w:bookmarkStart w:id="85" w:name="_Toc21833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6"/>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6"/>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6"/>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6"/>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6"/>
        <w:ind w:firstLine="420" w:firstLineChars="200"/>
        <w:rPr>
          <w:rFonts w:hint="eastAsia" w:ascii="宋体" w:hAnsi="宋体" w:eastAsia="宋体" w:cs="宋体"/>
          <w:color w:val="auto"/>
          <w:highlight w:val="none"/>
        </w:rPr>
      </w:pP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6"/>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2"/>
        <w:ind w:firstLine="560"/>
        <w:rPr>
          <w:rFonts w:hint="eastAsia" w:ascii="宋体" w:hAnsi="宋体" w:eastAsia="宋体" w:cs="宋体"/>
          <w:color w:val="auto"/>
          <w:sz w:val="28"/>
          <w:szCs w:val="28"/>
          <w:highlight w:val="none"/>
        </w:rPr>
      </w:pPr>
    </w:p>
    <w:p>
      <w:pPr>
        <w:pStyle w:val="16"/>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6"/>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6"/>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14782_WPSOffice_Level2"/>
      <w:bookmarkStart w:id="99" w:name="_Toc24841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eastAsia="宋体" w:cs="宋体"/>
          <w:color w:val="auto"/>
          <w:highlight w:val="none"/>
          <w:u w:val="single"/>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2"/>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2673_WPSOffice_Level2"/>
      <w:bookmarkStart w:id="101" w:name="_Toc11267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sz w:val="21"/>
                <w:szCs w:val="21"/>
                <w:highlight w:val="none"/>
                <w:lang w:val="en-US" w:eastAsia="zh-CN"/>
              </w:rPr>
              <w:t>自</w:t>
            </w:r>
            <w:r>
              <w:rPr>
                <w:rFonts w:hint="eastAsia" w:ascii="宋体" w:hAnsi="宋体" w:eastAsia="宋体" w:cs="宋体"/>
                <w:color w:val="auto"/>
                <w:sz w:val="21"/>
                <w:szCs w:val="21"/>
                <w:lang w:val="en-US" w:eastAsia="zh-CN"/>
              </w:rPr>
              <w:t>合同生效之日起一年内，按照《财政部关于推进和完善服务项目政府采购有关问题的通知》（财库〔2014〕37号）文件要求，采购结果最多3年沿用，合同一年一考核一续签。是否续签，由甲方视财政预算安排及乙方供应商资质条件（是否符合《政府采购法》第二十二条规定等）、服务质量、服务内容、服务满意度等绩效考核情况确定。急件任务一个工作日交货，普通任务五个工作日交货。</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2"/>
        <w:ind w:firstLine="420"/>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2"/>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2"/>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2"/>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pPr>
    </w:p>
    <w:p>
      <w:pPr>
        <w:pStyle w:val="2"/>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2"/>
        <w:ind w:firstLine="480"/>
        <w:rPr>
          <w:rFonts w:hint="eastAsia" w:ascii="宋体" w:hAnsi="宋体" w:eastAsia="宋体" w:cs="宋体"/>
          <w:color w:val="auto"/>
          <w:sz w:val="24"/>
          <w:szCs w:val="24"/>
          <w:highlight w:val="none"/>
        </w:rPr>
      </w:pPr>
    </w:p>
    <w:p>
      <w:pPr>
        <w:pStyle w:val="2"/>
        <w:ind w:firstLine="480"/>
        <w:rPr>
          <w:rFonts w:hint="eastAsia" w:ascii="宋体" w:hAnsi="宋体" w:eastAsia="宋体" w:cs="宋体"/>
          <w:color w:val="auto"/>
          <w:sz w:val="24"/>
          <w:szCs w:val="24"/>
          <w:highlight w:val="none"/>
        </w:rPr>
      </w:pPr>
    </w:p>
    <w:p>
      <w:pPr>
        <w:pStyle w:val="2"/>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78902193"/>
      <w:bookmarkStart w:id="110" w:name="_Toc18902"/>
      <w:r>
        <w:rPr>
          <w:rStyle w:val="37"/>
          <w:rFonts w:hint="eastAsia" w:ascii="宋体" w:hAnsi="宋体" w:eastAsia="宋体" w:cs="宋体"/>
          <w:color w:val="auto"/>
          <w:highlight w:val="none"/>
        </w:rPr>
        <w:t>第三章 服务需求</w:t>
      </w:r>
      <w:bookmarkEnd w:id="108"/>
      <w:bookmarkEnd w:id="109"/>
      <w:bookmarkEnd w:id="110"/>
    </w:p>
    <w:p>
      <w:pPr>
        <w:spacing w:line="360" w:lineRule="auto"/>
        <w:ind w:firstLine="480" w:firstLineChars="200"/>
        <w:rPr>
          <w:rFonts w:hint="eastAsia" w:asciiTheme="minorEastAsia" w:hAnsiTheme="minorEastAsia" w:eastAsiaTheme="minorEastAsia" w:cstheme="minorEastAsia"/>
          <w:sz w:val="24"/>
          <w:szCs w:val="24"/>
        </w:rPr>
      </w:pPr>
      <w:bookmarkStart w:id="111" w:name="_Toc78902194"/>
      <w:bookmarkStart w:id="112" w:name="_Toc2821_WPSOffice_Level1"/>
      <w:r>
        <w:rPr>
          <w:rFonts w:hint="eastAsia" w:asciiTheme="minorEastAsia" w:hAnsiTheme="minorEastAsia" w:eastAsiaTheme="minorEastAsia" w:cstheme="minorEastAsia"/>
          <w:sz w:val="24"/>
          <w:szCs w:val="24"/>
        </w:rPr>
        <w:t>一、项目概况</w:t>
      </w:r>
    </w:p>
    <w:p>
      <w:pPr>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本采购项目为国家税务总局黑龙江省税务局</w:t>
      </w:r>
      <w:r>
        <w:rPr>
          <w:rFonts w:hint="eastAsia" w:asciiTheme="minorEastAsia" w:hAnsiTheme="minorEastAsia" w:eastAsiaTheme="minorEastAsia" w:cstheme="minorEastAsia"/>
          <w:sz w:val="24"/>
          <w:szCs w:val="24"/>
          <w:lang w:eastAsia="zh-CN"/>
        </w:rPr>
        <w:t>内部文件及</w:t>
      </w:r>
      <w:r>
        <w:rPr>
          <w:rFonts w:hint="eastAsia" w:asciiTheme="minorEastAsia" w:hAnsiTheme="minorEastAsia" w:eastAsiaTheme="minorEastAsia" w:cstheme="minorEastAsia"/>
          <w:sz w:val="24"/>
          <w:szCs w:val="24"/>
        </w:rPr>
        <w:t>资料印制</w:t>
      </w:r>
      <w:r>
        <w:rPr>
          <w:rFonts w:hint="eastAsia" w:asciiTheme="minorEastAsia" w:hAnsiTheme="minorEastAsia" w:eastAsiaTheme="minorEastAsia" w:cstheme="minorEastAsia"/>
          <w:sz w:val="24"/>
          <w:szCs w:val="24"/>
          <w:lang w:eastAsia="zh-CN"/>
        </w:rPr>
        <w:t>服务</w:t>
      </w:r>
      <w:r>
        <w:rPr>
          <w:rFonts w:hint="eastAsia" w:asciiTheme="minorEastAsia" w:hAnsiTheme="minorEastAsia" w:eastAsiaTheme="minorEastAsia" w:cstheme="minorEastAsia"/>
          <w:sz w:val="24"/>
          <w:szCs w:val="24"/>
        </w:rPr>
        <w:t>。通过本次招标，确定一家印刷企业作为国家税务总局黑龙江省税务局机关（202</w:t>
      </w:r>
      <w:r>
        <w:rPr>
          <w:rFonts w:hint="eastAsia" w:asciiTheme="minorEastAsia" w:hAnsiTheme="minorEastAsia" w:eastAsiaTheme="minorEastAsia" w:cstheme="minorEastAsia"/>
          <w:sz w:val="24"/>
          <w:szCs w:val="24"/>
          <w:lang w:val="en-US" w:eastAsia="zh-CN"/>
        </w:rPr>
        <w:t>4-2026</w:t>
      </w:r>
      <w:r>
        <w:rPr>
          <w:rFonts w:hint="eastAsia" w:asciiTheme="minorEastAsia" w:hAnsiTheme="minorEastAsia" w:eastAsiaTheme="minorEastAsia" w:cstheme="minorEastAsia"/>
          <w:sz w:val="24"/>
          <w:szCs w:val="24"/>
        </w:rPr>
        <w:t>年度）</w:t>
      </w:r>
      <w:r>
        <w:rPr>
          <w:rFonts w:hint="eastAsia" w:asciiTheme="minorEastAsia" w:hAnsiTheme="minorEastAsia" w:eastAsiaTheme="minorEastAsia" w:cstheme="minorEastAsia"/>
          <w:sz w:val="24"/>
          <w:szCs w:val="24"/>
          <w:lang w:eastAsia="zh-CN"/>
        </w:rPr>
        <w:t>内部文件及</w:t>
      </w:r>
      <w:r>
        <w:rPr>
          <w:rFonts w:hint="eastAsia" w:asciiTheme="minorEastAsia" w:hAnsiTheme="minorEastAsia" w:eastAsiaTheme="minorEastAsia" w:cstheme="minorEastAsia"/>
          <w:sz w:val="24"/>
          <w:szCs w:val="24"/>
        </w:rPr>
        <w:t>资料印制服务单位。本次招标的印制参考数量为一年的预估数量，实际印制数量和内容根据工作需要每年可能会有调整，投标人应充分评估印制数量变化可能产生的风险。中标供应商每年的具体印量以国家税务总局黑龙江省税务局实际发生的印制数量为准，按照合同价格进行结算。</w:t>
      </w:r>
    </w:p>
    <w:p>
      <w:pPr>
        <w:autoSpaceDE w:val="0"/>
        <w:autoSpaceDN w:val="0"/>
        <w:adjustRightInd w:val="0"/>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中标服务商需提供完整、严密的《保密服务承诺》</w:t>
      </w:r>
      <w:r>
        <w:rPr>
          <w:rFonts w:hint="eastAsia" w:asciiTheme="minorEastAsia" w:hAnsiTheme="minorEastAsia" w:eastAsiaTheme="minorEastAsia" w:cstheme="minorEastAsia"/>
          <w:sz w:val="24"/>
          <w:szCs w:val="24"/>
          <w:lang w:eastAsia="zh-CN"/>
        </w:rPr>
        <w:t>。</w:t>
      </w:r>
    </w:p>
    <w:p>
      <w:pPr>
        <w:autoSpaceDE w:val="0"/>
        <w:autoSpaceDN w:val="0"/>
        <w:adjustRightIn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二、采购需求一览表</w:t>
      </w:r>
    </w:p>
    <w:tbl>
      <w:tblPr>
        <w:tblStyle w:val="27"/>
        <w:tblW w:w="83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6"/>
        <w:gridCol w:w="1509"/>
        <w:gridCol w:w="1532"/>
        <w:gridCol w:w="702"/>
        <w:gridCol w:w="2619"/>
        <w:gridCol w:w="14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09" w:type="dxa"/>
            <w:noWrap w:val="0"/>
            <w:vAlign w:val="center"/>
          </w:tcPr>
          <w:p>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名        称</w:t>
            </w:r>
          </w:p>
        </w:tc>
        <w:tc>
          <w:tcPr>
            <w:tcW w:w="1532" w:type="dxa"/>
            <w:noWrap w:val="0"/>
            <w:vAlign w:val="center"/>
          </w:tcPr>
          <w:p>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数  量</w:t>
            </w:r>
          </w:p>
        </w:tc>
        <w:tc>
          <w:tcPr>
            <w:tcW w:w="702" w:type="dxa"/>
            <w:noWrap w:val="0"/>
            <w:vAlign w:val="center"/>
          </w:tcPr>
          <w:p>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规格</w:t>
            </w:r>
          </w:p>
        </w:tc>
        <w:tc>
          <w:tcPr>
            <w:tcW w:w="2619" w:type="dxa"/>
            <w:noWrap w:val="0"/>
            <w:vAlign w:val="center"/>
          </w:tcPr>
          <w:p>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纸张、墨色</w:t>
            </w:r>
          </w:p>
        </w:tc>
        <w:tc>
          <w:tcPr>
            <w:tcW w:w="1432" w:type="dxa"/>
            <w:noWrap w:val="0"/>
            <w:vAlign w:val="center"/>
          </w:tcPr>
          <w:p>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1</w:t>
            </w:r>
          </w:p>
        </w:tc>
        <w:tc>
          <w:tcPr>
            <w:tcW w:w="1509" w:type="dxa"/>
            <w:noWrap w:val="0"/>
            <w:vAlign w:val="center"/>
          </w:tcPr>
          <w:p>
            <w:pPr>
              <w:widowControl/>
              <w:jc w:val="center"/>
              <w:rPr>
                <w:rFonts w:hint="eastAsia" w:asciiTheme="minorEastAsia" w:hAnsiTheme="minorEastAsia" w:eastAsiaTheme="minorEastAsia" w:cstheme="minorEastAsia"/>
                <w:color w:val="000000"/>
                <w:kern w:val="0"/>
                <w:sz w:val="24"/>
                <w:szCs w:val="24"/>
                <w:lang w:val="en-US" w:eastAsia="zh-CN" w:bidi="ar-SA"/>
              </w:rPr>
            </w:pPr>
            <w:r>
              <w:rPr>
                <w:rFonts w:hint="eastAsia" w:asciiTheme="minorEastAsia" w:hAnsiTheme="minorEastAsia" w:eastAsiaTheme="minorEastAsia" w:cstheme="minorEastAsia"/>
                <w:color w:val="000000"/>
                <w:sz w:val="24"/>
                <w:szCs w:val="24"/>
              </w:rPr>
              <w:t>会议材料</w:t>
            </w:r>
          </w:p>
        </w:tc>
        <w:tc>
          <w:tcPr>
            <w:tcW w:w="15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约</w:t>
            </w:r>
            <w:r>
              <w:rPr>
                <w:rFonts w:hint="eastAsia" w:asciiTheme="minorEastAsia" w:hAnsiTheme="minorEastAsia" w:eastAsiaTheme="minorEastAsia" w:cstheme="minorEastAsia"/>
                <w:color w:val="000000"/>
                <w:sz w:val="24"/>
                <w:szCs w:val="24"/>
                <w:lang w:val="en-US" w:eastAsia="zh-CN"/>
              </w:rPr>
              <w:t>3</w:t>
            </w:r>
            <w:r>
              <w:rPr>
                <w:rFonts w:hint="eastAsia" w:asciiTheme="minorEastAsia" w:hAnsiTheme="minorEastAsia" w:eastAsiaTheme="minorEastAsia" w:cstheme="minorEastAsia"/>
                <w:color w:val="000000"/>
                <w:sz w:val="24"/>
                <w:szCs w:val="24"/>
              </w:rPr>
              <w:t>000册（分批印制）</w:t>
            </w:r>
          </w:p>
        </w:tc>
        <w:tc>
          <w:tcPr>
            <w:tcW w:w="70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A4</w:t>
            </w:r>
          </w:p>
        </w:tc>
        <w:tc>
          <w:tcPr>
            <w:tcW w:w="261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250克铜版80克双胶、彩色+黑白</w:t>
            </w:r>
          </w:p>
        </w:tc>
        <w:tc>
          <w:tcPr>
            <w:tcW w:w="14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约</w:t>
            </w:r>
            <w:r>
              <w:rPr>
                <w:rFonts w:hint="eastAsia" w:asciiTheme="minorEastAsia" w:hAnsiTheme="minorEastAsia" w:eastAsiaTheme="minorEastAsia" w:cstheme="minorEastAsia"/>
                <w:color w:val="000000"/>
                <w:sz w:val="24"/>
                <w:szCs w:val="24"/>
                <w:lang w:val="en-US" w:eastAsia="zh-CN"/>
              </w:rPr>
              <w:t>3</w:t>
            </w:r>
            <w:r>
              <w:rPr>
                <w:rFonts w:hint="eastAsia" w:asciiTheme="minorEastAsia" w:hAnsiTheme="minorEastAsia" w:eastAsiaTheme="minorEastAsia" w:cstheme="minorEastAsia"/>
                <w:color w:val="000000"/>
                <w:sz w:val="24"/>
                <w:szCs w:val="24"/>
              </w:rPr>
              <w:t>0页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2</w:t>
            </w:r>
          </w:p>
        </w:tc>
        <w:tc>
          <w:tcPr>
            <w:tcW w:w="150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红头文件纸</w:t>
            </w:r>
          </w:p>
        </w:tc>
        <w:tc>
          <w:tcPr>
            <w:tcW w:w="15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约</w:t>
            </w:r>
            <w:r>
              <w:rPr>
                <w:rFonts w:hint="eastAsia" w:asciiTheme="minorEastAsia" w:hAnsiTheme="minorEastAsia" w:eastAsiaTheme="minorEastAsia" w:cstheme="minorEastAsia"/>
                <w:color w:val="000000"/>
                <w:sz w:val="24"/>
                <w:szCs w:val="24"/>
                <w:lang w:val="en-US" w:eastAsia="zh-CN"/>
              </w:rPr>
              <w:t>2</w:t>
            </w:r>
            <w:r>
              <w:rPr>
                <w:rFonts w:hint="eastAsia" w:asciiTheme="minorEastAsia" w:hAnsiTheme="minorEastAsia" w:eastAsiaTheme="minorEastAsia" w:cstheme="minorEastAsia"/>
                <w:color w:val="000000"/>
                <w:sz w:val="24"/>
                <w:szCs w:val="24"/>
              </w:rPr>
              <w:t>0000张</w:t>
            </w:r>
          </w:p>
        </w:tc>
        <w:tc>
          <w:tcPr>
            <w:tcW w:w="70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A4</w:t>
            </w:r>
          </w:p>
        </w:tc>
        <w:tc>
          <w:tcPr>
            <w:tcW w:w="261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80克双胶纸、红头</w:t>
            </w:r>
          </w:p>
        </w:tc>
        <w:tc>
          <w:tcPr>
            <w:tcW w:w="14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1页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3</w:t>
            </w:r>
          </w:p>
        </w:tc>
        <w:tc>
          <w:tcPr>
            <w:tcW w:w="150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会议简报</w:t>
            </w:r>
          </w:p>
        </w:tc>
        <w:tc>
          <w:tcPr>
            <w:tcW w:w="15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约</w:t>
            </w:r>
            <w:r>
              <w:rPr>
                <w:rFonts w:hint="eastAsia" w:asciiTheme="minorEastAsia" w:hAnsiTheme="minorEastAsia" w:eastAsiaTheme="minorEastAsia" w:cstheme="minorEastAsia"/>
                <w:color w:val="000000"/>
                <w:sz w:val="24"/>
                <w:szCs w:val="24"/>
                <w:lang w:val="en-US" w:eastAsia="zh-CN"/>
              </w:rPr>
              <w:t>3</w:t>
            </w:r>
            <w:r>
              <w:rPr>
                <w:rFonts w:hint="eastAsia" w:asciiTheme="minorEastAsia" w:hAnsiTheme="minorEastAsia" w:eastAsiaTheme="minorEastAsia" w:cstheme="minorEastAsia"/>
                <w:color w:val="000000"/>
                <w:sz w:val="24"/>
                <w:szCs w:val="24"/>
              </w:rPr>
              <w:t>000册（分批印制）</w:t>
            </w:r>
          </w:p>
        </w:tc>
        <w:tc>
          <w:tcPr>
            <w:tcW w:w="70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A4</w:t>
            </w:r>
          </w:p>
        </w:tc>
        <w:tc>
          <w:tcPr>
            <w:tcW w:w="261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200克铜版80克双胶、彩色+黑白</w:t>
            </w:r>
          </w:p>
        </w:tc>
        <w:tc>
          <w:tcPr>
            <w:tcW w:w="14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约20页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4</w:t>
            </w:r>
          </w:p>
        </w:tc>
        <w:tc>
          <w:tcPr>
            <w:tcW w:w="1509" w:type="dxa"/>
            <w:noWrap w:val="0"/>
            <w:vAlign w:val="center"/>
          </w:tcPr>
          <w:p>
            <w:pPr>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文件袋</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信封等</w:t>
            </w:r>
          </w:p>
        </w:tc>
        <w:tc>
          <w:tcPr>
            <w:tcW w:w="15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约</w:t>
            </w:r>
            <w:r>
              <w:rPr>
                <w:rFonts w:hint="eastAsia" w:asciiTheme="minorEastAsia" w:hAnsiTheme="minorEastAsia" w:eastAsiaTheme="minorEastAsia" w:cstheme="minorEastAsia"/>
                <w:color w:val="000000"/>
                <w:sz w:val="24"/>
                <w:szCs w:val="24"/>
                <w:lang w:val="en-US" w:eastAsia="zh-CN"/>
              </w:rPr>
              <w:t>32</w:t>
            </w:r>
            <w:r>
              <w:rPr>
                <w:rFonts w:hint="eastAsia" w:asciiTheme="minorEastAsia" w:hAnsiTheme="minorEastAsia" w:eastAsiaTheme="minorEastAsia" w:cstheme="minorEastAsia"/>
                <w:color w:val="000000"/>
                <w:sz w:val="24"/>
                <w:szCs w:val="24"/>
              </w:rPr>
              <w:t>000个（分批印制）</w:t>
            </w:r>
          </w:p>
        </w:tc>
        <w:tc>
          <w:tcPr>
            <w:tcW w:w="70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A4+</w:t>
            </w:r>
          </w:p>
        </w:tc>
        <w:tc>
          <w:tcPr>
            <w:tcW w:w="261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120克牛皮纸、红+黑</w:t>
            </w:r>
          </w:p>
        </w:tc>
        <w:tc>
          <w:tcPr>
            <w:tcW w:w="14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5</w:t>
            </w:r>
          </w:p>
        </w:tc>
        <w:tc>
          <w:tcPr>
            <w:tcW w:w="1509"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档案装订盒</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笔记本等</w:t>
            </w:r>
          </w:p>
        </w:tc>
        <w:tc>
          <w:tcPr>
            <w:tcW w:w="1532"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rPr>
              <w:t>000个</w:t>
            </w:r>
            <w:r>
              <w:rPr>
                <w:rFonts w:hint="eastAsia" w:asciiTheme="minorEastAsia" w:hAnsiTheme="minorEastAsia" w:eastAsiaTheme="minorEastAsia" w:cstheme="minorEastAsia"/>
                <w:color w:val="auto"/>
                <w:sz w:val="24"/>
                <w:szCs w:val="24"/>
              </w:rPr>
              <w:br w:type="textWrapping"/>
            </w:r>
            <w:r>
              <w:rPr>
                <w:rFonts w:hint="eastAsia" w:asciiTheme="minorEastAsia" w:hAnsiTheme="minorEastAsia" w:eastAsiaTheme="minorEastAsia" w:cstheme="minorEastAsia"/>
                <w:color w:val="auto"/>
                <w:sz w:val="24"/>
                <w:szCs w:val="24"/>
              </w:rPr>
              <w:t>印制10次</w:t>
            </w:r>
          </w:p>
        </w:tc>
        <w:tc>
          <w:tcPr>
            <w:tcW w:w="702"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700克无酸纸、红+黑</w:t>
            </w:r>
          </w:p>
        </w:tc>
        <w:tc>
          <w:tcPr>
            <w:tcW w:w="1432"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6</w:t>
            </w:r>
          </w:p>
        </w:tc>
        <w:tc>
          <w:tcPr>
            <w:tcW w:w="1509"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税收宣传单（宣传册）</w:t>
            </w:r>
          </w:p>
        </w:tc>
        <w:tc>
          <w:tcPr>
            <w:tcW w:w="1532"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404230</w:t>
            </w:r>
            <w:r>
              <w:rPr>
                <w:rFonts w:hint="eastAsia" w:asciiTheme="minorEastAsia" w:hAnsiTheme="minorEastAsia" w:eastAsiaTheme="minorEastAsia" w:cstheme="minorEastAsia"/>
                <w:color w:val="auto"/>
                <w:sz w:val="24"/>
                <w:szCs w:val="24"/>
              </w:rPr>
              <w:t>份</w:t>
            </w:r>
          </w:p>
        </w:tc>
        <w:tc>
          <w:tcPr>
            <w:tcW w:w="702"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157克铜版纸、彩色</w:t>
            </w:r>
          </w:p>
        </w:tc>
        <w:tc>
          <w:tcPr>
            <w:tcW w:w="1432" w:type="dxa"/>
            <w:noWrap w:val="0"/>
            <w:vAlign w:val="center"/>
          </w:tcPr>
          <w:p>
            <w:pPr>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rPr>
              <w:t>2</w:t>
            </w:r>
            <w:r>
              <w:rPr>
                <w:rFonts w:hint="eastAsia" w:asciiTheme="minorEastAsia" w:hAnsiTheme="minorEastAsia" w:eastAsiaTheme="minorEastAsia" w:cstheme="minorEastAsia"/>
                <w:color w:val="auto"/>
                <w:sz w:val="24"/>
                <w:szCs w:val="24"/>
                <w:lang w:val="en-US" w:eastAsia="zh-CN"/>
              </w:rPr>
              <w:t>-4</w:t>
            </w:r>
            <w:r>
              <w:rPr>
                <w:rFonts w:hint="eastAsia" w:asciiTheme="minorEastAsia" w:hAnsiTheme="minorEastAsia" w:eastAsiaTheme="minorEastAsia" w:cstheme="minorEastAsia"/>
                <w:color w:val="auto"/>
                <w:sz w:val="24"/>
                <w:szCs w:val="24"/>
              </w:rPr>
              <w:t>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7</w:t>
            </w:r>
          </w:p>
        </w:tc>
        <w:tc>
          <w:tcPr>
            <w:tcW w:w="1509" w:type="dxa"/>
            <w:noWrap w:val="0"/>
            <w:vAlign w:val="center"/>
          </w:tcPr>
          <w:p>
            <w:pPr>
              <w:widowControl/>
              <w:jc w:val="center"/>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sz w:val="24"/>
                <w:szCs w:val="24"/>
              </w:rPr>
              <w:t>会议文件</w:t>
            </w:r>
          </w:p>
        </w:tc>
        <w:tc>
          <w:tcPr>
            <w:tcW w:w="15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rPr>
              <w:t>000册</w:t>
            </w:r>
          </w:p>
        </w:tc>
        <w:tc>
          <w:tcPr>
            <w:tcW w:w="70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80克双胶纸、红头+黑白</w:t>
            </w:r>
          </w:p>
        </w:tc>
        <w:tc>
          <w:tcPr>
            <w:tcW w:w="14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约80页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8</w:t>
            </w:r>
          </w:p>
        </w:tc>
        <w:tc>
          <w:tcPr>
            <w:tcW w:w="150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税收政策汇编（内部资料）</w:t>
            </w:r>
          </w:p>
        </w:tc>
        <w:tc>
          <w:tcPr>
            <w:tcW w:w="15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2339</w:t>
            </w:r>
            <w:r>
              <w:rPr>
                <w:rFonts w:hint="eastAsia" w:asciiTheme="minorEastAsia" w:hAnsiTheme="minorEastAsia" w:eastAsiaTheme="minorEastAsia" w:cstheme="minorEastAsia"/>
                <w:color w:val="auto"/>
                <w:sz w:val="24"/>
                <w:szCs w:val="24"/>
              </w:rPr>
              <w:t>0册</w:t>
            </w:r>
          </w:p>
        </w:tc>
        <w:tc>
          <w:tcPr>
            <w:tcW w:w="70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250克铜版80克双胶、彩色+黑白</w:t>
            </w:r>
          </w:p>
        </w:tc>
        <w:tc>
          <w:tcPr>
            <w:tcW w:w="14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约330页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9</w:t>
            </w:r>
          </w:p>
        </w:tc>
        <w:tc>
          <w:tcPr>
            <w:tcW w:w="150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税收收入月报</w:t>
            </w:r>
          </w:p>
        </w:tc>
        <w:tc>
          <w:tcPr>
            <w:tcW w:w="15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72</w:t>
            </w:r>
            <w:r>
              <w:rPr>
                <w:rFonts w:hint="eastAsia" w:asciiTheme="minorEastAsia" w:hAnsiTheme="minorEastAsia" w:eastAsiaTheme="minorEastAsia" w:cstheme="minorEastAsia"/>
                <w:color w:val="auto"/>
                <w:sz w:val="24"/>
                <w:szCs w:val="24"/>
              </w:rPr>
              <w:t>00册</w:t>
            </w:r>
          </w:p>
        </w:tc>
        <w:tc>
          <w:tcPr>
            <w:tcW w:w="70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157克铜版纸、彩 黑</w:t>
            </w:r>
          </w:p>
        </w:tc>
        <w:tc>
          <w:tcPr>
            <w:tcW w:w="14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约28页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w:t>
            </w:r>
          </w:p>
        </w:tc>
        <w:tc>
          <w:tcPr>
            <w:tcW w:w="150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税务检查证</w:t>
            </w:r>
          </w:p>
        </w:tc>
        <w:tc>
          <w:tcPr>
            <w:tcW w:w="15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约</w:t>
            </w:r>
            <w:r>
              <w:rPr>
                <w:rFonts w:hint="eastAsia" w:asciiTheme="minorEastAsia" w:hAnsiTheme="minorEastAsia" w:eastAsiaTheme="minorEastAsia" w:cstheme="minorEastAsia"/>
                <w:color w:val="auto"/>
                <w:sz w:val="24"/>
                <w:szCs w:val="24"/>
              </w:rPr>
              <w:t>3000本</w:t>
            </w:r>
          </w:p>
        </w:tc>
        <w:tc>
          <w:tcPr>
            <w:tcW w:w="70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64开</w:t>
            </w:r>
          </w:p>
        </w:tc>
        <w:tc>
          <w:tcPr>
            <w:tcW w:w="261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皮革，IC卡</w:t>
            </w:r>
          </w:p>
        </w:tc>
        <w:tc>
          <w:tcPr>
            <w:tcW w:w="1432" w:type="dxa"/>
            <w:noWrap w:val="0"/>
            <w:vAlign w:val="center"/>
          </w:tcPr>
          <w:p>
            <w:pPr>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4"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w:t>
            </w:r>
          </w:p>
        </w:tc>
        <w:tc>
          <w:tcPr>
            <w:tcW w:w="150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培训资料</w:t>
            </w:r>
          </w:p>
        </w:tc>
        <w:tc>
          <w:tcPr>
            <w:tcW w:w="15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6</w:t>
            </w:r>
            <w:r>
              <w:rPr>
                <w:rFonts w:hint="eastAsia" w:asciiTheme="minorEastAsia" w:hAnsiTheme="minorEastAsia" w:eastAsiaTheme="minorEastAsia" w:cstheme="minorEastAsia"/>
                <w:color w:val="auto"/>
                <w:sz w:val="24"/>
                <w:szCs w:val="24"/>
              </w:rPr>
              <w:t>000册</w:t>
            </w:r>
          </w:p>
        </w:tc>
        <w:tc>
          <w:tcPr>
            <w:tcW w:w="70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250克铜版80克双胶、彩色+黑白</w:t>
            </w:r>
          </w:p>
        </w:tc>
        <w:tc>
          <w:tcPr>
            <w:tcW w:w="14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约120页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150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俄罗斯税讯</w:t>
            </w:r>
          </w:p>
        </w:tc>
        <w:tc>
          <w:tcPr>
            <w:tcW w:w="15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w:t>
            </w:r>
            <w:r>
              <w:rPr>
                <w:rFonts w:hint="eastAsia" w:asciiTheme="minorEastAsia" w:hAnsiTheme="minorEastAsia" w:eastAsia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rPr>
              <w:t>000册</w:t>
            </w:r>
          </w:p>
        </w:tc>
        <w:tc>
          <w:tcPr>
            <w:tcW w:w="70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A4</w:t>
            </w:r>
          </w:p>
        </w:tc>
        <w:tc>
          <w:tcPr>
            <w:tcW w:w="2619"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80克双胶纸、黑白</w:t>
            </w:r>
          </w:p>
        </w:tc>
        <w:tc>
          <w:tcPr>
            <w:tcW w:w="1432" w:type="dxa"/>
            <w:noWrap w:val="0"/>
            <w:vAlign w:val="center"/>
          </w:tcPr>
          <w:p>
            <w:pPr>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约40页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trPr>
        <w:tc>
          <w:tcPr>
            <w:tcW w:w="576" w:type="dxa"/>
            <w:noWrap w:val="0"/>
            <w:vAlign w:val="center"/>
          </w:tcPr>
          <w:p>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w:t>
            </w:r>
          </w:p>
        </w:tc>
        <w:tc>
          <w:tcPr>
            <w:tcW w:w="1509" w:type="dxa"/>
            <w:noWrap w:val="0"/>
            <w:vAlign w:val="center"/>
          </w:tcPr>
          <w:p>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党务工作资料</w:t>
            </w:r>
          </w:p>
        </w:tc>
        <w:tc>
          <w:tcPr>
            <w:tcW w:w="1532" w:type="dxa"/>
            <w:noWrap w:val="0"/>
            <w:vAlign w:val="center"/>
          </w:tcPr>
          <w:p>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约20000册</w:t>
            </w:r>
          </w:p>
        </w:tc>
        <w:tc>
          <w:tcPr>
            <w:tcW w:w="702" w:type="dxa"/>
            <w:noWrap w:val="0"/>
            <w:vAlign w:val="center"/>
          </w:tcPr>
          <w:p>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A4</w:t>
            </w:r>
          </w:p>
        </w:tc>
        <w:tc>
          <w:tcPr>
            <w:tcW w:w="2619" w:type="dxa"/>
            <w:noWrap w:val="0"/>
            <w:vAlign w:val="center"/>
          </w:tcPr>
          <w:p>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250克铜版80克双胶、彩色+黑白</w:t>
            </w:r>
          </w:p>
        </w:tc>
        <w:tc>
          <w:tcPr>
            <w:tcW w:w="1432" w:type="dxa"/>
            <w:noWrap w:val="0"/>
            <w:vAlign w:val="center"/>
          </w:tcPr>
          <w:p>
            <w:pPr>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约</w:t>
            </w:r>
            <w:r>
              <w:rPr>
                <w:rFonts w:hint="eastAsia" w:asciiTheme="minorEastAsia" w:hAnsiTheme="minorEastAsia" w:eastAsiaTheme="minorEastAsia" w:cstheme="minorEastAsia"/>
                <w:color w:val="000000"/>
                <w:sz w:val="24"/>
                <w:szCs w:val="24"/>
                <w:lang w:val="en-US" w:eastAsia="zh-CN"/>
              </w:rPr>
              <w:t>80</w:t>
            </w:r>
            <w:r>
              <w:rPr>
                <w:rFonts w:hint="eastAsia" w:asciiTheme="minorEastAsia" w:hAnsiTheme="minorEastAsia" w:eastAsiaTheme="minorEastAsia" w:cstheme="minorEastAsia"/>
                <w:color w:val="000000"/>
                <w:sz w:val="24"/>
                <w:szCs w:val="24"/>
              </w:rPr>
              <w:t>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trPr>
        <w:tc>
          <w:tcPr>
            <w:tcW w:w="576" w:type="dxa"/>
            <w:noWrap w:val="0"/>
            <w:vAlign w:val="center"/>
          </w:tcPr>
          <w:p>
            <w:pPr>
              <w:spacing w:line="360" w:lineRule="auto"/>
              <w:jc w:val="center"/>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lang w:val="en-US" w:eastAsia="zh-CN"/>
              </w:rPr>
              <w:t>14</w:t>
            </w:r>
          </w:p>
        </w:tc>
        <w:tc>
          <w:tcPr>
            <w:tcW w:w="150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lang w:val="en-US" w:eastAsia="zh-CN"/>
              </w:rPr>
              <w:t>其他资料印制</w:t>
            </w:r>
          </w:p>
        </w:tc>
        <w:tc>
          <w:tcPr>
            <w:tcW w:w="15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lang w:val="en-US" w:eastAsia="zh-CN"/>
              </w:rPr>
              <w:t>约10000份</w:t>
            </w:r>
          </w:p>
        </w:tc>
        <w:tc>
          <w:tcPr>
            <w:tcW w:w="70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A4</w:t>
            </w:r>
          </w:p>
        </w:tc>
        <w:tc>
          <w:tcPr>
            <w:tcW w:w="2619"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sz w:val="24"/>
                <w:szCs w:val="24"/>
              </w:rPr>
              <w:t>80克双胶纸</w:t>
            </w:r>
          </w:p>
        </w:tc>
        <w:tc>
          <w:tcPr>
            <w:tcW w:w="1432" w:type="dxa"/>
            <w:noWrap w:val="0"/>
            <w:vAlign w:val="center"/>
          </w:tcPr>
          <w:p>
            <w:pPr>
              <w:jc w:val="center"/>
              <w:rPr>
                <w:rFonts w:hint="eastAsia" w:asciiTheme="minorEastAsia" w:hAnsiTheme="minorEastAsia" w:eastAsiaTheme="minorEastAsia" w:cstheme="minorEastAsia"/>
                <w:color w:val="000000"/>
                <w:kern w:val="2"/>
                <w:sz w:val="24"/>
                <w:szCs w:val="24"/>
                <w:lang w:val="en-US" w:eastAsia="zh-CN" w:bidi="ar-SA"/>
              </w:rPr>
            </w:pPr>
          </w:p>
        </w:tc>
      </w:tr>
    </w:tbl>
    <w:p>
      <w:pPr>
        <w:autoSpaceDE w:val="0"/>
        <w:autoSpaceDN w:val="0"/>
        <w:adjustRightIn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注：1、供应商的报价应包括：人员费用、纸张费用、材料费用、制作费用、配送费用、企业利润及税金等，供应商所报价格为完成全部任务的最终价格。</w:t>
      </w:r>
    </w:p>
    <w:p>
      <w:pPr>
        <w:autoSpaceDE w:val="0"/>
        <w:autoSpaceDN w:val="0"/>
        <w:adjustRightInd w:val="0"/>
        <w:spacing w:line="360" w:lineRule="auto"/>
        <w:ind w:firstLine="960" w:firstLineChars="4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2、验收及相关费用由供应商负责。</w:t>
      </w:r>
    </w:p>
    <w:p>
      <w:pPr>
        <w:autoSpaceDE w:val="0"/>
        <w:autoSpaceDN w:val="0"/>
        <w:adjustRightInd w:val="0"/>
        <w:spacing w:line="360" w:lineRule="auto"/>
        <w:ind w:firstLine="960" w:firstLineChars="400"/>
        <w:rPr>
          <w:rFonts w:hint="eastAsia"/>
          <w:lang w:val="en-US" w:eastAsia="zh-CN"/>
        </w:rPr>
      </w:pPr>
      <w:r>
        <w:rPr>
          <w:rFonts w:hint="eastAsia" w:asciiTheme="minorEastAsia" w:hAnsiTheme="minorEastAsia" w:eastAsiaTheme="minorEastAsia" w:cstheme="minorEastAsia"/>
          <w:sz w:val="24"/>
          <w:szCs w:val="24"/>
        </w:rPr>
        <w:t>3、要求封装、上门送货。</w:t>
      </w:r>
    </w:p>
    <w:p>
      <w:pPr>
        <w:snapToGrid w:val="0"/>
        <w:spacing w:line="360" w:lineRule="auto"/>
        <w:rPr>
          <w:kern w:val="0"/>
          <w:sz w:val="24"/>
        </w:rPr>
      </w:pPr>
      <w:r>
        <w:rPr>
          <w:rFonts w:hint="eastAsia" w:hAnsi="宋体"/>
          <w:kern w:val="0"/>
          <w:sz w:val="24"/>
        </w:rPr>
        <w:t>三</w:t>
      </w:r>
      <w:r>
        <w:rPr>
          <w:rFonts w:hAnsi="宋体"/>
          <w:kern w:val="0"/>
          <w:sz w:val="24"/>
        </w:rPr>
        <w:t>、</w:t>
      </w:r>
      <w:r>
        <w:rPr>
          <w:rFonts w:hint="eastAsia" w:hAnsi="宋体"/>
          <w:kern w:val="0"/>
          <w:sz w:val="24"/>
        </w:rPr>
        <w:t>其他</w:t>
      </w:r>
      <w:r>
        <w:rPr>
          <w:rFonts w:hAnsi="宋体"/>
          <w:kern w:val="0"/>
          <w:sz w:val="24"/>
        </w:rPr>
        <w:t>要求</w:t>
      </w:r>
    </w:p>
    <w:p>
      <w:pPr>
        <w:autoSpaceDE w:val="0"/>
        <w:autoSpaceDN w:val="0"/>
        <w:adjustRightInd w:val="0"/>
        <w:spacing w:line="360" w:lineRule="auto"/>
        <w:ind w:firstLine="480" w:firstLineChars="200"/>
        <w:rPr>
          <w:rFonts w:hAnsi="宋体"/>
          <w:sz w:val="24"/>
        </w:rPr>
      </w:pPr>
      <w:r>
        <w:rPr>
          <w:sz w:val="24"/>
        </w:rPr>
        <w:t>1</w:t>
      </w:r>
      <w:r>
        <w:rPr>
          <w:rFonts w:hint="eastAsia"/>
          <w:sz w:val="24"/>
        </w:rPr>
        <w:t>、</w:t>
      </w:r>
      <w:r>
        <w:rPr>
          <w:rFonts w:hAnsi="宋体"/>
          <w:sz w:val="24"/>
        </w:rPr>
        <w:t>投标人须提供投入本项目相关技术人员名单</w:t>
      </w:r>
      <w:r>
        <w:rPr>
          <w:rFonts w:hint="eastAsia" w:hAnsi="宋体"/>
          <w:sz w:val="24"/>
        </w:rPr>
        <w:t>（技术</w:t>
      </w:r>
      <w:r>
        <w:rPr>
          <w:rFonts w:hAnsi="宋体"/>
          <w:sz w:val="24"/>
        </w:rPr>
        <w:t>等级或</w:t>
      </w:r>
      <w:r>
        <w:rPr>
          <w:rFonts w:hint="eastAsia" w:hAnsi="宋体"/>
          <w:sz w:val="24"/>
        </w:rPr>
        <w:t>从业</w:t>
      </w:r>
      <w:r>
        <w:rPr>
          <w:rFonts w:hAnsi="宋体"/>
          <w:sz w:val="24"/>
        </w:rPr>
        <w:t>经历等</w:t>
      </w:r>
      <w:r>
        <w:rPr>
          <w:rFonts w:hint="eastAsia" w:hAnsi="宋体"/>
          <w:sz w:val="24"/>
        </w:rPr>
        <w:t>）</w:t>
      </w:r>
      <w:r>
        <w:rPr>
          <w:rFonts w:hAnsi="宋体"/>
          <w:sz w:val="24"/>
        </w:rPr>
        <w:t>。</w:t>
      </w:r>
    </w:p>
    <w:p>
      <w:pPr>
        <w:autoSpaceDE w:val="0"/>
        <w:autoSpaceDN w:val="0"/>
        <w:adjustRightInd w:val="0"/>
        <w:spacing w:line="360" w:lineRule="auto"/>
        <w:ind w:firstLine="480" w:firstLineChars="200"/>
        <w:rPr>
          <w:rFonts w:hint="eastAsia" w:hAnsi="宋体"/>
          <w:sz w:val="24"/>
        </w:rPr>
      </w:pPr>
      <w:r>
        <w:rPr>
          <w:rFonts w:hint="eastAsia" w:hAnsi="宋体"/>
          <w:sz w:val="24"/>
        </w:rPr>
        <w:t>2、</w:t>
      </w:r>
      <w:r>
        <w:rPr>
          <w:rFonts w:hAnsi="宋体"/>
          <w:sz w:val="24"/>
        </w:rPr>
        <w:t>投标人须提供投入本项目相关设备情况</w:t>
      </w:r>
      <w:r>
        <w:rPr>
          <w:rFonts w:hint="eastAsia" w:hAnsi="宋体"/>
          <w:sz w:val="24"/>
        </w:rPr>
        <w:t>。</w:t>
      </w:r>
    </w:p>
    <w:p>
      <w:pPr>
        <w:pStyle w:val="2"/>
        <w:rPr>
          <w:rFonts w:hint="eastAsia" w:eastAsia="宋体"/>
          <w:lang w:val="en-US" w:eastAsia="zh-CN"/>
        </w:rPr>
      </w:pPr>
      <w:r>
        <w:rPr>
          <w:rFonts w:hint="eastAsia" w:hAnsi="宋体"/>
          <w:sz w:val="24"/>
          <w:lang w:val="en-US" w:eastAsia="zh-CN"/>
        </w:rPr>
        <w:t>3、投标人要有科学规范的工艺流程，保证印制质量，确保满足采购人需求。</w:t>
      </w:r>
    </w:p>
    <w:p>
      <w:pPr>
        <w:autoSpaceDE w:val="0"/>
        <w:autoSpaceDN w:val="0"/>
        <w:adjustRightInd w:val="0"/>
        <w:spacing w:line="360" w:lineRule="auto"/>
        <w:ind w:firstLine="480" w:firstLineChars="200"/>
        <w:rPr>
          <w:sz w:val="24"/>
        </w:rPr>
      </w:pPr>
      <w:r>
        <w:rPr>
          <w:rFonts w:hint="eastAsia"/>
          <w:sz w:val="24"/>
          <w:lang w:val="en-US" w:eastAsia="zh-CN"/>
        </w:rPr>
        <w:t>4</w:t>
      </w:r>
      <w:r>
        <w:rPr>
          <w:rFonts w:hint="eastAsia"/>
          <w:sz w:val="24"/>
        </w:rPr>
        <w:t>、</w:t>
      </w:r>
      <w:r>
        <w:rPr>
          <w:rFonts w:hAnsi="宋体"/>
          <w:sz w:val="24"/>
        </w:rPr>
        <w:t>服务、交货要求</w:t>
      </w:r>
      <w:r>
        <w:rPr>
          <w:rFonts w:hint="eastAsia" w:hAnsi="宋体"/>
          <w:sz w:val="24"/>
        </w:rPr>
        <w:t>：</w:t>
      </w:r>
    </w:p>
    <w:p>
      <w:pPr>
        <w:autoSpaceDE w:val="0"/>
        <w:autoSpaceDN w:val="0"/>
        <w:adjustRightInd w:val="0"/>
        <w:spacing w:line="360" w:lineRule="auto"/>
        <w:ind w:firstLine="480" w:firstLineChars="200"/>
        <w:rPr>
          <w:sz w:val="24"/>
        </w:rPr>
      </w:pPr>
      <w:r>
        <w:rPr>
          <w:rFonts w:hAnsi="宋体"/>
          <w:sz w:val="24"/>
        </w:rPr>
        <w:t>（</w:t>
      </w:r>
      <w:r>
        <w:rPr>
          <w:sz w:val="24"/>
        </w:rPr>
        <w:t>1</w:t>
      </w:r>
      <w:r>
        <w:rPr>
          <w:rFonts w:hAnsi="宋体"/>
          <w:sz w:val="24"/>
        </w:rPr>
        <w:t>）服务期：</w:t>
      </w:r>
      <w:r>
        <w:rPr>
          <w:rFonts w:hint="eastAsia" w:ascii="宋体" w:hAnsi="宋体" w:cs="宋体"/>
          <w:sz w:val="24"/>
        </w:rPr>
        <w:t>根据《关于推进和完善服务项目政府采购有关问题的通知》（财库[2014]37号）文件要求：“采购需求具有相对固定性、延续性且价格变化幅度小的服务项目，在年度预算能保障的前提下，采购人可以签订不超过三年履行期限的政府采购合同”。本项目为政府采购服务类项目，按照要求，自合同签字起生效，服务期限为一年。一年服务期满，采购人可根据服务质量和预算情况，决定是否续签两年服务合同（一年一签），项目标的不变。</w:t>
      </w:r>
    </w:p>
    <w:p>
      <w:pPr>
        <w:autoSpaceDE w:val="0"/>
        <w:autoSpaceDN w:val="0"/>
        <w:adjustRightInd w:val="0"/>
        <w:spacing w:line="360" w:lineRule="auto"/>
        <w:ind w:firstLine="480" w:firstLineChars="200"/>
        <w:rPr>
          <w:sz w:val="24"/>
        </w:rPr>
      </w:pPr>
      <w:r>
        <w:rPr>
          <w:rFonts w:hAnsi="宋体"/>
          <w:sz w:val="24"/>
        </w:rPr>
        <w:t>（</w:t>
      </w:r>
      <w:r>
        <w:rPr>
          <w:sz w:val="24"/>
        </w:rPr>
        <w:t>2</w:t>
      </w:r>
      <w:r>
        <w:rPr>
          <w:rFonts w:hAnsi="宋体"/>
          <w:sz w:val="24"/>
        </w:rPr>
        <w:t>）服务期内提供</w:t>
      </w:r>
      <w:r>
        <w:rPr>
          <w:sz w:val="24"/>
        </w:rPr>
        <w:t>7*24</w:t>
      </w:r>
      <w:r>
        <w:rPr>
          <w:rFonts w:hAnsi="宋体"/>
          <w:sz w:val="24"/>
        </w:rPr>
        <w:t>小时服务响应</w:t>
      </w:r>
    </w:p>
    <w:p>
      <w:pPr>
        <w:autoSpaceDE w:val="0"/>
        <w:autoSpaceDN w:val="0"/>
        <w:adjustRightInd w:val="0"/>
        <w:spacing w:line="360" w:lineRule="auto"/>
        <w:ind w:firstLine="480" w:firstLineChars="200"/>
        <w:rPr>
          <w:rFonts w:hAnsi="宋体"/>
          <w:sz w:val="24"/>
        </w:rPr>
      </w:pPr>
      <w:r>
        <w:rPr>
          <w:rFonts w:hAnsi="宋体"/>
          <w:sz w:val="24"/>
        </w:rPr>
        <w:t>（</w:t>
      </w:r>
      <w:r>
        <w:rPr>
          <w:sz w:val="24"/>
        </w:rPr>
        <w:t>3</w:t>
      </w:r>
      <w:r>
        <w:rPr>
          <w:rFonts w:hAnsi="宋体"/>
          <w:sz w:val="24"/>
        </w:rPr>
        <w:t>）交货地点：采购人指定地点</w:t>
      </w:r>
    </w:p>
    <w:p>
      <w:pPr>
        <w:pStyle w:val="2"/>
        <w:rPr>
          <w:rFonts w:hint="eastAsia" w:hAnsi="宋体"/>
          <w:sz w:val="24"/>
          <w:lang w:val="en-US" w:eastAsia="zh-CN"/>
        </w:rPr>
      </w:pPr>
      <w:r>
        <w:rPr>
          <w:rFonts w:hint="eastAsia" w:hAnsi="宋体"/>
          <w:sz w:val="24"/>
          <w:lang w:val="en-US" w:eastAsia="zh-CN"/>
        </w:rPr>
        <w:t>5、安全保密要求</w:t>
      </w:r>
    </w:p>
    <w:p>
      <w:pPr>
        <w:pStyle w:val="2"/>
        <w:rPr>
          <w:rFonts w:hint="eastAsia" w:eastAsia="宋体"/>
          <w:lang w:val="en-US" w:eastAsia="zh-CN"/>
        </w:rPr>
      </w:pPr>
      <w:r>
        <w:rPr>
          <w:rFonts w:hint="eastAsia" w:hAnsi="宋体"/>
          <w:sz w:val="24"/>
          <w:lang w:val="en-US" w:eastAsia="zh-CN"/>
        </w:rPr>
        <w:t>供应商应对服务内容及与本项目有关的技术资料及相关信息保密。</w:t>
      </w:r>
    </w:p>
    <w:p>
      <w:pPr>
        <w:spacing w:line="360" w:lineRule="auto"/>
        <w:ind w:firstLine="480" w:firstLineChars="200"/>
        <w:rPr>
          <w:sz w:val="24"/>
        </w:rPr>
      </w:pPr>
      <w:r>
        <w:rPr>
          <w:rFonts w:hint="eastAsia"/>
          <w:sz w:val="24"/>
          <w:lang w:val="en-US" w:eastAsia="zh-CN"/>
        </w:rPr>
        <w:t>6</w:t>
      </w:r>
      <w:r>
        <w:rPr>
          <w:rFonts w:hint="eastAsia"/>
          <w:sz w:val="24"/>
        </w:rPr>
        <w:t>、</w:t>
      </w:r>
      <w:r>
        <w:rPr>
          <w:rFonts w:hAnsi="宋体"/>
          <w:sz w:val="24"/>
        </w:rPr>
        <w:t>验收要求</w:t>
      </w:r>
    </w:p>
    <w:p>
      <w:pPr>
        <w:spacing w:line="360" w:lineRule="auto"/>
        <w:ind w:firstLine="480" w:firstLineChars="200"/>
        <w:rPr>
          <w:sz w:val="24"/>
        </w:rPr>
      </w:pPr>
      <w:r>
        <w:rPr>
          <w:rFonts w:hAnsi="宋体"/>
          <w:sz w:val="24"/>
        </w:rPr>
        <w:t>本项目参照国家相关</w:t>
      </w:r>
      <w:r>
        <w:rPr>
          <w:rFonts w:hint="eastAsia" w:hAnsi="宋体"/>
          <w:sz w:val="24"/>
        </w:rPr>
        <w:t>质量</w:t>
      </w:r>
      <w:r>
        <w:rPr>
          <w:rFonts w:hAnsi="宋体"/>
          <w:sz w:val="24"/>
        </w:rPr>
        <w:t>标准组织验收。</w:t>
      </w:r>
    </w:p>
    <w:p>
      <w:pPr>
        <w:pStyle w:val="23"/>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13" w:name="_Toc17739"/>
      <w:r>
        <w:rPr>
          <w:rStyle w:val="37"/>
          <w:rFonts w:hint="eastAsia" w:ascii="宋体" w:hAnsi="宋体" w:eastAsia="宋体" w:cs="宋体"/>
          <w:color w:val="auto"/>
          <w:highlight w:val="none"/>
        </w:rPr>
        <w:t>第四章 评标方法</w:t>
      </w:r>
      <w:bookmarkEnd w:id="111"/>
      <w:bookmarkEnd w:id="112"/>
      <w:bookmarkEnd w:id="113"/>
    </w:p>
    <w:p>
      <w:pPr>
        <w:adjustRightInd w:val="0"/>
        <w:snapToGrid w:val="0"/>
        <w:ind w:firstLine="422" w:firstLineChars="200"/>
        <w:rPr>
          <w:rFonts w:hint="eastAsia" w:ascii="宋体" w:hAnsi="宋体" w:eastAsia="宋体" w:cs="宋体"/>
          <w:b/>
          <w:color w:val="auto"/>
          <w:kern w:val="0"/>
          <w:highlight w:val="none"/>
        </w:rPr>
      </w:pPr>
      <w:bookmarkStart w:id="114" w:name="_Toc22313_WPSOffice_Level2"/>
      <w:r>
        <w:rPr>
          <w:rFonts w:hint="eastAsia" w:ascii="宋体" w:hAnsi="宋体" w:eastAsia="宋体" w:cs="宋体"/>
          <w:b/>
          <w:color w:val="auto"/>
          <w:kern w:val="0"/>
          <w:highlight w:val="none"/>
        </w:rPr>
        <w:t>一、评标方法</w:t>
      </w:r>
      <w:bookmarkEnd w:id="114"/>
    </w:p>
    <w:p>
      <w:pPr>
        <w:adjustRightInd w:val="0"/>
        <w:snapToGrid w:val="0"/>
        <w:ind w:firstLine="420" w:firstLineChars="200"/>
        <w:textAlignment w:val="baseline"/>
        <w:rPr>
          <w:rFonts w:hint="eastAsia" w:ascii="宋体" w:hAnsi="宋体" w:eastAsia="宋体" w:cs="宋体"/>
          <w:color w:val="auto"/>
          <w:highlight w:val="none"/>
        </w:rPr>
      </w:pPr>
      <w:bookmarkStart w:id="115"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5"/>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16"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6"/>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7"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7"/>
    </w:p>
    <w:tbl>
      <w:tblPr>
        <w:tblStyle w:val="27"/>
        <w:tblW w:w="8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7"/>
        <w:gridCol w:w="3697"/>
        <w:gridCol w:w="1990"/>
        <w:gridCol w:w="704"/>
        <w:gridCol w:w="898"/>
        <w:gridCol w:w="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9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9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34"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7" w:type="dxa"/>
            <w:vMerge w:val="continue"/>
            <w:vAlign w:val="center"/>
          </w:tcPr>
          <w:p>
            <w:pPr>
              <w:spacing w:line="300" w:lineRule="exact"/>
              <w:rPr>
                <w:rFonts w:hint="eastAsia" w:ascii="宋体" w:hAnsi="宋体" w:eastAsia="宋体" w:cs="宋体"/>
                <w:color w:val="auto"/>
                <w:highlight w:val="none"/>
              </w:rPr>
            </w:pPr>
          </w:p>
        </w:tc>
        <w:tc>
          <w:tcPr>
            <w:tcW w:w="3697" w:type="dxa"/>
            <w:vMerge w:val="continue"/>
            <w:vAlign w:val="center"/>
          </w:tcPr>
          <w:p>
            <w:pPr>
              <w:spacing w:line="300" w:lineRule="exact"/>
              <w:rPr>
                <w:rFonts w:hint="eastAsia" w:ascii="宋体" w:hAnsi="宋体" w:eastAsia="宋体" w:cs="宋体"/>
                <w:color w:val="auto"/>
                <w:highlight w:val="none"/>
              </w:rPr>
            </w:pPr>
          </w:p>
        </w:tc>
        <w:tc>
          <w:tcPr>
            <w:tcW w:w="1990" w:type="dxa"/>
            <w:vMerge w:val="continue"/>
            <w:vAlign w:val="center"/>
          </w:tcPr>
          <w:p>
            <w:pPr>
              <w:spacing w:line="300" w:lineRule="exact"/>
              <w:rPr>
                <w:rFonts w:hint="eastAsia" w:ascii="宋体" w:hAnsi="宋体" w:eastAsia="宋体" w:cs="宋体"/>
                <w:color w:val="auto"/>
                <w:highlight w:val="none"/>
              </w:rPr>
            </w:pPr>
          </w:p>
        </w:tc>
        <w:tc>
          <w:tcPr>
            <w:tcW w:w="704" w:type="dxa"/>
            <w:vAlign w:val="center"/>
          </w:tcPr>
          <w:p>
            <w:pPr>
              <w:spacing w:line="300" w:lineRule="exact"/>
              <w:rPr>
                <w:rFonts w:hint="eastAsia" w:ascii="宋体" w:hAnsi="宋体" w:eastAsia="宋体" w:cs="宋体"/>
                <w:color w:val="auto"/>
                <w:highlight w:val="none"/>
              </w:rPr>
            </w:pPr>
          </w:p>
        </w:tc>
        <w:tc>
          <w:tcPr>
            <w:tcW w:w="898" w:type="dxa"/>
            <w:vAlign w:val="center"/>
          </w:tcPr>
          <w:p>
            <w:pPr>
              <w:spacing w:line="300" w:lineRule="exact"/>
              <w:rPr>
                <w:rFonts w:hint="eastAsia" w:ascii="宋体" w:hAnsi="宋体" w:eastAsia="宋体" w:cs="宋体"/>
                <w:color w:val="auto"/>
                <w:highlight w:val="none"/>
              </w:rPr>
            </w:pPr>
          </w:p>
        </w:tc>
        <w:tc>
          <w:tcPr>
            <w:tcW w:w="832"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vAlign w:val="center"/>
          </w:tcPr>
          <w:p>
            <w:pPr>
              <w:spacing w:line="300" w:lineRule="exact"/>
              <w:rPr>
                <w:rFonts w:hint="eastAsia" w:ascii="宋体" w:hAnsi="宋体" w:eastAsia="宋体" w:cs="宋体"/>
                <w:color w:val="auto"/>
                <w:highlight w:val="none"/>
              </w:rPr>
            </w:pPr>
          </w:p>
        </w:tc>
        <w:tc>
          <w:tcPr>
            <w:tcW w:w="898" w:type="dxa"/>
            <w:vAlign w:val="center"/>
          </w:tcPr>
          <w:p>
            <w:pPr>
              <w:spacing w:line="300" w:lineRule="exact"/>
              <w:rPr>
                <w:rFonts w:hint="eastAsia" w:ascii="宋体" w:hAnsi="宋体" w:eastAsia="宋体" w:cs="宋体"/>
                <w:color w:val="auto"/>
                <w:highlight w:val="none"/>
              </w:rPr>
            </w:pPr>
          </w:p>
        </w:tc>
        <w:tc>
          <w:tcPr>
            <w:tcW w:w="832"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94"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8"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18"/>
    </w:p>
    <w:tbl>
      <w:tblPr>
        <w:tblStyle w:val="27"/>
        <w:tblW w:w="8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289"/>
        <w:gridCol w:w="2793"/>
        <w:gridCol w:w="1008"/>
        <w:gridCol w:w="982"/>
        <w:gridCol w:w="9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43"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89"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93"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903"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43" w:type="dxa"/>
            <w:vMerge w:val="continue"/>
            <w:vAlign w:val="center"/>
          </w:tcPr>
          <w:p>
            <w:pPr>
              <w:spacing w:line="300" w:lineRule="exact"/>
              <w:jc w:val="center"/>
              <w:rPr>
                <w:rFonts w:hint="eastAsia" w:ascii="宋体" w:hAnsi="宋体" w:eastAsia="宋体" w:cs="宋体"/>
                <w:color w:val="auto"/>
                <w:highlight w:val="none"/>
              </w:rPr>
            </w:pPr>
          </w:p>
        </w:tc>
        <w:tc>
          <w:tcPr>
            <w:tcW w:w="2289" w:type="dxa"/>
            <w:vMerge w:val="continue"/>
            <w:vAlign w:val="center"/>
          </w:tcPr>
          <w:p>
            <w:pPr>
              <w:spacing w:line="300" w:lineRule="exact"/>
              <w:rPr>
                <w:rFonts w:hint="eastAsia" w:ascii="宋体" w:hAnsi="宋体" w:eastAsia="宋体" w:cs="宋体"/>
                <w:color w:val="auto"/>
                <w:highlight w:val="none"/>
              </w:rPr>
            </w:pPr>
          </w:p>
        </w:tc>
        <w:tc>
          <w:tcPr>
            <w:tcW w:w="2793" w:type="dxa"/>
            <w:vMerge w:val="continue"/>
            <w:vAlign w:val="center"/>
          </w:tcPr>
          <w:p>
            <w:pPr>
              <w:spacing w:line="300" w:lineRule="exact"/>
              <w:rPr>
                <w:rFonts w:hint="eastAsia" w:ascii="宋体" w:hAnsi="宋体" w:eastAsia="宋体" w:cs="宋体"/>
                <w:color w:val="auto"/>
                <w:highlight w:val="none"/>
              </w:rPr>
            </w:pPr>
          </w:p>
        </w:tc>
        <w:tc>
          <w:tcPr>
            <w:tcW w:w="1008"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725"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19"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19"/>
    </w:p>
    <w:tbl>
      <w:tblPr>
        <w:tblStyle w:val="27"/>
        <w:tblW w:w="967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1056"/>
        <w:gridCol w:w="992"/>
        <w:gridCol w:w="992"/>
        <w:gridCol w:w="5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5" w:hRule="atLeast"/>
          <w:jc w:val="center"/>
        </w:trPr>
        <w:tc>
          <w:tcPr>
            <w:tcW w:w="691"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序号</w:t>
            </w:r>
          </w:p>
        </w:tc>
        <w:tc>
          <w:tcPr>
            <w:tcW w:w="1056" w:type="dxa"/>
            <w:noWrap w:val="0"/>
            <w:vAlign w:val="center"/>
          </w:tcPr>
          <w:p>
            <w:pPr>
              <w:pStyle w:val="53"/>
              <w:adjustRightInd w:val="0"/>
              <w:jc w:val="center"/>
              <w:rPr>
                <w:rFonts w:hint="eastAsia" w:ascii="宋体" w:hAnsi="宋体" w:eastAsia="宋体" w:cs="宋体"/>
                <w:spacing w:val="-10"/>
                <w:sz w:val="21"/>
                <w:szCs w:val="21"/>
              </w:rPr>
            </w:pPr>
            <w:r>
              <w:rPr>
                <w:rFonts w:hint="eastAsia" w:ascii="宋体" w:hAnsi="宋体" w:eastAsia="宋体" w:cs="宋体"/>
                <w:sz w:val="21"/>
                <w:szCs w:val="21"/>
              </w:rPr>
              <w:t>评审项目</w:t>
            </w:r>
          </w:p>
        </w:tc>
        <w:tc>
          <w:tcPr>
            <w:tcW w:w="992" w:type="dxa"/>
            <w:noWrap w:val="0"/>
            <w:vAlign w:val="center"/>
          </w:tcPr>
          <w:p>
            <w:pPr>
              <w:pStyle w:val="53"/>
              <w:adjustRightInd w:val="0"/>
              <w:jc w:val="center"/>
              <w:rPr>
                <w:rFonts w:hint="eastAsia" w:ascii="宋体" w:hAnsi="宋体" w:eastAsia="宋体" w:cs="宋体"/>
                <w:spacing w:val="-10"/>
                <w:sz w:val="21"/>
                <w:szCs w:val="21"/>
              </w:rPr>
            </w:pPr>
            <w:r>
              <w:rPr>
                <w:rFonts w:hint="eastAsia" w:ascii="宋体" w:hAnsi="宋体" w:eastAsia="宋体" w:cs="宋体"/>
                <w:sz w:val="21"/>
                <w:szCs w:val="21"/>
              </w:rPr>
              <w:t>分项</w:t>
            </w:r>
          </w:p>
        </w:tc>
        <w:tc>
          <w:tcPr>
            <w:tcW w:w="992" w:type="dxa"/>
            <w:noWrap w:val="0"/>
            <w:vAlign w:val="center"/>
          </w:tcPr>
          <w:p>
            <w:pPr>
              <w:pStyle w:val="53"/>
              <w:adjustRightInd w:val="0"/>
              <w:jc w:val="center"/>
              <w:rPr>
                <w:rFonts w:hint="eastAsia" w:ascii="宋体" w:hAnsi="宋体" w:eastAsia="宋体" w:cs="宋体"/>
                <w:spacing w:val="-10"/>
                <w:sz w:val="21"/>
                <w:szCs w:val="21"/>
              </w:rPr>
            </w:pPr>
            <w:r>
              <w:rPr>
                <w:rFonts w:hint="eastAsia" w:ascii="宋体" w:hAnsi="宋体" w:eastAsia="宋体" w:cs="宋体"/>
                <w:sz w:val="21"/>
                <w:szCs w:val="21"/>
              </w:rPr>
              <w:t>分值</w:t>
            </w:r>
          </w:p>
        </w:tc>
        <w:tc>
          <w:tcPr>
            <w:tcW w:w="5940"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5" w:hRule="atLeast"/>
          <w:jc w:val="center"/>
        </w:trPr>
        <w:tc>
          <w:tcPr>
            <w:tcW w:w="691"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1</w:t>
            </w:r>
          </w:p>
        </w:tc>
        <w:tc>
          <w:tcPr>
            <w:tcW w:w="1056"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cs="宋体"/>
                <w:spacing w:val="-10"/>
                <w:sz w:val="21"/>
                <w:szCs w:val="21"/>
                <w:lang w:val="en-US" w:eastAsia="zh-CN"/>
              </w:rPr>
              <w:t>投标</w:t>
            </w:r>
            <w:r>
              <w:rPr>
                <w:rFonts w:hint="eastAsia" w:ascii="宋体" w:hAnsi="宋体" w:eastAsia="宋体" w:cs="宋体"/>
                <w:spacing w:val="-10"/>
                <w:sz w:val="21"/>
                <w:szCs w:val="21"/>
              </w:rPr>
              <w:t>报价（</w:t>
            </w:r>
            <w:r>
              <w:rPr>
                <w:rFonts w:hint="eastAsia" w:ascii="宋体" w:hAnsi="宋体" w:cs="宋体"/>
                <w:spacing w:val="-10"/>
                <w:sz w:val="21"/>
                <w:szCs w:val="21"/>
                <w:lang w:val="en-US" w:eastAsia="zh-CN"/>
              </w:rPr>
              <w:t>3</w:t>
            </w:r>
            <w:r>
              <w:rPr>
                <w:rFonts w:hint="eastAsia" w:ascii="宋体" w:hAnsi="宋体" w:eastAsia="宋体" w:cs="宋体"/>
                <w:spacing w:val="-10"/>
                <w:sz w:val="21"/>
                <w:szCs w:val="21"/>
                <w:lang w:val="en-US" w:eastAsia="zh-CN"/>
              </w:rPr>
              <w:t>0</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widowControl w:val="0"/>
              <w:kinsoku/>
              <w:wordWrap/>
              <w:overflowPunct/>
              <w:topLinePunct w:val="0"/>
              <w:bidi w:val="0"/>
              <w:spacing w:line="240" w:lineRule="auto"/>
              <w:ind w:firstLine="190" w:firstLineChars="100"/>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spacing w:val="-10"/>
                <w:sz w:val="21"/>
                <w:szCs w:val="21"/>
              </w:rPr>
              <w:t>报价</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cs="宋体"/>
                <w:spacing w:val="-10"/>
                <w:sz w:val="21"/>
                <w:szCs w:val="21"/>
                <w:lang w:val="en-US" w:eastAsia="zh-CN"/>
              </w:rPr>
              <w:t>3</w:t>
            </w:r>
            <w:r>
              <w:rPr>
                <w:rFonts w:hint="eastAsia" w:ascii="宋体" w:hAnsi="宋体" w:eastAsia="宋体" w:cs="宋体"/>
                <w:spacing w:val="-10"/>
                <w:sz w:val="21"/>
                <w:szCs w:val="21"/>
                <w:lang w:val="en-US" w:eastAsia="zh-CN"/>
              </w:rPr>
              <w:t>0</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采用低价优先法计算，即满足</w:t>
            </w:r>
            <w:r>
              <w:rPr>
                <w:rFonts w:hint="eastAsia" w:ascii="宋体" w:hAnsi="宋体" w:eastAsia="宋体" w:cs="宋体"/>
                <w:spacing w:val="-10"/>
                <w:sz w:val="21"/>
                <w:szCs w:val="21"/>
                <w:lang w:eastAsia="zh-CN"/>
              </w:rPr>
              <w:t>招标文件</w:t>
            </w:r>
            <w:r>
              <w:rPr>
                <w:rFonts w:hint="eastAsia" w:ascii="宋体" w:hAnsi="宋体" w:eastAsia="宋体" w:cs="宋体"/>
                <w:spacing w:val="-10"/>
                <w:sz w:val="21"/>
                <w:szCs w:val="21"/>
              </w:rPr>
              <w:t>要求且响应价格最低的报价为评标基准价，其价格分为满分，其他供应商的价格分统一按照下列公式计算：响应报价得分=（评标基准价/评标价）×价格权值×100</w:t>
            </w:r>
          </w:p>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注明：</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认为供应商的报价明显低于其他通过符合性审查供应商的报价，有可能影响产品质量或者不能诚信履约的，可要求其在评审现场合理的时间内提供书面说明，必要时提交相关证明材料；如不能证明其报价合理性的，</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60" w:hRule="atLeast"/>
          <w:jc w:val="center"/>
        </w:trPr>
        <w:tc>
          <w:tcPr>
            <w:tcW w:w="691"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cs="宋体"/>
                <w:spacing w:val="-10"/>
                <w:sz w:val="21"/>
                <w:szCs w:val="21"/>
                <w:lang w:val="en-US" w:eastAsia="zh-CN"/>
              </w:rPr>
              <w:t>2</w:t>
            </w:r>
          </w:p>
        </w:tc>
        <w:tc>
          <w:tcPr>
            <w:tcW w:w="1056"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sz w:val="21"/>
                <w:szCs w:val="21"/>
                <w:lang w:eastAsia="zh-CN"/>
              </w:rPr>
            </w:pPr>
            <w:r>
              <w:rPr>
                <w:rFonts w:hint="eastAsia"/>
                <w:sz w:val="21"/>
                <w:szCs w:val="21"/>
                <w:lang w:eastAsia="zh-CN"/>
              </w:rPr>
              <w:t>商务部分</w:t>
            </w:r>
          </w:p>
          <w:p>
            <w:pPr>
              <w:pStyle w:val="34"/>
              <w:rPr>
                <w:rFonts w:hint="eastAsia"/>
                <w:sz w:val="21"/>
                <w:szCs w:val="21"/>
                <w:lang w:eastAsia="zh-CN"/>
              </w:rPr>
            </w:pPr>
            <w:r>
              <w:rPr>
                <w:rFonts w:hint="eastAsia" w:ascii="宋体" w:hAnsi="宋体" w:cs="宋体"/>
                <w:spacing w:val="-10"/>
                <w:sz w:val="21"/>
                <w:szCs w:val="21"/>
                <w:lang w:eastAsia="zh-CN"/>
              </w:rPr>
              <w:t>（</w:t>
            </w:r>
            <w:r>
              <w:rPr>
                <w:rFonts w:hint="eastAsia" w:ascii="宋体" w:hAnsi="宋体" w:cs="宋体"/>
                <w:spacing w:val="-10"/>
                <w:sz w:val="21"/>
                <w:szCs w:val="21"/>
                <w:lang w:val="en-US" w:eastAsia="zh-CN"/>
              </w:rPr>
              <w:t>23分</w:t>
            </w:r>
            <w:r>
              <w:rPr>
                <w:rFonts w:hint="eastAsia" w:ascii="宋体" w:hAnsi="宋体" w:cs="宋体"/>
                <w:spacing w:val="-10"/>
                <w:sz w:val="21"/>
                <w:szCs w:val="21"/>
                <w:lang w:eastAsia="zh-CN"/>
              </w:rPr>
              <w:t>）</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color w:val="auto"/>
                <w:sz w:val="21"/>
                <w:szCs w:val="21"/>
              </w:rPr>
              <w:t>人员</w:t>
            </w:r>
            <w:r>
              <w:rPr>
                <w:rFonts w:hint="eastAsia" w:ascii="宋体" w:hAnsi="宋体" w:cs="宋体"/>
                <w:color w:val="auto"/>
                <w:sz w:val="21"/>
                <w:szCs w:val="21"/>
                <w:lang w:eastAsia="zh-CN"/>
              </w:rPr>
              <w:t>及设备</w:t>
            </w:r>
            <w:r>
              <w:rPr>
                <w:rFonts w:hint="eastAsia" w:ascii="宋体" w:hAnsi="宋体" w:eastAsia="宋体" w:cs="宋体"/>
                <w:color w:val="auto"/>
                <w:sz w:val="21"/>
                <w:szCs w:val="21"/>
              </w:rPr>
              <w:t>投入</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10</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lang w:val="en-US" w:eastAsia="zh-CN"/>
              </w:rPr>
            </w:pPr>
            <w:r>
              <w:rPr>
                <w:rFonts w:hint="eastAsia"/>
                <w:lang w:val="en-US" w:eastAsia="zh-CN"/>
              </w:rPr>
              <w:t>投</w:t>
            </w:r>
            <w:r>
              <w:rPr>
                <w:rFonts w:hint="eastAsia" w:ascii="宋体" w:hAnsi="宋体" w:eastAsia="宋体" w:cs="宋体"/>
                <w:spacing w:val="-10"/>
                <w:sz w:val="21"/>
                <w:szCs w:val="21"/>
                <w:lang w:val="en-US" w:eastAsia="zh-CN"/>
              </w:rPr>
              <w:t>标企业提供拟派本项目服务的人员名单，所提供的人员须具有专业的设计、印刷、装订的综合能力，以上人员提供印刷行业有关的技术等级证书的，每提供一个资格证书得1分，最高得5分。（以上人员提供社保和证书复印件加盖公章装订在投标文件中，否则不得分）</w:t>
            </w:r>
          </w:p>
          <w:p>
            <w:pPr>
              <w:keepNext w:val="0"/>
              <w:keepLines w:val="0"/>
              <w:pageBreakBefore w:val="0"/>
              <w:widowControl w:val="0"/>
              <w:kinsoku/>
              <w:wordWrap/>
              <w:overflowPunct/>
              <w:topLinePunct w:val="0"/>
              <w:bidi w:val="0"/>
              <w:spacing w:line="240" w:lineRule="auto"/>
              <w:textAlignment w:val="auto"/>
              <w:rPr>
                <w:rFonts w:hint="default" w:eastAsia="宋体"/>
                <w:lang w:val="en-US" w:eastAsia="zh-CN"/>
              </w:rPr>
            </w:pPr>
            <w:r>
              <w:rPr>
                <w:rFonts w:hint="eastAsia" w:ascii="宋体" w:hAnsi="宋体" w:eastAsia="宋体" w:cs="宋体"/>
                <w:spacing w:val="-10"/>
                <w:sz w:val="21"/>
                <w:szCs w:val="21"/>
                <w:lang w:val="en-US" w:eastAsia="zh-CN"/>
              </w:rPr>
              <w:t>投标企业具有完善的制版设备，印刷设备以及装订设备</w:t>
            </w:r>
            <w:r>
              <w:rPr>
                <w:rFonts w:hint="eastAsia" w:ascii="宋体" w:hAnsi="宋体" w:cs="宋体"/>
                <w:spacing w:val="-10"/>
                <w:sz w:val="21"/>
                <w:szCs w:val="21"/>
                <w:lang w:val="en-US" w:eastAsia="zh-CN"/>
              </w:rPr>
              <w:t>，</w:t>
            </w:r>
            <w:r>
              <w:rPr>
                <w:rFonts w:hint="eastAsia" w:ascii="宋体" w:hAnsi="宋体" w:eastAsia="宋体" w:cs="宋体"/>
                <w:spacing w:val="-10"/>
                <w:sz w:val="21"/>
                <w:szCs w:val="21"/>
                <w:lang w:val="en-US" w:eastAsia="zh-CN"/>
              </w:rPr>
              <w:t>能够满足采购人</w:t>
            </w:r>
            <w:r>
              <w:rPr>
                <w:rFonts w:hint="eastAsia" w:ascii="宋体" w:hAnsi="宋体" w:cs="宋体"/>
                <w:spacing w:val="-10"/>
                <w:sz w:val="21"/>
                <w:szCs w:val="21"/>
                <w:lang w:val="en-US" w:eastAsia="zh-CN"/>
              </w:rPr>
              <w:t>印制</w:t>
            </w:r>
            <w:r>
              <w:rPr>
                <w:rFonts w:hint="eastAsia" w:ascii="宋体" w:hAnsi="宋体" w:eastAsia="宋体" w:cs="宋体"/>
                <w:spacing w:val="-10"/>
                <w:sz w:val="21"/>
                <w:szCs w:val="21"/>
                <w:lang w:val="en-US" w:eastAsia="zh-CN"/>
              </w:rPr>
              <w:t>需求</w:t>
            </w:r>
            <w:r>
              <w:rPr>
                <w:rFonts w:hint="eastAsia" w:ascii="宋体" w:hAnsi="宋体" w:cs="宋体"/>
                <w:spacing w:val="-10"/>
                <w:sz w:val="21"/>
                <w:szCs w:val="21"/>
                <w:lang w:val="en-US" w:eastAsia="zh-CN"/>
              </w:rPr>
              <w:t>。包括具有商业表格印刷机、配页打码机、联线丝网印刷设备、平板胶印机、订本机等设备或优于以上功能设备，每提供1类得1分，最多</w:t>
            </w:r>
            <w:r>
              <w:rPr>
                <w:rFonts w:hint="eastAsia" w:ascii="宋体" w:hAnsi="宋体" w:eastAsia="宋体" w:cs="宋体"/>
                <w:spacing w:val="-10"/>
                <w:sz w:val="21"/>
                <w:szCs w:val="21"/>
                <w:lang w:val="en-US" w:eastAsia="zh-CN"/>
              </w:rPr>
              <w:t>得5分。（需提供清晰设备图片</w:t>
            </w:r>
            <w:r>
              <w:rPr>
                <w:rFonts w:hint="eastAsia" w:ascii="宋体" w:hAnsi="宋体" w:cs="宋体"/>
                <w:spacing w:val="-10"/>
                <w:sz w:val="21"/>
                <w:szCs w:val="21"/>
                <w:lang w:val="en-US" w:eastAsia="zh-CN"/>
              </w:rPr>
              <w:t>及购置合同、租赁合同或发票复印件等证明材料，</w:t>
            </w:r>
            <w:r>
              <w:rPr>
                <w:rFonts w:hint="eastAsia" w:ascii="宋体" w:hAnsi="宋体" w:eastAsia="宋体" w:cs="宋体"/>
                <w:spacing w:val="-10"/>
                <w:sz w:val="21"/>
                <w:szCs w:val="21"/>
                <w:lang w:val="en-US" w:eastAsia="zh-CN"/>
              </w:rPr>
              <w:t>加盖公章装订在投标文件中，否则不得分</w:t>
            </w:r>
            <w:r>
              <w:rPr>
                <w:rFonts w:hint="eastAsia"/>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企业实力</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cs="宋体"/>
                <w:color w:val="auto"/>
                <w:sz w:val="21"/>
                <w:szCs w:val="21"/>
                <w:lang w:val="en-US" w:eastAsia="zh-CN"/>
              </w:rPr>
              <w:t>8</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投标人同时具有ISO9001质量管理体系认证、ISO14001环境管理体系认证、ISO45001职业健康管理体系认证、中国环境标志产品认证证书的，每项得2分；满分8分。（提供证书复印件与全国认证认可信息公共服务平台http://cx.cnca.cn查询截图，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adjustRightInd w:val="0"/>
              <w:snapToGrid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color w:val="auto"/>
                <w:sz w:val="21"/>
                <w:szCs w:val="21"/>
              </w:rPr>
              <w:t>业绩</w:t>
            </w:r>
          </w:p>
        </w:tc>
        <w:tc>
          <w:tcPr>
            <w:tcW w:w="992" w:type="dxa"/>
            <w:noWrap w:val="0"/>
            <w:vAlign w:val="center"/>
          </w:tcPr>
          <w:p>
            <w:pPr>
              <w:keepNext w:val="0"/>
              <w:keepLines w:val="0"/>
              <w:pageBreakBefore w:val="0"/>
              <w:widowControl w:val="0"/>
              <w:kinsoku/>
              <w:wordWrap/>
              <w:overflowPunct/>
              <w:topLinePunct w:val="0"/>
              <w:bidi w:val="0"/>
              <w:adjustRightInd w:val="0"/>
              <w:snapToGrid w:val="0"/>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cs="宋体"/>
                <w:kern w:val="2"/>
                <w:sz w:val="21"/>
                <w:szCs w:val="21"/>
                <w:lang w:val="en-US" w:eastAsia="zh-CN" w:bidi="ar-SA"/>
              </w:rPr>
              <w:t>5</w:t>
            </w:r>
          </w:p>
        </w:tc>
        <w:tc>
          <w:tcPr>
            <w:tcW w:w="5940" w:type="dxa"/>
            <w:noWrap w:val="0"/>
            <w:vAlign w:val="center"/>
          </w:tcPr>
          <w:p>
            <w:pPr>
              <w:keepNext w:val="0"/>
              <w:keepLines w:val="0"/>
              <w:pageBreakBefore w:val="0"/>
              <w:widowControl w:val="0"/>
              <w:kinsoku/>
              <w:wordWrap/>
              <w:overflowPunct/>
              <w:topLinePunct w:val="0"/>
              <w:autoSpaceDE w:val="0"/>
              <w:autoSpaceDN w:val="0"/>
              <w:bidi w:val="0"/>
              <w:adjustRightInd w:val="0"/>
              <w:spacing w:line="240" w:lineRule="auto"/>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投标人近三年（2021年1月1日至今）以来承担过类似</w:t>
            </w:r>
            <w:r>
              <w:rPr>
                <w:rFonts w:hint="eastAsia" w:ascii="宋体" w:hAnsi="宋体" w:cs="宋体"/>
                <w:kern w:val="2"/>
                <w:sz w:val="21"/>
                <w:szCs w:val="21"/>
                <w:lang w:val="en-US" w:eastAsia="zh-CN" w:bidi="ar-SA"/>
              </w:rPr>
              <w:t>印刷</w:t>
            </w:r>
            <w:r>
              <w:rPr>
                <w:rFonts w:hint="eastAsia" w:ascii="宋体" w:hAnsi="宋体" w:eastAsia="宋体" w:cs="宋体"/>
                <w:kern w:val="2"/>
                <w:sz w:val="21"/>
                <w:szCs w:val="21"/>
                <w:lang w:val="en-US" w:eastAsia="zh-CN" w:bidi="ar-SA"/>
              </w:rPr>
              <w:t>项目，每个项目得</w:t>
            </w:r>
            <w:r>
              <w:rPr>
                <w:rFonts w:hint="eastAsia" w:ascii="宋体" w:hAnsi="宋体" w:cs="宋体"/>
                <w:kern w:val="2"/>
                <w:sz w:val="21"/>
                <w:szCs w:val="21"/>
                <w:lang w:val="en-US" w:eastAsia="zh-CN" w:bidi="ar-SA"/>
              </w:rPr>
              <w:t>1</w:t>
            </w:r>
            <w:r>
              <w:rPr>
                <w:rFonts w:hint="eastAsia" w:ascii="宋体" w:hAnsi="宋体" w:eastAsia="宋体" w:cs="宋体"/>
                <w:kern w:val="2"/>
                <w:sz w:val="21"/>
                <w:szCs w:val="21"/>
                <w:lang w:val="en-US" w:eastAsia="zh-CN" w:bidi="ar-SA"/>
              </w:rPr>
              <w:t>分，最多得</w:t>
            </w:r>
            <w:r>
              <w:rPr>
                <w:rFonts w:hint="eastAsia" w:ascii="宋体" w:hAnsi="宋体" w:cs="宋体"/>
                <w:kern w:val="2"/>
                <w:sz w:val="21"/>
                <w:szCs w:val="21"/>
                <w:lang w:val="en-US" w:eastAsia="zh-CN" w:bidi="ar-SA"/>
              </w:rPr>
              <w:t>5</w:t>
            </w:r>
            <w:r>
              <w:rPr>
                <w:rFonts w:hint="eastAsia" w:ascii="宋体" w:hAnsi="宋体" w:eastAsia="宋体" w:cs="宋体"/>
                <w:kern w:val="2"/>
                <w:sz w:val="21"/>
                <w:szCs w:val="21"/>
                <w:lang w:val="en-US" w:eastAsia="zh-CN" w:bidi="ar-SA"/>
              </w:rPr>
              <w:t>分，需提供合同复印件并加盖公章，未提供或不满足要求不得分。合同时间以签订时间为准。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691"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3</w:t>
            </w:r>
          </w:p>
        </w:tc>
        <w:tc>
          <w:tcPr>
            <w:tcW w:w="1056" w:type="dxa"/>
            <w:vMerge w:val="restart"/>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eastAsia="zh-CN"/>
              </w:rPr>
            </w:pPr>
            <w:r>
              <w:rPr>
                <w:rFonts w:hint="eastAsia" w:ascii="宋体" w:hAnsi="宋体" w:eastAsia="宋体" w:cs="宋体"/>
                <w:spacing w:val="-10"/>
                <w:sz w:val="21"/>
                <w:szCs w:val="21"/>
              </w:rPr>
              <w:t>技术</w:t>
            </w:r>
            <w:r>
              <w:rPr>
                <w:rFonts w:hint="eastAsia" w:ascii="宋体" w:hAnsi="宋体" w:eastAsia="宋体" w:cs="宋体"/>
                <w:spacing w:val="-10"/>
                <w:sz w:val="21"/>
                <w:szCs w:val="21"/>
                <w:lang w:val="en-US" w:eastAsia="zh-CN"/>
              </w:rPr>
              <w:t>部分</w:t>
            </w:r>
          </w:p>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w:t>
            </w:r>
            <w:r>
              <w:rPr>
                <w:rFonts w:hint="eastAsia" w:ascii="宋体" w:hAnsi="宋体" w:eastAsia="宋体" w:cs="宋体"/>
                <w:spacing w:val="-10"/>
                <w:sz w:val="21"/>
                <w:szCs w:val="21"/>
                <w:lang w:val="en-US" w:eastAsia="zh-CN"/>
              </w:rPr>
              <w:t>4</w:t>
            </w:r>
            <w:r>
              <w:rPr>
                <w:rFonts w:hint="eastAsia" w:ascii="宋体" w:hAnsi="宋体" w:cs="宋体"/>
                <w:spacing w:val="-10"/>
                <w:sz w:val="21"/>
                <w:szCs w:val="21"/>
                <w:lang w:val="en-US" w:eastAsia="zh-CN"/>
              </w:rPr>
              <w:t>7</w:t>
            </w:r>
            <w:r>
              <w:rPr>
                <w:rFonts w:hint="eastAsia" w:ascii="宋体" w:hAnsi="宋体" w:eastAsia="宋体" w:cs="宋体"/>
                <w:spacing w:val="-10"/>
                <w:sz w:val="21"/>
                <w:szCs w:val="21"/>
              </w:rPr>
              <w:t>分）</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color w:val="auto"/>
                <w:sz w:val="21"/>
                <w:szCs w:val="21"/>
              </w:rPr>
              <w:t>安全保密管理</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default" w:ascii="宋体" w:hAnsi="宋体" w:eastAsia="宋体" w:cs="宋体"/>
                <w:spacing w:val="-10"/>
                <w:sz w:val="21"/>
                <w:szCs w:val="21"/>
                <w:lang w:val="en-US" w:eastAsia="zh-CN"/>
              </w:rPr>
            </w:pPr>
            <w:r>
              <w:rPr>
                <w:rFonts w:hint="eastAsia" w:ascii="宋体" w:hAnsi="宋体" w:cs="宋体"/>
                <w:spacing w:val="-10"/>
                <w:sz w:val="21"/>
                <w:szCs w:val="21"/>
                <w:lang w:val="en-US" w:eastAsia="zh-CN"/>
              </w:rPr>
              <w:t>15</w:t>
            </w:r>
          </w:p>
        </w:tc>
        <w:tc>
          <w:tcPr>
            <w:tcW w:w="5940" w:type="dxa"/>
            <w:noWrap w:val="0"/>
            <w:vAlign w:val="center"/>
          </w:tcPr>
          <w:p>
            <w:pPr>
              <w:pStyle w:val="34"/>
              <w:rPr>
                <w:rFonts w:hint="eastAsia"/>
                <w:sz w:val="21"/>
                <w:szCs w:val="21"/>
                <w:lang w:eastAsia="zh-CN"/>
              </w:rPr>
            </w:pPr>
            <w:r>
              <w:rPr>
                <w:rFonts w:hint="eastAsia" w:ascii="宋体" w:hAnsi="宋体" w:eastAsia="宋体" w:cs="宋体"/>
                <w:kern w:val="2"/>
                <w:sz w:val="21"/>
                <w:szCs w:val="21"/>
                <w:lang w:val="en-US" w:eastAsia="zh-CN" w:bidi="ar-SA"/>
              </w:rPr>
              <w:t>中标服务商需</w:t>
            </w:r>
            <w:r>
              <w:rPr>
                <w:rFonts w:hint="eastAsia" w:ascii="宋体" w:hAnsi="宋体" w:cs="宋体"/>
                <w:kern w:val="2"/>
                <w:sz w:val="21"/>
                <w:szCs w:val="21"/>
                <w:lang w:val="en-US" w:eastAsia="zh-CN" w:bidi="ar-SA"/>
              </w:rPr>
              <w:t>对印制内容保密，并</w:t>
            </w:r>
            <w:r>
              <w:rPr>
                <w:rFonts w:hint="eastAsia" w:ascii="宋体" w:hAnsi="宋体" w:eastAsia="宋体" w:cs="宋体"/>
                <w:kern w:val="2"/>
                <w:sz w:val="21"/>
                <w:szCs w:val="21"/>
                <w:lang w:val="en-US" w:eastAsia="zh-CN" w:bidi="ar-SA"/>
              </w:rPr>
              <w:t>提供完整的</w:t>
            </w:r>
            <w:r>
              <w:rPr>
                <w:rFonts w:hint="eastAsia" w:ascii="宋体" w:hAnsi="宋体" w:cs="宋体"/>
                <w:kern w:val="2"/>
                <w:sz w:val="21"/>
                <w:szCs w:val="21"/>
                <w:lang w:val="en-US" w:eastAsia="zh-CN" w:bidi="ar-SA"/>
              </w:rPr>
              <w:t>保密</w:t>
            </w:r>
            <w:r>
              <w:rPr>
                <w:rFonts w:hint="eastAsia" w:ascii="宋体" w:hAnsi="宋体" w:eastAsia="宋体" w:cs="宋体"/>
                <w:kern w:val="2"/>
                <w:sz w:val="21"/>
                <w:szCs w:val="21"/>
                <w:lang w:val="en-US" w:eastAsia="zh-CN" w:bidi="ar-SA"/>
              </w:rPr>
              <w:t>印制管理流程。包括印制流程管理、保密范围管理、安全密封性、</w:t>
            </w:r>
            <w:r>
              <w:rPr>
                <w:rFonts w:hint="eastAsia" w:ascii="宋体" w:hAnsi="宋体" w:cs="宋体"/>
                <w:kern w:val="2"/>
                <w:sz w:val="21"/>
                <w:szCs w:val="21"/>
                <w:lang w:val="en-US" w:eastAsia="zh-CN" w:bidi="ar-SA"/>
              </w:rPr>
              <w:t>服务人员保密培训</w:t>
            </w:r>
            <w:r>
              <w:rPr>
                <w:rFonts w:hint="eastAsia" w:ascii="宋体" w:hAnsi="宋体" w:eastAsia="宋体" w:cs="宋体"/>
                <w:kern w:val="2"/>
                <w:sz w:val="21"/>
                <w:szCs w:val="21"/>
                <w:lang w:val="en-US" w:eastAsia="zh-CN" w:bidi="ar-SA"/>
              </w:rPr>
              <w:t>、泄密处理等方面，以上内容每具备一项且无缺陷得</w:t>
            </w:r>
            <w:r>
              <w:rPr>
                <w:rFonts w:hint="eastAsia" w:ascii="宋体" w:hAnsi="宋体" w:cs="宋体"/>
                <w:kern w:val="2"/>
                <w:sz w:val="21"/>
                <w:szCs w:val="21"/>
                <w:lang w:val="en-US" w:eastAsia="zh-CN" w:bidi="ar-SA"/>
              </w:rPr>
              <w:t>3</w:t>
            </w:r>
            <w:r>
              <w:rPr>
                <w:rFonts w:hint="eastAsia" w:ascii="宋体" w:hAnsi="宋体" w:eastAsia="宋体" w:cs="宋体"/>
                <w:kern w:val="2"/>
                <w:sz w:val="21"/>
                <w:szCs w:val="21"/>
                <w:lang w:val="en-US" w:eastAsia="zh-CN" w:bidi="ar-SA"/>
              </w:rPr>
              <w:t>分，最多得</w:t>
            </w:r>
            <w:r>
              <w:rPr>
                <w:rFonts w:hint="eastAsia" w:ascii="宋体" w:hAnsi="宋体" w:cs="宋体"/>
                <w:kern w:val="2"/>
                <w:sz w:val="21"/>
                <w:szCs w:val="21"/>
                <w:lang w:val="en-US" w:eastAsia="zh-CN" w:bidi="ar-SA"/>
              </w:rPr>
              <w:t>15</w:t>
            </w:r>
            <w:r>
              <w:rPr>
                <w:rFonts w:hint="eastAsia" w:ascii="宋体" w:hAnsi="宋体" w:eastAsia="宋体" w:cs="宋体"/>
                <w:kern w:val="2"/>
                <w:sz w:val="21"/>
                <w:szCs w:val="21"/>
                <w:lang w:val="en-US" w:eastAsia="zh-CN" w:bidi="ar-SA"/>
              </w:rPr>
              <w:t>分。（以上缺陷是指：与本项目无关、不满足项目需求、内容前后不一致、前后逻辑错误、涉及的规范及标准错误、内容缺失）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8"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color w:val="auto"/>
                <w:sz w:val="21"/>
                <w:szCs w:val="21"/>
              </w:rPr>
              <w:t>生产过程质量控制方案</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10</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kern w:val="2"/>
                <w:sz w:val="21"/>
                <w:szCs w:val="21"/>
                <w:lang w:val="en-US" w:eastAsia="zh-CN" w:bidi="ar-SA"/>
              </w:rPr>
              <w:t>根据投标人对本项目所制定的</w:t>
            </w:r>
            <w:r>
              <w:rPr>
                <w:rFonts w:hint="eastAsia" w:ascii="宋体" w:hAnsi="宋体" w:eastAsia="宋体" w:cs="宋体"/>
                <w:color w:val="auto"/>
                <w:sz w:val="21"/>
                <w:szCs w:val="21"/>
              </w:rPr>
              <w:t>生产过程质量控制方案</w:t>
            </w:r>
            <w:r>
              <w:rPr>
                <w:rFonts w:hint="eastAsia" w:ascii="宋体" w:hAnsi="宋体" w:eastAsia="宋体" w:cs="宋体"/>
                <w:kern w:val="2"/>
                <w:sz w:val="21"/>
                <w:szCs w:val="21"/>
                <w:lang w:val="en-US" w:eastAsia="zh-CN" w:bidi="ar-SA"/>
              </w:rPr>
              <w:t>进行打分，内容包括</w:t>
            </w:r>
            <w:r>
              <w:rPr>
                <w:rFonts w:hint="eastAsia" w:ascii="宋体" w:hAnsi="宋体" w:eastAsia="宋体" w:cs="宋体"/>
                <w:color w:val="auto"/>
                <w:sz w:val="21"/>
                <w:szCs w:val="21"/>
              </w:rPr>
              <w:t>生产流程管理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质量控制方案</w:t>
            </w:r>
            <w:r>
              <w:rPr>
                <w:rFonts w:hint="eastAsia" w:ascii="宋体" w:hAnsi="宋体" w:eastAsia="宋体" w:cs="宋体"/>
                <w:kern w:val="2"/>
                <w:sz w:val="21"/>
                <w:szCs w:val="21"/>
                <w:lang w:val="en-US" w:eastAsia="zh-CN" w:bidi="ar-SA"/>
              </w:rPr>
              <w:t>。以上内容每具备一项且无缺陷得5分，最多得10分。（以上缺陷是指：与本项目无关、不满足项目需求、内容前后不一致、前后逻辑错误、涉及的规范及标准错误、内容缺失）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color w:val="auto"/>
                <w:sz w:val="21"/>
                <w:szCs w:val="21"/>
              </w:rPr>
              <w:t>运输配送方案</w:t>
            </w:r>
          </w:p>
        </w:tc>
        <w:tc>
          <w:tcPr>
            <w:tcW w:w="992" w:type="dxa"/>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10</w:t>
            </w:r>
          </w:p>
        </w:tc>
        <w:tc>
          <w:tcPr>
            <w:tcW w:w="5940" w:type="dxa"/>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r>
              <w:rPr>
                <w:rFonts w:hint="eastAsia" w:ascii="宋体" w:hAnsi="宋体" w:eastAsia="宋体" w:cs="宋体"/>
                <w:kern w:val="2"/>
                <w:sz w:val="21"/>
                <w:szCs w:val="21"/>
                <w:lang w:val="en-US" w:eastAsia="zh-CN" w:bidi="ar-SA"/>
              </w:rPr>
              <w:t>根据投标人对本项目所制定的运输配送方案进行打分，内容包括配送方案和运输专用车辆、安保措施。以上内容每具备一项且无缺陷得5分，最多得10分。（以上缺陷是指：与本项目无关、不满足项目需求、内容前后不一致、前后逻辑错误、涉及的规范及标准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1" w:hRule="atLeast"/>
          <w:jc w:val="center"/>
        </w:trPr>
        <w:tc>
          <w:tcPr>
            <w:tcW w:w="691" w:type="dxa"/>
            <w:vMerge w:val="continue"/>
            <w:noWrap w:val="0"/>
            <w:vAlign w:val="center"/>
          </w:tcPr>
          <w:p>
            <w:pPr>
              <w:keepNext w:val="0"/>
              <w:keepLines w:val="0"/>
              <w:pageBreakBefore w:val="0"/>
              <w:widowControl w:val="0"/>
              <w:kinsoku/>
              <w:wordWrap/>
              <w:overflowPunct/>
              <w:topLinePunct w:val="0"/>
              <w:bidi w:val="0"/>
              <w:spacing w:line="240" w:lineRule="auto"/>
              <w:jc w:val="center"/>
              <w:textAlignment w:val="auto"/>
              <w:rPr>
                <w:rFonts w:hint="eastAsia" w:ascii="宋体" w:hAnsi="宋体" w:eastAsia="宋体" w:cs="宋体"/>
                <w:spacing w:val="-10"/>
                <w:sz w:val="21"/>
                <w:szCs w:val="21"/>
              </w:rPr>
            </w:pPr>
          </w:p>
        </w:tc>
        <w:tc>
          <w:tcPr>
            <w:tcW w:w="1056" w:type="dxa"/>
            <w:vMerge w:val="continue"/>
            <w:noWrap w:val="0"/>
            <w:vAlign w:val="center"/>
          </w:tcPr>
          <w:p>
            <w:pPr>
              <w:keepNext w:val="0"/>
              <w:keepLines w:val="0"/>
              <w:pageBreakBefore w:val="0"/>
              <w:widowControl w:val="0"/>
              <w:kinsoku/>
              <w:wordWrap/>
              <w:overflowPunct/>
              <w:topLinePunct w:val="0"/>
              <w:bidi w:val="0"/>
              <w:spacing w:line="240" w:lineRule="auto"/>
              <w:textAlignment w:val="auto"/>
              <w:rPr>
                <w:rFonts w:hint="eastAsia" w:ascii="宋体" w:hAnsi="宋体" w:eastAsia="宋体" w:cs="宋体"/>
                <w:spacing w:val="-10"/>
                <w:sz w:val="21"/>
                <w:szCs w:val="21"/>
              </w:rPr>
            </w:pPr>
          </w:p>
        </w:tc>
        <w:tc>
          <w:tcPr>
            <w:tcW w:w="992" w:type="dxa"/>
            <w:noWrap w:val="0"/>
            <w:vAlign w:val="center"/>
          </w:tcPr>
          <w:p>
            <w:pPr>
              <w:spacing w:line="240" w:lineRule="auto"/>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售后服务响应流程和承诺方案</w:t>
            </w:r>
          </w:p>
        </w:tc>
        <w:tc>
          <w:tcPr>
            <w:tcW w:w="992" w:type="dxa"/>
            <w:noWrap w:val="0"/>
            <w:vAlign w:val="center"/>
          </w:tcPr>
          <w:p>
            <w:pPr>
              <w:spacing w:line="240" w:lineRule="auto"/>
              <w:jc w:val="center"/>
              <w:rPr>
                <w:rFonts w:hint="default" w:ascii="宋体" w:hAnsi="宋体" w:eastAsia="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12</w:t>
            </w:r>
          </w:p>
        </w:tc>
        <w:tc>
          <w:tcPr>
            <w:tcW w:w="5940" w:type="dxa"/>
            <w:noWrap w:val="0"/>
            <w:vAlign w:val="center"/>
          </w:tcPr>
          <w:p>
            <w:pPr>
              <w:spacing w:line="240" w:lineRule="auto"/>
              <w:jc w:val="left"/>
              <w:rPr>
                <w:rFonts w:hint="eastAsia" w:ascii="宋体" w:hAnsi="宋体" w:eastAsia="宋体" w:cs="宋体"/>
                <w:color w:val="auto"/>
                <w:kern w:val="2"/>
                <w:sz w:val="21"/>
                <w:szCs w:val="21"/>
                <w:lang w:val="en-US" w:eastAsia="zh-CN" w:bidi="ar-SA"/>
              </w:rPr>
            </w:pPr>
            <w:r>
              <w:rPr>
                <w:rFonts w:hint="eastAsia" w:ascii="宋体" w:hAnsi="宋体" w:eastAsia="宋体" w:cs="宋体"/>
                <w:kern w:val="2"/>
                <w:sz w:val="21"/>
                <w:szCs w:val="21"/>
                <w:lang w:val="en-US" w:eastAsia="zh-CN" w:bidi="ar-SA"/>
              </w:rPr>
              <w:t>根据投标人对本项目所制定的售后服务响应流程和承诺方案进行打分，内容包括售后服务流程、服务措施、响应时间、保密服务承诺。以上内容每具备一项且无缺陷得3分，最多得12分。（以上缺陷是指：与本项目无关、不满足项目需求、内容前后不一致、前后逻辑错误、涉及的规范及标准错误、内容缺失）</w:t>
            </w:r>
          </w:p>
        </w:tc>
      </w:tr>
    </w:tbl>
    <w:p>
      <w:pPr>
        <w:wordWrap w:val="0"/>
        <w:adjustRightInd w:val="0"/>
        <w:snapToGrid w:val="0"/>
        <w:jc w:val="right"/>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20"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21" w:name="_Toc78902195"/>
      <w:bookmarkStart w:id="122" w:name="_Toc25807"/>
      <w:r>
        <w:rPr>
          <w:rFonts w:hint="eastAsia" w:ascii="宋体" w:hAnsi="宋体" w:eastAsia="宋体" w:cs="宋体"/>
          <w:color w:val="auto"/>
          <w:highlight w:val="none"/>
        </w:rPr>
        <w:t>第五章 政府采购合同条款</w:t>
      </w:r>
      <w:bookmarkEnd w:id="120"/>
      <w:r>
        <w:rPr>
          <w:rFonts w:hint="eastAsia" w:ascii="宋体" w:hAnsi="宋体" w:eastAsia="宋体" w:cs="宋体"/>
          <w:color w:val="auto"/>
          <w:highlight w:val="none"/>
        </w:rPr>
        <w:t>及格式</w:t>
      </w:r>
      <w:bookmarkEnd w:id="121"/>
      <w:bookmarkEnd w:id="122"/>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pStyle w:val="16"/>
        <w:jc w:val="center"/>
        <w:rPr>
          <w:rFonts w:hint="eastAsia" w:hAnsi="宋体" w:cs="宋体"/>
          <w:b/>
          <w:color w:val="auto"/>
          <w:sz w:val="96"/>
          <w:szCs w:val="96"/>
          <w:highlight w:val="none"/>
        </w:rPr>
      </w:pPr>
    </w:p>
    <w:p>
      <w:pPr>
        <w:pStyle w:val="16"/>
        <w:keepNext w:val="0"/>
        <w:keepLines w:val="0"/>
        <w:pageBreakBefore w:val="0"/>
        <w:widowControl w:val="0"/>
        <w:kinsoku/>
        <w:wordWrap/>
        <w:overflowPunct/>
        <w:bidi w:val="0"/>
        <w:adjustRightInd/>
        <w:jc w:val="center"/>
        <w:textAlignment w:val="auto"/>
        <w:outlineLvl w:val="9"/>
        <w:rPr>
          <w:rFonts w:hint="eastAsia" w:ascii="华文中宋" w:hAnsi="华文中宋" w:eastAsia="华文中宋" w:cs="华文中宋"/>
          <w:b w:val="0"/>
          <w:bCs/>
          <w:color w:val="auto"/>
          <w:sz w:val="32"/>
          <w:szCs w:val="32"/>
          <w:highlight w:val="none"/>
        </w:rPr>
      </w:pPr>
      <w:r>
        <w:rPr>
          <w:rFonts w:hint="eastAsia" w:ascii="华文中宋" w:hAnsi="华文中宋" w:eastAsia="华文中宋" w:cs="华文中宋"/>
          <w:b w:val="0"/>
          <w:bCs/>
          <w:color w:val="auto"/>
          <w:sz w:val="32"/>
          <w:szCs w:val="32"/>
          <w:highlight w:val="none"/>
        </w:rPr>
        <w:t>合 同 书</w:t>
      </w:r>
    </w:p>
    <w:p>
      <w:pPr>
        <w:pStyle w:val="16"/>
        <w:keepNext w:val="0"/>
        <w:keepLines w:val="0"/>
        <w:pageBreakBefore w:val="0"/>
        <w:widowControl w:val="0"/>
        <w:kinsoku/>
        <w:wordWrap/>
        <w:overflowPunct/>
        <w:bidi w:val="0"/>
        <w:adjustRightInd/>
        <w:jc w:val="center"/>
        <w:textAlignment w:val="auto"/>
        <w:outlineLvl w:val="9"/>
        <w:rPr>
          <w:rFonts w:hint="eastAsia" w:ascii="华文中宋" w:hAnsi="华文中宋" w:eastAsia="华文中宋" w:cs="华文中宋"/>
          <w:b w:val="0"/>
          <w:bCs/>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ind w:left="1680" w:leftChars="80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2160"/>
        </w:tabs>
        <w:kinsoku/>
        <w:wordWrap/>
        <w:overflowPunct/>
        <w:topLinePunct/>
        <w:autoSpaceDE w:val="0"/>
        <w:autoSpaceDN w:val="0"/>
        <w:bidi w:val="0"/>
        <w:adjustRightInd/>
        <w:snapToGrid w:val="0"/>
        <w:spacing w:line="360" w:lineRule="auto"/>
        <w:ind w:left="2100" w:leftChars="1000" w:firstLine="0" w:firstLineChars="0"/>
        <w:textAlignment w:val="auto"/>
        <w:outlineLvl w:val="9"/>
        <w:rPr>
          <w:rFonts w:hint="default" w:ascii="方正小标宋简体" w:hAnsi="方正小标宋简体" w:eastAsia="方正小标宋简体" w:cs="方正小标宋简体"/>
          <w:b w:val="0"/>
          <w:bCs/>
          <w:color w:val="auto"/>
          <w:sz w:val="24"/>
          <w:szCs w:val="24"/>
          <w:highlight w:val="none"/>
          <w:lang w:val="en-US" w:eastAsia="zh-CN"/>
        </w:rPr>
      </w:pPr>
      <w:r>
        <w:rPr>
          <w:rFonts w:hint="eastAsia" w:ascii="方正小标宋简体" w:hAnsi="方正小标宋简体" w:eastAsia="方正小标宋简体" w:cs="方正小标宋简体"/>
          <w:b w:val="0"/>
          <w:bCs/>
          <w:color w:val="auto"/>
          <w:sz w:val="24"/>
          <w:szCs w:val="24"/>
          <w:highlight w:val="none"/>
        </w:rPr>
        <w:t>项目名称：</w:t>
      </w:r>
      <w:r>
        <w:rPr>
          <w:rFonts w:hint="eastAsia" w:eastAsia="宋体"/>
          <w:color w:val="auto"/>
          <w:highlight w:val="none"/>
          <w:u w:val="single"/>
          <w:lang w:eastAsia="zh-CN"/>
        </w:rPr>
        <w:t>国家税务总局黑龙江省税务局内部文件及资料印制服务项目</w:t>
      </w: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ind w:left="2100" w:leftChars="1000" w:firstLine="0" w:firstLineChars="0"/>
        <w:textAlignment w:val="auto"/>
        <w:rPr>
          <w:rFonts w:hint="default" w:ascii="方正小标宋简体" w:hAnsi="方正小标宋简体" w:eastAsia="方正小标宋简体" w:cs="方正小标宋简体"/>
          <w:b w:val="0"/>
          <w:bCs/>
          <w:color w:val="auto"/>
          <w:sz w:val="24"/>
          <w:szCs w:val="24"/>
          <w:highlight w:val="none"/>
          <w:lang w:val="en-US" w:eastAsia="zh-CN"/>
        </w:rPr>
      </w:pPr>
      <w:r>
        <w:rPr>
          <w:rFonts w:hint="eastAsia" w:ascii="方正小标宋简体" w:hAnsi="方正小标宋简体" w:eastAsia="方正小标宋简体" w:cs="方正小标宋简体"/>
          <w:b w:val="0"/>
          <w:bCs/>
          <w:color w:val="auto"/>
          <w:sz w:val="24"/>
          <w:szCs w:val="24"/>
          <w:highlight w:val="none"/>
        </w:rPr>
        <w:t>合同编号：</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lang w:val="en-US" w:eastAsia="zh-CN"/>
        </w:rPr>
        <w:t xml:space="preserve"> </w:t>
      </w:r>
    </w:p>
    <w:p>
      <w:pPr>
        <w:keepNext w:val="0"/>
        <w:keepLines w:val="0"/>
        <w:pageBreakBefore w:val="0"/>
        <w:widowControl w:val="0"/>
        <w:tabs>
          <w:tab w:val="left" w:pos="2160"/>
        </w:tabs>
        <w:kinsoku/>
        <w:wordWrap/>
        <w:overflowPunct/>
        <w:topLinePunct/>
        <w:autoSpaceDE w:val="0"/>
        <w:autoSpaceDN w:val="0"/>
        <w:bidi w:val="0"/>
        <w:adjustRightInd/>
        <w:snapToGrid w:val="0"/>
        <w:spacing w:line="360" w:lineRule="auto"/>
        <w:ind w:left="2880" w:leftChars="800" w:hanging="1200" w:hangingChars="500"/>
        <w:textAlignment w:val="auto"/>
        <w:rPr>
          <w:rFonts w:hint="eastAsia" w:ascii="方正小标宋简体" w:hAnsi="方正小标宋简体" w:eastAsia="方正小标宋简体" w:cs="方正小标宋简体"/>
          <w:b w:val="0"/>
          <w:bCs/>
          <w:color w:val="auto"/>
          <w:sz w:val="24"/>
          <w:szCs w:val="24"/>
          <w:highlight w:val="none"/>
        </w:rPr>
      </w:pPr>
    </w:p>
    <w:p>
      <w:pPr>
        <w:pStyle w:val="16"/>
        <w:spacing w:line="460" w:lineRule="exact"/>
        <w:jc w:val="center"/>
        <w:rPr>
          <w:rFonts w:hint="eastAsia" w:ascii="方正小标宋简体" w:hAnsi="方正小标宋简体" w:eastAsia="方正小标宋简体" w:cs="方正小标宋简体"/>
          <w:b w:val="0"/>
          <w:bCs/>
          <w:color w:val="auto"/>
          <w:sz w:val="24"/>
          <w:szCs w:val="24"/>
          <w:highlight w:val="none"/>
        </w:rPr>
      </w:pPr>
    </w:p>
    <w:p>
      <w:pPr>
        <w:pStyle w:val="16"/>
        <w:tabs>
          <w:tab w:val="left" w:pos="3045"/>
        </w:tabs>
        <w:spacing w:line="460" w:lineRule="exact"/>
        <w:rPr>
          <w:rFonts w:hint="eastAsia" w:ascii="方正小标宋简体" w:hAnsi="方正小标宋简体" w:eastAsia="方正小标宋简体" w:cs="方正小标宋简体"/>
          <w:b w:val="0"/>
          <w:bCs/>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rPr>
        <w:tab/>
      </w:r>
    </w:p>
    <w:p>
      <w:pPr>
        <w:pStyle w:val="16"/>
        <w:spacing w:line="460" w:lineRule="exact"/>
        <w:jc w:val="both"/>
        <w:rPr>
          <w:rFonts w:hint="eastAsia" w:ascii="方正小标宋简体" w:hAnsi="方正小标宋简体" w:eastAsia="方正小标宋简体" w:cs="方正小标宋简体"/>
          <w:b w:val="0"/>
          <w:bCs/>
          <w:color w:val="auto"/>
          <w:sz w:val="24"/>
          <w:szCs w:val="24"/>
          <w:highlight w:val="none"/>
        </w:rPr>
      </w:pPr>
    </w:p>
    <w:p>
      <w:pPr>
        <w:pStyle w:val="16"/>
        <w:spacing w:line="460" w:lineRule="exact"/>
        <w:jc w:val="center"/>
        <w:rPr>
          <w:rFonts w:hint="eastAsia" w:ascii="方正小标宋简体" w:hAnsi="方正小标宋简体" w:eastAsia="方正小标宋简体" w:cs="方正小标宋简体"/>
          <w:b w:val="0"/>
          <w:bCs/>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rPr>
          <w:rFonts w:hint="eastAsia" w:ascii="方正小标宋简体" w:hAnsi="方正小标宋简体" w:eastAsia="方正小标宋简体" w:cs="方正小标宋简体"/>
          <w:b w:val="0"/>
          <w:bCs/>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rPr>
        <w:t xml:space="preserve">甲    方： </w:t>
      </w:r>
      <w:r>
        <w:rPr>
          <w:rFonts w:hint="eastAsia" w:ascii="方正小标宋简体" w:hAnsi="方正小标宋简体" w:eastAsia="方正小标宋简体" w:cs="方正小标宋简体"/>
          <w:b w:val="0"/>
          <w:bCs/>
          <w:color w:val="auto"/>
          <w:sz w:val="24"/>
          <w:szCs w:val="24"/>
          <w:highlight w:val="none"/>
          <w:u w:val="single"/>
        </w:rPr>
        <w:t>国家税务总局</w:t>
      </w:r>
      <w:r>
        <w:rPr>
          <w:rFonts w:hint="eastAsia" w:ascii="方正小标宋简体" w:hAnsi="方正小标宋简体" w:eastAsia="方正小标宋简体" w:cs="方正小标宋简体"/>
          <w:b w:val="0"/>
          <w:bCs/>
          <w:color w:val="auto"/>
          <w:sz w:val="24"/>
          <w:szCs w:val="24"/>
          <w:highlight w:val="none"/>
          <w:u w:val="single"/>
          <w:lang w:val="en-US" w:eastAsia="zh-CN"/>
        </w:rPr>
        <w:t>黑龙江省税务局</w:t>
      </w: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outlineLvl w:val="9"/>
        <w:rPr>
          <w:rFonts w:hint="eastAsia" w:ascii="方正小标宋简体" w:hAnsi="方正小标宋简体" w:eastAsia="方正小标宋简体" w:cs="方正小标宋简体"/>
          <w:b w:val="0"/>
          <w:bCs/>
          <w:color w:val="auto"/>
          <w:sz w:val="24"/>
          <w:szCs w:val="24"/>
          <w:highlight w:val="none"/>
          <w:u w:val="single"/>
          <w:lang w:val="en-US" w:eastAsia="zh-CN"/>
        </w:rPr>
      </w:pPr>
      <w:r>
        <w:rPr>
          <w:rFonts w:hint="eastAsia" w:ascii="方正小标宋简体" w:hAnsi="方正小标宋简体" w:eastAsia="方正小标宋简体" w:cs="方正小标宋简体"/>
          <w:b w:val="0"/>
          <w:bCs/>
          <w:color w:val="auto"/>
          <w:sz w:val="24"/>
          <w:szCs w:val="24"/>
          <w:highlight w:val="none"/>
        </w:rPr>
        <w:t xml:space="preserve">乙    方：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outlineLvl w:val="9"/>
        <w:rPr>
          <w:rFonts w:hint="eastAsia" w:ascii="方正小标宋简体" w:hAnsi="方正小标宋简体" w:eastAsia="方正小标宋简体" w:cs="方正小标宋简体"/>
          <w:b w:val="0"/>
          <w:bCs/>
          <w:color w:val="auto"/>
          <w:sz w:val="24"/>
          <w:szCs w:val="24"/>
          <w:highlight w:val="none"/>
          <w:u w:val="single"/>
          <w:lang w:eastAsia="zh-CN"/>
        </w:rPr>
      </w:pPr>
      <w:r>
        <w:rPr>
          <w:rFonts w:hint="eastAsia" w:ascii="方正小标宋简体" w:hAnsi="方正小标宋简体" w:eastAsia="方正小标宋简体" w:cs="方正小标宋简体"/>
          <w:b w:val="0"/>
          <w:bCs/>
          <w:color w:val="auto"/>
          <w:sz w:val="24"/>
          <w:szCs w:val="24"/>
          <w:highlight w:val="none"/>
        </w:rPr>
        <w:t xml:space="preserve">日    期： </w:t>
      </w:r>
      <w:r>
        <w:rPr>
          <w:rFonts w:hint="eastAsia" w:ascii="方正小标宋简体" w:hAnsi="方正小标宋简体" w:eastAsia="方正小标宋简体" w:cs="方正小标宋简体"/>
          <w:b w:val="0"/>
          <w:bCs/>
          <w:color w:val="auto"/>
          <w:sz w:val="24"/>
          <w:szCs w:val="24"/>
          <w:highlight w:val="none"/>
          <w:u w:val="single"/>
        </w:rPr>
        <w:t xml:space="preserve">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 xml:space="preserve">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年</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 xml:space="preserve">月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lang w:eastAsia="zh-CN"/>
        </w:rPr>
        <w:t>日</w:t>
      </w:r>
    </w:p>
    <w:p>
      <w:pPr>
        <w:keepNext w:val="0"/>
        <w:keepLines w:val="0"/>
        <w:pageBreakBefore w:val="0"/>
        <w:widowControl w:val="0"/>
        <w:kinsoku/>
        <w:wordWrap/>
        <w:overflowPunct/>
        <w:topLinePunct w:val="0"/>
        <w:autoSpaceDE/>
        <w:autoSpaceDN/>
        <w:bidi w:val="0"/>
        <w:adjustRightInd/>
        <w:snapToGrid/>
        <w:spacing w:line="300" w:lineRule="auto"/>
        <w:jc w:val="center"/>
        <w:textAlignment w:val="auto"/>
        <w:outlineLvl w:val="9"/>
        <w:rPr>
          <w:rFonts w:hint="eastAsia" w:ascii="宋体" w:hAnsi="宋体" w:cs="宋体"/>
          <w:b/>
          <w:color w:val="auto"/>
          <w:sz w:val="24"/>
          <w:szCs w:val="24"/>
          <w:highlight w:val="none"/>
        </w:rPr>
      </w:pPr>
      <w:r>
        <w:rPr>
          <w:rFonts w:ascii="宋体" w:hAnsi="宋体" w:cs="宋体"/>
          <w:b/>
          <w:bCs/>
          <w:color w:val="auto"/>
          <w:sz w:val="28"/>
          <w:highlight w:val="none"/>
          <w:u w:val="single"/>
        </w:rPr>
        <w:br w:type="page"/>
      </w:r>
      <w:r>
        <w:rPr>
          <w:rFonts w:hint="eastAsia" w:ascii="宋体" w:hAnsi="宋体" w:cs="宋体"/>
          <w:b/>
          <w:color w:val="auto"/>
          <w:sz w:val="24"/>
          <w:szCs w:val="24"/>
          <w:highlight w:val="none"/>
        </w:rPr>
        <w:t>合同条款前附表</w:t>
      </w:r>
    </w:p>
    <w:tbl>
      <w:tblPr>
        <w:tblStyle w:val="27"/>
        <w:tblW w:w="8828"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序号</w:t>
            </w:r>
          </w:p>
        </w:tc>
        <w:tc>
          <w:tcPr>
            <w:tcW w:w="817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合同名称</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rPr>
              <w:t>国家税务总局黑龙江省税务局内部文件及资料印制服务采购</w:t>
            </w:r>
            <w:r>
              <w:rPr>
                <w:rFonts w:hint="eastAsia" w:ascii="Times New Roman" w:hAnsi="Times New Roman" w:cs="Times New Roman"/>
                <w:bCs/>
                <w:color w:val="auto"/>
                <w:sz w:val="21"/>
                <w:szCs w:val="21"/>
                <w:highlight w:val="none"/>
                <w:lang w:eastAsia="zh-CN"/>
              </w:rPr>
              <w:t>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合同编号</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cs="Times New Roman"/>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合同类型</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eastAsia="宋体" w:cs="Times New Roman"/>
                <w:b/>
                <w:bCs/>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定价方式</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eastAsia="宋体" w:cs="Times New Roman"/>
                <w:b/>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固定</w:t>
            </w:r>
            <w:r>
              <w:rPr>
                <w:rFonts w:hint="eastAsia" w:ascii="Times New Roman" w:hAnsi="Times New Roman" w:cs="Times New Roman"/>
                <w:bCs/>
                <w:color w:val="auto"/>
                <w:sz w:val="21"/>
                <w:szCs w:val="21"/>
                <w:highlight w:val="none"/>
                <w:lang w:eastAsia="zh-CN"/>
              </w:rPr>
              <w:t>单</w:t>
            </w:r>
            <w:r>
              <w:rPr>
                <w:rFonts w:hint="eastAsia" w:ascii="Times New Roman" w:hAnsi="Times New Roman" w:eastAsia="宋体" w:cs="Times New Roman"/>
                <w:bCs/>
                <w:color w:val="auto"/>
                <w:sz w:val="21"/>
                <w:szCs w:val="21"/>
                <w:highlight w:val="none"/>
                <w:lang w:eastAsia="zh-CN"/>
              </w:rPr>
              <w:t>价合同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5</w:t>
            </w:r>
          </w:p>
        </w:tc>
        <w:tc>
          <w:tcPr>
            <w:tcW w:w="1909" w:type="dxa"/>
            <w:gridSpan w:val="2"/>
            <w:tcBorders>
              <w:top w:val="single" w:color="auto" w:sz="4"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甲方名称</w:t>
            </w:r>
          </w:p>
        </w:tc>
        <w:tc>
          <w:tcPr>
            <w:tcW w:w="6264" w:type="dxa"/>
            <w:tcBorders>
              <w:top w:val="single" w:color="auto" w:sz="4"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bCs/>
                <w:color w:val="auto"/>
                <w:sz w:val="21"/>
                <w:szCs w:val="21"/>
                <w:highlight w:val="none"/>
              </w:rPr>
              <w:t>国家税务总局黑龙江省税务局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甲方地址</w:t>
            </w:r>
          </w:p>
        </w:tc>
        <w:tc>
          <w:tcPr>
            <w:tcW w:w="6264"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eastAsia="zh-CN"/>
              </w:rPr>
              <w:t>黑龙江省哈尔滨市南岗区东大直街</w:t>
            </w:r>
            <w:r>
              <w:rPr>
                <w:rFonts w:hint="eastAsia" w:ascii="Times New Roman" w:hAnsi="Times New Roman" w:cs="Times New Roman"/>
                <w:color w:val="auto"/>
                <w:sz w:val="21"/>
                <w:szCs w:val="21"/>
                <w:highlight w:val="none"/>
                <w:lang w:val="en-US" w:eastAsia="zh-CN"/>
              </w:rPr>
              <w:t>190号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restart"/>
            <w:tcBorders>
              <w:top w:val="single" w:color="auto" w:sz="6"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甲方相关部门</w:t>
            </w: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甲方采购部门</w:t>
            </w:r>
          </w:p>
        </w:tc>
        <w:tc>
          <w:tcPr>
            <w:tcW w:w="6264"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财务管理处（装备和采购处）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联系人</w:t>
            </w:r>
          </w:p>
        </w:tc>
        <w:tc>
          <w:tcPr>
            <w:tcW w:w="6264"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高女士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0451-53611</w:t>
            </w:r>
            <w:r>
              <w:rPr>
                <w:rFonts w:hint="eastAsia" w:cs="Times New Roman"/>
                <w:color w:val="auto"/>
                <w:sz w:val="21"/>
                <w:szCs w:val="21"/>
                <w:highlight w:val="none"/>
                <w:lang w:val="en-US" w:eastAsia="zh-CN"/>
              </w:rPr>
              <w:t>260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甲方</w:t>
            </w:r>
            <w:r>
              <w:rPr>
                <w:rFonts w:hint="default" w:ascii="Times New Roman" w:hAnsi="Times New Roman" w:cs="Times New Roman"/>
                <w:color w:val="auto"/>
                <w:sz w:val="21"/>
                <w:szCs w:val="21"/>
                <w:highlight w:val="none"/>
                <w:lang w:eastAsia="zh-CN"/>
              </w:rPr>
              <w:t>需求部门</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财务管理处（装备和采购处）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联系人</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詹女士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0451-53611</w:t>
            </w:r>
            <w:r>
              <w:rPr>
                <w:rFonts w:hint="eastAsia" w:cs="Times New Roman"/>
                <w:color w:val="auto"/>
                <w:sz w:val="21"/>
                <w:szCs w:val="21"/>
                <w:highlight w:val="none"/>
                <w:lang w:val="en-US" w:eastAsia="zh-CN"/>
              </w:rPr>
              <w:t>260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6</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乙方名称</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乙方企业性质</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中型企业   </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小型企业       </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微型企业    </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监狱企业</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残疾人福利性单位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乙方地址</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乙方联系人</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传真</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7</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合同金额</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8</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服务内容</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本合同服务内容为：</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详见服务需求</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5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9</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合同付款</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pStyle w:val="57"/>
              <w:keepNext w:val="0"/>
              <w:keepLines w:val="0"/>
              <w:pageBreakBefore w:val="0"/>
              <w:numPr>
                <w:ilvl w:val="0"/>
                <w:numId w:val="0"/>
              </w:numPr>
              <w:tabs>
                <w:tab w:val="left" w:pos="84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合同以人民币结算，付款方式：</w:t>
            </w:r>
          </w:p>
          <w:p>
            <w:pPr>
              <w:pStyle w:val="57"/>
              <w:keepNext w:val="0"/>
              <w:keepLines w:val="0"/>
              <w:pageBreakBefore w:val="0"/>
              <w:numPr>
                <w:ilvl w:val="0"/>
                <w:numId w:val="0"/>
              </w:numPr>
              <w:tabs>
                <w:tab w:val="left" w:pos="840"/>
              </w:tabs>
              <w:kinsoku/>
              <w:wordWrap/>
              <w:overflowPunct/>
              <w:bidi w:val="0"/>
              <w:adjustRightInd w:val="0"/>
              <w:snapToGrid w:val="0"/>
              <w:spacing w:line="240" w:lineRule="auto"/>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乙方每年的具体印量以甲方实际发生的印制数量为准，按照合同价格进行结算。</w:t>
            </w:r>
            <w:r>
              <w:rPr>
                <w:rFonts w:hint="default" w:ascii="Times New Roman" w:hAnsi="Times New Roman" w:cs="Times New Roman"/>
                <w:color w:val="auto"/>
                <w:sz w:val="21"/>
                <w:szCs w:val="21"/>
                <w:highlight w:val="none"/>
                <w:lang w:val="en"/>
              </w:rPr>
              <w:t>......</w:t>
            </w:r>
          </w:p>
          <w:p>
            <w:pPr>
              <w:pStyle w:val="57"/>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每次办理付款时，乙方应提供发票、付款申请（格式另附）、</w:t>
            </w:r>
            <w:r>
              <w:rPr>
                <w:rFonts w:hint="default" w:ascii="Times New Roman" w:hAnsi="Times New Roman" w:cs="Times New Roman"/>
                <w:color w:val="auto"/>
                <w:sz w:val="21"/>
                <w:szCs w:val="21"/>
                <w:highlight w:val="none"/>
                <w:lang w:eastAsia="zh-CN"/>
              </w:rPr>
              <w:t>合同或</w:t>
            </w:r>
            <w:r>
              <w:rPr>
                <w:rFonts w:hint="default" w:ascii="Times New Roman" w:hAnsi="Times New Roman" w:cs="Times New Roman"/>
                <w:color w:val="auto"/>
                <w:sz w:val="21"/>
                <w:szCs w:val="21"/>
                <w:highlight w:val="none"/>
              </w:rPr>
              <w:t>合同关键页复印件、合同约定的其他资料。涉及验收的，应同时提交甲方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出具的验收意见。</w:t>
            </w:r>
            <w:r>
              <w:rPr>
                <w:rFonts w:hint="default" w:ascii="Times New Roman" w:hAnsi="Times New Roman" w:cs="Times New Roman"/>
                <w:color w:val="auto"/>
                <w:sz w:val="21"/>
                <w:szCs w:val="21"/>
                <w:highlight w:val="none"/>
                <w:lang w:eastAsia="zh-CN"/>
              </w:rPr>
              <w:t>支付合同款项时（合同初次付款外），如属于信息化监理范围内的项目，应经实施单位、业主单位、监理单位共同签字认可；如属于需要进行中期报告的项目，应附中期报告审议意见为“通过”的文书。</w:t>
            </w:r>
          </w:p>
          <w:p>
            <w:pPr>
              <w:pStyle w:val="57"/>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甲方在收到发票等合同约定资料后，进行核实。满足合同约定支付条件的，自收到发票后30日内将资金以</w:t>
            </w:r>
            <w:r>
              <w:rPr>
                <w:rFonts w:hint="default" w:ascii="Times New Roman" w:hAnsi="Times New Roman" w:eastAsia="宋体" w:cs="Times New Roman"/>
                <w:color w:val="auto"/>
                <w:kern w:val="2"/>
                <w:sz w:val="21"/>
                <w:szCs w:val="21"/>
                <w:highlight w:val="none"/>
                <w:u w:val="single"/>
                <w:lang w:val="en-US" w:eastAsia="zh-CN" w:bidi="ar-SA"/>
              </w:rPr>
              <w:t xml:space="preserve">    </w:t>
            </w:r>
            <w:r>
              <w:rPr>
                <w:rFonts w:hint="default" w:ascii="Times New Roman" w:hAnsi="Times New Roman" w:cs="Times New Roman"/>
                <w:color w:val="auto"/>
                <w:kern w:val="2"/>
                <w:sz w:val="21"/>
                <w:szCs w:val="21"/>
                <w:highlight w:val="none"/>
                <w:u w:val="single"/>
                <w:lang w:val="en-US" w:eastAsia="zh-CN" w:bidi="ar-SA"/>
              </w:rPr>
              <w:t xml:space="preserve">  （如：</w:t>
            </w:r>
            <w:r>
              <w:rPr>
                <w:rFonts w:hint="default" w:ascii="Times New Roman" w:hAnsi="Times New Roman" w:cs="Times New Roman"/>
                <w:color w:val="auto"/>
                <w:sz w:val="21"/>
                <w:szCs w:val="21"/>
                <w:highlight w:val="none"/>
              </w:rPr>
              <w:t>电汇</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方式支付到乙方账户。</w:t>
            </w:r>
          </w:p>
          <w:p>
            <w:pPr>
              <w:pStyle w:val="57"/>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履约保证金及返还</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本</w:t>
            </w:r>
            <w:r>
              <w:rPr>
                <w:rFonts w:hint="default" w:ascii="Times New Roman" w:hAnsi="Times New Roman" w:cs="Times New Roman"/>
                <w:color w:val="auto"/>
                <w:sz w:val="21"/>
                <w:szCs w:val="21"/>
                <w:highlight w:val="none"/>
                <w:lang w:eastAsia="zh-CN"/>
              </w:rPr>
              <w:t>项目不要求提供履约保证金。</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□本项目要求提供履约保证金。履约保证金为合同</w:t>
            </w:r>
            <w:r>
              <w:rPr>
                <w:rFonts w:hint="default" w:ascii="Times New Roman" w:hAnsi="Times New Roman" w:cs="Times New Roman"/>
                <w:color w:val="auto"/>
                <w:sz w:val="21"/>
                <w:szCs w:val="21"/>
                <w:highlight w:val="none"/>
                <w:lang w:eastAsia="zh-CN"/>
              </w:rPr>
              <w:t>总</w:t>
            </w:r>
            <w:r>
              <w:rPr>
                <w:rFonts w:hint="default" w:ascii="Times New Roman" w:hAnsi="Times New Roman" w:cs="Times New Roman"/>
                <w:color w:val="auto"/>
                <w:sz w:val="21"/>
                <w:szCs w:val="21"/>
                <w:highlight w:val="none"/>
              </w:rPr>
              <w:t>金额</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%，即人民币</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none"/>
                <w:lang w:val="en" w:eastAsia="zh-CN"/>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乙方应在合同签订之日起 30 日内提交甲方。提交方式为银行电汇、金融机构或担保机构出具的保函。在合同履行期满，扣除应扣除的款项（如有）且双方无争议后，无息返还。</w:t>
            </w:r>
          </w:p>
          <w:p>
            <w:pPr>
              <w:keepNext w:val="0"/>
              <w:keepLines w:val="0"/>
              <w:pageBreakBefore w:val="0"/>
              <w:tabs>
                <w:tab w:val="left" w:pos="70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办理返还履约保证金时，乙方应提供履约保证金返还申请（格式另附）、</w:t>
            </w:r>
            <w:r>
              <w:rPr>
                <w:rFonts w:hint="default" w:ascii="Times New Roman" w:hAnsi="Times New Roman" w:cs="Times New Roman"/>
                <w:color w:val="auto"/>
                <w:sz w:val="21"/>
                <w:szCs w:val="21"/>
                <w:highlight w:val="none"/>
                <w:lang w:eastAsia="zh-CN"/>
              </w:rPr>
              <w:t>合同或</w:t>
            </w:r>
            <w:r>
              <w:rPr>
                <w:rFonts w:hint="default" w:ascii="Times New Roman" w:hAnsi="Times New Roman" w:cs="Times New Roman"/>
                <w:color w:val="auto"/>
                <w:sz w:val="21"/>
                <w:szCs w:val="21"/>
                <w:highlight w:val="none"/>
              </w:rPr>
              <w:t>合同关键页复印件、合同约定的其他资料。涉及验收的，应同时提交甲方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出具的项目终验意见或</w:t>
            </w:r>
            <w:r>
              <w:rPr>
                <w:rFonts w:hint="default" w:ascii="Times New Roman" w:hAnsi="Times New Roman" w:cs="Times New Roman"/>
                <w:color w:val="auto"/>
                <w:sz w:val="21"/>
                <w:szCs w:val="21"/>
                <w:highlight w:val="none"/>
                <w:lang w:eastAsia="zh-CN"/>
              </w:rPr>
              <w:t>质量保证</w:t>
            </w:r>
            <w:r>
              <w:rPr>
                <w:rFonts w:hint="default" w:ascii="Times New Roman" w:hAnsi="Times New Roman" w:cs="Times New Roman"/>
                <w:color w:val="auto"/>
                <w:sz w:val="21"/>
                <w:szCs w:val="21"/>
                <w:highlight w:val="none"/>
              </w:rPr>
              <w:t>期（服务期）满验收意见。</w:t>
            </w:r>
          </w:p>
          <w:p>
            <w:pPr>
              <w:keepNext w:val="0"/>
              <w:keepLines w:val="0"/>
              <w:pageBreakBefore w:val="0"/>
              <w:tabs>
                <w:tab w:val="left" w:pos="70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满足履约保证金返还条件的，甲方在收到返还相关信息等合同约定资料后，进行核实。对核实结果无异议的，自完成核实之日起30日内，以</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方式返还履约保证金</w:t>
            </w:r>
            <w:r>
              <w:rPr>
                <w:rFonts w:hint="default" w:ascii="Times New Roman" w:hAnsi="Times New Roman" w:cs="Times New Roman"/>
                <w:color w:val="auto"/>
                <w:sz w:val="21"/>
                <w:szCs w:val="21"/>
                <w:highlight w:val="none"/>
                <w:lang w:eastAsia="zh-CN"/>
              </w:rPr>
              <w:t>或退回保函</w:t>
            </w:r>
            <w:r>
              <w:rPr>
                <w:rFonts w:hint="default" w:ascii="Times New Roman" w:hAnsi="Times New Roman" w:cs="Times New Roman"/>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合同履行期限</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自合同签订之日起至质量保障期</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服务期）满</w:t>
            </w:r>
            <w:r>
              <w:rPr>
                <w:rFonts w:hint="default" w:ascii="Times New Roman" w:hAnsi="Times New Roman" w:cs="Times New Roman"/>
                <w:color w:val="auto"/>
                <w:sz w:val="21"/>
                <w:szCs w:val="21"/>
                <w:highlight w:val="none"/>
                <w:lang w:eastAsia="zh-CN"/>
              </w:rPr>
              <w:t>验收合格</w:t>
            </w:r>
            <w:r>
              <w:rPr>
                <w:rFonts w:hint="default" w:ascii="Times New Roman" w:hAnsi="Times New Roman" w:cs="Times New Roman"/>
                <w:color w:val="auto"/>
                <w:sz w:val="21"/>
                <w:szCs w:val="21"/>
                <w:highlight w:val="none"/>
              </w:rPr>
              <w:t>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zh-CN"/>
              </w:rPr>
              <w:t>项目</w:t>
            </w:r>
            <w:r>
              <w:rPr>
                <w:rFonts w:hint="default" w:ascii="Times New Roman" w:hAnsi="Times New Roman" w:cs="Times New Roman"/>
                <w:color w:val="auto"/>
                <w:sz w:val="21"/>
                <w:szCs w:val="21"/>
                <w:highlight w:val="none"/>
              </w:rPr>
              <w:t>质量保障期</w:t>
            </w:r>
          </w:p>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 w:eastAsia="zh-CN"/>
              </w:rPr>
            </w:pPr>
            <w:r>
              <w:rPr>
                <w:rFonts w:hint="default" w:ascii="Times New Roman" w:hAnsi="Times New Roman" w:cs="Times New Roman"/>
                <w:color w:val="auto"/>
                <w:sz w:val="21"/>
                <w:szCs w:val="21"/>
                <w:highlight w:val="none"/>
                <w:lang w:eastAsia="zh-CN"/>
              </w:rPr>
              <w:t>（服务期）</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zh-CN"/>
              </w:rPr>
              <w:t>自合同签订之日起至</w:t>
            </w:r>
            <w:r>
              <w:rPr>
                <w:rFonts w:hint="default" w:ascii="Times New Roman" w:hAnsi="Times New Roman" w:cs="Times New Roman"/>
                <w:color w:val="auto"/>
                <w:sz w:val="21"/>
                <w:szCs w:val="21"/>
                <w:highlight w:val="none"/>
                <w:u w:val="singl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合同履约地点</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甲方指定地点</w:t>
            </w:r>
          </w:p>
        </w:tc>
      </w:tr>
    </w:tbl>
    <w:p>
      <w:pPr>
        <w:tabs>
          <w:tab w:val="left" w:pos="700"/>
        </w:tabs>
        <w:topLinePunct/>
        <w:autoSpaceDE w:val="0"/>
        <w:autoSpaceDN w:val="0"/>
        <w:spacing w:line="460" w:lineRule="exact"/>
        <w:rPr>
          <w:rFonts w:hint="eastAsia" w:ascii="宋体" w:hAnsi="宋体" w:cs="宋体"/>
          <w:b/>
          <w:color w:val="auto"/>
          <w:sz w:val="24"/>
          <w:highlight w:val="none"/>
        </w:rPr>
      </w:pPr>
      <w:r>
        <w:rPr>
          <w:rFonts w:hint="eastAsia" w:ascii="宋体" w:hAnsi="宋体" w:cs="宋体"/>
          <w:b/>
          <w:color w:val="auto"/>
          <w:sz w:val="28"/>
          <w:highlight w:val="none"/>
        </w:rPr>
        <w:br w:type="page"/>
      </w:r>
    </w:p>
    <w:p>
      <w:pPr>
        <w:keepNext w:val="0"/>
        <w:keepLines w:val="0"/>
        <w:pageBreakBefore w:val="0"/>
        <w:widowControl w:val="0"/>
        <w:tabs>
          <w:tab w:val="left" w:pos="0"/>
        </w:tabs>
        <w:kinsoku/>
        <w:wordWrap/>
        <w:overflowPunct/>
        <w:topLinePunct/>
        <w:autoSpaceDE w:val="0"/>
        <w:autoSpaceDN w:val="0"/>
        <w:bidi w:val="0"/>
        <w:adjustRightInd/>
        <w:snapToGrid/>
        <w:spacing w:line="360" w:lineRule="auto"/>
        <w:jc w:val="center"/>
        <w:textAlignment w:val="auto"/>
        <w:rPr>
          <w:rFonts w:hint="eastAsia" w:ascii="宋体" w:hAnsi="宋体" w:cs="宋体"/>
          <w:b/>
          <w:color w:val="auto"/>
          <w:sz w:val="24"/>
          <w:highlight w:val="none"/>
        </w:rPr>
      </w:pPr>
      <w:r>
        <w:rPr>
          <w:rFonts w:hint="eastAsia" w:ascii="宋体" w:hAnsi="宋体" w:cs="宋体"/>
          <w:b/>
          <w:color w:val="auto"/>
          <w:sz w:val="24"/>
          <w:highlight w:val="none"/>
        </w:rPr>
        <w:t xml:space="preserve">一   合  同 </w:t>
      </w:r>
    </w:p>
    <w:p>
      <w:pPr>
        <w:tabs>
          <w:tab w:val="left" w:pos="540"/>
        </w:tabs>
        <w:topLinePunct/>
        <w:autoSpaceDE w:val="0"/>
        <w:autoSpaceDN w:val="0"/>
        <w:spacing w:line="460" w:lineRule="exact"/>
        <w:rPr>
          <w:rFonts w:hint="default" w:ascii="Times New Roman" w:hAnsi="Times New Roman" w:cs="Times New Roman"/>
          <w:b/>
          <w:color w:val="auto"/>
          <w:sz w:val="24"/>
          <w:highlight w:val="none"/>
        </w:rPr>
      </w:pP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国家税务总局</w:t>
      </w:r>
      <w:r>
        <w:rPr>
          <w:rFonts w:hint="eastAsia" w:ascii="Times New Roman" w:hAnsi="Times New Roman" w:cs="Times New Roman"/>
          <w:color w:val="auto"/>
          <w:sz w:val="21"/>
          <w:szCs w:val="21"/>
          <w:highlight w:val="none"/>
          <w:lang w:eastAsia="zh-CN"/>
        </w:rPr>
        <w:t>黑龙江省税务局</w:t>
      </w:r>
      <w:r>
        <w:rPr>
          <w:rFonts w:hint="default" w:ascii="Times New Roman" w:hAnsi="Times New Roman" w:cs="Times New Roman"/>
          <w:color w:val="auto"/>
          <w:sz w:val="21"/>
          <w:szCs w:val="21"/>
          <w:highlight w:val="none"/>
        </w:rPr>
        <w:t>（以下简称“甲方”）通过</w:t>
      </w:r>
      <w:r>
        <w:rPr>
          <w:rFonts w:hint="eastAsia" w:ascii="Times New Roman" w:hAnsi="Times New Roman" w:cs="Times New Roman"/>
          <w:color w:val="auto"/>
          <w:sz w:val="21"/>
          <w:szCs w:val="21"/>
          <w:highlight w:val="none"/>
          <w:u w:val="single"/>
          <w:lang w:val="en-US" w:eastAsia="zh-CN"/>
        </w:rPr>
        <w:t>公开招标</w:t>
      </w:r>
      <w:r>
        <w:rPr>
          <w:rFonts w:hint="eastAsia" w:ascii="Times New Roman" w:hAnsi="Times New Roman" w:cs="Times New Roman"/>
          <w:color w:val="auto"/>
          <w:sz w:val="21"/>
          <w:szCs w:val="21"/>
          <w:highlight w:val="none"/>
          <w:u w:val="none"/>
          <w:lang w:val="en-US" w:eastAsia="zh-CN"/>
        </w:rPr>
        <w:t>方</w:t>
      </w:r>
      <w:r>
        <w:rPr>
          <w:rFonts w:hint="default" w:ascii="Times New Roman" w:hAnsi="Times New Roman" w:cs="Times New Roman"/>
          <w:color w:val="auto"/>
          <w:sz w:val="21"/>
          <w:szCs w:val="21"/>
          <w:highlight w:val="none"/>
          <w:u w:val="none"/>
          <w:lang w:val="en-US" w:eastAsia="zh-CN"/>
        </w:rPr>
        <w:t>式</w:t>
      </w:r>
      <w:r>
        <w:rPr>
          <w:rFonts w:hint="default" w:ascii="Times New Roman" w:hAnsi="Times New Roman" w:cs="Times New Roman"/>
          <w:color w:val="auto"/>
          <w:sz w:val="21"/>
          <w:szCs w:val="21"/>
          <w:highlight w:val="none"/>
        </w:rPr>
        <w:t>采购</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确定_</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_____公司（以下简称“乙方”）为《</w:t>
      </w:r>
      <w:r>
        <w:rPr>
          <w:rFonts w:hint="eastAsia" w:eastAsia="宋体"/>
          <w:color w:val="auto"/>
          <w:highlight w:val="none"/>
          <w:u w:val="single"/>
          <w:lang w:eastAsia="zh-CN"/>
        </w:rPr>
        <w:t>国家税务总局黑龙江省税务局内部文件及资料印制服务采购项目</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中标供应商</w:t>
      </w:r>
      <w:r>
        <w:rPr>
          <w:rFonts w:hint="default" w:ascii="Times New Roman" w:hAnsi="Times New Roman" w:cs="Times New Roman"/>
          <w:color w:val="auto"/>
          <w:sz w:val="21"/>
          <w:szCs w:val="21"/>
          <w:highlight w:val="none"/>
        </w:rPr>
        <w:t>。甲乙双方同意按照该项目</w:t>
      </w:r>
      <w:r>
        <w:rPr>
          <w:rFonts w:hint="default" w:ascii="Times New Roman" w:hAnsi="Times New Roman" w:cs="Times New Roman"/>
          <w:color w:val="auto"/>
          <w:sz w:val="21"/>
          <w:szCs w:val="21"/>
          <w:highlight w:val="none"/>
          <w:lang w:eastAsia="zh-CN"/>
        </w:rPr>
        <w:t>招标（采购）文件</w:t>
      </w:r>
      <w:r>
        <w:rPr>
          <w:rFonts w:hint="default" w:ascii="Times New Roman" w:hAnsi="Times New Roman" w:cs="Times New Roman"/>
          <w:color w:val="auto"/>
          <w:sz w:val="21"/>
          <w:szCs w:val="21"/>
          <w:highlight w:val="none"/>
        </w:rPr>
        <w:t>约定的内容，签署《</w:t>
      </w:r>
      <w:r>
        <w:rPr>
          <w:rFonts w:hint="eastAsia" w:eastAsia="宋体"/>
          <w:color w:val="auto"/>
          <w:highlight w:val="none"/>
          <w:u w:val="single"/>
          <w:lang w:eastAsia="zh-CN"/>
        </w:rPr>
        <w:t>国家税务总局黑龙江省税务局内部文件及资料印制服务</w:t>
      </w:r>
      <w:r>
        <w:rPr>
          <w:rFonts w:hint="eastAsia"/>
          <w:color w:val="auto"/>
          <w:highlight w:val="none"/>
          <w:u w:val="single"/>
          <w:lang w:eastAsia="zh-CN"/>
        </w:rPr>
        <w:t>政府采购</w:t>
      </w:r>
      <w:r>
        <w:rPr>
          <w:rFonts w:hint="default" w:ascii="Times New Roman" w:hAnsi="Times New Roman" w:cs="Times New Roman"/>
          <w:color w:val="auto"/>
          <w:sz w:val="21"/>
          <w:szCs w:val="21"/>
          <w:highlight w:val="none"/>
        </w:rPr>
        <w:t>合同书》（合同编号：</w:t>
      </w:r>
      <w:r>
        <w:rPr>
          <w:rFonts w:hint="default" w:ascii="Times New Roman" w:hAnsi="Times New Roman" w:cs="Times New Roman"/>
          <w:color w:val="auto"/>
          <w:sz w:val="21"/>
          <w:szCs w:val="21"/>
          <w:highlight w:val="none"/>
          <w:u w:val="single"/>
        </w:rPr>
        <w:t xml:space="preserve">      </w:t>
      </w:r>
      <w:r>
        <w:rPr>
          <w:rFonts w:hint="default" w:ascii="Times New Roman" w:hAnsi="Times New Roman" w:cs="Times New Roman"/>
          <w:color w:val="auto"/>
          <w:sz w:val="21"/>
          <w:szCs w:val="21"/>
          <w:highlight w:val="none"/>
        </w:rPr>
        <w:t>，以下简称“合同”)。</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 合同文件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本合同所附下列文件是构成本合同不可分割的部分：</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（1）合同通用条款；</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（2）报价表（总报价表和分项报价表）；</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eastAsia="zh-CN"/>
        </w:rPr>
        <w:t>）招标（采购）文件；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投标（响应）</w:t>
      </w:r>
      <w:r>
        <w:rPr>
          <w:rFonts w:hint="default" w:ascii="Times New Roman" w:hAnsi="Times New Roman" w:cs="Times New Roman"/>
          <w:color w:val="auto"/>
          <w:sz w:val="21"/>
          <w:szCs w:val="21"/>
          <w:highlight w:val="none"/>
        </w:rPr>
        <w:t>文件。</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 合同范围和条件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本合同的范围和条件应与上述合同文件的规定相一致。</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13" w:firstLineChars="196"/>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3. 合同金额</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本合同金额为人民币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p>
    <w:p>
      <w:pPr>
        <w:keepNext w:val="0"/>
        <w:keepLines w:val="0"/>
        <w:pageBreakBefore w:val="0"/>
        <w:widowControl w:val="0"/>
        <w:numPr>
          <w:ilvl w:val="0"/>
          <w:numId w:val="0"/>
        </w:numPr>
        <w:tabs>
          <w:tab w:val="left" w:pos="700"/>
        </w:tabs>
        <w:kinsoku/>
        <w:wordWrap/>
        <w:overflowPunct/>
        <w:topLinePunct/>
        <w:autoSpaceDE w:val="0"/>
        <w:autoSpaceDN w:val="0"/>
        <w:bidi w:val="0"/>
        <w:snapToGrid w:val="0"/>
        <w:spacing w:line="360" w:lineRule="auto"/>
        <w:ind w:firstLine="422" w:firstLineChars="200"/>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
        </w:rPr>
        <w:t>4.</w:t>
      </w:r>
      <w:r>
        <w:rPr>
          <w:rFonts w:hint="default" w:ascii="Times New Roman" w:hAnsi="Times New Roman" w:cs="Times New Roman"/>
          <w:b/>
          <w:color w:val="auto"/>
          <w:sz w:val="21"/>
          <w:szCs w:val="21"/>
          <w:highlight w:val="none"/>
        </w:rPr>
        <w:t>付款条件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付款方式：</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乙方每年的具体印量以甲方实际发生的印制数量为准，按照合同价格进行结算。......</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每次办理付款时，乙方应提供发票、付款申请（格式另附）、合同或合同关键页复印件、合同约定的其他资料。涉及验收的，应同时提交甲方需求部门出具的验收意见。支付合同款项时（合同初次付款外），如属于信息化监理范围内的项目，应经实施单位、业主单位、监理单位共同签字认可；如属于需要进行中期报告的项目，应附中期报告审议意见为“通过”的文书。</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甲方在收到发票等合同约定资料后，进行核实。满足合同约定支付条件的，自收到发票后30日内将资金以      （如：电汇）方式支付到乙方账户。</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13" w:firstLineChars="196"/>
        <w:rPr>
          <w:rFonts w:hint="default" w:ascii="Times New Roman" w:hAnsi="Times New Roman" w:cs="Times New Roman"/>
          <w:b/>
          <w:color w:val="auto"/>
          <w:sz w:val="21"/>
          <w:szCs w:val="21"/>
          <w:highlight w:val="none"/>
          <w:lang w:val="en-US" w:eastAsia="zh-CN"/>
        </w:rPr>
      </w:pPr>
      <w:r>
        <w:rPr>
          <w:rFonts w:hint="default" w:ascii="Times New Roman" w:hAnsi="Times New Roman" w:cs="Times New Roman"/>
          <w:b/>
          <w:color w:val="auto"/>
          <w:sz w:val="21"/>
          <w:szCs w:val="21"/>
          <w:highlight w:val="none"/>
        </w:rPr>
        <w:t>5. 合同签订</w:t>
      </w:r>
      <w:r>
        <w:rPr>
          <w:rFonts w:hint="default" w:ascii="Times New Roman" w:hAnsi="Times New Roman" w:cs="Times New Roman"/>
          <w:b/>
          <w:color w:val="auto"/>
          <w:sz w:val="21"/>
          <w:szCs w:val="21"/>
          <w:highlight w:val="none"/>
          <w:lang w:eastAsia="zh-CN"/>
        </w:rPr>
        <w:t>及生效</w:t>
      </w:r>
    </w:p>
    <w:p>
      <w:pPr>
        <w:pStyle w:val="57"/>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本合同一式</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rPr>
        <w:t>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由甲乙双方</w:t>
      </w:r>
      <w:r>
        <w:rPr>
          <w:rFonts w:hint="default" w:ascii="Times New Roman" w:hAnsi="Times New Roman" w:cs="Times New Roman"/>
          <w:color w:val="auto"/>
          <w:sz w:val="21"/>
          <w:szCs w:val="21"/>
          <w:highlight w:val="none"/>
          <w:lang w:eastAsia="zh-CN"/>
        </w:rPr>
        <w:t>法定代表人或被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签字</w:t>
      </w:r>
      <w:r>
        <w:rPr>
          <w:rFonts w:hint="default" w:ascii="Times New Roman" w:hAnsi="Times New Roman" w:cs="Times New Roman"/>
          <w:color w:val="auto"/>
          <w:sz w:val="21"/>
          <w:szCs w:val="21"/>
          <w:highlight w:val="none"/>
          <w:lang w:eastAsia="zh-CN"/>
        </w:rPr>
        <w:t>并</w:t>
      </w:r>
      <w:r>
        <w:rPr>
          <w:rFonts w:hint="default" w:ascii="Times New Roman" w:hAnsi="Times New Roman" w:cs="Times New Roman"/>
          <w:color w:val="auto"/>
          <w:sz w:val="21"/>
          <w:szCs w:val="21"/>
          <w:highlight w:val="none"/>
        </w:rPr>
        <w:t>盖章</w:t>
      </w:r>
      <w:r>
        <w:rPr>
          <w:rFonts w:hint="default" w:ascii="Times New Roman" w:hAnsi="Times New Roman" w:cs="Times New Roman"/>
          <w:color w:val="auto"/>
          <w:sz w:val="21"/>
          <w:szCs w:val="21"/>
          <w:highlight w:val="none"/>
          <w:lang w:eastAsia="zh-CN"/>
        </w:rPr>
        <w:t>后生效。</w:t>
      </w:r>
    </w:p>
    <w:p>
      <w:pPr>
        <w:pStyle w:val="57"/>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乙方由</w:t>
      </w:r>
      <w:r>
        <w:rPr>
          <w:rFonts w:hint="default" w:ascii="Times New Roman" w:hAnsi="Times New Roman" w:cs="Times New Roman"/>
          <w:color w:val="auto"/>
          <w:sz w:val="21"/>
          <w:szCs w:val="21"/>
          <w:highlight w:val="none"/>
          <w:lang w:eastAsia="zh-CN"/>
        </w:rPr>
        <w:t>法定代表人</w:t>
      </w:r>
      <w:r>
        <w:rPr>
          <w:rFonts w:hint="default" w:ascii="Times New Roman" w:hAnsi="Times New Roman" w:cs="Times New Roman"/>
          <w:color w:val="auto"/>
          <w:sz w:val="21"/>
          <w:szCs w:val="21"/>
          <w:highlight w:val="none"/>
        </w:rPr>
        <w:t>签订合同的，应提供</w:t>
      </w:r>
      <w:r>
        <w:rPr>
          <w:rFonts w:hint="default" w:ascii="Times New Roman" w:hAnsi="Times New Roman" w:cs="Times New Roman"/>
          <w:color w:val="auto"/>
          <w:sz w:val="21"/>
          <w:szCs w:val="21"/>
          <w:highlight w:val="none"/>
          <w:lang w:eastAsia="zh-CN"/>
        </w:rPr>
        <w:t>法定代表人</w:t>
      </w:r>
      <w:r>
        <w:rPr>
          <w:rFonts w:hint="default" w:ascii="Times New Roman" w:hAnsi="Times New Roman" w:cs="Times New Roman"/>
          <w:color w:val="auto"/>
          <w:sz w:val="21"/>
          <w:szCs w:val="21"/>
          <w:highlight w:val="none"/>
        </w:rPr>
        <w:t>身份证复印件；乙方由</w:t>
      </w:r>
      <w:r>
        <w:rPr>
          <w:rFonts w:hint="default" w:ascii="Times New Roman" w:hAnsi="Times New Roman" w:cs="Times New Roman"/>
          <w:color w:val="auto"/>
          <w:sz w:val="21"/>
          <w:szCs w:val="21"/>
          <w:highlight w:val="none"/>
          <w:lang w:eastAsia="zh-CN"/>
        </w:rPr>
        <w:t>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签订合同的，</w:t>
      </w:r>
      <w:r>
        <w:rPr>
          <w:rFonts w:hint="default" w:ascii="Times New Roman" w:hAnsi="Times New Roman" w:cs="Times New Roman"/>
          <w:color w:val="auto"/>
          <w:sz w:val="21"/>
          <w:szCs w:val="21"/>
          <w:highlight w:val="none"/>
          <w:lang w:eastAsia="zh-CN"/>
        </w:rPr>
        <w:t>应</w:t>
      </w:r>
      <w:r>
        <w:rPr>
          <w:rFonts w:hint="default" w:ascii="Times New Roman" w:hAnsi="Times New Roman" w:cs="Times New Roman"/>
          <w:color w:val="auto"/>
          <w:sz w:val="21"/>
          <w:szCs w:val="21"/>
          <w:highlight w:val="none"/>
        </w:rPr>
        <w:t>提供授权</w:t>
      </w:r>
      <w:r>
        <w:rPr>
          <w:rFonts w:hint="default" w:ascii="Times New Roman" w:hAnsi="Times New Roman" w:cs="Times New Roman"/>
          <w:color w:val="auto"/>
          <w:sz w:val="21"/>
          <w:szCs w:val="21"/>
          <w:highlight w:val="none"/>
          <w:lang w:eastAsia="zh-CN"/>
        </w:rPr>
        <w:t>委托</w:t>
      </w:r>
      <w:r>
        <w:rPr>
          <w:rFonts w:hint="default" w:ascii="Times New Roman" w:hAnsi="Times New Roman" w:cs="Times New Roman"/>
          <w:color w:val="auto"/>
          <w:sz w:val="21"/>
          <w:szCs w:val="21"/>
          <w:highlight w:val="none"/>
        </w:rPr>
        <w:t>书和</w:t>
      </w:r>
      <w:r>
        <w:rPr>
          <w:rFonts w:hint="default" w:ascii="Times New Roman" w:hAnsi="Times New Roman" w:cs="Times New Roman"/>
          <w:color w:val="auto"/>
          <w:sz w:val="21"/>
          <w:szCs w:val="21"/>
          <w:highlight w:val="none"/>
          <w:lang w:eastAsia="zh-CN"/>
        </w:rPr>
        <w:t>法定代表人及被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身份证复印件。</w:t>
      </w:r>
    </w:p>
    <w:p>
      <w:pPr>
        <w:pStyle w:val="57"/>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eastAsia" w:cs="宋体"/>
          <w:color w:val="auto"/>
          <w:sz w:val="21"/>
          <w:szCs w:val="21"/>
          <w:highlight w:val="none"/>
        </w:rPr>
      </w:pPr>
    </w:p>
    <w:p>
      <w:pPr>
        <w:keepNext w:val="0"/>
        <w:keepLines w:val="0"/>
        <w:pageBreakBefore w:val="0"/>
        <w:widowControl w:val="0"/>
        <w:tabs>
          <w:tab w:val="left" w:pos="700"/>
        </w:tabs>
        <w:kinsoku/>
        <w:wordWrap/>
        <w:overflowPunct/>
        <w:topLinePunct/>
        <w:autoSpaceDE w:val="0"/>
        <w:autoSpaceDN w:val="0"/>
        <w:bidi w:val="0"/>
        <w:spacing w:line="360" w:lineRule="auto"/>
        <w:ind w:firstLine="420" w:firstLineChars="200"/>
        <w:rPr>
          <w:rFonts w:hint="eastAsia" w:ascii="宋体" w:hAnsi="宋体" w:cs="宋体"/>
          <w:color w:val="auto"/>
          <w:sz w:val="21"/>
          <w:szCs w:val="21"/>
          <w:highlight w:val="none"/>
        </w:rPr>
      </w:pPr>
    </w:p>
    <w:p>
      <w:pPr>
        <w:keepNext w:val="0"/>
        <w:keepLines w:val="0"/>
        <w:pageBreakBefore w:val="0"/>
        <w:widowControl w:val="0"/>
        <w:kinsoku/>
        <w:wordWrap/>
        <w:overflowPunct/>
        <w:topLinePunct/>
        <w:autoSpaceDE w:val="0"/>
        <w:autoSpaceDN w:val="0"/>
        <w:bidi w:val="0"/>
        <w:adjustRightInd/>
        <w:snapToGrid/>
        <w:spacing w:line="360" w:lineRule="auto"/>
        <w:jc w:val="both"/>
        <w:textAlignment w:val="auto"/>
        <w:rPr>
          <w:rFonts w:hint="eastAsia" w:ascii="宋体" w:hAnsi="宋体" w:cs="宋体"/>
          <w:b/>
          <w:color w:val="auto"/>
          <w:sz w:val="24"/>
          <w:highlight w:val="none"/>
        </w:rPr>
      </w:pPr>
      <w:r>
        <w:rPr>
          <w:rFonts w:ascii="宋体" w:hAnsi="宋体" w:cs="宋体"/>
          <w:b/>
          <w:color w:val="auto"/>
          <w:sz w:val="24"/>
          <w:highlight w:val="none"/>
        </w:rPr>
        <w:br w:type="page"/>
      </w:r>
      <w:r>
        <w:rPr>
          <w:rFonts w:hint="eastAsia" w:ascii="宋体" w:hAnsi="宋体" w:cs="宋体"/>
          <w:b/>
          <w:color w:val="auto"/>
          <w:sz w:val="24"/>
          <w:highlight w:val="none"/>
        </w:rPr>
        <w:t>二   合 同 通 用 条 款</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 定义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本合同下列术语应解释为：</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1.1“甲方”是指国家税务总局</w:t>
      </w:r>
      <w:r>
        <w:rPr>
          <w:rFonts w:hint="eastAsia" w:ascii="Times New Roman" w:hAnsi="Times New Roman" w:cs="Times New Roman"/>
          <w:color w:val="auto"/>
          <w:sz w:val="21"/>
          <w:szCs w:val="21"/>
          <w:highlight w:val="none"/>
          <w:lang w:val="en" w:eastAsia="zh-CN"/>
        </w:rPr>
        <w:t>黑龙江省税务局</w:t>
      </w:r>
      <w:r>
        <w:rPr>
          <w:rFonts w:hint="default" w:ascii="Times New Roman" w:hAnsi="Times New Roman" w:cs="Times New Roman"/>
          <w:color w:val="auto"/>
          <w:sz w:val="21"/>
          <w:szCs w:val="21"/>
          <w:highlight w:val="none"/>
          <w:lang w:val="en" w:eastAsia="zh-CN"/>
        </w:rPr>
        <w:t>税务局</w:t>
      </w:r>
      <w:r>
        <w:rPr>
          <w:rFonts w:hint="default" w:ascii="Times New Roman" w:hAnsi="Times New Roman" w:cs="Times New Roman"/>
          <w:color w:val="auto"/>
          <w:sz w:val="21"/>
          <w:szCs w:val="21"/>
          <w:highlight w:val="none"/>
        </w:rPr>
        <w:t>。</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1.1.1“甲方采购部门”见“合同条款前附表”第</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项“甲方采购部门”。</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1.1.2“甲方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”见“合同条款前附表”第</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项“甲方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1.2“乙方”见“合同条款前附表”第</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项“乙方名称”。</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1.3 “合同”系指甲乙双方签订的、合同格式中载明的甲乙双方所达成的协议，包括所有的附件、附录和上述文件所提到的构成合同的所有文件。</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1.4 “天”除非特别指出，“天”均为自然天。</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 标准</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2.1 乙方为甲方</w:t>
      </w:r>
      <w:r>
        <w:rPr>
          <w:rFonts w:hint="default" w:ascii="Times New Roman" w:hAnsi="Times New Roman" w:cs="Times New Roman"/>
          <w:color w:val="auto"/>
          <w:sz w:val="21"/>
          <w:szCs w:val="21"/>
          <w:highlight w:val="none"/>
          <w:lang w:eastAsia="zh-CN"/>
        </w:rPr>
        <w:t>交付或</w:t>
      </w:r>
      <w:r>
        <w:rPr>
          <w:rFonts w:hint="default" w:ascii="Times New Roman" w:hAnsi="Times New Roman" w:cs="Times New Roman"/>
          <w:color w:val="auto"/>
          <w:sz w:val="21"/>
          <w:szCs w:val="21"/>
          <w:highlight w:val="none"/>
        </w:rPr>
        <w:t>提供的服务应符合</w:t>
      </w:r>
      <w:r>
        <w:rPr>
          <w:rFonts w:hint="default" w:ascii="Times New Roman" w:hAnsi="Times New Roman" w:cs="Times New Roman"/>
          <w:color w:val="auto"/>
          <w:sz w:val="21"/>
          <w:szCs w:val="21"/>
          <w:highlight w:val="none"/>
          <w:lang w:eastAsia="zh-CN"/>
        </w:rPr>
        <w:t>招标（采购）文件</w:t>
      </w:r>
      <w:r>
        <w:rPr>
          <w:rFonts w:hint="default" w:ascii="Times New Roman" w:hAnsi="Times New Roman" w:cs="Times New Roman"/>
          <w:color w:val="auto"/>
          <w:sz w:val="21"/>
          <w:szCs w:val="21"/>
          <w:highlight w:val="none"/>
        </w:rPr>
        <w:t>所述的</w:t>
      </w:r>
      <w:r>
        <w:rPr>
          <w:rFonts w:hint="default" w:ascii="Times New Roman" w:hAnsi="Times New Roman" w:cs="Times New Roman"/>
          <w:color w:val="auto"/>
          <w:sz w:val="21"/>
          <w:szCs w:val="21"/>
          <w:highlight w:val="none"/>
          <w:lang w:eastAsia="zh-CN"/>
        </w:rPr>
        <w:t>标准</w:t>
      </w:r>
      <w:r>
        <w:rPr>
          <w:rFonts w:hint="default" w:ascii="Times New Roman" w:hAnsi="Times New Roman" w:cs="Times New Roman"/>
          <w:color w:val="auto"/>
          <w:sz w:val="21"/>
          <w:szCs w:val="21"/>
          <w:highlight w:val="none"/>
        </w:rPr>
        <w:t>，如果没有提及适用标准，则应符合相应的国家标准。这些标准必须是有关机构发布的最新版本的标准。</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2.2 除非技术要求中另有规定，计量单位均采用中华人民共和国法定计量单位。</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3. 服务</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Cs/>
          <w:color w:val="auto"/>
          <w:sz w:val="21"/>
          <w:szCs w:val="21"/>
          <w:highlight w:val="none"/>
        </w:rPr>
        <w:t>3.1 本项目的“服务”见“合同条款前附表”第</w:t>
      </w:r>
      <w:r>
        <w:rPr>
          <w:rFonts w:hint="default" w:ascii="Times New Roman" w:hAnsi="Times New Roman" w:cs="Times New Roman"/>
          <w:bCs/>
          <w:color w:val="auto"/>
          <w:sz w:val="21"/>
          <w:szCs w:val="21"/>
          <w:highlight w:val="none"/>
          <w:lang w:val="en-US" w:eastAsia="zh-CN"/>
        </w:rPr>
        <w:t>8</w:t>
      </w:r>
      <w:r>
        <w:rPr>
          <w:rFonts w:hint="default" w:ascii="Times New Roman" w:hAnsi="Times New Roman" w:cs="Times New Roman"/>
          <w:bCs/>
          <w:color w:val="auto"/>
          <w:sz w:val="21"/>
          <w:szCs w:val="21"/>
          <w:highlight w:val="none"/>
        </w:rPr>
        <w:t>项“服务内容”。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3.2 乙方应保证所提供的服务符合合同规定的技术要求。如不符时，乙方应负全责并尽快处理解决，由此造成的损失和相关费用由乙方负责，甲方保留终止合同及索赔的权利。</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3.3 乙方应保证通过执行合同中全部方案后，可以取得本合同</w:t>
      </w:r>
      <w:r>
        <w:rPr>
          <w:rFonts w:hint="default" w:ascii="Times New Roman" w:hAnsi="Times New Roman" w:cs="Times New Roman"/>
          <w:color w:val="auto"/>
          <w:sz w:val="21"/>
          <w:szCs w:val="21"/>
          <w:highlight w:val="none"/>
          <w:lang w:eastAsia="zh-CN"/>
        </w:rPr>
        <w:t>约定</w:t>
      </w:r>
      <w:r>
        <w:rPr>
          <w:rFonts w:hint="default" w:ascii="Times New Roman" w:hAnsi="Times New Roman" w:cs="Times New Roman"/>
          <w:color w:val="auto"/>
          <w:sz w:val="21"/>
          <w:szCs w:val="21"/>
          <w:highlight w:val="none"/>
        </w:rPr>
        <w:t>的结果，达到本合同</w:t>
      </w:r>
      <w:r>
        <w:rPr>
          <w:rFonts w:hint="default" w:ascii="Times New Roman" w:hAnsi="Times New Roman" w:cs="Times New Roman"/>
          <w:color w:val="auto"/>
          <w:sz w:val="21"/>
          <w:szCs w:val="21"/>
          <w:highlight w:val="none"/>
          <w:lang w:eastAsia="zh-CN"/>
        </w:rPr>
        <w:t>约定</w:t>
      </w:r>
      <w:r>
        <w:rPr>
          <w:rFonts w:hint="default" w:ascii="Times New Roman" w:hAnsi="Times New Roman" w:cs="Times New Roman"/>
          <w:color w:val="auto"/>
          <w:sz w:val="21"/>
          <w:szCs w:val="21"/>
          <w:highlight w:val="none"/>
        </w:rPr>
        <w:t>的预期目标。对任何情况下出现的问题，应尽快提出解决方案。</w:t>
      </w:r>
    </w:p>
    <w:p>
      <w:pPr>
        <w:keepNext w:val="0"/>
        <w:keepLines w:val="0"/>
        <w:pageBreakBefore w:val="0"/>
        <w:widowControl w:val="0"/>
        <w:tabs>
          <w:tab w:val="left" w:pos="0"/>
          <w:tab w:val="left" w:pos="54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3.4 如果乙方提供的服务和解决方案不符合甲方要求，或在规定的时间内没有弥补缺陷，甲方有权采取一切必要的补救措施，由此产生的费用全部由乙方负责。</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3.5 除合同条款另行规定外，伴随服务的费用应含在合同价中，不单独进行支付。</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4. 知识产权</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4.1 乙方应保证所提供</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rPr>
        <w:t>服务免受第三方提出侵犯其知识产权（专利权、商标权、</w:t>
      </w:r>
      <w:r>
        <w:rPr>
          <w:rFonts w:hint="default" w:ascii="Times New Roman" w:hAnsi="Times New Roman" w:cs="Times New Roman"/>
          <w:color w:val="auto"/>
          <w:sz w:val="21"/>
          <w:szCs w:val="21"/>
          <w:highlight w:val="none"/>
          <w:lang w:eastAsia="zh-CN"/>
        </w:rPr>
        <w:t>软件著作权、</w:t>
      </w:r>
      <w:r>
        <w:rPr>
          <w:rFonts w:hint="default" w:ascii="Times New Roman" w:hAnsi="Times New Roman" w:cs="Times New Roman"/>
          <w:color w:val="auto"/>
          <w:sz w:val="21"/>
          <w:szCs w:val="21"/>
          <w:highlight w:val="none"/>
        </w:rPr>
        <w:t>版权等）的起诉。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4.3 乙方不得利用本项目实施过程中所产生的成果（包括发明、发现、可运行系统、源代码及相关技术资料、文档等），另行自行开发本合同业务范围内供纳税人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使用的软件或产品，不得利用开发便利变相收费或搭车收费。</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5. 保密条款</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5.1 甲乙双方应对在本合同签订或履行过程中所接触的对方信息，包括但不限于知识产权、技术资料、技术诀窍、内部管理及其他相关信息，负有保密义务。</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 应以审慎态度避免泄漏、公开或传播甲方的信息；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 在开发过程中对数据的处理方式应事先得到甲方的许可；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 未经甲方书面许可，不得对有关信息进行修改、补充、复制；</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 未经甲方书面许可，不得将信息以任何方式（如E-mail）携带出甲方场所；</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（5） 未经甲方书面许可，不得将信息透露给任何其他人； </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 严禁在提交的软件</w:t>
      </w:r>
      <w:r>
        <w:rPr>
          <w:rFonts w:hint="default" w:ascii="Times New Roman" w:hAnsi="Times New Roman" w:cs="Times New Roman"/>
          <w:color w:val="auto"/>
          <w:sz w:val="21"/>
          <w:szCs w:val="21"/>
          <w:highlight w:val="none"/>
          <w:lang w:eastAsia="zh-CN"/>
        </w:rPr>
        <w:t>产品</w:t>
      </w:r>
      <w:r>
        <w:rPr>
          <w:rFonts w:hint="default" w:ascii="Times New Roman" w:hAnsi="Times New Roman" w:cs="Times New Roman"/>
          <w:color w:val="auto"/>
          <w:sz w:val="21"/>
          <w:szCs w:val="21"/>
          <w:highlight w:val="none"/>
        </w:rPr>
        <w:t>中设置远程维护接口和后门程序；</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 不得进行系统软硬件设备的远程维护；</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（8） 甲方以书面形式提出的其他保密措施。</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5.3 保密期限不受合同有效期的限制，在合同有效期结束后，信息接受方仍应承担保密义务，直至该等信息成为公开信息。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5.4 甲乙双方如出现泄密行为，泄密方应承担相关的法律责任，包括但是不限于对由此给对方造成的经济损失进行赔偿。</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6</w:t>
      </w:r>
      <w:r>
        <w:rPr>
          <w:rFonts w:hint="default" w:ascii="Times New Roman" w:hAnsi="Times New Roman" w:cs="Times New Roman"/>
          <w:b/>
          <w:color w:val="auto"/>
          <w:sz w:val="21"/>
          <w:szCs w:val="21"/>
          <w:highlight w:val="none"/>
        </w:rPr>
        <w:t xml:space="preserve">. </w:t>
      </w:r>
      <w:r>
        <w:rPr>
          <w:rFonts w:hint="default" w:ascii="Times New Roman" w:hAnsi="Times New Roman" w:cs="Times New Roman"/>
          <w:b/>
          <w:color w:val="auto"/>
          <w:sz w:val="21"/>
          <w:szCs w:val="21"/>
          <w:highlight w:val="none"/>
          <w:lang w:eastAsia="zh-CN"/>
        </w:rPr>
        <w:t>履约</w:t>
      </w:r>
      <w:r>
        <w:rPr>
          <w:rFonts w:hint="default" w:ascii="Times New Roman" w:hAnsi="Times New Roman" w:cs="Times New Roman"/>
          <w:b/>
          <w:color w:val="auto"/>
          <w:sz w:val="21"/>
          <w:szCs w:val="21"/>
          <w:highlight w:val="none"/>
        </w:rPr>
        <w:t>验收要求</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.1 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严格按照采购合同开展履约验收。验收时,</w:t>
      </w:r>
      <w:r>
        <w:rPr>
          <w:rFonts w:hint="default" w:ascii="Times New Roman" w:hAnsi="Times New Roman" w:cs="Times New Roman"/>
          <w:color w:val="auto"/>
          <w:sz w:val="21"/>
          <w:szCs w:val="21"/>
          <w:highlight w:val="none"/>
          <w:lang w:eastAsia="zh-CN"/>
        </w:rPr>
        <w:t>应当按照本合同约定的技术、服务和安全标准，对供应商各项义务履行情况进行验收确认。未约定相关标准的，应当按照国家强制性规定、政策要求、安全标准和行业有关标准进行验收确认。</w:t>
      </w:r>
      <w:r>
        <w:rPr>
          <w:rFonts w:hint="default" w:ascii="Times New Roman" w:hAnsi="Times New Roman" w:cs="Times New Roman"/>
          <w:color w:val="auto"/>
          <w:sz w:val="21"/>
          <w:szCs w:val="21"/>
          <w:highlight w:val="none"/>
        </w:rPr>
        <w:t>验收结束后</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应当出具验收意见，列明合同事项、验收标准及验收情况</w:t>
      </w:r>
      <w:r>
        <w:rPr>
          <w:rFonts w:hint="default" w:ascii="Times New Roman" w:hAnsi="Times New Roman" w:cs="Times New Roman"/>
          <w:color w:val="auto"/>
          <w:sz w:val="21"/>
          <w:szCs w:val="21"/>
          <w:highlight w:val="none"/>
          <w:lang w:eastAsia="zh-CN"/>
        </w:rPr>
        <w:t>，由全体验收人员签字</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.2具体</w:t>
      </w:r>
      <w:r>
        <w:rPr>
          <w:rFonts w:hint="default" w:ascii="Times New Roman" w:hAnsi="Times New Roman" w:cs="Times New Roman"/>
          <w:color w:val="auto"/>
          <w:sz w:val="21"/>
          <w:szCs w:val="21"/>
          <w:highlight w:val="none"/>
          <w:lang w:eastAsia="zh-CN"/>
        </w:rPr>
        <w:t>履约</w:t>
      </w:r>
      <w:r>
        <w:rPr>
          <w:rFonts w:hint="default" w:ascii="Times New Roman" w:hAnsi="Times New Roman" w:cs="Times New Roman"/>
          <w:color w:val="auto"/>
          <w:sz w:val="21"/>
          <w:szCs w:val="21"/>
          <w:highlight w:val="none"/>
        </w:rPr>
        <w:t>验收要求详见</w:t>
      </w:r>
      <w:r>
        <w:rPr>
          <w:rFonts w:hint="default" w:ascii="Times New Roman" w:hAnsi="Times New Roman" w:cs="Times New Roman"/>
          <w:color w:val="auto"/>
          <w:sz w:val="21"/>
          <w:szCs w:val="21"/>
          <w:highlight w:val="none"/>
          <w:lang w:eastAsia="zh-CN"/>
        </w:rPr>
        <w:t>招标（</w:t>
      </w:r>
      <w:r>
        <w:rPr>
          <w:rFonts w:hint="default" w:ascii="Times New Roman" w:hAnsi="Times New Roman" w:cs="Times New Roman"/>
          <w:color w:val="auto"/>
          <w:sz w:val="21"/>
          <w:szCs w:val="21"/>
          <w:highlight w:val="none"/>
        </w:rPr>
        <w:t>采购</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文件。</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7</w:t>
      </w:r>
      <w:r>
        <w:rPr>
          <w:rFonts w:hint="default" w:ascii="Times New Roman" w:hAnsi="Times New Roman" w:cs="Times New Roman"/>
          <w:b/>
          <w:color w:val="auto"/>
          <w:sz w:val="21"/>
          <w:szCs w:val="21"/>
          <w:highlight w:val="none"/>
        </w:rPr>
        <w:t>. 履约保证金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.1 需提交履约保证金的项目，乙方应按照“合同条款前附表”第 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 xml:space="preserve"> 项“履约保证金及返还”提交履约保证金。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.2 履约保证金的金额</w:t>
      </w:r>
      <w:r>
        <w:rPr>
          <w:rFonts w:hint="default" w:ascii="Times New Roman" w:hAnsi="Times New Roman" w:cs="Times New Roman"/>
          <w:color w:val="auto"/>
          <w:sz w:val="21"/>
          <w:szCs w:val="21"/>
          <w:highlight w:val="none"/>
          <w:lang w:eastAsia="zh-CN"/>
        </w:rPr>
        <w:t>可用于</w:t>
      </w:r>
      <w:r>
        <w:rPr>
          <w:rFonts w:hint="default" w:ascii="Times New Roman" w:hAnsi="Times New Roman" w:cs="Times New Roman"/>
          <w:color w:val="auto"/>
          <w:sz w:val="21"/>
          <w:szCs w:val="21"/>
          <w:highlight w:val="none"/>
        </w:rPr>
        <w:t>补偿甲方因乙方不能完成其合同义务而蒙受的损失。</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7.3如乙方未能按时支付合同约定的违约金、赔偿金、其他应付款项等的，甲方有权按照本合同的约定从履约保证金中扣除上述款项。乙方应在甲方扣除履约保证金后 15 天内，及时补充扣除部分金额。若逾期补充的，每日应按应补充金额的万分之五（0.05%）支付甲方违约金。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.4 乙方不履行合同</w:t>
      </w:r>
      <w:bookmarkStart w:id="123" w:name="_GoBack"/>
      <w:bookmarkEnd w:id="123"/>
      <w:r>
        <w:rPr>
          <w:rFonts w:hint="default" w:ascii="Times New Roman" w:hAnsi="Times New Roman" w:cs="Times New Roman"/>
          <w:color w:val="auto"/>
          <w:sz w:val="21"/>
          <w:szCs w:val="21"/>
          <w:highlight w:val="none"/>
        </w:rPr>
        <w:t>或者履行合同义务不符合约定使得合同目的不能实现，履约保证金不予退还，给甲方造成的损失超过履约保证金数额的，还应当对超过部分予以赔偿。</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.5 履约保证金在合同履行期满后，扣除相应款项（如有）且双方无争议后，凭返还申请等资料一次性无息返还，详见“合同条款前附表”第</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项“履约保证金及返还”。</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8</w:t>
      </w:r>
      <w:r>
        <w:rPr>
          <w:rFonts w:hint="default" w:ascii="Times New Roman" w:hAnsi="Times New Roman" w:cs="Times New Roman"/>
          <w:b/>
          <w:color w:val="auto"/>
          <w:sz w:val="21"/>
          <w:szCs w:val="21"/>
          <w:highlight w:val="none"/>
        </w:rPr>
        <w:t>．履约延误</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.1 乙方应按照本合同的规定提供服务。</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赔偿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.4 除不可抗力和根据合同规定延期取得甲方同意而不收取误期赔偿费之外，乙方延误工期，将按合同规定被收取误期赔偿费。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.5 逾期退还履约保证金的违约责任。满足履约保证金返还条件的，甲方在收到返还相关信息等合同约定资料后，进行核实。对核实结果无异议的，应当自完成核实之日起30日内返还履约保证金。无特殊原因逾期退还履约保证金</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rPr>
        <w:t>，乙方可要求</w:t>
      </w:r>
      <w:r>
        <w:rPr>
          <w:rFonts w:hint="default" w:ascii="Times New Roman" w:hAnsi="Times New Roman" w:cs="Times New Roman"/>
          <w:color w:val="auto"/>
          <w:sz w:val="21"/>
          <w:szCs w:val="21"/>
          <w:highlight w:val="none"/>
          <w:lang w:eastAsia="zh-CN"/>
        </w:rPr>
        <w:t>甲方按</w:t>
      </w:r>
      <w:r>
        <w:rPr>
          <w:rFonts w:hint="default" w:ascii="Times New Roman" w:hAnsi="Times New Roman" w:cs="Times New Roman"/>
          <w:color w:val="auto"/>
          <w:sz w:val="21"/>
          <w:szCs w:val="21"/>
          <w:highlight w:val="none"/>
        </w:rPr>
        <w:t>银行</w:t>
      </w:r>
      <w:r>
        <w:rPr>
          <w:rFonts w:hint="default" w:ascii="Times New Roman" w:hAnsi="Times New Roman" w:cs="Times New Roman"/>
          <w:color w:val="auto"/>
          <w:sz w:val="21"/>
          <w:szCs w:val="21"/>
          <w:highlight w:val="none"/>
          <w:lang w:eastAsia="zh-CN"/>
        </w:rPr>
        <w:t>同期</w:t>
      </w:r>
      <w:r>
        <w:rPr>
          <w:rFonts w:hint="default" w:ascii="Times New Roman" w:hAnsi="Times New Roman" w:cs="Times New Roman"/>
          <w:color w:val="auto"/>
          <w:sz w:val="21"/>
          <w:szCs w:val="21"/>
          <w:highlight w:val="none"/>
        </w:rPr>
        <w:t>活期存款</w:t>
      </w:r>
      <w:r>
        <w:rPr>
          <w:rFonts w:hint="default" w:ascii="Times New Roman" w:hAnsi="Times New Roman" w:cs="Times New Roman"/>
          <w:color w:val="auto"/>
          <w:sz w:val="21"/>
          <w:szCs w:val="21"/>
          <w:highlight w:val="none"/>
          <w:lang w:eastAsia="zh-CN"/>
        </w:rPr>
        <w:t>利率支付逾期利息</w:t>
      </w:r>
      <w:r>
        <w:rPr>
          <w:rFonts w:hint="default" w:ascii="Times New Roman" w:hAnsi="Times New Roman" w:cs="Times New Roman"/>
          <w:color w:val="auto"/>
          <w:sz w:val="21"/>
          <w:szCs w:val="21"/>
          <w:highlight w:val="none"/>
        </w:rPr>
        <w:t>。特殊原因逾期返还的，双方协商解决。</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9</w:t>
      </w:r>
      <w:r>
        <w:rPr>
          <w:rFonts w:hint="default" w:ascii="Times New Roman" w:hAnsi="Times New Roman" w:cs="Times New Roman"/>
          <w:b/>
          <w:color w:val="auto"/>
          <w:sz w:val="21"/>
          <w:szCs w:val="21"/>
          <w:highlight w:val="none"/>
        </w:rPr>
        <w:t>. 违约责任</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.1 除本合同另有约定外，乙方不履行合同义务或者履行合同义务不符合合同约定的，按每违反一次从应付款项中扣除合同总金额的百分之一（1%）作为违约金；此外，应当承担继续履行、采取补救措施或者赔偿损失等违约责任。乙方支付的上述违约金、赔偿金等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.2 乙方没有按照时限要求提供服务，且在甲方指定的延长期限内没有采取补救措施，甲方有权自行采取其他方式进行补救，乙方除按合同第</w:t>
      </w: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条约定向甲方支付误期违约金外，另外甲方所发生的一切费用和甲方损失，甲方有权从应付的乙方的合同款项中扣除，不足扣除的乙方应另行支付。</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.3 除应支付甲方违约金等外，甲方有权根据合同或有关部门出具的检验证书向乙方提出索赔。</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.4 如果乙方对差异负有责任而甲方提出索赔，乙方同意按照下列方式解决索赔事宜：</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如果在甲方发出索赔通知后5个工作日内，乙方未作书面答复，上述索赔应视为已被乙方接受。如乙方未能在甲方发出索赔通知后5个工作日内或甲方同意的延长期限内着手解决索赔事宜，甲方有权从乙方的合同款项中扣除索赔金额。</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.5 乙方利用本项目实施过程中所产生的成果（包括发明、发现、可运行系统、源代码及相关技术资料、文档等），另行自行开发本合同业务范围内供纳税人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使用的软件或产品，或利用</w:t>
      </w:r>
      <w:r>
        <w:rPr>
          <w:rFonts w:hint="default" w:ascii="Times New Roman" w:hAnsi="Times New Roman" w:cs="Times New Roman"/>
          <w:color w:val="auto"/>
          <w:sz w:val="21"/>
          <w:szCs w:val="21"/>
          <w:highlight w:val="none"/>
          <w:lang w:eastAsia="zh-CN"/>
        </w:rPr>
        <w:t>为税务机关提供信息化服务的</w:t>
      </w:r>
      <w:r>
        <w:rPr>
          <w:rFonts w:hint="default" w:ascii="Times New Roman" w:hAnsi="Times New Roman" w:cs="Times New Roman"/>
          <w:color w:val="auto"/>
          <w:sz w:val="21"/>
          <w:szCs w:val="21"/>
          <w:highlight w:val="none"/>
        </w:rPr>
        <w:t>便利</w:t>
      </w:r>
      <w:r>
        <w:rPr>
          <w:rFonts w:hint="default" w:ascii="Times New Roman" w:hAnsi="Times New Roman" w:cs="Times New Roman"/>
          <w:color w:val="auto"/>
          <w:sz w:val="21"/>
          <w:szCs w:val="21"/>
          <w:highlight w:val="none"/>
          <w:lang w:eastAsia="zh-CN"/>
        </w:rPr>
        <w:t>，向纳税人缴费人</w:t>
      </w:r>
      <w:r>
        <w:rPr>
          <w:rFonts w:hint="default" w:ascii="Times New Roman" w:hAnsi="Times New Roman" w:cs="Times New Roman"/>
          <w:color w:val="auto"/>
          <w:sz w:val="21"/>
          <w:szCs w:val="21"/>
          <w:highlight w:val="none"/>
        </w:rPr>
        <w:t>搭车收费或变相收费的，</w:t>
      </w:r>
      <w:r>
        <w:rPr>
          <w:rFonts w:hint="default" w:ascii="Times New Roman" w:hAnsi="Times New Roman" w:cs="Times New Roman"/>
          <w:color w:val="auto"/>
          <w:sz w:val="21"/>
          <w:szCs w:val="21"/>
          <w:highlight w:val="none"/>
          <w:lang w:eastAsia="zh-CN"/>
        </w:rPr>
        <w:t>或有其他失信行为的，</w:t>
      </w:r>
      <w:r>
        <w:rPr>
          <w:rFonts w:hint="default" w:ascii="Times New Roman" w:hAnsi="Times New Roman" w:cs="Times New Roman"/>
          <w:color w:val="auto"/>
          <w:sz w:val="21"/>
          <w:szCs w:val="21"/>
          <w:highlight w:val="none"/>
        </w:rPr>
        <w:t>纳入国家税务总局失信名单。</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对于影响恶劣的严重违法失信行为，推送财政部纳入政府采购严重违法失信行为记录名单。</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9.6 如果乙方在本项目实施过程中发生违反网络安全规定行为造成不良后果的，自甲方做出认定之日起三年内，税务系统各单位可以拒绝乙方参与税务系统政府采购活动。</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不良后果指造成数据失窃或丢失、敏感信息泄露、主要业务系统瘫痪等网络安全事件。</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 xml:space="preserve"> 对于本协议未约定的、招标（采购）文件（技术部分）中约定的违约处理条款，按招标（采购）文件（技术部分）相关约定执行；对本协议与招标（采购）文件（技术部分）约定不同的违约处理条款，以本协议约定为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10</w:t>
      </w:r>
      <w:r>
        <w:rPr>
          <w:rFonts w:hint="default" w:ascii="Times New Roman" w:hAnsi="Times New Roman" w:cs="Times New Roman"/>
          <w:b/>
          <w:color w:val="auto"/>
          <w:sz w:val="21"/>
          <w:szCs w:val="21"/>
          <w:highlight w:val="none"/>
        </w:rPr>
        <w:t>. 不可抗力</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 xml:space="preserve"> 本条所述的“不可抗力”系指双方不可预见、不可避免、不可克服的客观情况，但不包括双方的违约或疏忽。这些事件包括但不限于：战争、严重火灾、洪水、台风、地震等。</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如果乙方因不可抗力而导致合同实施延误或不能履行合同义务，不应承担误期赔偿或终止合同的责任。</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.3 在不可抗力事件发生后，当事方应及时将不可抗力情况通知合同对方，在不可抗力事件结束后3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.4 如因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1</w:t>
      </w:r>
      <w:r>
        <w:rPr>
          <w:rFonts w:hint="default" w:ascii="Times New Roman" w:hAnsi="Times New Roman" w:cs="Times New Roman"/>
          <w:b/>
          <w:color w:val="auto"/>
          <w:sz w:val="21"/>
          <w:szCs w:val="21"/>
          <w:highlight w:val="none"/>
        </w:rPr>
        <w:t>. 争端的解决</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.1 甲乙双方应</w:t>
      </w:r>
      <w:r>
        <w:rPr>
          <w:rFonts w:hint="default" w:ascii="Times New Roman" w:hAnsi="Times New Roman" w:cs="Times New Roman"/>
          <w:color w:val="auto"/>
          <w:sz w:val="21"/>
          <w:szCs w:val="21"/>
          <w:highlight w:val="none"/>
          <w:lang w:eastAsia="zh-CN"/>
        </w:rPr>
        <w:t>首先</w:t>
      </w:r>
      <w:r>
        <w:rPr>
          <w:rFonts w:hint="default" w:ascii="Times New Roman" w:hAnsi="Times New Roman" w:cs="Times New Roman"/>
          <w:color w:val="auto"/>
          <w:sz w:val="21"/>
          <w:szCs w:val="21"/>
          <w:highlight w:val="none"/>
        </w:rPr>
        <w:t>通过友好协商解决在执行本合同中所发生的或与本合同有关的一切争端。如从协商开始</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天内仍不能解决，</w:t>
      </w:r>
      <w:r>
        <w:rPr>
          <w:rFonts w:hint="default" w:ascii="Times New Roman" w:hAnsi="Times New Roman" w:cs="Times New Roman"/>
          <w:color w:val="auto"/>
          <w:sz w:val="21"/>
          <w:szCs w:val="21"/>
          <w:highlight w:val="none"/>
          <w:lang w:eastAsia="zh-CN"/>
        </w:rPr>
        <w:t>可以按合同约定的方式提起仲裁或诉讼</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bidi w:val="0"/>
        <w:adjustRightInd/>
        <w:snapToGrid/>
        <w:spacing w:line="360" w:lineRule="auto"/>
        <w:ind w:left="239" w:leftChars="114" w:firstLine="210" w:firstLineChars="1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2.1</w:t>
      </w:r>
      <w:r>
        <w:rPr>
          <w:rFonts w:hint="default" w:ascii="Times New Roman" w:hAnsi="Times New Roman" w:cs="Times New Roman"/>
          <w:color w:val="auto"/>
          <w:sz w:val="21"/>
          <w:szCs w:val="21"/>
          <w:highlight w:val="none"/>
        </w:rPr>
        <w:t>仲裁应</w:t>
      </w:r>
      <w:r>
        <w:rPr>
          <w:rFonts w:hint="default" w:ascii="Times New Roman" w:hAnsi="Times New Roman" w:cs="Times New Roman"/>
          <w:color w:val="auto"/>
          <w:sz w:val="21"/>
          <w:szCs w:val="21"/>
          <w:highlight w:val="none"/>
          <w:lang w:eastAsia="zh-CN"/>
        </w:rPr>
        <w:t>向</w:t>
      </w:r>
      <w:r>
        <w:rPr>
          <w:rFonts w:hint="default" w:ascii="Times New Roman" w:hAnsi="Times New Roman" w:cs="Times New Roman"/>
          <w:color w:val="auto"/>
          <w:sz w:val="21"/>
          <w:szCs w:val="21"/>
          <w:highlight w:val="none"/>
        </w:rPr>
        <w:t>甲方所在地或</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仲裁委员会申请仲裁。</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2.2</w:t>
      </w:r>
      <w:r>
        <w:rPr>
          <w:rFonts w:hint="default" w:ascii="Times New Roman" w:hAnsi="Times New Roman" w:cs="Times New Roman"/>
          <w:color w:val="auto"/>
          <w:sz w:val="21"/>
          <w:szCs w:val="21"/>
          <w:highlight w:val="none"/>
        </w:rPr>
        <w:t xml:space="preserve"> 仲裁裁决应为最终裁决，对双方均具有约束力。</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2.3</w:t>
      </w:r>
      <w:r>
        <w:rPr>
          <w:rFonts w:hint="default" w:ascii="Times New Roman" w:hAnsi="Times New Roman" w:cs="Times New Roman"/>
          <w:color w:val="auto"/>
          <w:sz w:val="21"/>
          <w:szCs w:val="21"/>
          <w:highlight w:val="none"/>
        </w:rPr>
        <w:t xml:space="preserve"> 仲裁费除仲裁机关另有裁决外应由败诉方负担。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2.4</w:t>
      </w:r>
      <w:r>
        <w:rPr>
          <w:rFonts w:hint="default" w:ascii="Times New Roman" w:hAnsi="Times New Roman" w:cs="Times New Roman"/>
          <w:color w:val="auto"/>
          <w:sz w:val="21"/>
          <w:szCs w:val="21"/>
          <w:highlight w:val="none"/>
        </w:rPr>
        <w:t>在仲裁期间，除正在进行仲裁部分外，本合同的其它部分应继续执行。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11.3.1诉讼应向甲方所在地或</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val="en-US" w:eastAsia="zh-CN"/>
        </w:rPr>
        <w:t>人民法院提起诉讼。</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11.3.2诉讼费除人民法院另有判决外，应由败诉方负担。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11.3.3在诉讼期间，除正在进行诉讼部分外，本</w:t>
      </w:r>
      <w:r>
        <w:rPr>
          <w:rFonts w:hint="default" w:ascii="Times New Roman" w:hAnsi="Times New Roman" w:cs="Times New Roman"/>
          <w:color w:val="auto"/>
          <w:sz w:val="21"/>
          <w:szCs w:val="21"/>
          <w:highlight w:val="none"/>
        </w:rPr>
        <w:t>合同的其它部分应继续执行。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2</w:t>
      </w:r>
      <w:r>
        <w:rPr>
          <w:rFonts w:hint="default" w:ascii="Times New Roman" w:hAnsi="Times New Roman" w:cs="Times New Roman"/>
          <w:b/>
          <w:color w:val="auto"/>
          <w:sz w:val="21"/>
          <w:szCs w:val="21"/>
          <w:highlight w:val="none"/>
        </w:rPr>
        <w:t>. 违约终止合同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 xml:space="preserve">12.1.1 </w:t>
      </w:r>
      <w:r>
        <w:rPr>
          <w:rFonts w:hint="default" w:ascii="Times New Roman" w:hAnsi="Times New Roman" w:cs="Times New Roman"/>
          <w:color w:val="auto"/>
          <w:sz w:val="21"/>
          <w:szCs w:val="21"/>
          <w:highlight w:val="none"/>
          <w:lang w:eastAsia="zh-CN"/>
        </w:rPr>
        <w:t>乙方不履行合同业务或者履行合同义务不符合合同约定；</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如果乙方未能在合同规定的期限或甲方同意延长的期限内提供服务；</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 xml:space="preserve"> 因乙方人员自身技术能力、经验不足等问题造成甲方发生重大紧急故障，带来重大影响和损失的；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 xml:space="preserve"> 乙方对重大紧急故障没有及时响应，或不能在规定时间内解决处理故障、恢复正常运行的；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 xml:space="preserve"> 不能满足本项目技术需求的管理要求和规范，且经多次整改无明显改进的</w:t>
      </w:r>
      <w:r>
        <w:rPr>
          <w:rFonts w:hint="default" w:ascii="Times New Roman" w:hAnsi="Times New Roman" w:cs="Times New Roman"/>
          <w:color w:val="auto"/>
          <w:sz w:val="21"/>
          <w:szCs w:val="21"/>
          <w:highlight w:val="none"/>
          <w:lang w:eastAsia="zh-CN"/>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 xml:space="preserve"> 在合同服务期内，同一个应用系统在升级完善、运行维护支持服务过程中，出现5次经甲乙双方确认的用户投诉的</w:t>
      </w:r>
      <w:r>
        <w:rPr>
          <w:rFonts w:hint="default" w:ascii="Times New Roman" w:hAnsi="Times New Roman" w:cs="Times New Roman"/>
          <w:color w:val="auto"/>
          <w:sz w:val="21"/>
          <w:szCs w:val="21"/>
          <w:highlight w:val="none"/>
          <w:lang w:eastAsia="zh-CN"/>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 xml:space="preserve">12.1.7 </w:t>
      </w:r>
      <w:r>
        <w:rPr>
          <w:rFonts w:hint="default" w:ascii="Times New Roman" w:hAnsi="Times New Roman" w:cs="Times New Roman"/>
          <w:color w:val="auto"/>
          <w:sz w:val="21"/>
          <w:szCs w:val="21"/>
          <w:highlight w:val="none"/>
        </w:rPr>
        <w:t>乙方利用本项目实施过程中所产生的成果（包括发明、发现、可运行系统、源代码及相关技术资料、文档等），另行自行开发本合同业务范围内供纳税人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使用的软件或产品的，或利用</w:t>
      </w:r>
      <w:r>
        <w:rPr>
          <w:rFonts w:hint="default" w:ascii="Times New Roman" w:hAnsi="Times New Roman" w:cs="Times New Roman"/>
          <w:color w:val="auto"/>
          <w:sz w:val="21"/>
          <w:szCs w:val="21"/>
          <w:highlight w:val="none"/>
          <w:lang w:eastAsia="zh-CN"/>
        </w:rPr>
        <w:t>为税务机关提供信息化服务的</w:t>
      </w:r>
      <w:r>
        <w:rPr>
          <w:rFonts w:hint="default" w:ascii="Times New Roman" w:hAnsi="Times New Roman" w:cs="Times New Roman"/>
          <w:color w:val="auto"/>
          <w:sz w:val="21"/>
          <w:szCs w:val="21"/>
          <w:highlight w:val="none"/>
        </w:rPr>
        <w:t>便利</w:t>
      </w:r>
      <w:r>
        <w:rPr>
          <w:rFonts w:hint="default" w:ascii="Times New Roman" w:hAnsi="Times New Roman" w:cs="Times New Roman"/>
          <w:color w:val="auto"/>
          <w:sz w:val="21"/>
          <w:szCs w:val="21"/>
          <w:highlight w:val="none"/>
          <w:lang w:eastAsia="zh-CN"/>
        </w:rPr>
        <w:t>，向纳税人缴费人</w:t>
      </w:r>
      <w:r>
        <w:rPr>
          <w:rFonts w:hint="default" w:ascii="Times New Roman" w:hAnsi="Times New Roman" w:cs="Times New Roman"/>
          <w:color w:val="auto"/>
          <w:sz w:val="21"/>
          <w:szCs w:val="21"/>
          <w:highlight w:val="none"/>
        </w:rPr>
        <w:t>搭车收费或变相收费的，</w:t>
      </w:r>
      <w:r>
        <w:rPr>
          <w:rFonts w:hint="default" w:ascii="Times New Roman" w:hAnsi="Times New Roman" w:cs="Times New Roman"/>
          <w:color w:val="auto"/>
          <w:sz w:val="21"/>
          <w:szCs w:val="21"/>
          <w:highlight w:val="none"/>
          <w:lang w:eastAsia="zh-CN"/>
        </w:rPr>
        <w:t>或有其他失信行为的；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12.1.8 乙方在本项目实施过程中发生违反网络安全规定行为造成不良后果的。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 xml:space="preserve"> 乙方提供的服务侵犯甲方、第三方知识产权等合法权益的；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 xml:space="preserve"> 乙方或乙方人员造成甲方或第三方经济损失而拒不赔偿的；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 xml:space="preserve"> 乙方转让其应履行的合同义务，或未经甲方同意采取分包方式履行合同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乙方有其他严重违约行为的。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.2 如果甲方根据上述第1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.1条的规定，终止了全部或部分合同，甲方可以适当的条件和方法购买乙方未能提供的服务，乙方应对甲方购买类似服务所超出的费用负责。同时，乙方应继续执行合同中未终止的部分。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3</w:t>
      </w:r>
      <w:r>
        <w:rPr>
          <w:rFonts w:hint="default" w:ascii="Times New Roman" w:hAnsi="Times New Roman" w:cs="Times New Roman"/>
          <w:b/>
          <w:color w:val="auto"/>
          <w:sz w:val="21"/>
          <w:szCs w:val="21"/>
          <w:highlight w:val="none"/>
        </w:rPr>
        <w:t>. 破产终止合同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.1 如果乙方破产或无清偿能力，甲方可在任何时候以书面形式通知乙方终止合同而不给乙方补偿。</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.2该终止合同将不损害或影响甲方已经采取或将要采取的任何行动或补救措施的权力。</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4</w:t>
      </w:r>
      <w:r>
        <w:rPr>
          <w:rFonts w:hint="default" w:ascii="Times New Roman" w:hAnsi="Times New Roman" w:cs="Times New Roman"/>
          <w:b/>
          <w:color w:val="auto"/>
          <w:sz w:val="21"/>
          <w:szCs w:val="21"/>
          <w:highlight w:val="none"/>
        </w:rPr>
        <w:t>. 其他情况的终止合同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.1 乙方在执行合同的过程中发生重大事故或变故，对履行合同有直接影响的，甲方可以提出终止合同而不给予乙方任何补偿。</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.2 在服务期内，由于甲方工作计划调整，推广使用新应用系统导致本项目相关服务停止的，甲方可以提出终止合同而不给予乙方任何补偿。</w:t>
      </w:r>
    </w:p>
    <w:p>
      <w:pPr>
        <w:keepNext w:val="0"/>
        <w:keepLines w:val="0"/>
        <w:pageBreakBefore w:val="0"/>
        <w:widowControl w:val="0"/>
        <w:tabs>
          <w:tab w:val="left" w:pos="70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5</w:t>
      </w:r>
      <w:r>
        <w:rPr>
          <w:rFonts w:hint="default" w:ascii="Times New Roman" w:hAnsi="Times New Roman" w:cs="Times New Roman"/>
          <w:b/>
          <w:color w:val="auto"/>
          <w:sz w:val="21"/>
          <w:szCs w:val="21"/>
          <w:highlight w:val="none"/>
        </w:rPr>
        <w:t>. 合同修改或变更</w:t>
      </w:r>
    </w:p>
    <w:p>
      <w:pPr>
        <w:keepNext w:val="0"/>
        <w:keepLines w:val="0"/>
        <w:pageBreakBefore w:val="0"/>
        <w:widowControl w:val="0"/>
        <w:kinsoku/>
        <w:wordWrap/>
        <w:overflowPunct/>
        <w:bidi w:val="0"/>
        <w:adjustRightInd/>
        <w:snapToGrid/>
        <w:spacing w:line="360" w:lineRule="auto"/>
        <w:ind w:firstLine="482"/>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.1 合同如有未尽事宜，须经甲乙双方共同协商，做出补充约定，并签订书面补充合同或变更协议。补充合同或变更协议作为本合同的一部分，与本合同具有同等效力。</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.2 除了双方签署书面修改或变更协议，并成为本合同不可分割的一部分的情况之外，本合同的条款不得有任何变化或修改。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.3 由于采购人项目统一规划等原因导致本项目停止部分服务的，甲方将启动合同变更程序，与乙方协商变更相关合同条款。</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6</w:t>
      </w:r>
      <w:r>
        <w:rPr>
          <w:rFonts w:hint="default" w:ascii="Times New Roman" w:hAnsi="Times New Roman" w:cs="Times New Roman"/>
          <w:b/>
          <w:color w:val="auto"/>
          <w:sz w:val="21"/>
          <w:szCs w:val="21"/>
          <w:highlight w:val="none"/>
        </w:rPr>
        <w:t>. 转让和分包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.1 除甲方事先书面同意外，乙方不得部分转让或全部转让其应履行的合同义务。</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16.2 </w:t>
      </w:r>
      <w:r>
        <w:rPr>
          <w:rFonts w:hint="default" w:ascii="Times New Roman" w:hAnsi="Times New Roman" w:eastAsia="宋体" w:cs="Times New Roman"/>
          <w:color w:val="auto"/>
          <w:sz w:val="21"/>
          <w:szCs w:val="21"/>
          <w:highlight w:val="none"/>
          <w:lang w:val="en-US" w:eastAsia="zh-CN"/>
        </w:rPr>
        <w:t>未经甲方同意，乙方不得采取分包方式履行合同。经甲方同意分包履行合同的，乙方就采购项目及分包项目向甲方负责，分包供应商就分包项目承担责任。</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7</w:t>
      </w:r>
      <w:r>
        <w:rPr>
          <w:rFonts w:hint="default" w:ascii="Times New Roman" w:hAnsi="Times New Roman" w:cs="Times New Roman"/>
          <w:b/>
          <w:color w:val="auto"/>
          <w:sz w:val="21"/>
          <w:szCs w:val="21"/>
          <w:highlight w:val="none"/>
        </w:rPr>
        <w:t>. 合同语言</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.1 本合同语言为中文。</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.2 双方交换的与合同有关的信件和其他文件应用合同语言书写。</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18</w:t>
      </w:r>
      <w:r>
        <w:rPr>
          <w:rFonts w:hint="default" w:ascii="Times New Roman" w:hAnsi="Times New Roman" w:cs="Times New Roman"/>
          <w:b/>
          <w:color w:val="auto"/>
          <w:sz w:val="21"/>
          <w:szCs w:val="21"/>
          <w:highlight w:val="none"/>
        </w:rPr>
        <w:t>. 适用法律</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rPr>
        <w:t>.1 本合同按照中华人民共和国现行法律进行解释。</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rPr>
        <w:t>.2 本合同的履行、违约责任和解决争议的方法等适用《中华人民共和国</w:t>
      </w:r>
      <w:r>
        <w:rPr>
          <w:rFonts w:hint="default" w:ascii="Times New Roman" w:hAnsi="Times New Roman" w:cs="Times New Roman"/>
          <w:color w:val="auto"/>
          <w:sz w:val="21"/>
          <w:szCs w:val="21"/>
          <w:highlight w:val="none"/>
          <w:lang w:eastAsia="zh-CN"/>
        </w:rPr>
        <w:t>民法典（合同编）</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19</w:t>
      </w:r>
      <w:r>
        <w:rPr>
          <w:rFonts w:hint="default" w:ascii="Times New Roman" w:hAnsi="Times New Roman" w:cs="Times New Roman"/>
          <w:b/>
          <w:color w:val="auto"/>
          <w:sz w:val="21"/>
          <w:szCs w:val="21"/>
          <w:highlight w:val="none"/>
        </w:rPr>
        <w:t>. 税费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19</w:t>
      </w:r>
      <w:r>
        <w:rPr>
          <w:rFonts w:hint="default" w:ascii="Times New Roman" w:hAnsi="Times New Roman" w:cs="Times New Roman"/>
          <w:color w:val="auto"/>
          <w:sz w:val="21"/>
          <w:szCs w:val="21"/>
          <w:highlight w:val="none"/>
        </w:rPr>
        <w:t>.1 合同服务的所有税费均已包含于合同价中，甲方不再另行支付。</w:t>
      </w:r>
    </w:p>
    <w:p>
      <w:pPr>
        <w:keepNext w:val="0"/>
        <w:keepLines w:val="0"/>
        <w:pageBreakBefore w:val="0"/>
        <w:widowControl w:val="0"/>
        <w:tabs>
          <w:tab w:val="left" w:pos="70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20</w:t>
      </w:r>
      <w:r>
        <w:rPr>
          <w:rFonts w:hint="default" w:ascii="Times New Roman" w:hAnsi="Times New Roman" w:cs="Times New Roman"/>
          <w:b/>
          <w:color w:val="auto"/>
          <w:sz w:val="21"/>
          <w:szCs w:val="21"/>
          <w:highlight w:val="none"/>
        </w:rPr>
        <w:t>. 合同生效</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.1 本合同一式</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份，由甲乙双方法定代表人或被授权人签字并盖章后生效。</w:t>
      </w:r>
    </w:p>
    <w:p>
      <w:pPr>
        <w:keepNext w:val="0"/>
        <w:keepLines w:val="0"/>
        <w:pageBreakBefore w:val="0"/>
        <w:widowControl w:val="0"/>
        <w:kinsoku/>
        <w:wordWrap/>
        <w:overflowPunct/>
        <w:bidi w:val="0"/>
        <w:adjustRightInd/>
        <w:snapToGrid/>
        <w:spacing w:line="360" w:lineRule="auto"/>
        <w:textAlignment w:val="auto"/>
        <w:rPr>
          <w:rFonts w:hint="default" w:ascii="Times New Roman" w:hAnsi="Times New Roman" w:cs="Times New Roman"/>
          <w:color w:val="auto"/>
          <w:sz w:val="21"/>
          <w:szCs w:val="21"/>
          <w:highlight w:val="none"/>
        </w:rPr>
        <w:sectPr>
          <w:pgSz w:w="11907" w:h="16839"/>
          <w:pgMar w:top="1440" w:right="1746" w:bottom="1440" w:left="1746" w:header="1148" w:footer="709" w:gutter="0"/>
          <w:pgNumType w:fmt="decimal"/>
          <w:cols w:space="720" w:num="1"/>
          <w:docGrid w:linePitch="360" w:charSpace="0"/>
        </w:sectPr>
      </w:pPr>
    </w:p>
    <w:tbl>
      <w:tblPr>
        <w:tblStyle w:val="27"/>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pPr>
        <w:rPr>
          <w:color w:val="auto"/>
          <w:highlight w:val="none"/>
        </w:rPr>
      </w:pP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方正小标宋简体">
    <w:panose1 w:val="02010601030101010101"/>
    <w:charset w:val="86"/>
    <w:family w:val="script"/>
    <w:pitch w:val="default"/>
    <w:sig w:usb0="00000001" w:usb1="080E0000" w:usb2="00000000" w:usb3="00000000" w:csb0="0004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5">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6">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5"/>
  </w:num>
  <w:num w:numId="4">
    <w:abstractNumId w:val="0"/>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85C04"/>
    <w:rsid w:val="00BE6023"/>
    <w:rsid w:val="00CA098B"/>
    <w:rsid w:val="00D356EE"/>
    <w:rsid w:val="019B7303"/>
    <w:rsid w:val="01D51EF1"/>
    <w:rsid w:val="02307CBD"/>
    <w:rsid w:val="02994E80"/>
    <w:rsid w:val="02B464F6"/>
    <w:rsid w:val="038C7237"/>
    <w:rsid w:val="03B24C65"/>
    <w:rsid w:val="048A2219"/>
    <w:rsid w:val="055174C8"/>
    <w:rsid w:val="05594FD2"/>
    <w:rsid w:val="07861826"/>
    <w:rsid w:val="082C0673"/>
    <w:rsid w:val="088562C4"/>
    <w:rsid w:val="08B573AC"/>
    <w:rsid w:val="0A0E0C0B"/>
    <w:rsid w:val="0B544825"/>
    <w:rsid w:val="0C480925"/>
    <w:rsid w:val="0C6B37C3"/>
    <w:rsid w:val="0CF516BF"/>
    <w:rsid w:val="0D1A4228"/>
    <w:rsid w:val="0E575CBB"/>
    <w:rsid w:val="0E7D42BB"/>
    <w:rsid w:val="0EE71081"/>
    <w:rsid w:val="103F356B"/>
    <w:rsid w:val="115F1A85"/>
    <w:rsid w:val="13533D6F"/>
    <w:rsid w:val="13593647"/>
    <w:rsid w:val="14D05F50"/>
    <w:rsid w:val="14FE49FC"/>
    <w:rsid w:val="15132098"/>
    <w:rsid w:val="17E06ECC"/>
    <w:rsid w:val="18807C4B"/>
    <w:rsid w:val="18BC6A4A"/>
    <w:rsid w:val="19D626B5"/>
    <w:rsid w:val="1BE64FC7"/>
    <w:rsid w:val="1C5B3F9D"/>
    <w:rsid w:val="1D583A57"/>
    <w:rsid w:val="1FBC673A"/>
    <w:rsid w:val="22B9682E"/>
    <w:rsid w:val="23F07DC3"/>
    <w:rsid w:val="26170342"/>
    <w:rsid w:val="27C13B82"/>
    <w:rsid w:val="28DA283E"/>
    <w:rsid w:val="29EE7EF6"/>
    <w:rsid w:val="2AEB3A8A"/>
    <w:rsid w:val="2B4C2A92"/>
    <w:rsid w:val="2B821B32"/>
    <w:rsid w:val="2F611A30"/>
    <w:rsid w:val="30BD213F"/>
    <w:rsid w:val="33F60296"/>
    <w:rsid w:val="3533276E"/>
    <w:rsid w:val="35980CA9"/>
    <w:rsid w:val="36B31F5F"/>
    <w:rsid w:val="37DA4CA6"/>
    <w:rsid w:val="38B16276"/>
    <w:rsid w:val="38C923E7"/>
    <w:rsid w:val="392F341B"/>
    <w:rsid w:val="398D59F8"/>
    <w:rsid w:val="3A197CA5"/>
    <w:rsid w:val="3DB11700"/>
    <w:rsid w:val="40137CA8"/>
    <w:rsid w:val="40A73D35"/>
    <w:rsid w:val="41A1205F"/>
    <w:rsid w:val="423A6C9B"/>
    <w:rsid w:val="42A62ACD"/>
    <w:rsid w:val="446723D4"/>
    <w:rsid w:val="448F691B"/>
    <w:rsid w:val="459314F7"/>
    <w:rsid w:val="45EC299B"/>
    <w:rsid w:val="49425DFB"/>
    <w:rsid w:val="4B262FC3"/>
    <w:rsid w:val="4B6F4E42"/>
    <w:rsid w:val="4C242C23"/>
    <w:rsid w:val="4CBE335D"/>
    <w:rsid w:val="4DC27B03"/>
    <w:rsid w:val="4ED62FDF"/>
    <w:rsid w:val="4EFF6BD2"/>
    <w:rsid w:val="4FCE8257"/>
    <w:rsid w:val="50B415EA"/>
    <w:rsid w:val="53B42617"/>
    <w:rsid w:val="53C92CD5"/>
    <w:rsid w:val="54AF23FC"/>
    <w:rsid w:val="57182A2A"/>
    <w:rsid w:val="581A4428"/>
    <w:rsid w:val="59DF6221"/>
    <w:rsid w:val="5A6E105D"/>
    <w:rsid w:val="5B991FD1"/>
    <w:rsid w:val="5C693B9A"/>
    <w:rsid w:val="5C745BED"/>
    <w:rsid w:val="5DA7155A"/>
    <w:rsid w:val="5DC53457"/>
    <w:rsid w:val="5F4468FD"/>
    <w:rsid w:val="60D41D1E"/>
    <w:rsid w:val="610B60EE"/>
    <w:rsid w:val="611E0703"/>
    <w:rsid w:val="61CD6F76"/>
    <w:rsid w:val="627333FC"/>
    <w:rsid w:val="62985ABA"/>
    <w:rsid w:val="696D37AB"/>
    <w:rsid w:val="6A144077"/>
    <w:rsid w:val="6B447492"/>
    <w:rsid w:val="6BA3746A"/>
    <w:rsid w:val="6BBDEA0E"/>
    <w:rsid w:val="6EF9071C"/>
    <w:rsid w:val="6FD73E53"/>
    <w:rsid w:val="6FF006A6"/>
    <w:rsid w:val="7052058D"/>
    <w:rsid w:val="70B1597A"/>
    <w:rsid w:val="71815530"/>
    <w:rsid w:val="72BD75D3"/>
    <w:rsid w:val="74FD35B0"/>
    <w:rsid w:val="77E73431"/>
    <w:rsid w:val="78916B04"/>
    <w:rsid w:val="7AA83FCF"/>
    <w:rsid w:val="7AAF66A3"/>
    <w:rsid w:val="7CD63399"/>
    <w:rsid w:val="7D974A70"/>
    <w:rsid w:val="7E8E48BA"/>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列出段落1"/>
    <w:basedOn w:val="1"/>
    <w:qFormat/>
    <w:uiPriority w:val="0"/>
    <w:pPr>
      <w:ind w:firstLine="200" w:firstLineChars="200"/>
    </w:pPr>
    <w:rPr>
      <w:rFonts w:cs="Calibri"/>
    </w:r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caption"/>
    <w:basedOn w:val="1"/>
    <w:next w:val="1"/>
    <w:qFormat/>
    <w:uiPriority w:val="35"/>
    <w:pPr>
      <w:widowControl w:val="0"/>
      <w:suppressLineNumbers/>
      <w:suppressAutoHyphens/>
      <w:spacing w:before="120" w:after="120"/>
    </w:pPr>
    <w:rPr>
      <w:i/>
      <w:iCs/>
      <w:sz w:val="24"/>
      <w:szCs w:val="24"/>
    </w:rPr>
  </w:style>
  <w:style w:type="paragraph" w:styleId="12">
    <w:name w:val="annotation text"/>
    <w:basedOn w:val="1"/>
    <w:qFormat/>
    <w:uiPriority w:val="0"/>
    <w:pPr>
      <w:jc w:val="left"/>
    </w:pPr>
  </w:style>
  <w:style w:type="paragraph" w:styleId="13">
    <w:name w:val="Body Text"/>
    <w:basedOn w:val="1"/>
    <w:next w:val="14"/>
    <w:qFormat/>
    <w:uiPriority w:val="0"/>
    <w:pPr>
      <w:adjustRightInd w:val="0"/>
      <w:spacing w:line="360" w:lineRule="atLeast"/>
      <w:jc w:val="center"/>
      <w:textAlignment w:val="baseline"/>
    </w:pPr>
    <w:rPr>
      <w:kern w:val="0"/>
      <w:sz w:val="24"/>
      <w:szCs w:val="20"/>
    </w:rPr>
  </w:style>
  <w:style w:type="paragraph" w:styleId="14">
    <w:name w:val="Body Text Indent"/>
    <w:basedOn w:val="1"/>
    <w:qFormat/>
    <w:uiPriority w:val="0"/>
    <w:pPr>
      <w:spacing w:after="120"/>
      <w:ind w:left="420" w:leftChars="200"/>
    </w:pPr>
  </w:style>
  <w:style w:type="paragraph" w:styleId="15">
    <w:name w:val="index 4"/>
    <w:basedOn w:val="1"/>
    <w:next w:val="1"/>
    <w:unhideWhenUsed/>
    <w:qFormat/>
    <w:uiPriority w:val="99"/>
    <w:pPr>
      <w:ind w:left="600" w:leftChars="600"/>
    </w:pPr>
  </w:style>
  <w:style w:type="paragraph" w:styleId="16">
    <w:name w:val="Plain Text"/>
    <w:basedOn w:val="1"/>
    <w:qFormat/>
    <w:uiPriority w:val="0"/>
    <w:rPr>
      <w:rFonts w:ascii="宋体" w:hAnsi="宋体" w:cs="Courier New"/>
    </w:r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3"/>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4"/>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正文（缩进）"/>
    <w:basedOn w:val="1"/>
    <w:qFormat/>
    <w:uiPriority w:val="0"/>
    <w:pPr>
      <w:spacing w:before="156" w:after="156"/>
      <w:ind w:firstLine="480" w:firstLineChars="200"/>
    </w:pPr>
  </w:style>
  <w:style w:type="paragraph" w:customStyle="1" w:styleId="34">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next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Layout w:type="fixed"/>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3"/>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63</Pages>
  <Words>31553</Words>
  <Characters>33235</Characters>
  <Lines>302</Lines>
  <Paragraphs>85</Paragraphs>
  <TotalTime>10</TotalTime>
  <ScaleCrop>false</ScaleCrop>
  <LinksUpToDate>false</LinksUpToDate>
  <CharactersWithSpaces>35490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haochunyang</cp:lastModifiedBy>
  <dcterms:modified xsi:type="dcterms:W3CDTF">2025-02-14T07:44:32Z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