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</w:rPr>
      </w:pPr>
      <w:bookmarkStart w:id="0" w:name="组织部门1_ancestorName"/>
      <w:r>
        <w:rPr>
          <w:rFonts w:hint="eastAsia" w:ascii="华文中宋" w:hAnsi="华文中宋" w:eastAsia="华文中宋"/>
          <w:sz w:val="36"/>
          <w:szCs w:val="36"/>
          <w:lang w:eastAsia="zh-CN"/>
        </w:rPr>
        <w:t>国家税务总局牡丹江市阳明区税务局</w:t>
      </w:r>
      <w:bookmarkEnd w:id="0"/>
      <w:bookmarkStart w:id="1" w:name="采购日期范围1_purchaseTimeBegin_ym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2026年7月</w:t>
      </w:r>
      <w:bookmarkEnd w:id="1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政</w:t>
      </w:r>
      <w:r>
        <w:rPr>
          <w:rFonts w:hint="eastAsia" w:ascii="华文中宋" w:hAnsi="华文中宋" w:eastAsia="华文中宋"/>
          <w:sz w:val="36"/>
          <w:szCs w:val="36"/>
        </w:rPr>
        <w:t>府采购意向公告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为便于供应商及时了解政府采购信息，根据《财政部关于开展政府采购意向公开工作的通知》（财库〔2020〕10号）等有关规定，现将</w:t>
      </w:r>
      <w:bookmarkStart w:id="2" w:name="组织部门2_ancestorName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国家税务总局牡丹江市阳明区税务局</w:t>
      </w:r>
      <w:bookmarkEnd w:id="2"/>
      <w:bookmarkStart w:id="3" w:name="采购日期范围2_purchaseTimeBegin_ym"/>
      <w:r>
        <w:rPr>
          <w:rFonts w:hint="eastAsia" w:ascii="仿宋" w:hAnsi="仿宋" w:eastAsia="仿宋" w:cs="仿宋"/>
          <w:sz w:val="28"/>
          <w:szCs w:val="28"/>
        </w:rPr>
        <w:t>2026年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bookmarkEnd w:id="3"/>
      <w:r>
        <w:rPr>
          <w:rFonts w:hint="eastAsia" w:ascii="仿宋" w:hAnsi="仿宋" w:eastAsia="仿宋" w:cs="仿宋"/>
          <w:sz w:val="28"/>
          <w:szCs w:val="28"/>
        </w:rPr>
        <w:t>采购意向公开如下：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tbl>
      <w:tblPr>
        <w:tblStyle w:val="29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559"/>
        <w:gridCol w:w="2977"/>
        <w:gridCol w:w="1276"/>
        <w:gridCol w:w="184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4" w:name="意向公开表_序号_index_Table"/>
            <w:bookmarkEnd w:id="4"/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5" w:name="意向公开表_采购需求名称_requirementName_Table"/>
            <w:bookmarkEnd w:id="5"/>
            <w:r>
              <w:rPr>
                <w:rFonts w:hint="eastAsia" w:ascii="仿宋" w:hAnsi="仿宋" w:eastAsia="仿宋"/>
                <w:sz w:val="24"/>
                <w:szCs w:val="24"/>
              </w:rPr>
              <w:t>采购项目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6" w:name="意向公开表_采购需求概况_requirementInfo_Table"/>
            <w:bookmarkEnd w:id="6"/>
            <w:r>
              <w:rPr>
                <w:rFonts w:hint="eastAsia" w:ascii="仿宋" w:hAnsi="仿宋" w:eastAsia="仿宋"/>
                <w:sz w:val="24"/>
                <w:szCs w:val="24"/>
              </w:rPr>
              <w:t>采购需求概况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7" w:name="意向公开表_预算金额_budgetAmount_Table"/>
            <w:bookmarkEnd w:id="7"/>
            <w:r>
              <w:rPr>
                <w:rFonts w:hint="eastAsia" w:ascii="仿宋" w:hAnsi="仿宋" w:eastAsia="仿宋"/>
                <w:sz w:val="24"/>
                <w:szCs w:val="24"/>
              </w:rPr>
              <w:t>预算金额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（万元）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8" w:name="意向公开表_预计采购时间_purchaseDate_Table"/>
            <w:bookmarkEnd w:id="8"/>
            <w:r>
              <w:rPr>
                <w:rFonts w:hint="eastAsia" w:ascii="仿宋" w:hAnsi="仿宋" w:eastAsia="仿宋"/>
                <w:sz w:val="24"/>
                <w:szCs w:val="24"/>
              </w:rPr>
              <w:t>预计采购时间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9" w:name="意向公开表_备注_remarks_Table"/>
            <w:bookmarkEnd w:id="9"/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国家税务总局牡丹江市阳明区税务局2026年食堂食材采购项目</w:t>
            </w:r>
          </w:p>
        </w:tc>
        <w:tc>
          <w:tcPr>
            <w:tcW w:w="29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10" w:name="OLE_LINK5"/>
            <w:r>
              <w:rPr>
                <w:rFonts w:hint="eastAsia" w:ascii="仿宋" w:hAnsi="仿宋" w:eastAsia="仿宋" w:cs="Times New Roman"/>
                <w:sz w:val="24"/>
                <w:szCs w:val="24"/>
              </w:rPr>
              <w:t>食堂所需食材，</w:t>
            </w:r>
            <w:bookmarkEnd w:id="10"/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包括但不限于蔬菜类、肉类、干调类、水果类、奶制品、冷冻货物、粮油类、生鲜类、调味品类、禽蛋类、主食类、水产品类等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en-US"/>
              </w:rPr>
              <w:t>货物</w:t>
            </w:r>
          </w:p>
        </w:tc>
        <w:tc>
          <w:tcPr>
            <w:tcW w:w="1276" w:type="dxa"/>
          </w:tcPr>
          <w:p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110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本次公开的采购意向是本单位政府采购工作的初步安排，具体采购项目情况以相关采购公告和采购文件为准。</w:t>
      </w: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560"/>
        <w:rPr>
          <w:rFonts w:ascii="仿宋" w:hAnsi="仿宋" w:eastAsia="仿宋" w:cs="仿宋"/>
          <w:sz w:val="28"/>
          <w:szCs w:val="28"/>
        </w:rPr>
      </w:pPr>
    </w:p>
    <w:p>
      <w:pPr>
        <w:tabs>
          <w:tab w:val="left" w:pos="993"/>
          <w:tab w:val="left" w:pos="1134"/>
          <w:tab w:val="left" w:pos="1418"/>
        </w:tabs>
        <w:spacing w:line="600" w:lineRule="exact"/>
        <w:ind w:firstLine="840"/>
        <w:jc w:val="right"/>
        <w:rPr>
          <w:rFonts w:hint="eastAsia" w:ascii="仿宋" w:hAnsi="仿宋" w:eastAsia="仿宋" w:cs="仿宋"/>
          <w:i w:val="0"/>
          <w:iCs/>
          <w:sz w:val="28"/>
          <w:szCs w:val="28"/>
          <w:u w:val="none"/>
        </w:rPr>
      </w:pP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ab/>
      </w:r>
      <w:bookmarkStart w:id="11" w:name="组织部门3_ancestorName"/>
      <w:r>
        <w:rPr>
          <w:rFonts w:hint="eastAsia" w:ascii="仿宋" w:hAnsi="仿宋" w:eastAsia="仿宋" w:cs="仿宋"/>
          <w:i w:val="0"/>
          <w:iCs/>
          <w:sz w:val="28"/>
          <w:szCs w:val="28"/>
          <w:u w:val="none"/>
          <w:lang w:val="en-US" w:eastAsia="zh-CN"/>
        </w:rPr>
        <w:t>国家税务总局牡丹江市阳明区税务局</w:t>
      </w:r>
      <w:bookmarkEnd w:id="11"/>
    </w:p>
    <w:p>
      <w:pPr>
        <w:tabs>
          <w:tab w:val="left" w:pos="993"/>
          <w:tab w:val="left" w:pos="1134"/>
          <w:tab w:val="left" w:pos="1418"/>
        </w:tabs>
        <w:spacing w:line="600" w:lineRule="exact"/>
        <w:ind w:right="480" w:firstLine="840"/>
        <w:jc w:val="center"/>
        <w:rPr>
          <w:rFonts w:hint="eastAsia" w:ascii="仿宋" w:hAnsi="仿宋" w:eastAsia="仿宋" w:cs="仿宋"/>
          <w:sz w:val="28"/>
          <w:szCs w:val="28"/>
        </w:rPr>
      </w:pPr>
      <w:bookmarkStart w:id="12" w:name="发布日期_publishTime_ymd"/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bookmarkStart w:id="13" w:name="_GoBack"/>
      <w:bookmarkEnd w:id="13"/>
      <w:r>
        <w:rPr>
          <w:rFonts w:hint="eastAsia" w:ascii="仿宋" w:hAnsi="仿宋" w:eastAsia="仿宋" w:cs="仿宋"/>
          <w:color w:val="auto"/>
          <w:sz w:val="28"/>
          <w:szCs w:val="28"/>
        </w:rPr>
        <w:t>日</w:t>
      </w:r>
      <w:bookmarkEnd w:id="12"/>
      <w:r>
        <w:rPr>
          <w:rFonts w:hint="eastAsia" w:ascii="仿宋" w:hAnsi="仿宋" w:eastAsia="仿宋" w:cs="仿宋"/>
          <w:sz w:val="28"/>
          <w:szCs w:val="28"/>
        </w:rPr>
        <w:t xml:space="preserve">  </w:t>
      </w:r>
    </w:p>
    <w:p>
      <w:pPr>
        <w:widowControl/>
        <w:jc w:val="left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3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EzNjZiMDY4MjY5YzI3OTYyYWE0ZjhkYjM4Y2E3NDgifQ=="/>
  </w:docVars>
  <w:rsids>
    <w:rsidRoot w:val="00000000"/>
    <w:rsid w:val="02E104CC"/>
    <w:rsid w:val="04C90190"/>
    <w:rsid w:val="05D74D3A"/>
    <w:rsid w:val="060C7C22"/>
    <w:rsid w:val="10E03473"/>
    <w:rsid w:val="1E4D5DAD"/>
    <w:rsid w:val="59745DBA"/>
    <w:rsid w:val="5EC07FEF"/>
    <w:rsid w:val="73D36B53"/>
    <w:rsid w:val="7B8F7BFF"/>
    <w:rsid w:val="97E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qFormat/>
    <w:uiPriority w:val="0"/>
  </w:style>
  <w:style w:type="table" w:default="1" w:styleId="2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0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Heading 1 Char"/>
    <w:basedOn w:val="30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Calibri" w:hAnsi="Calibri" w:eastAsia="Calibri" w:cs="Calibri"/>
      <w:lang w:val="en-US" w:eastAsia="en-US" w:bidi="ar-SA"/>
    </w:rPr>
  </w:style>
  <w:style w:type="character" w:customStyle="1" w:styleId="45">
    <w:name w:val="Title Char"/>
    <w:basedOn w:val="30"/>
    <w:link w:val="27"/>
    <w:qFormat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30"/>
    <w:link w:val="18"/>
    <w:qFormat/>
    <w:uiPriority w:val="99"/>
  </w:style>
  <w:style w:type="character" w:customStyle="1" w:styleId="52">
    <w:name w:val="Footer Char"/>
    <w:basedOn w:val="30"/>
    <w:qFormat/>
    <w:uiPriority w:val="99"/>
  </w:style>
  <w:style w:type="character" w:customStyle="1" w:styleId="53">
    <w:name w:val="Caption Char"/>
    <w:qFormat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/>
      </w:tcPr>
    </w:tblStylePr>
    <w:tblStylePr w:type="band1Horz">
      <w:tcPr>
        <w:shd w:val="clear" w:color="FFFFFF" w:fill="F1F1F1"/>
      </w:tcPr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2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73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75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DEA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DEAF6"/>
      </w:tcPr>
    </w:tblStylePr>
  </w:style>
  <w:style w:type="table" w:customStyle="1" w:styleId="76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1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/>
      </w:tcPr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FFFFFF" w:fill="68A3D8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EEBF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EEBF6"/>
      </w:tcPr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FFFFF" w:fill="F4B285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FFFFFF" w:fill="A5A5A5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85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FFFF" w:fill="FFD864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FFFFFF" w:fill="4472C4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87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FFFFFF" w:fill="70AD47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88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band1Vert">
      <w:tcPr>
        <w:shd w:val="clear" w:color="FFFFFF" w:fill="898989"/>
      </w:tcPr>
    </w:tblStylePr>
    <w:tblStylePr w:type="band1Horz">
      <w:tcPr>
        <w:shd w:val="clear" w:color="FFFFFF" w:fill="898989"/>
      </w:tcPr>
    </w:tblStylePr>
  </w:style>
  <w:style w:type="table" w:customStyle="1" w:styleId="89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5B9B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band1Vert">
      <w:tcPr>
        <w:shd w:val="clear" w:color="FFFFFF" w:fill="B3D1EB"/>
      </w:tcPr>
    </w:tblStylePr>
    <w:tblStylePr w:type="band1Horz">
      <w:tcPr>
        <w:shd w:val="clear" w:color="FFFFFF" w:fill="B3D1EB"/>
      </w:tcPr>
    </w:tblStylePr>
  </w:style>
  <w:style w:type="table" w:customStyle="1" w:styleId="90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ED7D3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band1Vert">
      <w:tcPr>
        <w:shd w:val="clear" w:color="FFFFFF" w:fill="F6C3A0"/>
      </w:tcPr>
    </w:tblStylePr>
    <w:tblStylePr w:type="band1Horz">
      <w:tcPr>
        <w:shd w:val="clear" w:color="FFFFFF" w:fill="F6C3A0"/>
      </w:tcPr>
    </w:tblStylePr>
  </w:style>
  <w:style w:type="table" w:customStyle="1" w:styleId="91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A5A5A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band1Vert">
      <w:tcPr>
        <w:shd w:val="clear" w:color="FFFFFF" w:fill="D5D5D5"/>
      </w:tcPr>
    </w:tblStylePr>
    <w:tblStylePr w:type="band1Horz">
      <w:tcPr>
        <w:shd w:val="clear" w:color="FFFFFF" w:fill="D5D5D5"/>
      </w:tcPr>
    </w:tblStylePr>
  </w:style>
  <w:style w:type="table" w:customStyle="1" w:styleId="92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FC00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band1Vert">
      <w:tcPr>
        <w:shd w:val="clear" w:color="FFFFFF" w:fill="FEE289"/>
      </w:tcPr>
    </w:tblStylePr>
    <w:tblStylePr w:type="band1Horz">
      <w:tcPr>
        <w:shd w:val="clear" w:color="FFFFFF" w:fill="FEE289"/>
      </w:tcPr>
    </w:tblStylePr>
  </w:style>
  <w:style w:type="table" w:customStyle="1" w:styleId="93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472C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band1Vert">
      <w:tcPr>
        <w:shd w:val="clear" w:color="FFFFFF" w:fill="A9BEE3"/>
      </w:tcPr>
    </w:tblStylePr>
    <w:tblStylePr w:type="band1Horz">
      <w:tcPr>
        <w:shd w:val="clear" w:color="FFFFFF" w:fill="A9BEE3"/>
      </w:tcPr>
    </w:tblStylePr>
  </w:style>
  <w:style w:type="table" w:customStyle="1" w:styleId="94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70AD47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band1Vert">
      <w:tcPr>
        <w:shd w:val="clear" w:color="FFFFFF" w:fill="BCDBA8"/>
      </w:tcPr>
    </w:tblStylePr>
    <w:tblStylePr w:type="band1Horz">
      <w:tcPr>
        <w:shd w:val="clear" w:color="FFFFFF" w:fill="BCDBA8"/>
      </w:tcPr>
    </w:tblStylePr>
  </w:style>
  <w:style w:type="table" w:customStyle="1" w:styleId="95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DEAF6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DEAF6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BE5D6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BE5D6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CECEC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CECEC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EF2CA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EF2CA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8E2F2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FFFFFF" w:fill="D8E2F2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1EFD8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FFFFFF" w:fill="E1EFD8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/>
      </w:tcPr>
    </w:tblStylePr>
    <w:tblStylePr w:type="band1Horz">
      <w:tcPr>
        <w:shd w:val="clear" w:color="FFFFFF" w:fill="BEBEBE"/>
      </w:tcPr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5E5F4"/>
      </w:tcPr>
    </w:tblStylePr>
    <w:tblStylePr w:type="band1Horz">
      <w:tcPr>
        <w:shd w:val="clear" w:color="FFFFFF" w:fill="D5E5F4"/>
      </w:tcPr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ADECB"/>
      </w:tcPr>
    </w:tblStylePr>
    <w:tblStylePr w:type="band1Horz">
      <w:tcPr>
        <w:shd w:val="clear" w:color="FFFFFF" w:fill="FADECB"/>
      </w:tcPr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8E8E8"/>
      </w:tcPr>
    </w:tblStylePr>
    <w:tblStylePr w:type="band1Horz">
      <w:tcPr>
        <w:shd w:val="clear" w:color="FFFFFF" w:fill="E8E8E8"/>
      </w:tcPr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FEFBE"/>
      </w:tcPr>
    </w:tblStylePr>
    <w:tblStylePr w:type="band1Horz">
      <w:tcPr>
        <w:shd w:val="clear" w:color="FFFFFF" w:fill="FFEFBE"/>
      </w:tcPr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0DBF0"/>
      </w:tcPr>
    </w:tblStylePr>
    <w:tblStylePr w:type="band1Horz">
      <w:tcPr>
        <w:shd w:val="clear" w:color="FFFFFF" w:fill="D0DBF0"/>
      </w:tcPr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AEBCF"/>
      </w:tcPr>
    </w:tblStylePr>
    <w:tblStylePr w:type="band1Horz">
      <w:tcPr>
        <w:shd w:val="clear" w:color="FFFFFF" w:fill="DAEBCF"/>
      </w:tcPr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4B28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D86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E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/>
      </w:tcPr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5E5F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5E5F4"/>
      </w:tcPr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ADECB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ADECB"/>
      </w:tcPr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8E8E8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8E8E8"/>
      </w:tcPr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FEFBE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FEFBE"/>
      </w:tcPr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0DBF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0DBF0"/>
      </w:tcPr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BCF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BCF"/>
      </w:tcPr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/>
      </w:tcPr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FFFFFF" w:fill="5B9BD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5B9BD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5B9BD5"/>
      </w:tcPr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FFFFF" w:fill="F4B285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4B285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4B285"/>
      </w:tcPr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FFFFFF" w:fill="C9C9C9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9C9C9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9C9C9"/>
      </w:tcPr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FFFF" w:fill="FFD864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FD864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FD864"/>
      </w:tcPr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FFFFFF" w:fill="8EA9DB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8EA9DB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8EA9DB"/>
      </w:tcPr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FFFFFF" w:fill="A9D08E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A9D08E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A9D08E"/>
      </w:tcPr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5E5F4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FFFFFF" w:fill="D5E5F4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ADECB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ADECB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8E8E8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8E8E8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FEFBE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EFBE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0DBF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0DBF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fill="FFFFFF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BCF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DAEBCF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/>
      </w:tcPr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68A3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BDFF1"/>
      </w:tcPr>
    </w:tblStylePr>
  </w:style>
  <w:style w:type="table" w:customStyle="1" w:styleId="167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4B28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BE5D6"/>
      </w:tcPr>
    </w:tblStylePr>
  </w:style>
  <w:style w:type="table" w:customStyle="1" w:styleId="168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CECEC"/>
      </w:tcPr>
    </w:tblStylePr>
  </w:style>
  <w:style w:type="table" w:customStyle="1" w:styleId="169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D86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EF2C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EF2CA"/>
      </w:tcPr>
    </w:tblStylePr>
  </w:style>
  <w:style w:type="table" w:customStyle="1" w:styleId="170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8E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8E2F2"/>
      </w:tcPr>
    </w:tblStylePr>
  </w:style>
  <w:style w:type="table" w:customStyle="1" w:styleId="171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1EFD8"/>
      </w:tcPr>
    </w:tblStylePr>
  </w:style>
  <w:style w:type="table" w:customStyle="1" w:styleId="172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22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270</Words>
  <Characters>274</Characters>
  <Lines>0</Lines>
  <Paragraphs>0</Paragraphs>
  <TotalTime>1</TotalTime>
  <ScaleCrop>false</ScaleCrop>
  <LinksUpToDate>false</LinksUpToDate>
  <CharactersWithSpaces>294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2021-10-20T03:55:00Z</dcterms:created>
  <dc:creator>19959</dc:creator>
  <cp:lastModifiedBy>姜可欣</cp:lastModifiedBy>
  <dcterms:modified xsi:type="dcterms:W3CDTF">2026-06-01T00:22:50Z</dcterms:modified>
  <dc:title>国家税务总局政府采购意向公告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80E33FEC99BD4651AD6E3D56D9CF2A23</vt:lpwstr>
  </property>
  <property fmtid="{D5CDD505-2E9C-101B-9397-08002B2CF9AE}" pid="3" name="KSOProductBuildVer">
    <vt:lpwstr>2052-11.8.2.10158</vt:lpwstr>
  </property>
</Properties>
</file>