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hint="eastAsia" w:ascii="方正小标宋_GBK" w:hAnsi="方正小标宋_GBK" w:eastAsia="方正小标宋_GBK" w:cs="方正小标宋_GBK"/>
          <w:color w:val="auto"/>
          <w:sz w:val="40"/>
          <w:szCs w:val="32"/>
        </w:rPr>
      </w:pPr>
      <w:bookmarkStart w:id="497" w:name="_GoBack"/>
      <w:bookmarkEnd w:id="497"/>
    </w:p>
    <w:p>
      <w:pPr>
        <w:spacing w:line="360" w:lineRule="auto"/>
        <w:jc w:val="left"/>
        <w:rPr>
          <w:rFonts w:hint="eastAsia" w:ascii="方正小标宋_GBK" w:hAnsi="方正小标宋_GBK" w:eastAsia="黑体" w:cs="方正小标宋_GBK"/>
          <w:color w:val="auto"/>
          <w:sz w:val="40"/>
          <w:szCs w:val="32"/>
          <w:lang w:val="en-US" w:eastAsia="zh-CN"/>
        </w:rPr>
      </w:pPr>
      <w:r>
        <w:rPr>
          <w:rFonts w:hint="eastAsia" w:ascii="黑体" w:hAnsi="黑体" w:eastAsia="黑体" w:cs="黑体"/>
          <w:color w:val="auto"/>
          <w:sz w:val="32"/>
          <w:szCs w:val="32"/>
        </w:rPr>
        <w:t>附件</w:t>
      </w:r>
    </w:p>
    <w:p>
      <w:pPr>
        <w:jc w:val="center"/>
        <w:rPr>
          <w:rFonts w:hint="eastAsia" w:ascii="方正小标宋_GBK" w:hAnsi="方正小标宋_GBK" w:eastAsia="方正小标宋_GBK" w:cs="方正小标宋_GBK"/>
          <w:color w:val="auto"/>
          <w:sz w:val="40"/>
          <w:szCs w:val="32"/>
        </w:rPr>
      </w:pPr>
    </w:p>
    <w:p>
      <w:pPr>
        <w:spacing w:line="360" w:lineRule="auto"/>
        <w:jc w:val="center"/>
        <w:rPr>
          <w:rFonts w:hint="eastAsia" w:ascii="方正小标宋简体" w:hAnsi="方正小标宋简体" w:eastAsia="方正小标宋简体" w:cs="方正小标宋_GBK"/>
          <w:color w:val="auto"/>
          <w:sz w:val="44"/>
          <w:szCs w:val="36"/>
        </w:rPr>
      </w:pPr>
      <w:r>
        <w:rPr>
          <w:rFonts w:hint="eastAsia" w:ascii="方正小标宋简体" w:hAnsi="方正小标宋简体" w:eastAsia="方正小标宋简体" w:cs="方正小标宋_GBK"/>
          <w:color w:val="auto"/>
          <w:sz w:val="44"/>
          <w:szCs w:val="36"/>
        </w:rPr>
        <w:t>《中华人民共和国企业所得税年度纳税</w:t>
      </w:r>
    </w:p>
    <w:p>
      <w:pPr>
        <w:spacing w:line="360" w:lineRule="auto"/>
        <w:jc w:val="center"/>
        <w:rPr>
          <w:rFonts w:hint="eastAsia" w:ascii="方正小标宋简体" w:hAnsi="方正小标宋简体" w:eastAsia="方正小标宋简体" w:cs="方正小标宋_GBK"/>
          <w:color w:val="auto"/>
          <w:sz w:val="44"/>
          <w:szCs w:val="36"/>
        </w:rPr>
      </w:pPr>
      <w:r>
        <w:rPr>
          <w:rFonts w:hint="eastAsia" w:ascii="方正小标宋简体" w:hAnsi="方正小标宋简体" w:eastAsia="方正小标宋简体" w:cs="方正小标宋_GBK"/>
          <w:color w:val="auto"/>
          <w:sz w:val="44"/>
          <w:szCs w:val="36"/>
        </w:rPr>
        <w:t>申报表（A类）</w:t>
      </w:r>
      <w:r>
        <w:rPr>
          <w:rFonts w:hint="eastAsia" w:ascii="方正小标宋简体" w:hAnsi="方正小标宋简体" w:eastAsia="方正小标宋简体" w:cs="方正小标宋_GBK"/>
          <w:color w:val="auto"/>
          <w:sz w:val="44"/>
          <w:szCs w:val="36"/>
          <w:lang w:eastAsia="zh-CN"/>
        </w:rPr>
        <w:t>，</w:t>
      </w:r>
      <w:r>
        <w:rPr>
          <w:rFonts w:hint="eastAsia" w:ascii="方正小标宋简体" w:hAnsi="方正小标宋简体" w:eastAsia="方正小标宋简体" w:cs="方正小标宋_GBK"/>
          <w:color w:val="auto"/>
          <w:sz w:val="44"/>
          <w:szCs w:val="36"/>
          <w:lang w:val="en-US" w:eastAsia="zh-CN"/>
        </w:rPr>
        <w:t>2017年版</w:t>
      </w:r>
      <w:r>
        <w:rPr>
          <w:rFonts w:hint="eastAsia" w:ascii="方正小标宋简体" w:hAnsi="方正小标宋简体" w:eastAsia="方正小标宋简体" w:cs="方正小标宋_GBK"/>
          <w:color w:val="auto"/>
          <w:sz w:val="44"/>
          <w:szCs w:val="36"/>
        </w:rPr>
        <w:t>》</w:t>
      </w:r>
    </w:p>
    <w:p>
      <w:pPr>
        <w:spacing w:line="360" w:lineRule="auto"/>
        <w:jc w:val="center"/>
        <w:rPr>
          <w:rFonts w:hint="eastAsia" w:ascii="方正小标宋简体" w:hAnsi="方正小标宋简体" w:eastAsia="方正小标宋简体" w:cs="方正小标宋_GBK"/>
          <w:color w:val="auto"/>
          <w:sz w:val="44"/>
          <w:szCs w:val="44"/>
        </w:rPr>
      </w:pPr>
      <w:r>
        <w:rPr>
          <w:rFonts w:hint="eastAsia" w:ascii="方正小标宋简体" w:hAnsi="方正小标宋简体" w:eastAsia="方正小标宋简体" w:cs="方正小标宋_GBK"/>
          <w:color w:val="auto"/>
          <w:sz w:val="44"/>
          <w:szCs w:val="36"/>
        </w:rPr>
        <w:t>部分表单及填报说明</w:t>
      </w:r>
    </w:p>
    <w:p>
      <w:pPr>
        <w:spacing w:line="360" w:lineRule="auto"/>
        <w:jc w:val="center"/>
        <w:rPr>
          <w:rFonts w:hint="eastAsia" w:ascii="宋体" w:hAnsi="宋体" w:eastAsia="宋体" w:cs="宋体"/>
          <w:color w:val="auto"/>
          <w:sz w:val="32"/>
          <w:szCs w:val="32"/>
        </w:rPr>
      </w:pPr>
    </w:p>
    <w:p>
      <w:pPr>
        <w:spacing w:line="360" w:lineRule="auto"/>
        <w:jc w:val="center"/>
        <w:rPr>
          <w:rFonts w:hint="eastAsia" w:ascii="宋体" w:hAnsi="宋体" w:eastAsia="宋体" w:cs="宋体"/>
          <w:color w:val="auto"/>
          <w:sz w:val="32"/>
          <w:szCs w:val="32"/>
        </w:rPr>
      </w:pPr>
    </w:p>
    <w:p>
      <w:pPr>
        <w:spacing w:line="360" w:lineRule="auto"/>
        <w:jc w:val="center"/>
        <w:rPr>
          <w:rFonts w:hint="eastAsia" w:ascii="宋体" w:hAnsi="宋体" w:eastAsia="宋体" w:cs="宋体"/>
          <w:color w:val="auto"/>
          <w:sz w:val="32"/>
          <w:szCs w:val="32"/>
        </w:rPr>
      </w:pPr>
    </w:p>
    <w:p>
      <w:pPr>
        <w:pStyle w:val="2"/>
        <w:rPr>
          <w:rFonts w:hint="eastAsia" w:ascii="宋体" w:hAnsi="宋体" w:eastAsia="宋体" w:cs="宋体"/>
          <w:color w:val="auto"/>
          <w:sz w:val="32"/>
          <w:szCs w:val="32"/>
        </w:rPr>
      </w:pPr>
    </w:p>
    <w:p>
      <w:pPr>
        <w:rPr>
          <w:rFonts w:hint="eastAsia" w:ascii="宋体" w:hAnsi="宋体" w:eastAsia="宋体" w:cs="宋体"/>
          <w:color w:val="auto"/>
          <w:sz w:val="32"/>
          <w:szCs w:val="32"/>
        </w:rPr>
      </w:pPr>
    </w:p>
    <w:p>
      <w:pPr>
        <w:pStyle w:val="2"/>
        <w:rPr>
          <w:rFonts w:hint="eastAsia"/>
          <w:color w:val="auto"/>
        </w:rPr>
      </w:pPr>
    </w:p>
    <w:p>
      <w:pPr>
        <w:spacing w:line="360" w:lineRule="auto"/>
        <w:jc w:val="center"/>
        <w:rPr>
          <w:rFonts w:hint="eastAsia" w:ascii="宋体" w:hAnsi="宋体" w:eastAsia="宋体" w:cs="宋体"/>
          <w:color w:val="auto"/>
          <w:sz w:val="32"/>
          <w:szCs w:val="32"/>
        </w:rPr>
      </w:pPr>
    </w:p>
    <w:p>
      <w:pPr>
        <w:jc w:val="center"/>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国家税务总局</w:t>
      </w:r>
    </w:p>
    <w:p>
      <w:pPr>
        <w:widowControl/>
        <w:jc w:val="left"/>
        <w:rPr>
          <w:rFonts w:hint="eastAsia" w:ascii="仿宋_GB2312" w:hAnsi="仿宋_GB2312" w:eastAsia="仿宋_GB2312" w:cs="仿宋_GB2312"/>
          <w:color w:val="auto"/>
          <w:sz w:val="28"/>
          <w:szCs w:val="28"/>
        </w:rPr>
        <w:sectPr>
          <w:footerReference r:id="rId4" w:type="first"/>
          <w:footerReference r:id="rId3" w:type="default"/>
          <w:pgSz w:w="11906" w:h="16838"/>
          <w:pgMar w:top="1440" w:right="1800" w:bottom="1440" w:left="1800" w:header="851" w:footer="992" w:gutter="0"/>
          <w:pgNumType w:fmt="decimal" w:start="1"/>
          <w:cols w:space="720" w:num="1"/>
          <w:docGrid w:type="lines" w:linePitch="312" w:charSpace="0"/>
        </w:sectPr>
      </w:pPr>
    </w:p>
    <w:p>
      <w:pPr>
        <w:pStyle w:val="2"/>
        <w:rPr>
          <w:rFonts w:hint="eastAsia"/>
        </w:rPr>
      </w:pPr>
    </w:p>
    <w:p>
      <w:pPr>
        <w:pStyle w:val="3"/>
        <w:jc w:val="center"/>
        <w:rPr>
          <w:rFonts w:hint="eastAsia" w:ascii="方正小标宋简体" w:hAnsi="宋体" w:eastAsia="方正小标宋简体" w:cs="宋体"/>
          <w:b w:val="0"/>
          <w:bCs w:val="0"/>
          <w:color w:val="auto"/>
          <w:sz w:val="28"/>
          <w:szCs w:val="28"/>
          <w:lang w:val="zh-CN"/>
        </w:rPr>
      </w:pPr>
      <w:bookmarkStart w:id="0" w:name="_Toc176972037"/>
      <w:r>
        <w:rPr>
          <w:rFonts w:hint="eastAsia" w:ascii="方正小标宋简体" w:hAnsi="宋体" w:eastAsia="方正小标宋简体" w:cs="宋体"/>
          <w:b w:val="0"/>
          <w:bCs w:val="0"/>
          <w:color w:val="auto"/>
          <w:sz w:val="28"/>
          <w:szCs w:val="28"/>
          <w:lang w:val="zh-CN"/>
        </w:rPr>
        <w:t>目    录</w:t>
      </w:r>
      <w:bookmarkEnd w:id="0"/>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color w:val="auto"/>
          <w:szCs w:val="21"/>
        </w:rPr>
      </w:pPr>
      <w:r>
        <w:rPr>
          <w:rFonts w:hint="eastAsia"/>
          <w:color w:val="auto"/>
          <w:lang w:val="zh-CN"/>
        </w:rPr>
        <w:fldChar w:fldCharType="begin"/>
      </w:r>
      <w:r>
        <w:rPr>
          <w:rFonts w:hint="eastAsia"/>
          <w:color w:val="auto"/>
          <w:lang w:val="zh-CN"/>
        </w:rPr>
        <w:instrText xml:space="preserve">TOC \o "1-1" \h \u </w:instrText>
      </w:r>
      <w:r>
        <w:rPr>
          <w:rFonts w:hint="eastAsia"/>
          <w:color w:val="auto"/>
          <w:lang w:val="zh-CN"/>
        </w:rPr>
        <w:fldChar w:fldCharType="separate"/>
      </w:r>
      <w:r>
        <w:rPr>
          <w:rFonts w:hint="eastAsia"/>
          <w:color w:val="auto"/>
          <w:szCs w:val="21"/>
          <w:lang w:val="zh-CN"/>
        </w:rPr>
        <w:fldChar w:fldCharType="begin"/>
      </w:r>
      <w:r>
        <w:rPr>
          <w:rFonts w:hint="eastAsia"/>
          <w:color w:val="auto"/>
          <w:szCs w:val="21"/>
          <w:lang w:val="zh-CN"/>
        </w:rPr>
        <w:instrText xml:space="preserve"> HYPERLINK \l _Toc2104880965 </w:instrText>
      </w:r>
      <w:r>
        <w:rPr>
          <w:rFonts w:hint="eastAsia"/>
          <w:color w:val="auto"/>
          <w:szCs w:val="21"/>
          <w:lang w:val="zh-CN"/>
        </w:rPr>
        <w:fldChar w:fldCharType="separate"/>
      </w:r>
      <w:r>
        <w:rPr>
          <w:rFonts w:hint="eastAsia"/>
          <w:color w:val="auto"/>
          <w:szCs w:val="21"/>
        </w:rPr>
        <w:t>企业所得税年度纳税申报表填报表单</w:t>
      </w:r>
      <w:r>
        <w:rPr>
          <w:rFonts w:hint="eastAsia"/>
          <w:color w:val="auto"/>
          <w:szCs w:val="21"/>
        </w:rPr>
        <w:tab/>
      </w:r>
      <w:r>
        <w:rPr>
          <w:rFonts w:hint="eastAsia" w:ascii="宋体" w:hAnsi="宋体" w:cs="宋体"/>
          <w:color w:val="auto"/>
          <w:szCs w:val="21"/>
          <w:lang w:val="en-US" w:eastAsia="zh-CN"/>
        </w:rPr>
        <w:t>1</w:t>
      </w:r>
      <w:r>
        <w:rPr>
          <w:rFonts w:hint="eastAsia"/>
          <w:color w:val="auto"/>
          <w:szCs w:val="21"/>
          <w:lang w:val="zh-CN"/>
        </w:rPr>
        <w:fldChar w:fldCharType="end"/>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color w:val="auto"/>
          <w:szCs w:val="21"/>
        </w:rPr>
      </w:pPr>
      <w:r>
        <w:rPr>
          <w:rFonts w:hint="eastAsia"/>
          <w:color w:val="auto"/>
          <w:szCs w:val="21"/>
          <w:lang w:val="zh-CN"/>
        </w:rPr>
        <w:fldChar w:fldCharType="begin"/>
      </w:r>
      <w:r>
        <w:rPr>
          <w:rFonts w:hint="eastAsia"/>
          <w:color w:val="auto"/>
          <w:szCs w:val="21"/>
          <w:lang w:val="zh-CN"/>
        </w:rPr>
        <w:instrText xml:space="preserve"> HYPERLINK \l _Toc997585336 </w:instrText>
      </w:r>
      <w:r>
        <w:rPr>
          <w:rFonts w:hint="eastAsia"/>
          <w:color w:val="auto"/>
          <w:szCs w:val="21"/>
          <w:lang w:val="zh-CN"/>
        </w:rPr>
        <w:fldChar w:fldCharType="separate"/>
      </w:r>
      <w:r>
        <w:rPr>
          <w:rFonts w:hint="eastAsia"/>
          <w:color w:val="auto"/>
          <w:szCs w:val="21"/>
        </w:rPr>
        <w:t>《企业所得税年度纳税申报表填报表单》填报说明</w:t>
      </w:r>
      <w:r>
        <w:rPr>
          <w:rFonts w:hint="eastAsia"/>
          <w:color w:val="auto"/>
          <w:szCs w:val="21"/>
        </w:rPr>
        <w:tab/>
      </w:r>
      <w:r>
        <w:rPr>
          <w:rFonts w:hint="eastAsia" w:ascii="宋体" w:hAnsi="宋体" w:cs="宋体"/>
          <w:color w:val="auto"/>
          <w:szCs w:val="21"/>
          <w:lang w:val="en-US" w:eastAsia="zh-CN"/>
        </w:rPr>
        <w:t>2</w:t>
      </w:r>
      <w:r>
        <w:rPr>
          <w:rFonts w:hint="eastAsia"/>
          <w:color w:val="auto"/>
          <w:szCs w:val="21"/>
          <w:lang w:val="zh-CN"/>
        </w:rPr>
        <w:fldChar w:fldCharType="end"/>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color w:val="auto"/>
          <w:szCs w:val="21"/>
        </w:rPr>
      </w:pPr>
      <w:r>
        <w:rPr>
          <w:rFonts w:hint="eastAsia"/>
          <w:color w:val="auto"/>
          <w:szCs w:val="21"/>
          <w:lang w:val="zh-CN"/>
        </w:rPr>
        <w:fldChar w:fldCharType="begin"/>
      </w:r>
      <w:r>
        <w:rPr>
          <w:rFonts w:hint="eastAsia"/>
          <w:color w:val="auto"/>
          <w:szCs w:val="21"/>
          <w:lang w:val="zh-CN"/>
        </w:rPr>
        <w:instrText xml:space="preserve"> HYPERLINK \l _Toc1922398481 </w:instrText>
      </w:r>
      <w:r>
        <w:rPr>
          <w:rFonts w:hint="eastAsia"/>
          <w:color w:val="auto"/>
          <w:szCs w:val="21"/>
          <w:lang w:val="zh-CN"/>
        </w:rPr>
        <w:fldChar w:fldCharType="separate"/>
      </w:r>
      <w:r>
        <w:rPr>
          <w:rFonts w:hint="eastAsia" w:ascii="宋体" w:hAnsi="宋体" w:cs="宋体"/>
          <w:color w:val="auto"/>
          <w:szCs w:val="21"/>
        </w:rPr>
        <w:t>A100000</w:t>
      </w:r>
      <w:r>
        <w:rPr>
          <w:rFonts w:hint="eastAsia"/>
          <w:color w:val="auto"/>
          <w:szCs w:val="21"/>
        </w:rPr>
        <w:t>企业所得税年度纳税申报主表</w:t>
      </w:r>
      <w:r>
        <w:rPr>
          <w:rFonts w:hint="eastAsia"/>
          <w:color w:val="auto"/>
          <w:szCs w:val="21"/>
        </w:rPr>
        <w:tab/>
      </w:r>
      <w:r>
        <w:rPr>
          <w:rFonts w:hint="eastAsia" w:ascii="宋体" w:hAnsi="宋体" w:cs="宋体"/>
          <w:color w:val="auto"/>
          <w:szCs w:val="21"/>
          <w:lang w:val="en-US" w:eastAsia="zh-CN"/>
        </w:rPr>
        <w:t>7</w:t>
      </w:r>
      <w:r>
        <w:rPr>
          <w:rFonts w:hint="eastAsia"/>
          <w:color w:val="auto"/>
          <w:szCs w:val="21"/>
          <w:lang w:val="zh-CN"/>
        </w:rPr>
        <w:fldChar w:fldCharType="end"/>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ascii="宋体" w:hAnsi="宋体" w:cs="宋体"/>
          <w:color w:val="auto"/>
          <w:szCs w:val="21"/>
        </w:rPr>
      </w:pPr>
      <w:r>
        <w:rPr>
          <w:rFonts w:hint="eastAsia" w:ascii="宋体" w:hAnsi="宋体" w:cs="宋体"/>
          <w:color w:val="auto"/>
          <w:szCs w:val="21"/>
          <w:lang w:val="zh-CN"/>
        </w:rPr>
        <w:fldChar w:fldCharType="begin"/>
      </w:r>
      <w:r>
        <w:rPr>
          <w:rFonts w:hint="eastAsia" w:ascii="宋体" w:hAnsi="宋体" w:cs="宋体"/>
          <w:color w:val="auto"/>
          <w:szCs w:val="21"/>
          <w:lang w:val="zh-CN"/>
        </w:rPr>
        <w:instrText xml:space="preserve"> HYPERLINK \l _Toc1634982304 </w:instrText>
      </w:r>
      <w:r>
        <w:rPr>
          <w:rFonts w:hint="eastAsia" w:ascii="宋体" w:hAnsi="宋体" w:cs="宋体"/>
          <w:color w:val="auto"/>
          <w:szCs w:val="21"/>
          <w:lang w:val="zh-CN"/>
        </w:rPr>
        <w:fldChar w:fldCharType="separate"/>
      </w:r>
      <w:r>
        <w:rPr>
          <w:rFonts w:hint="eastAsia" w:ascii="宋体" w:hAnsi="宋体" w:cs="宋体"/>
          <w:color w:val="auto"/>
          <w:szCs w:val="21"/>
        </w:rPr>
        <w:t>A100000《企业所得税年度纳税申报主表》填报说明</w:t>
      </w:r>
      <w:r>
        <w:rPr>
          <w:rFonts w:hint="eastAsia" w:ascii="宋体" w:hAnsi="宋体" w:cs="宋体"/>
          <w:color w:val="auto"/>
          <w:szCs w:val="21"/>
        </w:rPr>
        <w:tab/>
      </w:r>
      <w:r>
        <w:rPr>
          <w:rFonts w:hint="eastAsia" w:ascii="宋体" w:hAnsi="宋体" w:cs="宋体"/>
          <w:color w:val="auto"/>
          <w:szCs w:val="21"/>
          <w:lang w:val="en-US" w:eastAsia="zh-CN"/>
        </w:rPr>
        <w:t>9</w:t>
      </w:r>
      <w:r>
        <w:rPr>
          <w:rFonts w:hint="eastAsia" w:ascii="宋体" w:hAnsi="宋体" w:cs="宋体"/>
          <w:color w:val="auto"/>
          <w:szCs w:val="21"/>
          <w:lang w:val="zh-CN"/>
        </w:rPr>
        <w:fldChar w:fldCharType="end"/>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eastAsia="宋体"/>
          <w:color w:val="auto"/>
          <w:szCs w:val="21"/>
          <w:lang w:val="en-US" w:eastAsia="zh-CN"/>
        </w:rPr>
      </w:pPr>
      <w:r>
        <w:rPr>
          <w:rFonts w:hint="eastAsia"/>
          <w:color w:val="auto"/>
          <w:szCs w:val="21"/>
          <w:lang w:val="zh-CN"/>
        </w:rPr>
        <w:fldChar w:fldCharType="begin"/>
      </w:r>
      <w:r>
        <w:rPr>
          <w:rFonts w:hint="eastAsia"/>
          <w:color w:val="auto"/>
          <w:szCs w:val="21"/>
          <w:lang w:val="zh-CN"/>
        </w:rPr>
        <w:instrText xml:space="preserve"> HYPERLINK \l _Toc1843013244 </w:instrText>
      </w:r>
      <w:r>
        <w:rPr>
          <w:rFonts w:hint="eastAsia"/>
          <w:color w:val="auto"/>
          <w:szCs w:val="21"/>
          <w:lang w:val="zh-CN"/>
        </w:rPr>
        <w:fldChar w:fldCharType="separate"/>
      </w:r>
      <w:r>
        <w:rPr>
          <w:rFonts w:hint="eastAsia" w:ascii="宋体" w:hAnsi="宋体" w:cs="宋体"/>
          <w:color w:val="auto"/>
          <w:szCs w:val="21"/>
        </w:rPr>
        <w:t>A101010</w:t>
      </w:r>
      <w:r>
        <w:rPr>
          <w:rFonts w:hint="eastAsia"/>
          <w:color w:val="auto"/>
          <w:szCs w:val="21"/>
        </w:rPr>
        <w:t>《一般企业收入明细表》填报说明</w:t>
      </w:r>
      <w:r>
        <w:rPr>
          <w:rFonts w:hint="eastAsia"/>
          <w:color w:val="auto"/>
          <w:szCs w:val="21"/>
        </w:rPr>
        <w:tab/>
      </w:r>
      <w:r>
        <w:rPr>
          <w:rFonts w:hint="eastAsia" w:ascii="宋体" w:hAnsi="宋体" w:cs="宋体"/>
          <w:color w:val="auto"/>
          <w:szCs w:val="21"/>
          <w:lang w:val="en-US" w:eastAsia="zh-CN"/>
        </w:rPr>
        <w:t>1</w:t>
      </w:r>
      <w:r>
        <w:rPr>
          <w:rFonts w:hint="eastAsia"/>
          <w:color w:val="auto"/>
          <w:szCs w:val="21"/>
          <w:lang w:val="zh-CN"/>
        </w:rPr>
        <w:fldChar w:fldCharType="end"/>
      </w:r>
      <w:r>
        <w:rPr>
          <w:rFonts w:hint="eastAsia" w:ascii="宋体" w:hAnsi="宋体" w:eastAsia="宋体" w:cs="宋体"/>
          <w:color w:val="auto"/>
          <w:szCs w:val="21"/>
          <w:lang w:val="en-US" w:eastAsia="zh-CN"/>
        </w:rPr>
        <w:t>8</w:t>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color w:val="auto"/>
          <w:szCs w:val="21"/>
        </w:rPr>
      </w:pPr>
      <w:r>
        <w:rPr>
          <w:rFonts w:hint="eastAsia"/>
          <w:color w:val="auto"/>
          <w:szCs w:val="21"/>
          <w:lang w:val="zh-CN"/>
        </w:rPr>
        <w:fldChar w:fldCharType="begin"/>
      </w:r>
      <w:r>
        <w:rPr>
          <w:rFonts w:hint="eastAsia"/>
          <w:color w:val="auto"/>
          <w:szCs w:val="21"/>
          <w:lang w:val="zh-CN"/>
        </w:rPr>
        <w:instrText xml:space="preserve"> HYPERLINK \l _Toc392340134 </w:instrText>
      </w:r>
      <w:r>
        <w:rPr>
          <w:rFonts w:hint="eastAsia"/>
          <w:color w:val="auto"/>
          <w:szCs w:val="21"/>
          <w:lang w:val="zh-CN"/>
        </w:rPr>
        <w:fldChar w:fldCharType="separate"/>
      </w:r>
      <w:r>
        <w:rPr>
          <w:rFonts w:hint="eastAsia" w:ascii="宋体" w:hAnsi="宋体" w:cs="宋体"/>
          <w:color w:val="auto"/>
          <w:szCs w:val="21"/>
        </w:rPr>
        <w:t>A101020</w:t>
      </w:r>
      <w:r>
        <w:rPr>
          <w:rFonts w:hint="eastAsia"/>
          <w:color w:val="auto"/>
          <w:szCs w:val="21"/>
        </w:rPr>
        <w:t>《金融企业收入明细表》填报说明</w:t>
      </w:r>
      <w:r>
        <w:rPr>
          <w:rFonts w:hint="eastAsia"/>
          <w:color w:val="auto"/>
          <w:szCs w:val="21"/>
        </w:rPr>
        <w:tab/>
      </w:r>
      <w:r>
        <w:rPr>
          <w:rFonts w:hint="eastAsia" w:ascii="宋体" w:hAnsi="宋体" w:cs="宋体"/>
          <w:color w:val="auto"/>
          <w:szCs w:val="21"/>
        </w:rPr>
        <w:fldChar w:fldCharType="begin"/>
      </w:r>
      <w:r>
        <w:rPr>
          <w:rFonts w:hint="eastAsia" w:ascii="宋体" w:hAnsi="宋体" w:cs="宋体"/>
          <w:color w:val="auto"/>
          <w:szCs w:val="21"/>
        </w:rPr>
        <w:instrText xml:space="preserve"> PAGEREF _Toc392340134 </w:instrText>
      </w:r>
      <w:r>
        <w:rPr>
          <w:rFonts w:hint="eastAsia" w:ascii="宋体" w:hAnsi="宋体" w:cs="宋体"/>
          <w:color w:val="auto"/>
          <w:szCs w:val="21"/>
        </w:rPr>
        <w:fldChar w:fldCharType="separate"/>
      </w:r>
      <w:r>
        <w:rPr>
          <w:rFonts w:hint="eastAsia" w:ascii="宋体" w:hAnsi="宋体" w:cs="宋体"/>
          <w:color w:val="auto"/>
          <w:szCs w:val="21"/>
        </w:rPr>
        <w:t>21</w:t>
      </w:r>
      <w:r>
        <w:rPr>
          <w:rFonts w:hint="eastAsia" w:ascii="宋体" w:hAnsi="宋体" w:cs="宋体"/>
          <w:color w:val="auto"/>
          <w:szCs w:val="21"/>
        </w:rPr>
        <w:fldChar w:fldCharType="end"/>
      </w:r>
      <w:r>
        <w:rPr>
          <w:rFonts w:hint="eastAsia"/>
          <w:color w:val="auto"/>
          <w:szCs w:val="21"/>
          <w:lang w:val="zh-CN"/>
        </w:rPr>
        <w:fldChar w:fldCharType="end"/>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color w:val="auto"/>
          <w:szCs w:val="21"/>
        </w:rPr>
      </w:pPr>
      <w:r>
        <w:rPr>
          <w:rFonts w:hint="eastAsia"/>
          <w:color w:val="auto"/>
          <w:szCs w:val="21"/>
          <w:lang w:val="zh-CN"/>
        </w:rPr>
        <w:fldChar w:fldCharType="begin"/>
      </w:r>
      <w:r>
        <w:rPr>
          <w:rFonts w:hint="eastAsia"/>
          <w:color w:val="auto"/>
          <w:szCs w:val="21"/>
          <w:lang w:val="zh-CN"/>
        </w:rPr>
        <w:instrText xml:space="preserve"> HYPERLINK \l _Toc565566960 </w:instrText>
      </w:r>
      <w:r>
        <w:rPr>
          <w:rFonts w:hint="eastAsia"/>
          <w:color w:val="auto"/>
          <w:szCs w:val="21"/>
          <w:lang w:val="zh-CN"/>
        </w:rPr>
        <w:fldChar w:fldCharType="separate"/>
      </w:r>
      <w:r>
        <w:rPr>
          <w:rFonts w:hint="eastAsia" w:ascii="宋体" w:hAnsi="宋体" w:cs="宋体"/>
          <w:color w:val="auto"/>
          <w:szCs w:val="21"/>
        </w:rPr>
        <w:t>A102010</w:t>
      </w:r>
      <w:r>
        <w:rPr>
          <w:rFonts w:hint="eastAsia"/>
          <w:color w:val="auto"/>
          <w:szCs w:val="21"/>
        </w:rPr>
        <w:t>《一般企业成本支出明细表》填报说明</w:t>
      </w:r>
      <w:r>
        <w:rPr>
          <w:rFonts w:hint="eastAsia"/>
          <w:color w:val="auto"/>
          <w:szCs w:val="21"/>
        </w:rPr>
        <w:tab/>
      </w:r>
      <w:r>
        <w:rPr>
          <w:rFonts w:hint="eastAsia" w:ascii="宋体" w:hAnsi="宋体" w:cs="宋体"/>
          <w:color w:val="auto"/>
          <w:szCs w:val="21"/>
        </w:rPr>
        <w:fldChar w:fldCharType="begin"/>
      </w:r>
      <w:r>
        <w:rPr>
          <w:rFonts w:hint="eastAsia" w:ascii="宋体" w:hAnsi="宋体" w:cs="宋体"/>
          <w:color w:val="auto"/>
          <w:szCs w:val="21"/>
        </w:rPr>
        <w:instrText xml:space="preserve"> PAGEREF _Toc565566960 </w:instrText>
      </w:r>
      <w:r>
        <w:rPr>
          <w:rFonts w:hint="eastAsia" w:ascii="宋体" w:hAnsi="宋体" w:cs="宋体"/>
          <w:color w:val="auto"/>
          <w:szCs w:val="21"/>
        </w:rPr>
        <w:fldChar w:fldCharType="separate"/>
      </w:r>
      <w:r>
        <w:rPr>
          <w:rFonts w:hint="eastAsia" w:ascii="宋体" w:hAnsi="宋体" w:cs="宋体"/>
          <w:color w:val="auto"/>
          <w:szCs w:val="21"/>
        </w:rPr>
        <w:t>24</w:t>
      </w:r>
      <w:r>
        <w:rPr>
          <w:rFonts w:hint="eastAsia" w:ascii="宋体" w:hAnsi="宋体" w:cs="宋体"/>
          <w:color w:val="auto"/>
          <w:szCs w:val="21"/>
        </w:rPr>
        <w:fldChar w:fldCharType="end"/>
      </w:r>
      <w:r>
        <w:rPr>
          <w:rFonts w:hint="eastAsia"/>
          <w:color w:val="auto"/>
          <w:szCs w:val="21"/>
          <w:lang w:val="zh-CN"/>
        </w:rPr>
        <w:fldChar w:fldCharType="end"/>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color w:val="auto"/>
          <w:szCs w:val="21"/>
        </w:rPr>
      </w:pPr>
      <w:r>
        <w:rPr>
          <w:rFonts w:hint="eastAsia"/>
          <w:color w:val="auto"/>
          <w:szCs w:val="21"/>
          <w:lang w:val="zh-CN"/>
        </w:rPr>
        <w:fldChar w:fldCharType="begin"/>
      </w:r>
      <w:r>
        <w:rPr>
          <w:rFonts w:hint="eastAsia"/>
          <w:color w:val="auto"/>
          <w:szCs w:val="21"/>
          <w:lang w:val="zh-CN"/>
        </w:rPr>
        <w:instrText xml:space="preserve"> HYPERLINK \l _Toc2038201456 </w:instrText>
      </w:r>
      <w:r>
        <w:rPr>
          <w:rFonts w:hint="eastAsia"/>
          <w:color w:val="auto"/>
          <w:szCs w:val="21"/>
          <w:lang w:val="zh-CN"/>
        </w:rPr>
        <w:fldChar w:fldCharType="separate"/>
      </w:r>
      <w:r>
        <w:rPr>
          <w:rFonts w:hint="eastAsia" w:ascii="宋体" w:hAnsi="宋体" w:cs="宋体"/>
          <w:color w:val="auto"/>
          <w:szCs w:val="21"/>
        </w:rPr>
        <w:t>A102020</w:t>
      </w:r>
      <w:r>
        <w:rPr>
          <w:rFonts w:hint="eastAsia"/>
          <w:color w:val="auto"/>
          <w:szCs w:val="21"/>
        </w:rPr>
        <w:t>《金融企业支出明细表》填报说明</w:t>
      </w:r>
      <w:r>
        <w:rPr>
          <w:rFonts w:hint="eastAsia"/>
          <w:color w:val="auto"/>
          <w:szCs w:val="21"/>
        </w:rPr>
        <w:tab/>
      </w:r>
      <w:r>
        <w:rPr>
          <w:rFonts w:hint="eastAsia" w:ascii="宋体" w:hAnsi="宋体" w:cs="宋体"/>
          <w:color w:val="auto"/>
          <w:szCs w:val="21"/>
        </w:rPr>
        <w:fldChar w:fldCharType="begin"/>
      </w:r>
      <w:r>
        <w:rPr>
          <w:rFonts w:hint="eastAsia" w:ascii="宋体" w:hAnsi="宋体" w:cs="宋体"/>
          <w:color w:val="auto"/>
          <w:szCs w:val="21"/>
        </w:rPr>
        <w:instrText xml:space="preserve"> PAGEREF _Toc2038201456 </w:instrText>
      </w:r>
      <w:r>
        <w:rPr>
          <w:rFonts w:hint="eastAsia" w:ascii="宋体" w:hAnsi="宋体" w:cs="宋体"/>
          <w:color w:val="auto"/>
          <w:szCs w:val="21"/>
        </w:rPr>
        <w:fldChar w:fldCharType="separate"/>
      </w:r>
      <w:r>
        <w:rPr>
          <w:rFonts w:hint="eastAsia" w:ascii="宋体" w:hAnsi="宋体" w:cs="宋体"/>
          <w:color w:val="auto"/>
          <w:szCs w:val="21"/>
        </w:rPr>
        <w:t>27</w:t>
      </w:r>
      <w:r>
        <w:rPr>
          <w:rFonts w:hint="eastAsia" w:ascii="宋体" w:hAnsi="宋体" w:cs="宋体"/>
          <w:color w:val="auto"/>
          <w:szCs w:val="21"/>
        </w:rPr>
        <w:fldChar w:fldCharType="end"/>
      </w:r>
      <w:r>
        <w:rPr>
          <w:rFonts w:hint="eastAsia"/>
          <w:color w:val="auto"/>
          <w:szCs w:val="21"/>
          <w:lang w:val="zh-CN"/>
        </w:rPr>
        <w:fldChar w:fldCharType="end"/>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color w:val="auto"/>
          <w:szCs w:val="21"/>
        </w:rPr>
      </w:pPr>
      <w:r>
        <w:rPr>
          <w:rFonts w:hint="eastAsia"/>
          <w:color w:val="auto"/>
          <w:szCs w:val="21"/>
          <w:lang w:val="zh-CN"/>
        </w:rPr>
        <w:fldChar w:fldCharType="begin"/>
      </w:r>
      <w:r>
        <w:rPr>
          <w:rFonts w:hint="eastAsia"/>
          <w:color w:val="auto"/>
          <w:szCs w:val="21"/>
          <w:lang w:val="zh-CN"/>
        </w:rPr>
        <w:instrText xml:space="preserve"> HYPERLINK \l _Toc1090346832 </w:instrText>
      </w:r>
      <w:r>
        <w:rPr>
          <w:rFonts w:hint="eastAsia"/>
          <w:color w:val="auto"/>
          <w:szCs w:val="21"/>
          <w:lang w:val="zh-CN"/>
        </w:rPr>
        <w:fldChar w:fldCharType="separate"/>
      </w:r>
      <w:r>
        <w:rPr>
          <w:rFonts w:hint="eastAsia" w:ascii="宋体" w:hAnsi="宋体" w:cs="宋体"/>
          <w:color w:val="auto"/>
          <w:szCs w:val="21"/>
        </w:rPr>
        <w:t>A103000</w:t>
      </w:r>
      <w:r>
        <w:rPr>
          <w:rFonts w:hint="eastAsia"/>
          <w:color w:val="auto"/>
          <w:szCs w:val="21"/>
        </w:rPr>
        <w:t>《事业单位、民间非营利组织收入、支出明细表》填报说明</w:t>
      </w:r>
      <w:r>
        <w:rPr>
          <w:rFonts w:hint="eastAsia"/>
          <w:color w:val="auto"/>
          <w:szCs w:val="21"/>
        </w:rPr>
        <w:tab/>
      </w:r>
      <w:r>
        <w:rPr>
          <w:rFonts w:hint="eastAsia" w:ascii="宋体" w:hAnsi="宋体" w:cs="宋体"/>
          <w:color w:val="auto"/>
          <w:szCs w:val="21"/>
        </w:rPr>
        <w:fldChar w:fldCharType="begin"/>
      </w:r>
      <w:r>
        <w:rPr>
          <w:rFonts w:hint="eastAsia" w:ascii="宋体" w:hAnsi="宋体" w:cs="宋体"/>
          <w:color w:val="auto"/>
          <w:szCs w:val="21"/>
        </w:rPr>
        <w:instrText xml:space="preserve"> PAGEREF _Toc1090346832 </w:instrText>
      </w:r>
      <w:r>
        <w:rPr>
          <w:rFonts w:hint="eastAsia" w:ascii="宋体" w:hAnsi="宋体" w:cs="宋体"/>
          <w:color w:val="auto"/>
          <w:szCs w:val="21"/>
        </w:rPr>
        <w:fldChar w:fldCharType="separate"/>
      </w:r>
      <w:r>
        <w:rPr>
          <w:rFonts w:hint="eastAsia" w:ascii="宋体" w:hAnsi="宋体" w:cs="宋体"/>
          <w:color w:val="auto"/>
          <w:szCs w:val="21"/>
        </w:rPr>
        <w:t>30</w:t>
      </w:r>
      <w:r>
        <w:rPr>
          <w:rFonts w:hint="eastAsia" w:ascii="宋体" w:hAnsi="宋体" w:cs="宋体"/>
          <w:color w:val="auto"/>
          <w:szCs w:val="21"/>
        </w:rPr>
        <w:fldChar w:fldCharType="end"/>
      </w:r>
      <w:r>
        <w:rPr>
          <w:rFonts w:hint="eastAsia"/>
          <w:color w:val="auto"/>
          <w:szCs w:val="21"/>
          <w:lang w:val="zh-CN"/>
        </w:rPr>
        <w:fldChar w:fldCharType="end"/>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color w:val="auto"/>
          <w:szCs w:val="21"/>
        </w:rPr>
      </w:pPr>
      <w:r>
        <w:rPr>
          <w:rFonts w:hint="eastAsia"/>
          <w:color w:val="auto"/>
          <w:szCs w:val="21"/>
          <w:lang w:val="zh-CN"/>
        </w:rPr>
        <w:fldChar w:fldCharType="begin"/>
      </w:r>
      <w:r>
        <w:rPr>
          <w:rFonts w:hint="eastAsia"/>
          <w:color w:val="auto"/>
          <w:szCs w:val="21"/>
          <w:lang w:val="zh-CN"/>
        </w:rPr>
        <w:instrText xml:space="preserve"> HYPERLINK \l _Toc1042834139 </w:instrText>
      </w:r>
      <w:r>
        <w:rPr>
          <w:rFonts w:hint="eastAsia"/>
          <w:color w:val="auto"/>
          <w:szCs w:val="21"/>
          <w:lang w:val="zh-CN"/>
        </w:rPr>
        <w:fldChar w:fldCharType="separate"/>
      </w:r>
      <w:r>
        <w:rPr>
          <w:rFonts w:hint="eastAsia" w:ascii="宋体" w:hAnsi="宋体" w:cs="宋体"/>
          <w:color w:val="auto"/>
          <w:szCs w:val="21"/>
        </w:rPr>
        <w:t>A104000</w:t>
      </w:r>
      <w:r>
        <w:rPr>
          <w:rFonts w:hint="eastAsia"/>
          <w:color w:val="auto"/>
          <w:szCs w:val="21"/>
        </w:rPr>
        <w:t>《期间费用明细表》填报说明</w:t>
      </w:r>
      <w:r>
        <w:rPr>
          <w:rFonts w:hint="eastAsia"/>
          <w:color w:val="auto"/>
          <w:szCs w:val="21"/>
        </w:rPr>
        <w:tab/>
      </w:r>
      <w:r>
        <w:rPr>
          <w:rFonts w:hint="eastAsia" w:ascii="宋体" w:hAnsi="宋体" w:cs="宋体"/>
          <w:color w:val="auto"/>
          <w:szCs w:val="21"/>
        </w:rPr>
        <w:fldChar w:fldCharType="begin"/>
      </w:r>
      <w:r>
        <w:rPr>
          <w:rFonts w:hint="eastAsia" w:ascii="宋体" w:hAnsi="宋体" w:cs="宋体"/>
          <w:color w:val="auto"/>
          <w:szCs w:val="21"/>
        </w:rPr>
        <w:instrText xml:space="preserve"> PAGEREF _Toc1042834139 </w:instrText>
      </w:r>
      <w:r>
        <w:rPr>
          <w:rFonts w:hint="eastAsia" w:ascii="宋体" w:hAnsi="宋体" w:cs="宋体"/>
          <w:color w:val="auto"/>
          <w:szCs w:val="21"/>
        </w:rPr>
        <w:fldChar w:fldCharType="separate"/>
      </w:r>
      <w:r>
        <w:rPr>
          <w:rFonts w:hint="eastAsia" w:ascii="宋体" w:hAnsi="宋体" w:cs="宋体"/>
          <w:color w:val="auto"/>
          <w:szCs w:val="21"/>
        </w:rPr>
        <w:t>34</w:t>
      </w:r>
      <w:r>
        <w:rPr>
          <w:rFonts w:hint="eastAsia" w:ascii="宋体" w:hAnsi="宋体" w:cs="宋体"/>
          <w:color w:val="auto"/>
          <w:szCs w:val="21"/>
        </w:rPr>
        <w:fldChar w:fldCharType="end"/>
      </w:r>
      <w:r>
        <w:rPr>
          <w:rFonts w:hint="eastAsia"/>
          <w:color w:val="auto"/>
          <w:szCs w:val="21"/>
          <w:lang w:val="zh-CN"/>
        </w:rPr>
        <w:fldChar w:fldCharType="end"/>
      </w:r>
    </w:p>
    <w:p>
      <w:pPr>
        <w:pStyle w:val="6"/>
        <w:keepNext w:val="0"/>
        <w:keepLines w:val="0"/>
        <w:pageBreakBefore w:val="0"/>
        <w:widowControl/>
        <w:tabs>
          <w:tab w:val="right" w:leader="dot" w:pos="8931"/>
        </w:tabs>
        <w:kinsoku/>
        <w:wordWrap/>
        <w:overflowPunct/>
        <w:topLinePunct w:val="0"/>
        <w:autoSpaceDE/>
        <w:autoSpaceDN/>
        <w:bidi w:val="0"/>
        <w:adjustRightInd w:val="0"/>
        <w:snapToGrid w:val="0"/>
        <w:spacing w:beforeLines="0" w:afterLines="0" w:line="400" w:lineRule="exact"/>
        <w:textAlignment w:val="auto"/>
        <w:rPr>
          <w:rFonts w:hint="eastAsia"/>
          <w:color w:val="auto"/>
          <w:szCs w:val="21"/>
        </w:rPr>
      </w:pPr>
      <w:r>
        <w:rPr>
          <w:rFonts w:hint="eastAsia"/>
          <w:color w:val="auto"/>
          <w:szCs w:val="21"/>
          <w:lang w:val="zh-CN"/>
        </w:rPr>
        <w:fldChar w:fldCharType="begin"/>
      </w:r>
      <w:r>
        <w:rPr>
          <w:rFonts w:hint="eastAsia"/>
          <w:color w:val="auto"/>
          <w:szCs w:val="21"/>
          <w:lang w:val="zh-CN"/>
        </w:rPr>
        <w:instrText xml:space="preserve"> HYPERLINK \l _Toc1343709835 </w:instrText>
      </w:r>
      <w:r>
        <w:rPr>
          <w:rFonts w:hint="eastAsia"/>
          <w:color w:val="auto"/>
          <w:szCs w:val="21"/>
          <w:lang w:val="zh-CN"/>
        </w:rPr>
        <w:fldChar w:fldCharType="separate"/>
      </w:r>
      <w:r>
        <w:rPr>
          <w:rFonts w:hint="eastAsia" w:ascii="宋体" w:hAnsi="宋体" w:cs="宋体"/>
          <w:color w:val="auto"/>
          <w:szCs w:val="21"/>
          <w:lang w:val="zh-CN"/>
        </w:rPr>
        <w:t>A105000</w:t>
      </w:r>
      <w:r>
        <w:rPr>
          <w:rFonts w:hint="eastAsia"/>
          <w:color w:val="auto"/>
          <w:szCs w:val="21"/>
          <w:lang w:val="zh-CN"/>
        </w:rPr>
        <w:t>《纳税调整项目明细表》填报说明</w:t>
      </w:r>
      <w:r>
        <w:rPr>
          <w:rFonts w:hint="eastAsia"/>
          <w:color w:val="auto"/>
          <w:szCs w:val="21"/>
        </w:rPr>
        <w:tab/>
      </w:r>
      <w:r>
        <w:rPr>
          <w:rFonts w:hint="eastAsia" w:ascii="宋体" w:hAnsi="宋体" w:cs="宋体"/>
          <w:color w:val="auto"/>
          <w:szCs w:val="21"/>
        </w:rPr>
        <w:fldChar w:fldCharType="begin"/>
      </w:r>
      <w:r>
        <w:rPr>
          <w:rFonts w:hint="eastAsia" w:ascii="宋体" w:hAnsi="宋体" w:cs="宋体"/>
          <w:color w:val="auto"/>
          <w:szCs w:val="21"/>
        </w:rPr>
        <w:instrText xml:space="preserve"> PAGEREF _Toc1343709835 </w:instrText>
      </w:r>
      <w:r>
        <w:rPr>
          <w:rFonts w:hint="eastAsia" w:ascii="宋体" w:hAnsi="宋体" w:cs="宋体"/>
          <w:color w:val="auto"/>
          <w:szCs w:val="21"/>
        </w:rPr>
        <w:fldChar w:fldCharType="separate"/>
      </w:r>
      <w:r>
        <w:rPr>
          <w:rFonts w:hint="eastAsia" w:ascii="宋体" w:hAnsi="宋体" w:cs="宋体"/>
          <w:color w:val="auto"/>
          <w:szCs w:val="21"/>
        </w:rPr>
        <w:t>36</w:t>
      </w:r>
      <w:r>
        <w:rPr>
          <w:rFonts w:hint="eastAsia" w:ascii="宋体" w:hAnsi="宋体" w:cs="宋体"/>
          <w:color w:val="auto"/>
          <w:szCs w:val="21"/>
        </w:rPr>
        <w:fldChar w:fldCharType="end"/>
      </w:r>
      <w:r>
        <w:rPr>
          <w:rFonts w:hint="eastAsia"/>
          <w:color w:val="auto"/>
          <w:szCs w:val="21"/>
          <w:lang w:val="zh-CN"/>
        </w:rPr>
        <w:fldChar w:fldCharType="end"/>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eastAsia="宋体"/>
          <w:color w:val="auto"/>
          <w:szCs w:val="21"/>
          <w:lang w:val="zh-CN" w:eastAsia="zh-CN"/>
        </w:rPr>
      </w:pPr>
      <w:r>
        <w:rPr>
          <w:rFonts w:hint="eastAsia" w:ascii="宋体" w:hAnsi="宋体" w:eastAsia="宋体" w:cs="宋体"/>
          <w:color w:val="auto"/>
          <w:szCs w:val="21"/>
          <w:lang w:val="zh-CN"/>
        </w:rPr>
        <w:t>A105080</w:t>
      </w:r>
      <w:r>
        <w:rPr>
          <w:rFonts w:hint="eastAsia"/>
          <w:color w:val="auto"/>
          <w:szCs w:val="21"/>
          <w:lang w:val="zh-CN"/>
        </w:rPr>
        <w:t>资产折旧、摊销及纳税调整明细表</w:t>
      </w:r>
      <w:r>
        <w:rPr>
          <w:rFonts w:hint="eastAsia"/>
          <w:color w:val="auto"/>
          <w:szCs w:val="21"/>
          <w:lang w:val="zh-CN"/>
        </w:rPr>
        <w:tab/>
      </w:r>
      <w:r>
        <w:rPr>
          <w:rFonts w:hint="eastAsia" w:ascii="宋体" w:hAnsi="宋体" w:cs="宋体"/>
          <w:color w:val="auto"/>
          <w:szCs w:val="21"/>
          <w:lang w:val="en-US" w:eastAsia="zh-CN"/>
        </w:rPr>
        <w:t>47</w:t>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eastAsia="宋体"/>
          <w:color w:val="auto"/>
          <w:szCs w:val="21"/>
          <w:lang w:val="en-US" w:eastAsia="zh-CN"/>
        </w:rPr>
      </w:pPr>
      <w:r>
        <w:rPr>
          <w:rFonts w:hint="eastAsia"/>
          <w:color w:val="auto"/>
          <w:szCs w:val="21"/>
          <w:lang w:val="zh-CN"/>
        </w:rPr>
        <w:fldChar w:fldCharType="begin"/>
      </w:r>
      <w:r>
        <w:rPr>
          <w:rFonts w:hint="eastAsia"/>
          <w:color w:val="auto"/>
          <w:szCs w:val="21"/>
          <w:lang w:val="zh-CN"/>
        </w:rPr>
        <w:instrText xml:space="preserve"> HYPERLINK \l _Toc2030227982 </w:instrText>
      </w:r>
      <w:r>
        <w:rPr>
          <w:rFonts w:hint="eastAsia"/>
          <w:color w:val="auto"/>
          <w:szCs w:val="21"/>
          <w:lang w:val="zh-CN"/>
        </w:rPr>
        <w:fldChar w:fldCharType="separate"/>
      </w:r>
      <w:r>
        <w:rPr>
          <w:rFonts w:hint="eastAsia" w:ascii="宋体" w:hAnsi="宋体" w:cs="宋体"/>
          <w:color w:val="auto"/>
          <w:szCs w:val="21"/>
        </w:rPr>
        <w:t>A105080</w:t>
      </w:r>
      <w:r>
        <w:rPr>
          <w:rFonts w:hint="eastAsia"/>
          <w:color w:val="auto"/>
          <w:szCs w:val="21"/>
        </w:rPr>
        <w:t>《资产折旧、摊销及纳税调整明细表》填报说明</w:t>
      </w:r>
      <w:r>
        <w:rPr>
          <w:rFonts w:hint="eastAsia"/>
          <w:color w:val="auto"/>
          <w:szCs w:val="21"/>
        </w:rPr>
        <w:tab/>
      </w:r>
      <w:r>
        <w:rPr>
          <w:rFonts w:hint="eastAsia" w:ascii="宋体" w:hAnsi="宋体" w:cs="宋体"/>
          <w:color w:val="auto"/>
          <w:szCs w:val="21"/>
          <w:lang w:val="en-US" w:eastAsia="zh-CN"/>
        </w:rPr>
        <w:t>4</w:t>
      </w:r>
      <w:r>
        <w:rPr>
          <w:rFonts w:hint="eastAsia"/>
          <w:color w:val="auto"/>
          <w:szCs w:val="21"/>
          <w:lang w:val="zh-CN"/>
        </w:rPr>
        <w:fldChar w:fldCharType="end"/>
      </w:r>
      <w:r>
        <w:rPr>
          <w:rFonts w:hint="eastAsia" w:ascii="宋体" w:hAnsi="宋体" w:eastAsia="宋体" w:cs="宋体"/>
          <w:color w:val="auto"/>
          <w:szCs w:val="21"/>
          <w:lang w:val="en-US" w:eastAsia="zh-CN"/>
        </w:rPr>
        <w:t>9</w:t>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ascii="宋体" w:hAnsi="宋体" w:cs="宋体"/>
          <w:color w:val="auto"/>
          <w:szCs w:val="21"/>
        </w:rPr>
      </w:pPr>
      <w:r>
        <w:rPr>
          <w:rFonts w:hint="eastAsia" w:ascii="宋体" w:hAnsi="宋体" w:cs="宋体"/>
          <w:color w:val="auto"/>
          <w:szCs w:val="21"/>
          <w:lang w:val="zh-CN"/>
        </w:rPr>
        <w:fldChar w:fldCharType="begin"/>
      </w:r>
      <w:r>
        <w:rPr>
          <w:rFonts w:hint="eastAsia" w:ascii="宋体" w:hAnsi="宋体" w:cs="宋体"/>
          <w:color w:val="auto"/>
          <w:szCs w:val="21"/>
          <w:lang w:val="zh-CN"/>
        </w:rPr>
        <w:instrText xml:space="preserve"> HYPERLINK \l _Toc137125519 </w:instrText>
      </w:r>
      <w:r>
        <w:rPr>
          <w:rFonts w:hint="eastAsia" w:ascii="宋体" w:hAnsi="宋体" w:cs="宋体"/>
          <w:color w:val="auto"/>
          <w:szCs w:val="21"/>
          <w:lang w:val="zh-CN"/>
        </w:rPr>
        <w:fldChar w:fldCharType="separate"/>
      </w:r>
      <w:r>
        <w:rPr>
          <w:rFonts w:hint="eastAsia" w:ascii="宋体" w:hAnsi="宋体" w:cs="宋体"/>
          <w:color w:val="auto"/>
          <w:szCs w:val="21"/>
          <w:lang w:val="zh-CN"/>
        </w:rPr>
        <w:t>A106000《企业所得税弥补亏损明细表》填报说明</w:t>
      </w:r>
      <w:r>
        <w:rPr>
          <w:rFonts w:hint="eastAsia" w:ascii="宋体" w:hAnsi="宋体" w:cs="宋体"/>
          <w:color w:val="auto"/>
          <w:szCs w:val="21"/>
        </w:rPr>
        <w:tab/>
      </w:r>
      <w:r>
        <w:rPr>
          <w:rFonts w:hint="eastAsia" w:ascii="宋体" w:hAnsi="宋体" w:cs="宋体"/>
          <w:color w:val="auto"/>
          <w:szCs w:val="21"/>
        </w:rPr>
        <w:fldChar w:fldCharType="begin"/>
      </w:r>
      <w:r>
        <w:rPr>
          <w:rFonts w:hint="eastAsia" w:ascii="宋体" w:hAnsi="宋体" w:cs="宋体"/>
          <w:color w:val="auto"/>
          <w:szCs w:val="21"/>
        </w:rPr>
        <w:instrText xml:space="preserve"> PAGEREF _Toc137125519 </w:instrText>
      </w:r>
      <w:r>
        <w:rPr>
          <w:rFonts w:hint="eastAsia" w:ascii="宋体" w:hAnsi="宋体" w:cs="宋体"/>
          <w:color w:val="auto"/>
          <w:szCs w:val="21"/>
        </w:rPr>
        <w:fldChar w:fldCharType="separate"/>
      </w:r>
      <w:r>
        <w:rPr>
          <w:rFonts w:hint="eastAsia" w:ascii="宋体" w:hAnsi="宋体" w:cs="宋体"/>
          <w:color w:val="auto"/>
          <w:szCs w:val="21"/>
        </w:rPr>
        <w:t>52</w:t>
      </w:r>
      <w:r>
        <w:rPr>
          <w:rFonts w:hint="eastAsia" w:ascii="宋体" w:hAnsi="宋体" w:cs="宋体"/>
          <w:color w:val="auto"/>
          <w:szCs w:val="21"/>
        </w:rPr>
        <w:fldChar w:fldCharType="end"/>
      </w:r>
      <w:r>
        <w:rPr>
          <w:rFonts w:hint="eastAsia" w:ascii="宋体" w:hAnsi="宋体" w:cs="宋体"/>
          <w:color w:val="auto"/>
          <w:szCs w:val="21"/>
          <w:lang w:val="zh-CN"/>
        </w:rPr>
        <w:fldChar w:fldCharType="end"/>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ascii="宋体" w:hAnsi="宋体" w:cs="宋体"/>
          <w:color w:val="auto"/>
          <w:szCs w:val="21"/>
          <w:lang w:val="zh-CN"/>
        </w:rPr>
      </w:pPr>
      <w:r>
        <w:rPr>
          <w:rFonts w:hint="eastAsia" w:ascii="宋体" w:hAnsi="宋体" w:cs="宋体"/>
          <w:color w:val="auto"/>
          <w:szCs w:val="21"/>
          <w:lang w:val="zh-CN"/>
        </w:rPr>
        <w:fldChar w:fldCharType="begin"/>
      </w:r>
      <w:r>
        <w:rPr>
          <w:rFonts w:hint="eastAsia" w:ascii="宋体" w:hAnsi="宋体" w:cs="宋体"/>
          <w:color w:val="auto"/>
          <w:szCs w:val="21"/>
          <w:lang w:val="zh-CN"/>
        </w:rPr>
        <w:instrText xml:space="preserve"> HYPERLINK \l _Toc1327780698 </w:instrText>
      </w:r>
      <w:r>
        <w:rPr>
          <w:rFonts w:hint="eastAsia" w:ascii="宋体" w:hAnsi="宋体" w:cs="宋体"/>
          <w:color w:val="auto"/>
          <w:szCs w:val="21"/>
          <w:lang w:val="zh-CN"/>
        </w:rPr>
        <w:fldChar w:fldCharType="separate"/>
      </w:r>
      <w:r>
        <w:rPr>
          <w:rFonts w:hint="eastAsia" w:ascii="宋体" w:hAnsi="宋体" w:cs="宋体"/>
          <w:color w:val="auto"/>
          <w:szCs w:val="21"/>
          <w:lang w:val="zh-CN"/>
        </w:rPr>
        <w:t>A107011《符合条件的居民企业之间的股息、红利等权益性投资收益优惠明细表》填报说明</w:t>
      </w:r>
      <w:r>
        <w:rPr>
          <w:rFonts w:hint="eastAsia" w:ascii="宋体" w:hAnsi="宋体" w:cs="宋体"/>
          <w:color w:val="auto"/>
          <w:szCs w:val="21"/>
        </w:rPr>
        <w:tab/>
      </w:r>
      <w:r>
        <w:rPr>
          <w:rFonts w:hint="eastAsia" w:ascii="宋体" w:hAnsi="宋体" w:cs="宋体"/>
          <w:color w:val="auto"/>
          <w:szCs w:val="21"/>
        </w:rPr>
        <w:fldChar w:fldCharType="begin"/>
      </w:r>
      <w:r>
        <w:rPr>
          <w:rFonts w:hint="eastAsia" w:ascii="宋体" w:hAnsi="宋体" w:cs="宋体"/>
          <w:color w:val="auto"/>
          <w:szCs w:val="21"/>
        </w:rPr>
        <w:instrText xml:space="preserve"> PAGEREF _Toc1327780698 </w:instrText>
      </w:r>
      <w:r>
        <w:rPr>
          <w:rFonts w:hint="eastAsia" w:ascii="宋体" w:hAnsi="宋体" w:cs="宋体"/>
          <w:color w:val="auto"/>
          <w:szCs w:val="21"/>
        </w:rPr>
        <w:fldChar w:fldCharType="separate"/>
      </w:r>
      <w:r>
        <w:rPr>
          <w:rFonts w:hint="eastAsia" w:ascii="宋体" w:hAnsi="宋体" w:cs="宋体"/>
          <w:color w:val="auto"/>
          <w:szCs w:val="21"/>
        </w:rPr>
        <w:t>56</w:t>
      </w:r>
      <w:r>
        <w:rPr>
          <w:rFonts w:hint="eastAsia" w:ascii="宋体" w:hAnsi="宋体" w:cs="宋体"/>
          <w:color w:val="auto"/>
          <w:szCs w:val="21"/>
        </w:rPr>
        <w:fldChar w:fldCharType="end"/>
      </w:r>
      <w:r>
        <w:rPr>
          <w:rFonts w:hint="eastAsia" w:ascii="宋体" w:hAnsi="宋体" w:cs="宋体"/>
          <w:color w:val="auto"/>
          <w:szCs w:val="21"/>
          <w:lang w:val="zh-CN"/>
        </w:rPr>
        <w:fldChar w:fldCharType="end"/>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color w:val="auto"/>
          <w:szCs w:val="21"/>
        </w:rPr>
      </w:pPr>
      <w:r>
        <w:rPr>
          <w:rFonts w:hint="eastAsia"/>
          <w:color w:val="auto"/>
          <w:szCs w:val="21"/>
          <w:lang w:val="zh-CN"/>
        </w:rPr>
        <w:fldChar w:fldCharType="begin"/>
      </w:r>
      <w:r>
        <w:rPr>
          <w:rFonts w:hint="eastAsia"/>
          <w:color w:val="auto"/>
          <w:szCs w:val="21"/>
          <w:lang w:val="zh-CN"/>
        </w:rPr>
        <w:instrText xml:space="preserve"> HYPERLINK \l _Toc1746889036 </w:instrText>
      </w:r>
      <w:r>
        <w:rPr>
          <w:rFonts w:hint="eastAsia"/>
          <w:color w:val="auto"/>
          <w:szCs w:val="21"/>
          <w:lang w:val="zh-CN"/>
        </w:rPr>
        <w:fldChar w:fldCharType="separate"/>
      </w:r>
      <w:r>
        <w:rPr>
          <w:rFonts w:hint="eastAsia" w:ascii="宋体" w:hAnsi="宋体" w:cs="宋体"/>
          <w:color w:val="auto"/>
          <w:szCs w:val="21"/>
        </w:rPr>
        <w:t>A107012</w:t>
      </w:r>
      <w:r>
        <w:rPr>
          <w:rFonts w:hint="eastAsia"/>
          <w:color w:val="auto"/>
          <w:szCs w:val="21"/>
        </w:rPr>
        <w:t>研发费用加计扣除优惠明细表</w:t>
      </w:r>
      <w:r>
        <w:rPr>
          <w:rFonts w:hint="eastAsia"/>
          <w:color w:val="auto"/>
          <w:szCs w:val="21"/>
        </w:rPr>
        <w:tab/>
      </w:r>
      <w:r>
        <w:rPr>
          <w:rFonts w:hint="eastAsia" w:ascii="宋体" w:hAnsi="宋体" w:cs="宋体"/>
          <w:color w:val="auto"/>
          <w:szCs w:val="21"/>
        </w:rPr>
        <w:fldChar w:fldCharType="begin"/>
      </w:r>
      <w:r>
        <w:rPr>
          <w:rFonts w:hint="eastAsia" w:ascii="宋体" w:hAnsi="宋体" w:cs="宋体"/>
          <w:color w:val="auto"/>
          <w:szCs w:val="21"/>
        </w:rPr>
        <w:instrText xml:space="preserve"> PAGEREF _Toc1746889036 </w:instrText>
      </w:r>
      <w:r>
        <w:rPr>
          <w:rFonts w:hint="eastAsia" w:ascii="宋体" w:hAnsi="宋体" w:cs="宋体"/>
          <w:color w:val="auto"/>
          <w:szCs w:val="21"/>
        </w:rPr>
        <w:fldChar w:fldCharType="separate"/>
      </w:r>
      <w:r>
        <w:rPr>
          <w:rFonts w:hint="eastAsia" w:ascii="宋体" w:hAnsi="宋体" w:cs="宋体"/>
          <w:color w:val="auto"/>
          <w:szCs w:val="21"/>
        </w:rPr>
        <w:t>60</w:t>
      </w:r>
      <w:r>
        <w:rPr>
          <w:rFonts w:hint="eastAsia" w:ascii="宋体" w:hAnsi="宋体" w:cs="宋体"/>
          <w:color w:val="auto"/>
          <w:szCs w:val="21"/>
        </w:rPr>
        <w:fldChar w:fldCharType="end"/>
      </w:r>
      <w:r>
        <w:rPr>
          <w:rFonts w:hint="eastAsia"/>
          <w:color w:val="auto"/>
          <w:szCs w:val="21"/>
          <w:lang w:val="zh-CN"/>
        </w:rPr>
        <w:fldChar w:fldCharType="end"/>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color w:val="auto"/>
          <w:szCs w:val="21"/>
        </w:rPr>
      </w:pPr>
      <w:r>
        <w:rPr>
          <w:rFonts w:hint="eastAsia"/>
          <w:color w:val="auto"/>
          <w:szCs w:val="21"/>
          <w:lang w:val="zh-CN"/>
        </w:rPr>
        <w:fldChar w:fldCharType="begin"/>
      </w:r>
      <w:r>
        <w:rPr>
          <w:rFonts w:hint="eastAsia"/>
          <w:color w:val="auto"/>
          <w:szCs w:val="21"/>
          <w:lang w:val="zh-CN"/>
        </w:rPr>
        <w:instrText xml:space="preserve"> HYPERLINK \l _Toc339274584 </w:instrText>
      </w:r>
      <w:r>
        <w:rPr>
          <w:rFonts w:hint="eastAsia"/>
          <w:color w:val="auto"/>
          <w:szCs w:val="21"/>
          <w:lang w:val="zh-CN"/>
        </w:rPr>
        <w:fldChar w:fldCharType="separate"/>
      </w:r>
      <w:r>
        <w:rPr>
          <w:rFonts w:hint="eastAsia" w:ascii="宋体" w:hAnsi="宋体" w:cs="宋体"/>
          <w:color w:val="auto"/>
          <w:szCs w:val="21"/>
        </w:rPr>
        <w:t>A107012</w:t>
      </w:r>
      <w:r>
        <w:rPr>
          <w:rFonts w:hint="eastAsia"/>
          <w:color w:val="auto"/>
          <w:szCs w:val="21"/>
        </w:rPr>
        <w:t>《研发费用加计扣除优惠明细表》填报说明</w:t>
      </w:r>
      <w:r>
        <w:rPr>
          <w:rFonts w:hint="eastAsia"/>
          <w:color w:val="auto"/>
          <w:szCs w:val="21"/>
        </w:rPr>
        <w:tab/>
      </w:r>
      <w:r>
        <w:rPr>
          <w:rFonts w:hint="eastAsia" w:ascii="宋体" w:hAnsi="宋体" w:cs="宋体"/>
          <w:color w:val="auto"/>
          <w:szCs w:val="21"/>
        </w:rPr>
        <w:fldChar w:fldCharType="begin"/>
      </w:r>
      <w:r>
        <w:rPr>
          <w:rFonts w:hint="eastAsia" w:ascii="宋体" w:hAnsi="宋体" w:cs="宋体"/>
          <w:color w:val="auto"/>
          <w:szCs w:val="21"/>
        </w:rPr>
        <w:instrText xml:space="preserve"> PAGEREF _Toc339274584 </w:instrText>
      </w:r>
      <w:r>
        <w:rPr>
          <w:rFonts w:hint="eastAsia" w:ascii="宋体" w:hAnsi="宋体" w:cs="宋体"/>
          <w:color w:val="auto"/>
          <w:szCs w:val="21"/>
        </w:rPr>
        <w:fldChar w:fldCharType="separate"/>
      </w:r>
      <w:r>
        <w:rPr>
          <w:rFonts w:hint="eastAsia" w:ascii="宋体" w:hAnsi="宋体" w:cs="宋体"/>
          <w:color w:val="auto"/>
          <w:szCs w:val="21"/>
        </w:rPr>
        <w:t>62</w:t>
      </w:r>
      <w:r>
        <w:rPr>
          <w:rFonts w:hint="eastAsia" w:ascii="宋体" w:hAnsi="宋体" w:cs="宋体"/>
          <w:color w:val="auto"/>
          <w:szCs w:val="21"/>
        </w:rPr>
        <w:fldChar w:fldCharType="end"/>
      </w:r>
      <w:r>
        <w:rPr>
          <w:rFonts w:hint="eastAsia"/>
          <w:color w:val="auto"/>
          <w:szCs w:val="21"/>
          <w:lang w:val="zh-CN"/>
        </w:rPr>
        <w:fldChar w:fldCharType="end"/>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default" w:ascii="宋体" w:hAnsi="宋体" w:eastAsia="宋体" w:cs="宋体"/>
          <w:color w:val="auto"/>
          <w:szCs w:val="21"/>
          <w:lang w:val="en-US" w:eastAsia="zh-CN"/>
        </w:rPr>
      </w:pPr>
      <w:r>
        <w:rPr>
          <w:rFonts w:hint="eastAsia" w:ascii="宋体" w:hAnsi="宋体" w:cs="宋体"/>
          <w:color w:val="auto"/>
          <w:szCs w:val="21"/>
          <w:lang w:val="zh-CN"/>
        </w:rPr>
        <w:fldChar w:fldCharType="begin"/>
      </w:r>
      <w:r>
        <w:rPr>
          <w:rFonts w:hint="eastAsia" w:ascii="宋体" w:hAnsi="宋体" w:cs="宋体"/>
          <w:color w:val="auto"/>
          <w:szCs w:val="21"/>
          <w:lang w:val="zh-CN"/>
        </w:rPr>
        <w:instrText xml:space="preserve"> HYPERLINK \l _Toc1805451252 </w:instrText>
      </w:r>
      <w:r>
        <w:rPr>
          <w:rFonts w:hint="eastAsia" w:ascii="宋体" w:hAnsi="宋体" w:cs="宋体"/>
          <w:color w:val="auto"/>
          <w:szCs w:val="21"/>
          <w:lang w:val="zh-CN"/>
        </w:rPr>
        <w:fldChar w:fldCharType="separate"/>
      </w:r>
      <w:r>
        <w:rPr>
          <w:rFonts w:hint="eastAsia" w:ascii="宋体" w:hAnsi="宋体" w:cs="宋体"/>
          <w:color w:val="auto"/>
          <w:szCs w:val="21"/>
        </w:rPr>
        <w:t>A107020《所得减免优惠明细表》填报说明</w:t>
      </w:r>
      <w:r>
        <w:rPr>
          <w:rFonts w:hint="eastAsia" w:ascii="宋体" w:hAnsi="宋体" w:cs="宋体"/>
          <w:color w:val="auto"/>
          <w:szCs w:val="21"/>
        </w:rPr>
        <w:tab/>
      </w:r>
      <w:r>
        <w:rPr>
          <w:rFonts w:hint="eastAsia" w:ascii="宋体" w:hAnsi="宋体" w:cs="宋体"/>
          <w:color w:val="auto"/>
          <w:szCs w:val="21"/>
          <w:lang w:val="en-US" w:eastAsia="zh-CN"/>
        </w:rPr>
        <w:t>6</w:t>
      </w:r>
      <w:r>
        <w:rPr>
          <w:rFonts w:hint="eastAsia" w:ascii="宋体" w:hAnsi="宋体" w:cs="宋体"/>
          <w:color w:val="auto"/>
          <w:szCs w:val="21"/>
          <w:lang w:val="zh-CN"/>
        </w:rPr>
        <w:fldChar w:fldCharType="end"/>
      </w:r>
      <w:r>
        <w:rPr>
          <w:rFonts w:hint="eastAsia" w:ascii="宋体" w:hAnsi="宋体" w:cs="宋体"/>
          <w:color w:val="auto"/>
          <w:szCs w:val="21"/>
          <w:lang w:val="en-US" w:eastAsia="zh-CN"/>
        </w:rPr>
        <w:t>9</w:t>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default" w:eastAsia="宋体"/>
          <w:color w:val="auto"/>
          <w:szCs w:val="21"/>
          <w:lang w:val="en-US" w:eastAsia="zh-CN"/>
        </w:rPr>
      </w:pPr>
      <w:r>
        <w:rPr>
          <w:rFonts w:hint="eastAsia"/>
          <w:color w:val="auto"/>
          <w:szCs w:val="21"/>
          <w:lang w:val="zh-CN"/>
        </w:rPr>
        <w:fldChar w:fldCharType="begin"/>
      </w:r>
      <w:r>
        <w:rPr>
          <w:rFonts w:hint="eastAsia"/>
          <w:color w:val="auto"/>
          <w:szCs w:val="21"/>
          <w:lang w:val="zh-CN"/>
        </w:rPr>
        <w:instrText xml:space="preserve"> HYPERLINK \l _Toc611685524 </w:instrText>
      </w:r>
      <w:r>
        <w:rPr>
          <w:rFonts w:hint="eastAsia"/>
          <w:color w:val="auto"/>
          <w:szCs w:val="21"/>
          <w:lang w:val="zh-CN"/>
        </w:rPr>
        <w:fldChar w:fldCharType="separate"/>
      </w:r>
      <w:r>
        <w:rPr>
          <w:rFonts w:hint="eastAsia" w:ascii="宋体" w:hAnsi="宋体" w:cs="宋体"/>
          <w:color w:val="auto"/>
          <w:szCs w:val="21"/>
          <w:lang w:val="zh-CN"/>
        </w:rPr>
        <w:t>A107030</w:t>
      </w:r>
      <w:r>
        <w:rPr>
          <w:rFonts w:hint="eastAsia"/>
          <w:color w:val="auto"/>
          <w:szCs w:val="21"/>
          <w:lang w:val="zh-CN"/>
        </w:rPr>
        <w:t>《抵扣应纳税所得额明细表》填报说明</w:t>
      </w:r>
      <w:r>
        <w:rPr>
          <w:rFonts w:hint="eastAsia"/>
          <w:color w:val="auto"/>
          <w:szCs w:val="21"/>
        </w:rPr>
        <w:tab/>
      </w:r>
      <w:r>
        <w:rPr>
          <w:rFonts w:hint="eastAsia" w:ascii="宋体" w:hAnsi="宋体" w:cs="宋体"/>
          <w:color w:val="auto"/>
          <w:szCs w:val="21"/>
          <w:lang w:val="en-US" w:eastAsia="zh-CN"/>
        </w:rPr>
        <w:t>7</w:t>
      </w:r>
      <w:r>
        <w:rPr>
          <w:rFonts w:hint="eastAsia"/>
          <w:color w:val="auto"/>
          <w:szCs w:val="21"/>
          <w:lang w:val="zh-CN"/>
        </w:rPr>
        <w:fldChar w:fldCharType="end"/>
      </w:r>
      <w:r>
        <w:rPr>
          <w:rFonts w:hint="eastAsia" w:ascii="宋体" w:hAnsi="宋体" w:cs="宋体"/>
          <w:color w:val="auto"/>
          <w:szCs w:val="21"/>
          <w:lang w:val="en-US" w:eastAsia="zh-CN"/>
        </w:rPr>
        <w:t>9</w:t>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ascii="宋体" w:hAnsi="宋体" w:eastAsia="宋体" w:cs="宋体"/>
          <w:color w:val="auto"/>
          <w:szCs w:val="21"/>
          <w:lang w:val="en-US" w:eastAsia="zh-CN"/>
        </w:rPr>
      </w:pPr>
      <w:r>
        <w:rPr>
          <w:rFonts w:hint="eastAsia" w:ascii="宋体" w:hAnsi="宋体" w:cs="宋体"/>
          <w:color w:val="auto"/>
          <w:szCs w:val="21"/>
          <w:lang w:val="zh-CN"/>
        </w:rPr>
        <w:fldChar w:fldCharType="begin"/>
      </w:r>
      <w:r>
        <w:rPr>
          <w:rFonts w:hint="eastAsia" w:ascii="宋体" w:hAnsi="宋体" w:cs="宋体"/>
          <w:color w:val="auto"/>
          <w:szCs w:val="21"/>
          <w:lang w:val="zh-CN"/>
        </w:rPr>
        <w:instrText xml:space="preserve"> HYPERLINK \l _Toc1891395006 </w:instrText>
      </w:r>
      <w:r>
        <w:rPr>
          <w:rFonts w:hint="eastAsia" w:ascii="宋体" w:hAnsi="宋体" w:cs="宋体"/>
          <w:color w:val="auto"/>
          <w:szCs w:val="21"/>
          <w:lang w:val="zh-CN"/>
        </w:rPr>
        <w:fldChar w:fldCharType="separate"/>
      </w:r>
      <w:r>
        <w:rPr>
          <w:rFonts w:hint="eastAsia" w:ascii="宋体" w:hAnsi="宋体" w:cs="宋体"/>
          <w:color w:val="auto"/>
          <w:szCs w:val="21"/>
          <w:lang w:val="zh-CN" w:eastAsia="zh-CN"/>
        </w:rPr>
        <w:t>A107041《高新技术企业优惠情况及明细表》填报说明</w:t>
      </w:r>
      <w:r>
        <w:rPr>
          <w:rFonts w:hint="eastAsia" w:ascii="宋体" w:hAnsi="宋体" w:cs="宋体"/>
          <w:color w:val="auto"/>
          <w:szCs w:val="21"/>
        </w:rPr>
        <w:tab/>
      </w:r>
      <w:r>
        <w:rPr>
          <w:rFonts w:hint="eastAsia" w:ascii="宋体" w:hAnsi="宋体" w:cs="宋体"/>
          <w:color w:val="auto"/>
          <w:szCs w:val="21"/>
        </w:rPr>
        <w:fldChar w:fldCharType="begin"/>
      </w:r>
      <w:r>
        <w:rPr>
          <w:rFonts w:hint="eastAsia" w:ascii="宋体" w:hAnsi="宋体" w:cs="宋体"/>
          <w:color w:val="auto"/>
          <w:szCs w:val="21"/>
        </w:rPr>
        <w:instrText xml:space="preserve"> PAGEREF _Toc1891395006 </w:instrText>
      </w:r>
      <w:r>
        <w:rPr>
          <w:rFonts w:hint="eastAsia" w:ascii="宋体" w:hAnsi="宋体" w:cs="宋体"/>
          <w:color w:val="auto"/>
          <w:szCs w:val="21"/>
        </w:rPr>
        <w:fldChar w:fldCharType="separate"/>
      </w:r>
      <w:r>
        <w:rPr>
          <w:rFonts w:hint="eastAsia" w:ascii="宋体" w:hAnsi="宋体" w:cs="宋体"/>
          <w:color w:val="auto"/>
          <w:szCs w:val="21"/>
        </w:rPr>
        <w:t>8</w:t>
      </w:r>
      <w:r>
        <w:rPr>
          <w:rFonts w:hint="eastAsia" w:ascii="宋体" w:hAnsi="宋体" w:cs="宋体"/>
          <w:color w:val="auto"/>
          <w:szCs w:val="21"/>
        </w:rPr>
        <w:fldChar w:fldCharType="end"/>
      </w:r>
      <w:r>
        <w:rPr>
          <w:rFonts w:hint="eastAsia" w:ascii="宋体" w:hAnsi="宋体" w:cs="宋体"/>
          <w:color w:val="auto"/>
          <w:szCs w:val="21"/>
          <w:lang w:val="zh-CN"/>
        </w:rPr>
        <w:fldChar w:fldCharType="end"/>
      </w:r>
      <w:r>
        <w:rPr>
          <w:rFonts w:hint="eastAsia" w:ascii="宋体" w:hAnsi="宋体" w:cs="宋体"/>
          <w:color w:val="auto"/>
          <w:szCs w:val="21"/>
          <w:lang w:val="en-US" w:eastAsia="zh-CN"/>
        </w:rPr>
        <w:t>3</w:t>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default" w:eastAsia="宋体"/>
          <w:color w:val="auto"/>
          <w:szCs w:val="21"/>
          <w:lang w:val="en-US" w:eastAsia="zh-CN"/>
        </w:rPr>
      </w:pPr>
      <w:r>
        <w:rPr>
          <w:rFonts w:hint="eastAsia"/>
          <w:color w:val="auto"/>
          <w:szCs w:val="21"/>
          <w:lang w:val="zh-CN"/>
        </w:rPr>
        <w:fldChar w:fldCharType="begin"/>
      </w:r>
      <w:r>
        <w:rPr>
          <w:rFonts w:hint="eastAsia"/>
          <w:color w:val="auto"/>
          <w:szCs w:val="21"/>
          <w:lang w:val="zh-CN"/>
        </w:rPr>
        <w:instrText xml:space="preserve"> HYPERLINK \l _Toc1848792324 </w:instrText>
      </w:r>
      <w:r>
        <w:rPr>
          <w:rFonts w:hint="eastAsia"/>
          <w:color w:val="auto"/>
          <w:szCs w:val="21"/>
          <w:lang w:val="zh-CN"/>
        </w:rPr>
        <w:fldChar w:fldCharType="separate"/>
      </w:r>
      <w:r>
        <w:rPr>
          <w:rFonts w:hint="eastAsia" w:ascii="宋体" w:hAnsi="宋体" w:cs="宋体"/>
          <w:color w:val="auto"/>
          <w:szCs w:val="21"/>
        </w:rPr>
        <w:t>A107042</w:t>
      </w:r>
      <w:r>
        <w:rPr>
          <w:rFonts w:hint="eastAsia"/>
          <w:color w:val="auto"/>
          <w:szCs w:val="21"/>
        </w:rPr>
        <w:t>《软件、集成电路企业优惠情况及明细表》填报说明</w:t>
      </w:r>
      <w:r>
        <w:rPr>
          <w:rFonts w:hint="eastAsia"/>
          <w:color w:val="auto"/>
          <w:szCs w:val="21"/>
        </w:rPr>
        <w:tab/>
      </w:r>
      <w:r>
        <w:rPr>
          <w:rFonts w:hint="eastAsia" w:ascii="宋体" w:hAnsi="宋体" w:cs="宋体"/>
          <w:color w:val="auto"/>
          <w:szCs w:val="21"/>
          <w:lang w:val="en-US" w:eastAsia="zh-CN"/>
        </w:rPr>
        <w:t>8</w:t>
      </w:r>
      <w:r>
        <w:rPr>
          <w:rFonts w:hint="eastAsia"/>
          <w:color w:val="auto"/>
          <w:szCs w:val="21"/>
          <w:lang w:val="zh-CN"/>
        </w:rPr>
        <w:fldChar w:fldCharType="end"/>
      </w:r>
      <w:r>
        <w:rPr>
          <w:rFonts w:hint="eastAsia" w:ascii="宋体" w:hAnsi="宋体" w:cs="宋体"/>
          <w:color w:val="auto"/>
          <w:szCs w:val="21"/>
          <w:lang w:val="en-US" w:eastAsia="zh-CN"/>
        </w:rPr>
        <w:t>7</w:t>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ascii="宋体" w:hAnsi="宋体" w:eastAsia="宋体" w:cs="宋体"/>
          <w:color w:val="auto"/>
          <w:szCs w:val="21"/>
          <w:lang w:val="en-US" w:eastAsia="zh-CN"/>
        </w:rPr>
      </w:pPr>
      <w:r>
        <w:rPr>
          <w:rFonts w:hint="eastAsia" w:ascii="宋体" w:hAnsi="宋体" w:cs="宋体"/>
          <w:color w:val="auto"/>
          <w:szCs w:val="21"/>
          <w:lang w:val="zh-CN"/>
        </w:rPr>
        <w:fldChar w:fldCharType="begin"/>
      </w:r>
      <w:r>
        <w:rPr>
          <w:rFonts w:hint="eastAsia" w:ascii="宋体" w:hAnsi="宋体" w:cs="宋体"/>
          <w:color w:val="auto"/>
          <w:szCs w:val="21"/>
          <w:lang w:val="zh-CN"/>
        </w:rPr>
        <w:instrText xml:space="preserve"> HYPERLINK \l _Toc740233375 </w:instrText>
      </w:r>
      <w:r>
        <w:rPr>
          <w:rFonts w:hint="eastAsia" w:ascii="宋体" w:hAnsi="宋体" w:cs="宋体"/>
          <w:color w:val="auto"/>
          <w:szCs w:val="21"/>
          <w:lang w:val="zh-CN"/>
        </w:rPr>
        <w:fldChar w:fldCharType="separate"/>
      </w:r>
      <w:r>
        <w:rPr>
          <w:rFonts w:hint="eastAsia" w:ascii="宋体" w:hAnsi="宋体" w:cs="宋体"/>
          <w:color w:val="auto"/>
          <w:szCs w:val="21"/>
        </w:rPr>
        <w:t>A107050税额抵免优惠明细表</w:t>
      </w:r>
      <w:r>
        <w:rPr>
          <w:rFonts w:hint="eastAsia" w:ascii="宋体" w:hAnsi="宋体" w:cs="宋体"/>
          <w:color w:val="auto"/>
          <w:szCs w:val="21"/>
        </w:rPr>
        <w:tab/>
      </w:r>
      <w:r>
        <w:rPr>
          <w:rFonts w:hint="eastAsia" w:ascii="宋体" w:hAnsi="宋体" w:cs="宋体"/>
          <w:color w:val="auto"/>
          <w:szCs w:val="21"/>
        </w:rPr>
        <w:fldChar w:fldCharType="begin"/>
      </w:r>
      <w:r>
        <w:rPr>
          <w:rFonts w:hint="eastAsia" w:ascii="宋体" w:hAnsi="宋体" w:cs="宋体"/>
          <w:color w:val="auto"/>
          <w:szCs w:val="21"/>
        </w:rPr>
        <w:instrText xml:space="preserve"> PAGEREF _Toc740233375 </w:instrText>
      </w:r>
      <w:r>
        <w:rPr>
          <w:rFonts w:hint="eastAsia" w:ascii="宋体" w:hAnsi="宋体" w:cs="宋体"/>
          <w:color w:val="auto"/>
          <w:szCs w:val="21"/>
        </w:rPr>
        <w:fldChar w:fldCharType="separate"/>
      </w:r>
      <w:r>
        <w:rPr>
          <w:rFonts w:hint="eastAsia" w:ascii="宋体" w:hAnsi="宋体" w:cs="宋体"/>
          <w:color w:val="auto"/>
          <w:szCs w:val="21"/>
        </w:rPr>
        <w:t>9</w:t>
      </w:r>
      <w:r>
        <w:rPr>
          <w:rFonts w:hint="eastAsia" w:ascii="宋体" w:hAnsi="宋体" w:cs="宋体"/>
          <w:color w:val="auto"/>
          <w:szCs w:val="21"/>
        </w:rPr>
        <w:fldChar w:fldCharType="end"/>
      </w:r>
      <w:r>
        <w:rPr>
          <w:rFonts w:hint="eastAsia" w:ascii="宋体" w:hAnsi="宋体" w:cs="宋体"/>
          <w:color w:val="auto"/>
          <w:szCs w:val="21"/>
          <w:lang w:val="zh-CN"/>
        </w:rPr>
        <w:fldChar w:fldCharType="end"/>
      </w:r>
      <w:r>
        <w:rPr>
          <w:rFonts w:hint="eastAsia" w:ascii="宋体" w:hAnsi="宋体" w:cs="宋体"/>
          <w:color w:val="auto"/>
          <w:szCs w:val="21"/>
          <w:lang w:val="en-US" w:eastAsia="zh-CN"/>
        </w:rPr>
        <w:t>3</w:t>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ascii="宋体" w:hAnsi="宋体" w:eastAsia="宋体" w:cs="宋体"/>
          <w:color w:val="auto"/>
          <w:szCs w:val="21"/>
          <w:lang w:val="zh-CN" w:eastAsia="zh-CN"/>
        </w:rPr>
      </w:pPr>
      <w:r>
        <w:rPr>
          <w:rFonts w:hint="eastAsia" w:ascii="宋体" w:hAnsi="宋体" w:cs="宋体"/>
          <w:color w:val="auto"/>
          <w:szCs w:val="21"/>
          <w:lang w:val="zh-CN"/>
        </w:rPr>
        <w:fldChar w:fldCharType="begin"/>
      </w:r>
      <w:r>
        <w:rPr>
          <w:rFonts w:hint="eastAsia" w:ascii="宋体" w:hAnsi="宋体" w:cs="宋体"/>
          <w:color w:val="auto"/>
          <w:szCs w:val="21"/>
          <w:lang w:val="zh-CN"/>
        </w:rPr>
        <w:instrText xml:space="preserve"> HYPERLINK \l _Toc1336290980 </w:instrText>
      </w:r>
      <w:r>
        <w:rPr>
          <w:rFonts w:hint="eastAsia" w:ascii="宋体" w:hAnsi="宋体" w:cs="宋体"/>
          <w:color w:val="auto"/>
          <w:szCs w:val="21"/>
          <w:lang w:val="zh-CN"/>
        </w:rPr>
        <w:fldChar w:fldCharType="separate"/>
      </w:r>
      <w:r>
        <w:rPr>
          <w:rFonts w:hint="eastAsia" w:ascii="宋体" w:hAnsi="宋体" w:cs="宋体"/>
          <w:color w:val="auto"/>
          <w:szCs w:val="21"/>
          <w:lang w:val="zh-CN"/>
        </w:rPr>
        <w:t>A107050《税额抵免优惠明细表》填报说明</w:t>
      </w:r>
      <w:r>
        <w:rPr>
          <w:rFonts w:hint="eastAsia" w:ascii="宋体" w:hAnsi="宋体" w:cs="宋体"/>
          <w:color w:val="auto"/>
          <w:szCs w:val="21"/>
          <w:lang w:val="zh-CN"/>
        </w:rPr>
        <w:tab/>
      </w:r>
      <w:r>
        <w:rPr>
          <w:rFonts w:hint="eastAsia" w:ascii="宋体" w:hAnsi="宋体" w:cs="宋体"/>
          <w:color w:val="auto"/>
          <w:szCs w:val="21"/>
          <w:lang w:val="zh-CN"/>
        </w:rPr>
        <w:fldChar w:fldCharType="begin"/>
      </w:r>
      <w:r>
        <w:rPr>
          <w:rFonts w:hint="eastAsia" w:ascii="宋体" w:hAnsi="宋体" w:cs="宋体"/>
          <w:color w:val="auto"/>
          <w:szCs w:val="21"/>
          <w:lang w:val="zh-CN"/>
        </w:rPr>
        <w:instrText xml:space="preserve"> PAGEREF _Toc1336290980 </w:instrText>
      </w:r>
      <w:r>
        <w:rPr>
          <w:rFonts w:hint="eastAsia" w:ascii="宋体" w:hAnsi="宋体" w:cs="宋体"/>
          <w:color w:val="auto"/>
          <w:szCs w:val="21"/>
          <w:lang w:val="zh-CN"/>
        </w:rPr>
        <w:fldChar w:fldCharType="separate"/>
      </w:r>
      <w:r>
        <w:rPr>
          <w:rFonts w:hint="eastAsia" w:ascii="宋体" w:hAnsi="宋体" w:cs="宋体"/>
          <w:color w:val="auto"/>
          <w:szCs w:val="21"/>
          <w:lang w:val="zh-CN"/>
        </w:rPr>
        <w:t>9</w:t>
      </w:r>
      <w:r>
        <w:rPr>
          <w:rFonts w:hint="eastAsia" w:ascii="宋体" w:hAnsi="宋体" w:cs="宋体"/>
          <w:color w:val="auto"/>
          <w:szCs w:val="21"/>
          <w:lang w:val="zh-CN"/>
        </w:rPr>
        <w:fldChar w:fldCharType="end"/>
      </w:r>
      <w:r>
        <w:rPr>
          <w:rFonts w:hint="eastAsia" w:ascii="宋体" w:hAnsi="宋体" w:cs="宋体"/>
          <w:color w:val="auto"/>
          <w:szCs w:val="21"/>
          <w:lang w:val="zh-CN"/>
        </w:rPr>
        <w:fldChar w:fldCharType="end"/>
      </w:r>
      <w:r>
        <w:rPr>
          <w:rFonts w:hint="eastAsia" w:ascii="宋体" w:hAnsi="宋体" w:cs="宋体"/>
          <w:color w:val="auto"/>
          <w:szCs w:val="21"/>
          <w:lang w:val="zh-CN" w:eastAsia="zh-CN"/>
        </w:rPr>
        <w:t>4</w:t>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default" w:eastAsia="宋体"/>
          <w:color w:val="auto"/>
          <w:szCs w:val="21"/>
          <w:lang w:val="en-US" w:eastAsia="zh-CN"/>
        </w:rPr>
      </w:pPr>
      <w:r>
        <w:rPr>
          <w:rFonts w:hint="eastAsia"/>
          <w:color w:val="auto"/>
          <w:szCs w:val="21"/>
          <w:lang w:val="zh-CN"/>
        </w:rPr>
        <w:fldChar w:fldCharType="begin"/>
      </w:r>
      <w:r>
        <w:rPr>
          <w:rFonts w:hint="eastAsia"/>
          <w:color w:val="auto"/>
          <w:szCs w:val="21"/>
          <w:lang w:val="zh-CN"/>
        </w:rPr>
        <w:instrText xml:space="preserve"> HYPERLINK \l _Toc1031820576 </w:instrText>
      </w:r>
      <w:r>
        <w:rPr>
          <w:rFonts w:hint="eastAsia"/>
          <w:color w:val="auto"/>
          <w:szCs w:val="21"/>
          <w:lang w:val="zh-CN"/>
        </w:rPr>
        <w:fldChar w:fldCharType="separate"/>
      </w:r>
      <w:r>
        <w:rPr>
          <w:rFonts w:hint="eastAsia" w:ascii="宋体" w:hAnsi="宋体" w:cs="宋体"/>
          <w:color w:val="auto"/>
          <w:szCs w:val="21"/>
          <w:lang w:val="zh-CN"/>
        </w:rPr>
        <w:t>A108000</w:t>
      </w:r>
      <w:r>
        <w:rPr>
          <w:rFonts w:hint="eastAsia"/>
          <w:color w:val="auto"/>
          <w:szCs w:val="21"/>
          <w:lang w:val="zh-CN"/>
        </w:rPr>
        <w:t>《境外所得税收抵免明细表》填报说明</w:t>
      </w:r>
      <w:r>
        <w:rPr>
          <w:rFonts w:hint="eastAsia"/>
          <w:color w:val="auto"/>
          <w:szCs w:val="21"/>
        </w:rPr>
        <w:tab/>
      </w:r>
      <w:r>
        <w:rPr>
          <w:rFonts w:hint="eastAsia" w:ascii="宋体" w:hAnsi="宋体" w:cs="宋体"/>
          <w:color w:val="auto"/>
          <w:szCs w:val="21"/>
          <w:lang w:val="en-US" w:eastAsia="zh-CN"/>
        </w:rPr>
        <w:t>9</w:t>
      </w:r>
      <w:r>
        <w:rPr>
          <w:rFonts w:hint="eastAsia"/>
          <w:color w:val="auto"/>
          <w:szCs w:val="21"/>
          <w:lang w:val="zh-CN"/>
        </w:rPr>
        <w:fldChar w:fldCharType="end"/>
      </w:r>
      <w:r>
        <w:rPr>
          <w:rFonts w:hint="eastAsia" w:ascii="宋体" w:hAnsi="宋体" w:cs="宋体"/>
          <w:color w:val="auto"/>
          <w:szCs w:val="21"/>
          <w:lang w:val="en-US" w:eastAsia="zh-CN"/>
        </w:rPr>
        <w:t>7</w:t>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ascii="宋体" w:hAnsi="宋体" w:eastAsia="宋体" w:cs="宋体"/>
          <w:color w:val="auto"/>
          <w:szCs w:val="21"/>
          <w:lang w:val="zh-CN" w:eastAsia="zh-CN"/>
        </w:rPr>
      </w:pPr>
      <w:r>
        <w:rPr>
          <w:rFonts w:hint="eastAsia" w:ascii="宋体" w:hAnsi="宋体" w:cs="宋体"/>
          <w:color w:val="auto"/>
          <w:szCs w:val="21"/>
          <w:lang w:val="zh-CN"/>
        </w:rPr>
        <w:fldChar w:fldCharType="begin"/>
      </w:r>
      <w:r>
        <w:rPr>
          <w:rFonts w:hint="eastAsia" w:ascii="宋体" w:hAnsi="宋体" w:cs="宋体"/>
          <w:color w:val="auto"/>
          <w:szCs w:val="21"/>
          <w:lang w:val="zh-CN"/>
        </w:rPr>
        <w:instrText xml:space="preserve"> HYPERLINK \l _Toc529672343 </w:instrText>
      </w:r>
      <w:r>
        <w:rPr>
          <w:rFonts w:hint="eastAsia" w:ascii="宋体" w:hAnsi="宋体" w:cs="宋体"/>
          <w:color w:val="auto"/>
          <w:szCs w:val="21"/>
          <w:lang w:val="zh-CN"/>
        </w:rPr>
        <w:fldChar w:fldCharType="separate"/>
      </w:r>
      <w:r>
        <w:rPr>
          <w:rFonts w:hint="eastAsia" w:ascii="宋体" w:hAnsi="宋体" w:cs="宋体"/>
          <w:color w:val="auto"/>
          <w:szCs w:val="21"/>
          <w:lang w:val="zh-CN"/>
        </w:rPr>
        <w:t>A108010《境外所得纳税调整后所得明细表》填报说明</w:t>
      </w:r>
      <w:r>
        <w:rPr>
          <w:rFonts w:hint="eastAsia" w:ascii="宋体" w:hAnsi="宋体" w:cs="宋体"/>
          <w:color w:val="auto"/>
          <w:szCs w:val="21"/>
          <w:lang w:val="zh-CN"/>
        </w:rPr>
        <w:tab/>
      </w:r>
      <w:r>
        <w:rPr>
          <w:rFonts w:hint="eastAsia" w:ascii="宋体" w:hAnsi="宋体" w:cs="宋体"/>
          <w:color w:val="auto"/>
          <w:szCs w:val="21"/>
          <w:lang w:val="zh-CN"/>
        </w:rPr>
        <w:fldChar w:fldCharType="end"/>
      </w:r>
      <w:r>
        <w:rPr>
          <w:rFonts w:hint="eastAsia" w:ascii="宋体" w:hAnsi="宋体" w:cs="宋体"/>
          <w:color w:val="auto"/>
          <w:szCs w:val="21"/>
          <w:lang w:val="zh-CN" w:eastAsia="zh-CN"/>
        </w:rPr>
        <w:t>101</w:t>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color w:val="auto"/>
          <w:szCs w:val="21"/>
        </w:rPr>
      </w:pPr>
      <w:r>
        <w:rPr>
          <w:rFonts w:hint="eastAsia"/>
          <w:color w:val="auto"/>
          <w:szCs w:val="21"/>
          <w:lang w:val="zh-CN"/>
        </w:rPr>
        <w:fldChar w:fldCharType="begin"/>
      </w:r>
      <w:r>
        <w:rPr>
          <w:rFonts w:hint="eastAsia"/>
          <w:color w:val="auto"/>
          <w:szCs w:val="21"/>
          <w:lang w:val="zh-CN"/>
        </w:rPr>
        <w:instrText xml:space="preserve"> HYPERLINK \l _Toc1620019175 </w:instrText>
      </w:r>
      <w:r>
        <w:rPr>
          <w:rFonts w:hint="eastAsia"/>
          <w:color w:val="auto"/>
          <w:szCs w:val="21"/>
          <w:lang w:val="zh-CN"/>
        </w:rPr>
        <w:fldChar w:fldCharType="separate"/>
      </w:r>
      <w:r>
        <w:rPr>
          <w:rFonts w:hint="eastAsia" w:ascii="宋体" w:hAnsi="宋体" w:cs="宋体"/>
          <w:color w:val="auto"/>
          <w:szCs w:val="21"/>
        </w:rPr>
        <w:t>A109000</w:t>
      </w:r>
      <w:r>
        <w:rPr>
          <w:rFonts w:hint="eastAsia"/>
          <w:color w:val="auto"/>
          <w:szCs w:val="21"/>
        </w:rPr>
        <w:t>跨地区经营汇总纳税企业年度分摊企业所得税明细表</w:t>
      </w:r>
      <w:r>
        <w:rPr>
          <w:rFonts w:hint="eastAsia"/>
          <w:color w:val="auto"/>
          <w:szCs w:val="21"/>
        </w:rPr>
        <w:tab/>
      </w:r>
      <w:r>
        <w:rPr>
          <w:rFonts w:hint="eastAsia" w:ascii="宋体" w:hAnsi="宋体" w:cs="宋体"/>
          <w:color w:val="auto"/>
          <w:szCs w:val="21"/>
        </w:rPr>
        <w:fldChar w:fldCharType="begin"/>
      </w:r>
      <w:r>
        <w:rPr>
          <w:rFonts w:hint="eastAsia" w:ascii="宋体" w:hAnsi="宋体" w:cs="宋体"/>
          <w:color w:val="auto"/>
          <w:szCs w:val="21"/>
        </w:rPr>
        <w:instrText xml:space="preserve"> PAGEREF _Toc1620019175 </w:instrText>
      </w:r>
      <w:r>
        <w:rPr>
          <w:rFonts w:hint="eastAsia" w:ascii="宋体" w:hAnsi="宋体" w:cs="宋体"/>
          <w:color w:val="auto"/>
          <w:szCs w:val="21"/>
        </w:rPr>
        <w:fldChar w:fldCharType="separate"/>
      </w:r>
      <w:r>
        <w:rPr>
          <w:rFonts w:hint="eastAsia" w:ascii="宋体" w:hAnsi="宋体" w:cs="宋体"/>
          <w:color w:val="auto"/>
          <w:szCs w:val="21"/>
        </w:rPr>
        <w:t>10</w:t>
      </w:r>
      <w:r>
        <w:rPr>
          <w:rFonts w:hint="eastAsia" w:ascii="宋体" w:hAnsi="宋体" w:cs="宋体"/>
          <w:color w:val="auto"/>
          <w:szCs w:val="21"/>
          <w:lang w:val="en-US" w:eastAsia="zh-CN"/>
        </w:rPr>
        <w:t>5</w:t>
      </w:r>
      <w:r>
        <w:rPr>
          <w:rFonts w:hint="eastAsia" w:ascii="宋体" w:hAnsi="宋体" w:cs="宋体"/>
          <w:color w:val="auto"/>
          <w:szCs w:val="21"/>
        </w:rPr>
        <w:fldChar w:fldCharType="end"/>
      </w:r>
      <w:r>
        <w:rPr>
          <w:rFonts w:hint="eastAsia"/>
          <w:color w:val="auto"/>
          <w:szCs w:val="21"/>
          <w:lang w:val="zh-CN"/>
        </w:rPr>
        <w:fldChar w:fldCharType="end"/>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ascii="宋体" w:hAnsi="宋体" w:eastAsia="宋体" w:cs="宋体"/>
          <w:color w:val="auto"/>
          <w:szCs w:val="21"/>
          <w:lang w:val="en-US" w:eastAsia="zh-CN"/>
        </w:rPr>
      </w:pPr>
      <w:r>
        <w:rPr>
          <w:rFonts w:hint="eastAsia" w:ascii="宋体" w:hAnsi="宋体" w:cs="宋体"/>
          <w:color w:val="auto"/>
          <w:szCs w:val="21"/>
          <w:lang w:val="zh-CN"/>
        </w:rPr>
        <w:fldChar w:fldCharType="begin"/>
      </w:r>
      <w:r>
        <w:rPr>
          <w:rFonts w:hint="eastAsia" w:ascii="宋体" w:hAnsi="宋体" w:cs="宋体"/>
          <w:color w:val="auto"/>
          <w:szCs w:val="21"/>
          <w:lang w:val="zh-CN"/>
        </w:rPr>
        <w:instrText xml:space="preserve"> HYPERLINK \l _Toc865107334 </w:instrText>
      </w:r>
      <w:r>
        <w:rPr>
          <w:rFonts w:hint="eastAsia" w:ascii="宋体" w:hAnsi="宋体" w:cs="宋体"/>
          <w:color w:val="auto"/>
          <w:szCs w:val="21"/>
          <w:lang w:val="zh-CN"/>
        </w:rPr>
        <w:fldChar w:fldCharType="separate"/>
      </w:r>
      <w:r>
        <w:rPr>
          <w:rFonts w:hint="eastAsia" w:ascii="宋体" w:hAnsi="宋体" w:cs="宋体"/>
          <w:color w:val="auto"/>
          <w:szCs w:val="21"/>
        </w:rPr>
        <w:t>A109000《跨地区经营汇总纳税企业年度分摊企业所得税明细表》填报说明</w:t>
      </w:r>
      <w:r>
        <w:rPr>
          <w:rFonts w:hint="eastAsia" w:ascii="宋体" w:hAnsi="宋体" w:cs="宋体"/>
          <w:color w:val="auto"/>
          <w:szCs w:val="21"/>
        </w:rPr>
        <w:tab/>
      </w:r>
      <w:r>
        <w:rPr>
          <w:rFonts w:hint="eastAsia" w:ascii="宋体" w:hAnsi="宋体" w:cs="宋体"/>
          <w:color w:val="auto"/>
          <w:szCs w:val="21"/>
        </w:rPr>
        <w:fldChar w:fldCharType="begin"/>
      </w:r>
      <w:r>
        <w:rPr>
          <w:rFonts w:hint="eastAsia" w:ascii="宋体" w:hAnsi="宋体" w:cs="宋体"/>
          <w:color w:val="auto"/>
          <w:szCs w:val="21"/>
        </w:rPr>
        <w:instrText xml:space="preserve"> PAGEREF _Toc865107334 </w:instrText>
      </w:r>
      <w:r>
        <w:rPr>
          <w:rFonts w:hint="eastAsia" w:ascii="宋体" w:hAnsi="宋体" w:cs="宋体"/>
          <w:color w:val="auto"/>
          <w:szCs w:val="21"/>
        </w:rPr>
        <w:fldChar w:fldCharType="separate"/>
      </w:r>
      <w:r>
        <w:rPr>
          <w:rFonts w:hint="eastAsia" w:ascii="宋体" w:hAnsi="宋体" w:cs="宋体"/>
          <w:color w:val="auto"/>
          <w:szCs w:val="21"/>
        </w:rPr>
        <w:t>10</w:t>
      </w:r>
      <w:r>
        <w:rPr>
          <w:rFonts w:hint="eastAsia" w:ascii="宋体" w:hAnsi="宋体" w:cs="宋体"/>
          <w:color w:val="auto"/>
          <w:szCs w:val="21"/>
        </w:rPr>
        <w:fldChar w:fldCharType="end"/>
      </w:r>
      <w:r>
        <w:rPr>
          <w:rFonts w:hint="eastAsia" w:ascii="宋体" w:hAnsi="宋体" w:cs="宋体"/>
          <w:color w:val="auto"/>
          <w:szCs w:val="21"/>
          <w:lang w:val="zh-CN"/>
        </w:rPr>
        <w:fldChar w:fldCharType="end"/>
      </w:r>
      <w:r>
        <w:rPr>
          <w:rFonts w:hint="eastAsia" w:ascii="宋体" w:hAnsi="宋体" w:cs="宋体"/>
          <w:color w:val="auto"/>
          <w:szCs w:val="21"/>
          <w:lang w:val="en-US" w:eastAsia="zh-CN"/>
        </w:rPr>
        <w:t>6</w:t>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ascii="宋体" w:hAnsi="宋体" w:eastAsia="宋体" w:cs="宋体"/>
          <w:color w:val="auto"/>
          <w:szCs w:val="21"/>
          <w:lang w:val="en-US" w:eastAsia="zh-CN"/>
        </w:rPr>
      </w:pPr>
      <w:r>
        <w:rPr>
          <w:rFonts w:hint="eastAsia" w:ascii="宋体" w:hAnsi="宋体" w:cs="宋体"/>
          <w:color w:val="auto"/>
          <w:szCs w:val="21"/>
          <w:lang w:val="zh-CN"/>
        </w:rPr>
        <w:fldChar w:fldCharType="begin"/>
      </w:r>
      <w:r>
        <w:rPr>
          <w:rFonts w:hint="eastAsia" w:ascii="宋体" w:hAnsi="宋体" w:cs="宋体"/>
          <w:color w:val="auto"/>
          <w:szCs w:val="21"/>
          <w:lang w:val="zh-CN"/>
        </w:rPr>
        <w:instrText xml:space="preserve"> HYPERLINK \l _Toc747851668 </w:instrText>
      </w:r>
      <w:r>
        <w:rPr>
          <w:rFonts w:hint="eastAsia" w:ascii="宋体" w:hAnsi="宋体" w:cs="宋体"/>
          <w:color w:val="auto"/>
          <w:szCs w:val="21"/>
          <w:lang w:val="zh-CN"/>
        </w:rPr>
        <w:fldChar w:fldCharType="separate"/>
      </w:r>
      <w:r>
        <w:rPr>
          <w:rFonts w:hint="eastAsia" w:ascii="宋体" w:hAnsi="宋体" w:cs="宋体"/>
          <w:color w:val="auto"/>
          <w:szCs w:val="21"/>
        </w:rPr>
        <w:t>A109010企业所得税汇总纳税分支机构所得税分配表</w:t>
      </w:r>
      <w:r>
        <w:rPr>
          <w:rFonts w:hint="eastAsia" w:ascii="宋体" w:hAnsi="宋体" w:cs="宋体"/>
          <w:color w:val="auto"/>
          <w:szCs w:val="21"/>
        </w:rPr>
        <w:tab/>
      </w:r>
      <w:r>
        <w:rPr>
          <w:rFonts w:hint="eastAsia" w:ascii="宋体" w:hAnsi="宋体" w:cs="宋体"/>
          <w:color w:val="auto"/>
          <w:szCs w:val="21"/>
        </w:rPr>
        <w:fldChar w:fldCharType="begin"/>
      </w:r>
      <w:r>
        <w:rPr>
          <w:rFonts w:hint="eastAsia" w:ascii="宋体" w:hAnsi="宋体" w:cs="宋体"/>
          <w:color w:val="auto"/>
          <w:szCs w:val="21"/>
        </w:rPr>
        <w:instrText xml:space="preserve"> PAGEREF _Toc747851668 </w:instrText>
      </w:r>
      <w:r>
        <w:rPr>
          <w:rFonts w:hint="eastAsia" w:ascii="宋体" w:hAnsi="宋体" w:cs="宋体"/>
          <w:color w:val="auto"/>
          <w:szCs w:val="21"/>
        </w:rPr>
        <w:fldChar w:fldCharType="separate"/>
      </w:r>
      <w:r>
        <w:rPr>
          <w:rFonts w:hint="eastAsia" w:ascii="宋体" w:hAnsi="宋体" w:cs="宋体"/>
          <w:color w:val="auto"/>
          <w:szCs w:val="21"/>
        </w:rPr>
        <w:t>1</w:t>
      </w:r>
      <w:r>
        <w:rPr>
          <w:rFonts w:hint="eastAsia" w:ascii="宋体" w:hAnsi="宋体" w:cs="宋体"/>
          <w:color w:val="auto"/>
          <w:szCs w:val="21"/>
        </w:rPr>
        <w:fldChar w:fldCharType="end"/>
      </w:r>
      <w:r>
        <w:rPr>
          <w:rFonts w:hint="eastAsia" w:ascii="宋体" w:hAnsi="宋体" w:cs="宋体"/>
          <w:color w:val="auto"/>
          <w:szCs w:val="21"/>
          <w:lang w:val="zh-CN"/>
        </w:rPr>
        <w:fldChar w:fldCharType="end"/>
      </w:r>
      <w:r>
        <w:rPr>
          <w:rFonts w:hint="eastAsia" w:ascii="宋体" w:hAnsi="宋体" w:cs="宋体"/>
          <w:color w:val="auto"/>
          <w:szCs w:val="21"/>
          <w:lang w:val="en-US" w:eastAsia="zh-CN"/>
        </w:rPr>
        <w:t>10</w:t>
      </w:r>
    </w:p>
    <w:p>
      <w:pPr>
        <w:pStyle w:val="6"/>
        <w:keepNext w:val="0"/>
        <w:keepLines w:val="0"/>
        <w:pageBreakBefore w:val="0"/>
        <w:widowControl w:val="0"/>
        <w:tabs>
          <w:tab w:val="right" w:leader="dot" w:pos="8931"/>
        </w:tabs>
        <w:kinsoku/>
        <w:wordWrap/>
        <w:overflowPunct/>
        <w:topLinePunct w:val="0"/>
        <w:autoSpaceDE/>
        <w:autoSpaceDN/>
        <w:bidi w:val="0"/>
        <w:adjustRightInd w:val="0"/>
        <w:snapToGrid w:val="0"/>
        <w:spacing w:line="400" w:lineRule="exact"/>
        <w:textAlignment w:val="auto"/>
        <w:rPr>
          <w:rFonts w:hint="eastAsia" w:ascii="宋体" w:hAnsi="宋体" w:eastAsia="宋体" w:cs="宋体"/>
          <w:color w:val="auto"/>
          <w:lang w:val="en-US" w:eastAsia="zh-CN"/>
        </w:rPr>
      </w:pPr>
      <w:r>
        <w:rPr>
          <w:rFonts w:hint="eastAsia" w:ascii="宋体" w:hAnsi="宋体" w:cs="宋体"/>
          <w:color w:val="auto"/>
          <w:szCs w:val="21"/>
          <w:lang w:val="zh-CN"/>
        </w:rPr>
        <w:fldChar w:fldCharType="begin"/>
      </w:r>
      <w:r>
        <w:rPr>
          <w:rFonts w:hint="eastAsia" w:ascii="宋体" w:hAnsi="宋体" w:cs="宋体"/>
          <w:color w:val="auto"/>
          <w:szCs w:val="21"/>
          <w:lang w:val="zh-CN"/>
        </w:rPr>
        <w:instrText xml:space="preserve"> HYPERLINK \l _Toc461556299 </w:instrText>
      </w:r>
      <w:r>
        <w:rPr>
          <w:rFonts w:hint="eastAsia" w:ascii="宋体" w:hAnsi="宋体" w:cs="宋体"/>
          <w:color w:val="auto"/>
          <w:szCs w:val="21"/>
          <w:lang w:val="zh-CN"/>
        </w:rPr>
        <w:fldChar w:fldCharType="separate"/>
      </w:r>
      <w:r>
        <w:rPr>
          <w:rFonts w:hint="eastAsia" w:ascii="宋体" w:hAnsi="宋体" w:cs="宋体"/>
          <w:color w:val="auto"/>
          <w:szCs w:val="21"/>
        </w:rPr>
        <w:t>A109010《企业所得税汇总纳税分支机构所得税分配表》填报说明</w:t>
      </w:r>
      <w:r>
        <w:rPr>
          <w:rFonts w:hint="eastAsia" w:ascii="宋体" w:hAnsi="宋体" w:cs="宋体"/>
          <w:color w:val="auto"/>
          <w:szCs w:val="21"/>
        </w:rPr>
        <w:tab/>
      </w:r>
      <w:r>
        <w:rPr>
          <w:rFonts w:hint="eastAsia" w:ascii="宋体" w:hAnsi="宋体" w:cs="宋体"/>
          <w:color w:val="auto"/>
          <w:szCs w:val="21"/>
        </w:rPr>
        <w:fldChar w:fldCharType="begin"/>
      </w:r>
      <w:r>
        <w:rPr>
          <w:rFonts w:hint="eastAsia" w:ascii="宋体" w:hAnsi="宋体" w:cs="宋体"/>
          <w:color w:val="auto"/>
          <w:szCs w:val="21"/>
        </w:rPr>
        <w:instrText xml:space="preserve"> PAGEREF _Toc461556299 </w:instrText>
      </w:r>
      <w:r>
        <w:rPr>
          <w:rFonts w:hint="eastAsia" w:ascii="宋体" w:hAnsi="宋体" w:cs="宋体"/>
          <w:color w:val="auto"/>
          <w:szCs w:val="21"/>
        </w:rPr>
        <w:fldChar w:fldCharType="separate"/>
      </w:r>
      <w:r>
        <w:rPr>
          <w:rFonts w:hint="eastAsia" w:ascii="宋体" w:hAnsi="宋体" w:cs="宋体"/>
          <w:color w:val="auto"/>
          <w:szCs w:val="21"/>
        </w:rPr>
        <w:t>1</w:t>
      </w:r>
      <w:r>
        <w:rPr>
          <w:rFonts w:hint="eastAsia" w:ascii="宋体" w:hAnsi="宋体" w:cs="宋体"/>
          <w:color w:val="auto"/>
          <w:szCs w:val="21"/>
        </w:rPr>
        <w:fldChar w:fldCharType="end"/>
      </w:r>
      <w:r>
        <w:rPr>
          <w:rFonts w:hint="eastAsia" w:ascii="宋体" w:hAnsi="宋体" w:cs="宋体"/>
          <w:color w:val="auto"/>
          <w:szCs w:val="21"/>
          <w:lang w:val="zh-CN"/>
        </w:rPr>
        <w:fldChar w:fldCharType="end"/>
      </w:r>
      <w:r>
        <w:rPr>
          <w:rFonts w:hint="eastAsia" w:ascii="宋体" w:hAnsi="宋体" w:cs="宋体"/>
          <w:color w:val="auto"/>
          <w:szCs w:val="21"/>
          <w:lang w:val="en-US" w:eastAsia="zh-CN"/>
        </w:rPr>
        <w:t>11</w:t>
      </w:r>
    </w:p>
    <w:p>
      <w:pPr>
        <w:pStyle w:val="6"/>
        <w:tabs>
          <w:tab w:val="right" w:leader="dot" w:pos="8931"/>
        </w:tabs>
        <w:rPr>
          <w:rFonts w:hint="eastAsia"/>
          <w:color w:val="auto"/>
        </w:rPr>
        <w:sectPr>
          <w:footerReference r:id="rId5" w:type="default"/>
          <w:pgSz w:w="11906" w:h="16838"/>
          <w:pgMar w:top="1440" w:right="1800" w:bottom="1440" w:left="1800" w:header="851" w:footer="992" w:gutter="0"/>
          <w:pgNumType w:fmt="decimal" w:start="1"/>
          <w:cols w:space="720" w:num="1"/>
          <w:docGrid w:type="lines" w:linePitch="312" w:charSpace="0"/>
        </w:sectPr>
      </w:pPr>
      <w:r>
        <w:rPr>
          <w:rFonts w:hint="eastAsia"/>
          <w:color w:val="auto"/>
          <w:lang w:val="zh-CN"/>
        </w:rPr>
        <w:fldChar w:fldCharType="end"/>
      </w:r>
    </w:p>
    <w:p>
      <w:pPr>
        <w:pStyle w:val="13"/>
        <w:rPr>
          <w:rFonts w:hint="eastAsia"/>
          <w:color w:val="auto"/>
        </w:rPr>
      </w:pPr>
      <w:bookmarkStart w:id="1" w:name="_Toc176972040"/>
      <w:bookmarkStart w:id="2" w:name="_Toc340"/>
      <w:bookmarkStart w:id="3" w:name="_Toc2104880965"/>
      <w:r>
        <w:rPr>
          <w:rFonts w:hint="eastAsia"/>
          <w:color w:val="auto"/>
        </w:rPr>
        <w:t>企业所得税年度纳税申报表填报表单</w:t>
      </w:r>
      <w:bookmarkEnd w:id="1"/>
      <w:bookmarkEnd w:id="2"/>
      <w:bookmarkEnd w:id="3"/>
    </w:p>
    <w:tbl>
      <w:tblPr>
        <w:tblStyle w:val="7"/>
        <w:tblpPr w:leftFromText="180" w:rightFromText="180" w:vertAnchor="page" w:horzAnchor="margin" w:tblpXSpec="center" w:tblpY="2668"/>
        <w:tblW w:w="9663"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049"/>
        <w:gridCol w:w="6934"/>
        <w:gridCol w:w="168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00" w:hRule="atLeast"/>
        </w:trPr>
        <w:tc>
          <w:tcPr>
            <w:tcW w:w="1049" w:type="dxa"/>
            <w:tcBorders>
              <w:top w:val="single" w:color="auto" w:sz="12"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b/>
                <w:bCs/>
                <w:color w:val="auto"/>
                <w:kern w:val="0"/>
                <w:sz w:val="20"/>
                <w:szCs w:val="20"/>
              </w:rPr>
            </w:pPr>
            <w:r>
              <w:rPr>
                <w:rFonts w:hint="eastAsia" w:ascii="宋体" w:hAnsi="宋体" w:cs="宋体"/>
                <w:b/>
                <w:bCs/>
                <w:color w:val="auto"/>
                <w:kern w:val="0"/>
                <w:sz w:val="20"/>
                <w:szCs w:val="20"/>
              </w:rPr>
              <w:t>表单编号</w:t>
            </w:r>
          </w:p>
        </w:tc>
        <w:tc>
          <w:tcPr>
            <w:tcW w:w="6934" w:type="dxa"/>
            <w:tcBorders>
              <w:top w:val="single" w:color="auto" w:sz="12" w:space="0"/>
              <w:left w:val="single" w:color="auto" w:sz="6" w:space="0"/>
              <w:bottom w:val="single" w:color="auto" w:sz="6" w:space="0"/>
              <w:right w:val="single" w:color="auto" w:sz="6" w:space="0"/>
            </w:tcBorders>
            <w:noWrap w:val="0"/>
            <w:vAlign w:val="center"/>
          </w:tcPr>
          <w:p>
            <w:pPr>
              <w:widowControl/>
              <w:jc w:val="center"/>
              <w:rPr>
                <w:rFonts w:hint="eastAsia" w:ascii="宋体" w:hAnsi="宋体" w:cs="宋体"/>
                <w:b/>
                <w:bCs/>
                <w:color w:val="auto"/>
                <w:kern w:val="0"/>
                <w:sz w:val="20"/>
                <w:szCs w:val="20"/>
              </w:rPr>
            </w:pPr>
            <w:r>
              <w:rPr>
                <w:rFonts w:hint="eastAsia" w:ascii="宋体" w:hAnsi="宋体" w:cs="宋体"/>
                <w:b/>
                <w:bCs/>
                <w:color w:val="auto"/>
                <w:kern w:val="0"/>
                <w:sz w:val="20"/>
                <w:szCs w:val="20"/>
              </w:rPr>
              <w:t>表单名称</w:t>
            </w:r>
          </w:p>
        </w:tc>
        <w:tc>
          <w:tcPr>
            <w:tcW w:w="1680" w:type="dxa"/>
            <w:tcBorders>
              <w:top w:val="single" w:color="auto" w:sz="12" w:space="0"/>
              <w:left w:val="single" w:color="auto" w:sz="6" w:space="0"/>
              <w:bottom w:val="single" w:color="auto" w:sz="6" w:space="0"/>
              <w:right w:val="single" w:color="auto" w:sz="12" w:space="0"/>
            </w:tcBorders>
            <w:noWrap w:val="0"/>
            <w:vAlign w:val="center"/>
          </w:tcPr>
          <w:p>
            <w:pPr>
              <w:jc w:val="center"/>
              <w:rPr>
                <w:rFonts w:hint="eastAsia" w:ascii="宋体" w:hAnsi="宋体" w:cs="宋体"/>
                <w:b/>
                <w:bCs/>
                <w:color w:val="auto"/>
                <w:kern w:val="0"/>
                <w:sz w:val="20"/>
                <w:szCs w:val="20"/>
              </w:rPr>
            </w:pPr>
            <w:r>
              <w:rPr>
                <w:rFonts w:hint="eastAsia" w:ascii="宋体" w:hAnsi="宋体" w:cs="宋体"/>
                <w:b/>
                <w:bCs/>
                <w:color w:val="auto"/>
                <w:kern w:val="0"/>
                <w:sz w:val="20"/>
                <w:szCs w:val="20"/>
              </w:rPr>
              <w:t>是否填报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A000000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rPr>
                <w:rFonts w:hint="eastAsia" w:ascii="宋体" w:hAnsi="宋体" w:cs="宋体"/>
                <w:color w:val="auto"/>
                <w:kern w:val="0"/>
                <w:sz w:val="20"/>
                <w:szCs w:val="20"/>
              </w:rPr>
            </w:pPr>
            <w:r>
              <w:rPr>
                <w:rFonts w:hint="eastAsia" w:ascii="宋体" w:hAnsi="宋体" w:cs="宋体"/>
                <w:color w:val="auto"/>
                <w:kern w:val="0"/>
                <w:sz w:val="20"/>
                <w:szCs w:val="20"/>
              </w:rPr>
              <w:t>企业所得税年度纳税申报基础信息表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A100000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rPr>
                <w:rFonts w:hint="eastAsia" w:ascii="宋体" w:hAnsi="宋体" w:cs="宋体"/>
                <w:color w:val="auto"/>
                <w:kern w:val="0"/>
                <w:sz w:val="20"/>
                <w:szCs w:val="20"/>
              </w:rPr>
            </w:pPr>
            <w:r>
              <w:rPr>
                <w:rFonts w:hint="eastAsia" w:ascii="宋体" w:hAnsi="宋体" w:cs="宋体"/>
                <w:color w:val="auto"/>
                <w:kern w:val="0"/>
                <w:sz w:val="20"/>
                <w:szCs w:val="20"/>
              </w:rPr>
              <w:t>企业所得税年度纳税申报</w:t>
            </w:r>
            <w:r>
              <w:rPr>
                <w:rFonts w:hint="eastAsia" w:ascii="宋体" w:hAnsi="宋体" w:cs="宋体"/>
                <w:color w:val="auto"/>
                <w:kern w:val="0"/>
                <w:sz w:val="20"/>
                <w:szCs w:val="20"/>
                <w:lang w:val="en-US" w:eastAsia="zh-CN"/>
              </w:rPr>
              <w:t>主</w:t>
            </w:r>
            <w:r>
              <w:rPr>
                <w:rFonts w:hint="eastAsia" w:ascii="宋体" w:hAnsi="宋体" w:cs="宋体"/>
                <w:color w:val="auto"/>
                <w:kern w:val="0"/>
                <w:sz w:val="20"/>
                <w:szCs w:val="20"/>
              </w:rPr>
              <w:t>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A101010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400" w:firstLineChars="200"/>
              <w:rPr>
                <w:rFonts w:hint="eastAsia" w:ascii="宋体" w:hAnsi="宋体" w:cs="宋体"/>
                <w:color w:val="auto"/>
                <w:kern w:val="0"/>
                <w:sz w:val="20"/>
                <w:szCs w:val="20"/>
              </w:rPr>
            </w:pPr>
            <w:r>
              <w:rPr>
                <w:rFonts w:hint="eastAsia" w:ascii="宋体" w:hAnsi="宋体" w:cs="宋体"/>
                <w:color w:val="auto"/>
                <w:kern w:val="0"/>
                <w:sz w:val="20"/>
                <w:szCs w:val="20"/>
              </w:rPr>
              <w:t>一般企业收入明细表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A101020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400" w:firstLineChars="200"/>
              <w:rPr>
                <w:rFonts w:hint="eastAsia" w:ascii="宋体" w:hAnsi="宋体" w:cs="宋体"/>
                <w:color w:val="auto"/>
                <w:kern w:val="0"/>
                <w:sz w:val="20"/>
                <w:szCs w:val="20"/>
              </w:rPr>
            </w:pPr>
            <w:r>
              <w:rPr>
                <w:rFonts w:hint="eastAsia" w:ascii="宋体" w:hAnsi="宋体" w:cs="宋体"/>
                <w:color w:val="auto"/>
                <w:kern w:val="0"/>
                <w:sz w:val="20"/>
                <w:szCs w:val="20"/>
              </w:rPr>
              <w:t>金融企业收入明细表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A102010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400" w:firstLineChars="200"/>
              <w:rPr>
                <w:rFonts w:hint="eastAsia" w:ascii="宋体" w:hAnsi="宋体" w:cs="宋体"/>
                <w:color w:val="auto"/>
                <w:kern w:val="0"/>
                <w:sz w:val="20"/>
                <w:szCs w:val="20"/>
              </w:rPr>
            </w:pPr>
            <w:r>
              <w:rPr>
                <w:rFonts w:hint="eastAsia" w:ascii="宋体" w:hAnsi="宋体" w:cs="宋体"/>
                <w:color w:val="auto"/>
                <w:kern w:val="0"/>
                <w:sz w:val="20"/>
                <w:szCs w:val="20"/>
              </w:rPr>
              <w:t>一般企业成本支出明细表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A102020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400" w:firstLineChars="200"/>
              <w:rPr>
                <w:rFonts w:hint="eastAsia" w:ascii="宋体" w:hAnsi="宋体" w:cs="宋体"/>
                <w:color w:val="auto"/>
                <w:kern w:val="0"/>
                <w:sz w:val="20"/>
                <w:szCs w:val="20"/>
              </w:rPr>
            </w:pPr>
            <w:r>
              <w:rPr>
                <w:rFonts w:hint="eastAsia" w:ascii="宋体" w:hAnsi="宋体" w:cs="宋体"/>
                <w:color w:val="auto"/>
                <w:kern w:val="0"/>
                <w:sz w:val="20"/>
                <w:szCs w:val="20"/>
              </w:rPr>
              <w:t>金融企业支出明细表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A103000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400" w:firstLineChars="200"/>
              <w:rPr>
                <w:rFonts w:hint="eastAsia" w:ascii="宋体" w:hAnsi="宋体" w:cs="宋体"/>
                <w:color w:val="auto"/>
                <w:kern w:val="0"/>
                <w:sz w:val="20"/>
                <w:szCs w:val="20"/>
              </w:rPr>
            </w:pPr>
            <w:r>
              <w:rPr>
                <w:rFonts w:hint="eastAsia" w:ascii="宋体" w:hAnsi="宋体" w:cs="宋体"/>
                <w:color w:val="auto"/>
                <w:kern w:val="0"/>
                <w:sz w:val="20"/>
                <w:szCs w:val="20"/>
              </w:rPr>
              <w:t>事业单位、民间非营利组织收入、支出明细表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A104000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400" w:firstLineChars="200"/>
              <w:rPr>
                <w:rFonts w:hint="eastAsia" w:ascii="宋体" w:hAnsi="宋体" w:cs="宋体"/>
                <w:color w:val="auto"/>
                <w:kern w:val="0"/>
                <w:sz w:val="20"/>
                <w:szCs w:val="20"/>
              </w:rPr>
            </w:pPr>
            <w:r>
              <w:rPr>
                <w:rFonts w:hint="eastAsia" w:ascii="宋体" w:hAnsi="宋体" w:cs="宋体"/>
                <w:color w:val="auto"/>
                <w:kern w:val="0"/>
                <w:sz w:val="20"/>
                <w:szCs w:val="20"/>
              </w:rPr>
              <w:t>期间费用明细表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A105000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400" w:firstLineChars="200"/>
              <w:rPr>
                <w:rFonts w:hint="eastAsia" w:ascii="宋体" w:hAnsi="宋体" w:cs="宋体"/>
                <w:color w:val="auto"/>
                <w:kern w:val="0"/>
                <w:sz w:val="20"/>
                <w:szCs w:val="20"/>
              </w:rPr>
            </w:pPr>
            <w:r>
              <w:rPr>
                <w:rFonts w:hint="eastAsia" w:ascii="宋体" w:hAnsi="宋体" w:cs="宋体"/>
                <w:color w:val="auto"/>
                <w:kern w:val="0"/>
                <w:sz w:val="20"/>
                <w:szCs w:val="20"/>
              </w:rPr>
              <w:t>纳税调整项目明细表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A105010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800" w:firstLineChars="400"/>
              <w:rPr>
                <w:rFonts w:hint="eastAsia" w:ascii="宋体" w:hAnsi="宋体" w:cs="宋体"/>
                <w:color w:val="auto"/>
                <w:kern w:val="0"/>
                <w:sz w:val="20"/>
                <w:szCs w:val="20"/>
              </w:rPr>
            </w:pPr>
            <w:r>
              <w:rPr>
                <w:rFonts w:hint="eastAsia" w:ascii="宋体" w:hAnsi="宋体" w:cs="宋体"/>
                <w:color w:val="auto"/>
                <w:kern w:val="0"/>
                <w:sz w:val="20"/>
                <w:szCs w:val="20"/>
              </w:rPr>
              <w:t>视同销售和房地产开发企业特定业务纳税调整明细表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A105020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800" w:firstLineChars="400"/>
              <w:rPr>
                <w:rFonts w:hint="eastAsia" w:ascii="宋体" w:hAnsi="宋体" w:cs="宋体"/>
                <w:color w:val="auto"/>
                <w:kern w:val="0"/>
                <w:sz w:val="20"/>
                <w:szCs w:val="20"/>
              </w:rPr>
            </w:pPr>
            <w:r>
              <w:rPr>
                <w:rFonts w:hint="eastAsia" w:ascii="宋体" w:hAnsi="宋体" w:cs="宋体"/>
                <w:color w:val="auto"/>
                <w:kern w:val="0"/>
                <w:sz w:val="20"/>
                <w:szCs w:val="20"/>
              </w:rPr>
              <w:t>未按权责发生制确认收入纳税调整明细表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A105030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800" w:firstLineChars="400"/>
              <w:rPr>
                <w:rFonts w:hint="eastAsia" w:ascii="宋体" w:hAnsi="宋体" w:cs="宋体"/>
                <w:color w:val="auto"/>
                <w:kern w:val="0"/>
                <w:sz w:val="20"/>
                <w:szCs w:val="20"/>
              </w:rPr>
            </w:pPr>
            <w:r>
              <w:rPr>
                <w:rFonts w:hint="eastAsia" w:ascii="宋体" w:hAnsi="宋体" w:cs="宋体"/>
                <w:color w:val="auto"/>
                <w:kern w:val="0"/>
                <w:sz w:val="20"/>
                <w:szCs w:val="20"/>
              </w:rPr>
              <w:t>投资收益纳税调整明细表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A105040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800" w:firstLineChars="400"/>
              <w:rPr>
                <w:rFonts w:hint="eastAsia" w:ascii="宋体" w:hAnsi="宋体" w:cs="宋体"/>
                <w:color w:val="auto"/>
                <w:kern w:val="0"/>
                <w:sz w:val="20"/>
                <w:szCs w:val="20"/>
              </w:rPr>
            </w:pPr>
            <w:r>
              <w:rPr>
                <w:rFonts w:hint="eastAsia" w:ascii="宋体" w:hAnsi="宋体" w:cs="宋体"/>
                <w:color w:val="auto"/>
                <w:kern w:val="0"/>
                <w:sz w:val="20"/>
                <w:szCs w:val="20"/>
              </w:rPr>
              <w:t>专项用途财政性资金纳税调整明细表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A105050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800" w:firstLineChars="400"/>
              <w:rPr>
                <w:rFonts w:hint="eastAsia" w:ascii="宋体" w:hAnsi="宋体" w:cs="宋体"/>
                <w:color w:val="auto"/>
                <w:kern w:val="0"/>
                <w:sz w:val="20"/>
                <w:szCs w:val="20"/>
              </w:rPr>
            </w:pPr>
            <w:r>
              <w:rPr>
                <w:rFonts w:hint="eastAsia" w:ascii="宋体" w:hAnsi="宋体" w:cs="宋体"/>
                <w:color w:val="auto"/>
                <w:kern w:val="0"/>
                <w:sz w:val="20"/>
                <w:szCs w:val="20"/>
              </w:rPr>
              <w:t>职工薪酬支出及纳税调整明细表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A105060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800" w:firstLineChars="400"/>
              <w:rPr>
                <w:rFonts w:hint="eastAsia" w:ascii="宋体" w:hAnsi="宋体" w:cs="宋体"/>
                <w:color w:val="auto"/>
                <w:kern w:val="0"/>
                <w:sz w:val="20"/>
                <w:szCs w:val="20"/>
              </w:rPr>
            </w:pPr>
            <w:r>
              <w:rPr>
                <w:rFonts w:hint="eastAsia" w:ascii="宋体" w:hAnsi="宋体" w:cs="宋体"/>
                <w:color w:val="auto"/>
                <w:kern w:val="0"/>
                <w:sz w:val="20"/>
                <w:szCs w:val="20"/>
              </w:rPr>
              <w:t>广告费和业务宣传费等跨年度纳税调整明细表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A105070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800" w:firstLineChars="400"/>
              <w:rPr>
                <w:rFonts w:hint="eastAsia" w:ascii="宋体" w:hAnsi="宋体" w:cs="宋体"/>
                <w:color w:val="auto"/>
                <w:kern w:val="0"/>
                <w:sz w:val="20"/>
                <w:szCs w:val="20"/>
              </w:rPr>
            </w:pPr>
            <w:r>
              <w:rPr>
                <w:rFonts w:hint="eastAsia" w:ascii="宋体" w:hAnsi="宋体" w:cs="宋体"/>
                <w:color w:val="auto"/>
                <w:kern w:val="0"/>
                <w:sz w:val="20"/>
                <w:szCs w:val="20"/>
              </w:rPr>
              <w:t>捐赠支出及纳税调整明细表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A105080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800" w:firstLineChars="400"/>
              <w:rPr>
                <w:rFonts w:hint="eastAsia" w:ascii="宋体" w:hAnsi="宋体" w:cs="宋体"/>
                <w:color w:val="auto"/>
                <w:kern w:val="0"/>
                <w:sz w:val="20"/>
                <w:szCs w:val="20"/>
              </w:rPr>
            </w:pPr>
            <w:r>
              <w:rPr>
                <w:rFonts w:hint="eastAsia" w:ascii="宋体" w:hAnsi="宋体" w:cs="宋体"/>
                <w:color w:val="auto"/>
                <w:kern w:val="0"/>
                <w:sz w:val="20"/>
                <w:szCs w:val="20"/>
              </w:rPr>
              <w:t>资产折旧、摊销及纳税调整明细表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A105090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800" w:firstLineChars="400"/>
              <w:rPr>
                <w:rFonts w:hint="eastAsia" w:ascii="宋体" w:hAnsi="宋体" w:cs="宋体"/>
                <w:color w:val="auto"/>
                <w:kern w:val="0"/>
                <w:sz w:val="20"/>
                <w:szCs w:val="20"/>
              </w:rPr>
            </w:pPr>
            <w:r>
              <w:rPr>
                <w:rFonts w:hint="eastAsia" w:ascii="宋体" w:hAnsi="宋体" w:cs="宋体"/>
                <w:color w:val="auto"/>
                <w:kern w:val="0"/>
                <w:sz w:val="20"/>
                <w:szCs w:val="20"/>
              </w:rPr>
              <w:t>资产损失税前扣除及纳税调整明细表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A105100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800" w:firstLineChars="400"/>
              <w:rPr>
                <w:rFonts w:hint="eastAsia" w:ascii="宋体" w:hAnsi="宋体" w:cs="宋体"/>
                <w:color w:val="auto"/>
                <w:kern w:val="0"/>
                <w:sz w:val="20"/>
                <w:szCs w:val="20"/>
              </w:rPr>
            </w:pPr>
            <w:r>
              <w:rPr>
                <w:rFonts w:hint="eastAsia" w:ascii="宋体" w:hAnsi="宋体" w:cs="宋体"/>
                <w:color w:val="auto"/>
                <w:kern w:val="0"/>
                <w:sz w:val="20"/>
                <w:szCs w:val="20"/>
              </w:rPr>
              <w:t>企业重组及递延纳税事项纳税调整明细表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A105110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800" w:firstLineChars="400"/>
              <w:rPr>
                <w:rFonts w:hint="eastAsia" w:ascii="宋体" w:hAnsi="宋体" w:cs="宋体"/>
                <w:color w:val="auto"/>
                <w:kern w:val="0"/>
                <w:sz w:val="20"/>
                <w:szCs w:val="20"/>
              </w:rPr>
            </w:pPr>
            <w:r>
              <w:rPr>
                <w:rFonts w:hint="eastAsia" w:ascii="宋体" w:hAnsi="宋体" w:cs="宋体"/>
                <w:color w:val="auto"/>
                <w:kern w:val="0"/>
                <w:sz w:val="20"/>
                <w:szCs w:val="20"/>
              </w:rPr>
              <w:t>政策性搬迁纳税调整明细表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A105120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800" w:firstLineChars="400"/>
              <w:rPr>
                <w:rFonts w:hint="eastAsia" w:ascii="宋体" w:hAnsi="宋体" w:cs="宋体"/>
                <w:color w:val="auto"/>
                <w:kern w:val="0"/>
                <w:sz w:val="20"/>
                <w:szCs w:val="20"/>
              </w:rPr>
            </w:pPr>
            <w:r>
              <w:rPr>
                <w:rFonts w:hint="eastAsia" w:ascii="宋体" w:hAnsi="宋体" w:cs="宋体"/>
                <w:color w:val="auto"/>
                <w:kern w:val="0"/>
                <w:sz w:val="20"/>
                <w:szCs w:val="20"/>
              </w:rPr>
              <w:t>贷款损失准备金及纳税调整明细表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A106000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400" w:firstLineChars="200"/>
              <w:rPr>
                <w:rFonts w:hint="eastAsia" w:ascii="宋体" w:hAnsi="宋体" w:cs="宋体"/>
                <w:color w:val="auto"/>
                <w:kern w:val="0"/>
                <w:sz w:val="20"/>
                <w:szCs w:val="20"/>
              </w:rPr>
            </w:pPr>
            <w:r>
              <w:rPr>
                <w:rFonts w:hint="eastAsia" w:ascii="宋体" w:hAnsi="宋体" w:cs="宋体"/>
                <w:color w:val="auto"/>
                <w:kern w:val="0"/>
                <w:sz w:val="20"/>
                <w:szCs w:val="20"/>
              </w:rPr>
              <w:t>企业所得税弥补亏损明细表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A107011</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800" w:firstLineChars="400"/>
              <w:rPr>
                <w:rFonts w:hint="eastAsia" w:ascii="宋体" w:hAnsi="宋体" w:cs="宋体"/>
                <w:color w:val="auto"/>
                <w:kern w:val="0"/>
                <w:sz w:val="20"/>
                <w:szCs w:val="20"/>
              </w:rPr>
            </w:pPr>
            <w:r>
              <w:rPr>
                <w:rFonts w:hint="eastAsia" w:ascii="宋体" w:hAnsi="宋体" w:cs="宋体"/>
                <w:color w:val="auto"/>
                <w:kern w:val="0"/>
                <w:sz w:val="20"/>
                <w:szCs w:val="20"/>
              </w:rPr>
              <w:t>符合条件的居民企业之间的股息、红利等权益性投资收益优惠明细表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A107012</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800" w:firstLineChars="400"/>
              <w:rPr>
                <w:rFonts w:hint="eastAsia" w:ascii="宋体" w:hAnsi="宋体" w:cs="宋体"/>
                <w:color w:val="auto"/>
                <w:kern w:val="0"/>
                <w:sz w:val="20"/>
                <w:szCs w:val="20"/>
              </w:rPr>
            </w:pPr>
            <w:r>
              <w:rPr>
                <w:rFonts w:hint="eastAsia" w:ascii="宋体" w:hAnsi="宋体" w:cs="宋体"/>
                <w:color w:val="auto"/>
                <w:kern w:val="0"/>
                <w:sz w:val="20"/>
                <w:szCs w:val="20"/>
              </w:rPr>
              <w:t>研发费用加计扣除优惠明细表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A107020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400" w:firstLineChars="200"/>
              <w:rPr>
                <w:rFonts w:hint="eastAsia" w:ascii="宋体" w:hAnsi="宋体" w:cs="宋体"/>
                <w:color w:val="auto"/>
                <w:kern w:val="0"/>
                <w:sz w:val="20"/>
                <w:szCs w:val="20"/>
              </w:rPr>
            </w:pPr>
            <w:r>
              <w:rPr>
                <w:rFonts w:hint="eastAsia" w:ascii="宋体" w:hAnsi="宋体" w:cs="宋体"/>
                <w:color w:val="auto"/>
                <w:kern w:val="0"/>
                <w:sz w:val="20"/>
                <w:szCs w:val="20"/>
              </w:rPr>
              <w:t>所得减免优惠明细表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A107030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400" w:firstLineChars="200"/>
              <w:rPr>
                <w:rFonts w:hint="eastAsia" w:ascii="宋体" w:hAnsi="宋体" w:cs="宋体"/>
                <w:color w:val="auto"/>
                <w:kern w:val="0"/>
                <w:sz w:val="20"/>
                <w:szCs w:val="20"/>
              </w:rPr>
            </w:pPr>
            <w:r>
              <w:rPr>
                <w:rFonts w:hint="eastAsia" w:ascii="宋体" w:hAnsi="宋体" w:cs="宋体"/>
                <w:color w:val="auto"/>
                <w:kern w:val="0"/>
                <w:sz w:val="20"/>
                <w:szCs w:val="20"/>
              </w:rPr>
              <w:t>抵扣应纳税所得额明细表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A107041</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800" w:firstLineChars="400"/>
              <w:rPr>
                <w:rFonts w:hint="eastAsia" w:ascii="宋体" w:hAnsi="宋体" w:cs="宋体"/>
                <w:color w:val="auto"/>
                <w:kern w:val="0"/>
                <w:sz w:val="20"/>
                <w:szCs w:val="20"/>
              </w:rPr>
            </w:pPr>
            <w:r>
              <w:rPr>
                <w:rFonts w:hint="eastAsia" w:ascii="宋体" w:hAnsi="宋体" w:cs="宋体"/>
                <w:color w:val="auto"/>
                <w:kern w:val="0"/>
                <w:sz w:val="20"/>
                <w:szCs w:val="20"/>
              </w:rPr>
              <w:t>高新技术企业优惠情况及明细表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A107042</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800" w:firstLineChars="400"/>
              <w:rPr>
                <w:rFonts w:hint="eastAsia" w:ascii="宋体" w:hAnsi="宋体" w:cs="宋体"/>
                <w:color w:val="auto"/>
                <w:kern w:val="0"/>
                <w:sz w:val="20"/>
                <w:szCs w:val="20"/>
              </w:rPr>
            </w:pPr>
            <w:r>
              <w:rPr>
                <w:rFonts w:hint="eastAsia" w:ascii="宋体" w:hAnsi="宋体" w:cs="宋体"/>
                <w:color w:val="auto"/>
                <w:kern w:val="0"/>
                <w:sz w:val="20"/>
                <w:szCs w:val="20"/>
              </w:rPr>
              <w:t>软件、集成电路企业优惠情况及明细表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A107050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400" w:firstLineChars="200"/>
              <w:rPr>
                <w:rFonts w:hint="eastAsia" w:ascii="宋体" w:hAnsi="宋体" w:cs="宋体"/>
                <w:color w:val="auto"/>
                <w:kern w:val="0"/>
                <w:sz w:val="20"/>
                <w:szCs w:val="20"/>
              </w:rPr>
            </w:pPr>
            <w:r>
              <w:rPr>
                <w:rFonts w:hint="eastAsia" w:ascii="宋体" w:hAnsi="宋体" w:cs="宋体"/>
                <w:color w:val="auto"/>
                <w:kern w:val="0"/>
                <w:sz w:val="20"/>
                <w:szCs w:val="20"/>
              </w:rPr>
              <w:t>税额抵免优惠明细表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A108000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400" w:firstLineChars="200"/>
              <w:rPr>
                <w:rFonts w:hint="eastAsia" w:ascii="宋体" w:hAnsi="宋体" w:cs="宋体"/>
                <w:color w:val="auto"/>
                <w:kern w:val="0"/>
                <w:sz w:val="20"/>
                <w:szCs w:val="20"/>
              </w:rPr>
            </w:pPr>
            <w:r>
              <w:rPr>
                <w:rFonts w:hint="eastAsia" w:ascii="宋体" w:hAnsi="宋体" w:cs="宋体"/>
                <w:color w:val="auto"/>
                <w:kern w:val="0"/>
                <w:sz w:val="20"/>
                <w:szCs w:val="20"/>
              </w:rPr>
              <w:t>境外所得税收抵免明细表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A108010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800" w:firstLineChars="400"/>
              <w:rPr>
                <w:rFonts w:hint="eastAsia" w:ascii="宋体" w:hAnsi="宋体" w:cs="宋体"/>
                <w:color w:val="auto"/>
                <w:kern w:val="0"/>
                <w:sz w:val="20"/>
                <w:szCs w:val="20"/>
              </w:rPr>
            </w:pPr>
            <w:r>
              <w:rPr>
                <w:rFonts w:hint="eastAsia" w:ascii="宋体" w:hAnsi="宋体" w:cs="宋体"/>
                <w:color w:val="auto"/>
                <w:kern w:val="0"/>
                <w:sz w:val="20"/>
                <w:szCs w:val="20"/>
              </w:rPr>
              <w:t>境外所得纳税调整后所得明细表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A108020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800" w:firstLineChars="400"/>
              <w:rPr>
                <w:rFonts w:hint="eastAsia" w:ascii="宋体" w:hAnsi="宋体" w:cs="宋体"/>
                <w:color w:val="auto"/>
                <w:kern w:val="0"/>
                <w:sz w:val="20"/>
                <w:szCs w:val="20"/>
              </w:rPr>
            </w:pPr>
            <w:r>
              <w:rPr>
                <w:rFonts w:hint="eastAsia" w:ascii="宋体" w:hAnsi="宋体" w:cs="宋体"/>
                <w:color w:val="auto"/>
                <w:kern w:val="0"/>
                <w:sz w:val="20"/>
                <w:szCs w:val="20"/>
              </w:rPr>
              <w:t>境外分支机构弥补亏损明细表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A108030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800" w:firstLineChars="400"/>
              <w:rPr>
                <w:rFonts w:hint="eastAsia" w:ascii="宋体" w:hAnsi="宋体" w:cs="宋体"/>
                <w:color w:val="auto"/>
                <w:kern w:val="0"/>
                <w:sz w:val="20"/>
                <w:szCs w:val="20"/>
              </w:rPr>
            </w:pPr>
            <w:r>
              <w:rPr>
                <w:rFonts w:hint="eastAsia" w:ascii="宋体" w:hAnsi="宋体" w:cs="宋体"/>
                <w:color w:val="auto"/>
                <w:kern w:val="0"/>
                <w:sz w:val="20"/>
                <w:szCs w:val="20"/>
              </w:rPr>
              <w:t>跨年度结转抵免境外所得税明细表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A109000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400" w:firstLineChars="200"/>
              <w:rPr>
                <w:rFonts w:hint="eastAsia" w:ascii="宋体" w:hAnsi="宋体" w:cs="宋体"/>
                <w:color w:val="auto"/>
                <w:kern w:val="0"/>
                <w:sz w:val="20"/>
                <w:szCs w:val="20"/>
              </w:rPr>
            </w:pPr>
            <w:r>
              <w:rPr>
                <w:rFonts w:hint="eastAsia" w:ascii="宋体" w:hAnsi="宋体" w:cs="宋体"/>
                <w:color w:val="auto"/>
                <w:kern w:val="0"/>
                <w:sz w:val="20"/>
                <w:szCs w:val="20"/>
              </w:rPr>
              <w:t>跨地区经营汇总纳税企业年度分摊企业所得税明细表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04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A109010</w:t>
            </w:r>
          </w:p>
        </w:tc>
        <w:tc>
          <w:tcPr>
            <w:tcW w:w="6934" w:type="dxa"/>
            <w:tcBorders>
              <w:top w:val="single" w:color="auto" w:sz="6" w:space="0"/>
              <w:left w:val="single" w:color="auto" w:sz="6" w:space="0"/>
              <w:bottom w:val="single" w:color="auto" w:sz="6" w:space="0"/>
              <w:right w:val="single" w:color="auto" w:sz="6" w:space="0"/>
            </w:tcBorders>
            <w:noWrap w:val="0"/>
            <w:vAlign w:val="center"/>
          </w:tcPr>
          <w:p>
            <w:pPr>
              <w:widowControl/>
              <w:ind w:firstLine="800" w:firstLineChars="400"/>
              <w:jc w:val="left"/>
              <w:rPr>
                <w:rFonts w:hint="eastAsia" w:ascii="宋体" w:hAnsi="宋体" w:cs="宋体"/>
                <w:color w:val="auto"/>
                <w:kern w:val="0"/>
                <w:sz w:val="20"/>
                <w:szCs w:val="20"/>
              </w:rPr>
            </w:pPr>
            <w:r>
              <w:rPr>
                <w:rFonts w:hint="eastAsia" w:ascii="宋体" w:hAnsi="宋体" w:cs="宋体"/>
                <w:color w:val="auto"/>
                <w:kern w:val="0"/>
                <w:sz w:val="20"/>
                <w:szCs w:val="20"/>
              </w:rPr>
              <w:t>企业所得税汇总纳税分支机构所得税分配表</w:t>
            </w:r>
          </w:p>
        </w:tc>
        <w:tc>
          <w:tcPr>
            <w:tcW w:w="1680" w:type="dxa"/>
            <w:tcBorders>
              <w:top w:val="single" w:color="auto" w:sz="6" w:space="0"/>
              <w:left w:val="single" w:color="auto" w:sz="6" w:space="0"/>
              <w:bottom w:val="single" w:color="auto" w:sz="6" w:space="0"/>
              <w:right w:val="single" w:color="auto" w:sz="12" w:space="0"/>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9663" w:type="dxa"/>
            <w:gridSpan w:val="3"/>
            <w:tcBorders>
              <w:top w:val="single" w:color="auto" w:sz="6" w:space="0"/>
              <w:left w:val="single" w:color="auto" w:sz="12" w:space="0"/>
              <w:bottom w:val="single" w:color="auto" w:sz="12" w:space="0"/>
              <w:right w:val="single" w:color="auto" w:sz="12" w:space="0"/>
            </w:tcBorders>
            <w:noWrap w:val="0"/>
            <w:vAlign w:val="center"/>
          </w:tcPr>
          <w:p>
            <w:pPr>
              <w:widowControl/>
              <w:jc w:val="left"/>
              <w:rPr>
                <w:rFonts w:hint="eastAsia" w:ascii="宋体" w:hAnsi="宋体" w:cs="宋体"/>
                <w:color w:val="auto"/>
                <w:kern w:val="0"/>
                <w:sz w:val="20"/>
                <w:szCs w:val="20"/>
              </w:rPr>
            </w:pPr>
            <w:r>
              <w:rPr>
                <w:rFonts w:hint="eastAsia" w:ascii="宋体" w:hAnsi="宋体" w:cs="宋体"/>
                <w:color w:val="auto"/>
                <w:kern w:val="0"/>
                <w:sz w:val="20"/>
                <w:szCs w:val="20"/>
              </w:rPr>
              <w:t>说明：企业应当根据实际情况选择需要填报的表单。</w:t>
            </w:r>
          </w:p>
        </w:tc>
      </w:tr>
    </w:tbl>
    <w:p>
      <w:pPr>
        <w:pStyle w:val="13"/>
        <w:rPr>
          <w:rFonts w:hint="eastAsia"/>
          <w:color w:val="auto"/>
        </w:rPr>
        <w:sectPr>
          <w:footerReference r:id="rId6" w:type="default"/>
          <w:footerReference r:id="rId7" w:type="even"/>
          <w:pgSz w:w="11906" w:h="16838"/>
          <w:pgMar w:top="1985" w:right="1418" w:bottom="1928" w:left="1418" w:header="624" w:footer="794" w:gutter="113"/>
          <w:pgNumType w:fmt="decimal" w:start="1"/>
          <w:cols w:space="720" w:num="1"/>
          <w:docGrid w:linePitch="312" w:charSpace="0"/>
        </w:sectPr>
      </w:pPr>
      <w:bookmarkStart w:id="4" w:name="_Toc24623693"/>
    </w:p>
    <w:p>
      <w:pPr>
        <w:pStyle w:val="13"/>
        <w:rPr>
          <w:rFonts w:hint="eastAsia"/>
          <w:color w:val="auto"/>
        </w:rPr>
      </w:pPr>
      <w:bookmarkStart w:id="5" w:name="_Toc17992"/>
      <w:bookmarkStart w:id="6" w:name="_Toc997585336"/>
      <w:bookmarkStart w:id="7" w:name="_Toc176972041"/>
      <w:r>
        <w:rPr>
          <w:rFonts w:hint="eastAsia"/>
          <w:color w:val="auto"/>
        </w:rPr>
        <w:t>《企业所得税年度纳税申报表填报表单》填报说明</w:t>
      </w:r>
      <w:bookmarkEnd w:id="4"/>
      <w:bookmarkEnd w:id="5"/>
      <w:bookmarkEnd w:id="6"/>
      <w:bookmarkEnd w:id="7"/>
    </w:p>
    <w:p>
      <w:pPr>
        <w:pStyle w:val="12"/>
        <w:ind w:firstLine="480"/>
        <w:rPr>
          <w:rFonts w:hint="eastAsia" w:cs="宋体"/>
          <w:color w:val="auto"/>
        </w:rPr>
      </w:pPr>
      <w:r>
        <w:rPr>
          <w:rFonts w:hint="eastAsia" w:cs="宋体"/>
          <w:color w:val="auto"/>
        </w:rPr>
        <w:t>本表列示申报表全部表单名称及编号。纳税人在填报申报表之前，请仔细阅读这些表单的填报信息，并根据企业的涉税业务，选择“是否填报”。选择“填报”的，在“□”内打“</w:t>
      </w:r>
      <w:r>
        <w:rPr>
          <w:rFonts w:hint="eastAsia" w:cs="宋体"/>
          <w:color w:val="auto"/>
          <w:kern w:val="0"/>
          <w:sz w:val="20"/>
          <w:szCs w:val="20"/>
        </w:rPr>
        <w:t>√”</w:t>
      </w:r>
      <w:r>
        <w:rPr>
          <w:rFonts w:hint="eastAsia" w:cs="宋体"/>
          <w:color w:val="auto"/>
        </w:rPr>
        <w:t>，并完成该表单内容的填报。未选择“填报”的表单，无需向税务机关报送。各表单有关情况如下：</w:t>
      </w:r>
    </w:p>
    <w:p>
      <w:pPr>
        <w:pStyle w:val="12"/>
        <w:ind w:firstLine="480"/>
        <w:rPr>
          <w:rFonts w:hint="eastAsia" w:cs="宋体"/>
          <w:color w:val="auto"/>
        </w:rPr>
      </w:pPr>
      <w:r>
        <w:rPr>
          <w:rFonts w:hint="eastAsia" w:cs="宋体"/>
          <w:color w:val="auto"/>
        </w:rPr>
        <w:t>1.《企业所得税年度纳税申报基础信息表》（A000000）</w:t>
      </w:r>
    </w:p>
    <w:p>
      <w:pPr>
        <w:pStyle w:val="12"/>
        <w:ind w:firstLine="480"/>
        <w:rPr>
          <w:rFonts w:hint="eastAsia" w:cs="宋体"/>
          <w:color w:val="auto"/>
        </w:rPr>
      </w:pPr>
      <w:r>
        <w:rPr>
          <w:rFonts w:hint="eastAsia" w:cs="宋体"/>
          <w:color w:val="auto"/>
        </w:rPr>
        <w:t>本表为必填表，填报内容包括基本经营情况、有关涉税事项情况、主要股东及分红情况三部分。纳税人填报申报表时，首先填报此表，为后续申报提供指引。</w:t>
      </w:r>
    </w:p>
    <w:p>
      <w:pPr>
        <w:pStyle w:val="12"/>
        <w:ind w:firstLine="480"/>
        <w:rPr>
          <w:rFonts w:hint="eastAsia" w:cs="宋体"/>
          <w:color w:val="auto"/>
        </w:rPr>
      </w:pPr>
      <w:r>
        <w:rPr>
          <w:rFonts w:hint="eastAsia" w:cs="宋体"/>
          <w:color w:val="auto"/>
        </w:rPr>
        <w:t>2.《企业所得税年度纳税申报</w:t>
      </w:r>
      <w:r>
        <w:rPr>
          <w:rFonts w:hint="eastAsia" w:cs="宋体"/>
          <w:color w:val="auto"/>
          <w:lang w:val="en-US" w:eastAsia="zh-CN"/>
        </w:rPr>
        <w:t>主表</w:t>
      </w:r>
      <w:r>
        <w:rPr>
          <w:rFonts w:hint="eastAsia" w:cs="宋体"/>
          <w:color w:val="auto"/>
        </w:rPr>
        <w:t>》（A100000）</w:t>
      </w:r>
    </w:p>
    <w:p>
      <w:pPr>
        <w:pStyle w:val="12"/>
        <w:ind w:firstLine="480"/>
        <w:rPr>
          <w:rFonts w:hint="eastAsia" w:cs="宋体"/>
          <w:color w:val="auto"/>
        </w:rPr>
      </w:pPr>
      <w:r>
        <w:rPr>
          <w:rFonts w:hint="eastAsia" w:cs="宋体"/>
          <w:color w:val="auto"/>
        </w:rPr>
        <w:t>本表为必填表，是纳税人计算申报缴纳企业所得税的主表。</w:t>
      </w:r>
    </w:p>
    <w:p>
      <w:pPr>
        <w:pStyle w:val="12"/>
        <w:ind w:firstLine="480"/>
        <w:rPr>
          <w:rFonts w:hint="eastAsia" w:cs="宋体"/>
          <w:color w:val="auto"/>
        </w:rPr>
      </w:pPr>
      <w:r>
        <w:rPr>
          <w:rFonts w:hint="eastAsia" w:cs="宋体"/>
          <w:color w:val="auto"/>
        </w:rPr>
        <w:t>3.《一般企业收入明细表》（A101010）</w:t>
      </w:r>
    </w:p>
    <w:p>
      <w:pPr>
        <w:pStyle w:val="12"/>
        <w:ind w:firstLine="480"/>
        <w:rPr>
          <w:rFonts w:hint="eastAsia" w:cs="宋体"/>
          <w:color w:val="auto"/>
        </w:rPr>
      </w:pPr>
      <w:r>
        <w:rPr>
          <w:rFonts w:hint="eastAsia" w:cs="宋体"/>
          <w:color w:val="auto"/>
        </w:rPr>
        <w:t>本表适用于除金融企业、事业单位和民间非营利组织外的纳税人填报，反映一般企业按照国家统一会计制度规定取得收入情况。</w:t>
      </w:r>
    </w:p>
    <w:p>
      <w:pPr>
        <w:pStyle w:val="12"/>
        <w:ind w:firstLine="480"/>
        <w:rPr>
          <w:rFonts w:hint="eastAsia" w:cs="宋体"/>
          <w:color w:val="auto"/>
        </w:rPr>
      </w:pPr>
      <w:r>
        <w:rPr>
          <w:rFonts w:hint="eastAsia" w:cs="宋体"/>
          <w:color w:val="auto"/>
        </w:rPr>
        <w:t>4.《金融企业收入明细表》（A101020）</w:t>
      </w:r>
    </w:p>
    <w:p>
      <w:pPr>
        <w:pStyle w:val="12"/>
        <w:ind w:firstLine="480"/>
        <w:rPr>
          <w:rFonts w:hint="eastAsia" w:cs="宋体"/>
          <w:color w:val="auto"/>
        </w:rPr>
      </w:pPr>
      <w:r>
        <w:rPr>
          <w:rFonts w:hint="eastAsia" w:cs="宋体"/>
          <w:color w:val="auto"/>
        </w:rPr>
        <w:t>本表仅适用于金融企业（包括银行、信用社、保险公司、证券公司等金融企业）填报，反映金融企业按照企业会计准则规定取得收入情况。</w:t>
      </w:r>
    </w:p>
    <w:p>
      <w:pPr>
        <w:pStyle w:val="12"/>
        <w:ind w:firstLine="480"/>
        <w:rPr>
          <w:rFonts w:hint="eastAsia" w:cs="宋体"/>
          <w:color w:val="auto"/>
        </w:rPr>
      </w:pPr>
      <w:r>
        <w:rPr>
          <w:rFonts w:hint="eastAsia" w:cs="宋体"/>
          <w:color w:val="auto"/>
        </w:rPr>
        <w:t>5.《一般企业成本支出明细表》（A102010）</w:t>
      </w:r>
    </w:p>
    <w:p>
      <w:pPr>
        <w:pStyle w:val="12"/>
        <w:ind w:firstLine="480"/>
        <w:rPr>
          <w:rFonts w:hint="eastAsia" w:cs="宋体"/>
          <w:color w:val="auto"/>
        </w:rPr>
      </w:pPr>
      <w:r>
        <w:rPr>
          <w:rFonts w:hint="eastAsia" w:cs="宋体"/>
          <w:color w:val="auto"/>
        </w:rPr>
        <w:t>本表适用于除金融企业、事业单位和民间非营利组织外的纳税人填报，反映一般企业按照国家统一会计制度规定发生成本支出情况。</w:t>
      </w:r>
    </w:p>
    <w:p>
      <w:pPr>
        <w:pStyle w:val="12"/>
        <w:ind w:firstLine="480"/>
        <w:rPr>
          <w:rFonts w:hint="eastAsia" w:cs="宋体"/>
          <w:color w:val="auto"/>
        </w:rPr>
      </w:pPr>
      <w:r>
        <w:rPr>
          <w:rFonts w:hint="eastAsia" w:cs="宋体"/>
          <w:color w:val="auto"/>
        </w:rPr>
        <w:t>6.《金融企业支出明细表》（A102020）</w:t>
      </w:r>
    </w:p>
    <w:p>
      <w:pPr>
        <w:pStyle w:val="12"/>
        <w:ind w:firstLine="480"/>
        <w:rPr>
          <w:rFonts w:hint="eastAsia" w:cs="宋体"/>
          <w:color w:val="auto"/>
        </w:rPr>
      </w:pPr>
      <w:r>
        <w:rPr>
          <w:rFonts w:hint="eastAsia" w:cs="宋体"/>
          <w:color w:val="auto"/>
        </w:rPr>
        <w:t>本表仅适用于金融企业（包括银行、信用社、保险公司、证券公司等金融企业）填报，反映金融企业按照企业会计准则规定发生支出情况。</w:t>
      </w:r>
    </w:p>
    <w:p>
      <w:pPr>
        <w:pStyle w:val="12"/>
        <w:ind w:firstLine="480"/>
        <w:rPr>
          <w:rFonts w:hint="eastAsia" w:cs="宋体"/>
          <w:color w:val="auto"/>
        </w:rPr>
      </w:pPr>
      <w:r>
        <w:rPr>
          <w:rFonts w:hint="eastAsia" w:cs="宋体"/>
          <w:color w:val="auto"/>
        </w:rPr>
        <w:t>7.《事业单位、民间非营利组织收入、支出明细表》（A103000）</w:t>
      </w:r>
    </w:p>
    <w:p>
      <w:pPr>
        <w:pStyle w:val="12"/>
        <w:ind w:firstLine="480"/>
        <w:rPr>
          <w:rFonts w:hint="eastAsia" w:cs="宋体"/>
          <w:color w:val="auto"/>
        </w:rPr>
      </w:pPr>
      <w:r>
        <w:rPr>
          <w:rFonts w:hint="eastAsia" w:cs="宋体"/>
          <w:color w:val="auto"/>
        </w:rPr>
        <w:t>本表适用于事业单位和民间非营利组织填报，反映事业单位、社会团体、民办非企业单位、非营利组织等按照有关会计制度规定取得收入，发生支出、费用情况。</w:t>
      </w:r>
    </w:p>
    <w:p>
      <w:pPr>
        <w:pStyle w:val="12"/>
        <w:ind w:firstLine="480"/>
        <w:rPr>
          <w:rFonts w:hint="eastAsia" w:cs="宋体"/>
          <w:color w:val="auto"/>
        </w:rPr>
      </w:pPr>
      <w:r>
        <w:rPr>
          <w:rFonts w:hint="eastAsia" w:cs="宋体"/>
          <w:color w:val="auto"/>
        </w:rPr>
        <w:t>8.《期间费用明细表》（A104000）</w:t>
      </w:r>
    </w:p>
    <w:p>
      <w:pPr>
        <w:pStyle w:val="12"/>
        <w:ind w:firstLine="480"/>
        <w:rPr>
          <w:rFonts w:hint="eastAsia" w:cs="宋体"/>
          <w:color w:val="auto"/>
        </w:rPr>
      </w:pPr>
      <w:r>
        <w:rPr>
          <w:rFonts w:hint="eastAsia" w:cs="宋体"/>
          <w:color w:val="auto"/>
        </w:rPr>
        <w:t>本表适用于除事业单位和民间非营利组织外的纳税人填报，反映纳税人根据国家统一会计制度发生的期间费用明细情况。</w:t>
      </w:r>
    </w:p>
    <w:p>
      <w:pPr>
        <w:pStyle w:val="12"/>
        <w:ind w:firstLine="480"/>
        <w:rPr>
          <w:rFonts w:hint="eastAsia" w:cs="宋体"/>
          <w:color w:val="auto"/>
        </w:rPr>
      </w:pPr>
      <w:r>
        <w:rPr>
          <w:rFonts w:hint="eastAsia" w:cs="宋体"/>
          <w:color w:val="auto"/>
        </w:rPr>
        <w:t>9.《纳税调整项目明细表》（A105000）</w:t>
      </w:r>
    </w:p>
    <w:p>
      <w:pPr>
        <w:pStyle w:val="12"/>
        <w:ind w:firstLine="480"/>
        <w:rPr>
          <w:rFonts w:hint="eastAsia" w:cs="宋体"/>
          <w:color w:val="auto"/>
        </w:rPr>
      </w:pPr>
      <w:r>
        <w:rPr>
          <w:rFonts w:hint="eastAsia" w:cs="宋体"/>
          <w:color w:val="auto"/>
        </w:rPr>
        <w:t>本表反映纳税人财务、会计处理办法（以下简称“会计处理”）与税收法律、行政法规的规定（以下简称“税收规定”）不一致，需要进行纳税调整的项目和金额情况。</w:t>
      </w:r>
    </w:p>
    <w:p>
      <w:pPr>
        <w:pStyle w:val="12"/>
        <w:ind w:firstLine="480"/>
        <w:rPr>
          <w:rFonts w:hint="eastAsia" w:cs="宋体"/>
          <w:color w:val="auto"/>
        </w:rPr>
      </w:pPr>
      <w:r>
        <w:rPr>
          <w:rFonts w:hint="eastAsia" w:cs="宋体"/>
          <w:color w:val="auto"/>
        </w:rPr>
        <w:t>10.《视同销售和房地产开发企业特定业务纳税调整明细表》（A105010）</w:t>
      </w:r>
    </w:p>
    <w:p>
      <w:pPr>
        <w:pStyle w:val="12"/>
        <w:ind w:firstLine="480"/>
        <w:rPr>
          <w:rFonts w:hint="eastAsia" w:cs="宋体"/>
          <w:color w:val="auto"/>
        </w:rPr>
      </w:pPr>
      <w:r>
        <w:rPr>
          <w:rFonts w:hint="eastAsia" w:cs="宋体"/>
          <w:color w:val="auto"/>
        </w:rPr>
        <w:t>本表反映纳税人发生视同销售行为、房地产开发企业销售未完工产品、未完工产品转完工产品，会计处理与税收规定不一致，需要进行纳税调整的项目和金额情况。</w:t>
      </w:r>
    </w:p>
    <w:p>
      <w:pPr>
        <w:pStyle w:val="12"/>
        <w:ind w:firstLine="480"/>
        <w:rPr>
          <w:rFonts w:hint="eastAsia" w:cs="宋体"/>
          <w:color w:val="auto"/>
        </w:rPr>
      </w:pPr>
      <w:r>
        <w:rPr>
          <w:rFonts w:hint="eastAsia" w:cs="宋体"/>
          <w:color w:val="auto"/>
        </w:rPr>
        <w:t>11.《未按权责发生制确认收入纳税调整明细表》（A105020）</w:t>
      </w:r>
    </w:p>
    <w:p>
      <w:pPr>
        <w:pStyle w:val="12"/>
        <w:ind w:firstLine="480"/>
        <w:rPr>
          <w:rFonts w:hint="eastAsia" w:cs="宋体"/>
          <w:color w:val="auto"/>
        </w:rPr>
      </w:pPr>
      <w:r>
        <w:rPr>
          <w:rFonts w:hint="eastAsia" w:cs="宋体"/>
          <w:color w:val="auto"/>
        </w:rPr>
        <w:t>本表反映纳税人会计处理按照权责发生制确认收入，而税收规定不按照权责发生制确认收入，需要进行纳税调整的项目和金额情况。</w:t>
      </w:r>
    </w:p>
    <w:p>
      <w:pPr>
        <w:pStyle w:val="12"/>
        <w:ind w:firstLine="480"/>
        <w:rPr>
          <w:rFonts w:hint="eastAsia" w:cs="宋体"/>
          <w:color w:val="auto"/>
        </w:rPr>
      </w:pPr>
      <w:r>
        <w:rPr>
          <w:rFonts w:hint="eastAsia" w:cs="宋体"/>
          <w:color w:val="auto"/>
        </w:rPr>
        <w:t>12.《投资收益纳税调整明细表》（A105030）</w:t>
      </w:r>
    </w:p>
    <w:p>
      <w:pPr>
        <w:pStyle w:val="12"/>
        <w:ind w:firstLine="480"/>
        <w:rPr>
          <w:rFonts w:hint="eastAsia" w:cs="宋体"/>
          <w:color w:val="auto"/>
        </w:rPr>
      </w:pPr>
      <w:r>
        <w:rPr>
          <w:rFonts w:hint="eastAsia" w:cs="宋体"/>
          <w:color w:val="auto"/>
        </w:rPr>
        <w:t>本表反映纳税人发生投资收益，由于会计处理与税收规定不一致，需要进行纳税调整的项目和金额情况。</w:t>
      </w:r>
    </w:p>
    <w:p>
      <w:pPr>
        <w:pStyle w:val="12"/>
        <w:ind w:firstLine="480"/>
        <w:rPr>
          <w:rFonts w:hint="eastAsia" w:cs="宋体"/>
          <w:color w:val="auto"/>
        </w:rPr>
      </w:pPr>
      <w:r>
        <w:rPr>
          <w:rFonts w:hint="eastAsia" w:cs="宋体"/>
          <w:color w:val="auto"/>
        </w:rPr>
        <w:t>13.《专项用途财政性资金纳税调整明细表》（A105040）</w:t>
      </w:r>
    </w:p>
    <w:p>
      <w:pPr>
        <w:pStyle w:val="12"/>
        <w:ind w:firstLine="480"/>
        <w:rPr>
          <w:rFonts w:hint="eastAsia" w:cs="宋体"/>
          <w:color w:val="auto"/>
        </w:rPr>
      </w:pPr>
      <w:r>
        <w:rPr>
          <w:rFonts w:hint="eastAsia" w:cs="宋体"/>
          <w:color w:val="auto"/>
        </w:rPr>
        <w:t>本表反映纳税人取得符合不征税收入条件的专项用途财政性资金，由于会计处理与税收规定不一致，需要进行纳税调整的金额情况。</w:t>
      </w:r>
    </w:p>
    <w:p>
      <w:pPr>
        <w:pStyle w:val="12"/>
        <w:ind w:firstLine="480"/>
        <w:rPr>
          <w:rFonts w:hint="eastAsia" w:cs="宋体"/>
          <w:color w:val="auto"/>
        </w:rPr>
      </w:pPr>
      <w:r>
        <w:rPr>
          <w:rFonts w:hint="eastAsia" w:cs="宋体"/>
          <w:color w:val="auto"/>
        </w:rPr>
        <w:t>14.《职工薪酬支出及纳税调整明细表》（A105050）</w:t>
      </w:r>
    </w:p>
    <w:p>
      <w:pPr>
        <w:pStyle w:val="12"/>
        <w:ind w:firstLine="480"/>
        <w:rPr>
          <w:rFonts w:hint="eastAsia" w:cs="宋体"/>
          <w:color w:val="auto"/>
        </w:rPr>
      </w:pPr>
      <w:r>
        <w:rPr>
          <w:rFonts w:hint="eastAsia" w:cs="宋体"/>
          <w:color w:val="auto"/>
        </w:rPr>
        <w:t>本表反映纳税人发生的职工薪酬（包括工资薪金、职工福利费、职工教育经费、工会经费、各类基本社会保障性缴款、住房公积金、补充养老保险、补充医疗保险等支出）情况，以及由于会计处理与税收规定不一致，需要进行纳税调整的项目和金额情况。纳税人只要发生职工薪酬支出，均需填报本表。</w:t>
      </w:r>
    </w:p>
    <w:p>
      <w:pPr>
        <w:pStyle w:val="12"/>
        <w:ind w:firstLine="480"/>
        <w:rPr>
          <w:rFonts w:hint="eastAsia" w:cs="宋体"/>
          <w:color w:val="auto"/>
        </w:rPr>
      </w:pPr>
      <w:r>
        <w:rPr>
          <w:rFonts w:hint="eastAsia" w:cs="宋体"/>
          <w:color w:val="auto"/>
        </w:rPr>
        <w:t>15.《广告费和业务宣传费等跨年度纳税调整明细表》（A105060）</w:t>
      </w:r>
    </w:p>
    <w:p>
      <w:pPr>
        <w:pStyle w:val="12"/>
        <w:ind w:firstLine="480"/>
        <w:rPr>
          <w:rFonts w:hint="eastAsia" w:cs="宋体"/>
          <w:color w:val="auto"/>
        </w:rPr>
      </w:pPr>
      <w:r>
        <w:rPr>
          <w:rFonts w:hint="eastAsia" w:cs="宋体"/>
          <w:color w:val="auto"/>
        </w:rPr>
        <w:t>本表反映纳税人发生的广告费和业务宣传费支出、保险企业发生的手续费及佣金支出，由于会计处理与税收规定不一致，需要进行纳税调整的金额情况。纳税人以前年度发生广告费和业务宣传费支出、保险企业以前年度发生手续费及佣金支出尚未扣除完毕结转至本年度扣除的，应填报以前年度累计结转情况。</w:t>
      </w:r>
    </w:p>
    <w:p>
      <w:pPr>
        <w:pStyle w:val="12"/>
        <w:ind w:firstLine="480"/>
        <w:rPr>
          <w:rFonts w:hint="eastAsia" w:cs="宋体"/>
          <w:color w:val="auto"/>
        </w:rPr>
      </w:pPr>
      <w:r>
        <w:rPr>
          <w:rFonts w:hint="eastAsia" w:cs="宋体"/>
          <w:color w:val="auto"/>
        </w:rPr>
        <w:t>16.《捐赠支出及纳税调整明细表》（A105070）</w:t>
      </w:r>
    </w:p>
    <w:p>
      <w:pPr>
        <w:pStyle w:val="12"/>
        <w:ind w:firstLine="480"/>
        <w:rPr>
          <w:rFonts w:hint="eastAsia" w:cs="宋体"/>
          <w:color w:val="auto"/>
        </w:rPr>
      </w:pPr>
      <w:r>
        <w:rPr>
          <w:rFonts w:hint="eastAsia" w:cs="宋体"/>
          <w:color w:val="auto"/>
        </w:rPr>
        <w:t>本表反映纳税人发生捐赠支出的情况，以及由于会计处理与税收规定不一致，需要进行纳税调整的项目和金额情况。纳税人发生以前年度捐赠支出未扣除完毕的，应填报以前年度累计结转情况。</w:t>
      </w:r>
    </w:p>
    <w:p>
      <w:pPr>
        <w:pStyle w:val="12"/>
        <w:ind w:firstLine="480"/>
        <w:rPr>
          <w:rFonts w:hint="eastAsia" w:cs="宋体"/>
          <w:color w:val="auto"/>
        </w:rPr>
      </w:pPr>
      <w:r>
        <w:rPr>
          <w:rFonts w:hint="eastAsia" w:cs="宋体"/>
          <w:color w:val="auto"/>
        </w:rPr>
        <w:t>17.《资产折旧、摊销及纳税调整明细表》（A105080）</w:t>
      </w:r>
    </w:p>
    <w:p>
      <w:pPr>
        <w:pStyle w:val="12"/>
        <w:ind w:firstLine="480"/>
        <w:rPr>
          <w:rFonts w:hint="eastAsia" w:cs="宋体"/>
          <w:color w:val="auto"/>
        </w:rPr>
      </w:pPr>
      <w:r>
        <w:rPr>
          <w:rFonts w:hint="eastAsia" w:cs="宋体"/>
          <w:color w:val="auto"/>
        </w:rPr>
        <w:t>本表反映纳税人资产折旧、摊销情况，以及由于会计处理与税收规定不一致，需要进行纳税调整的项目和金额情况。纳税人只要发生资产折旧、摊销，均需填报本表。</w:t>
      </w:r>
    </w:p>
    <w:p>
      <w:pPr>
        <w:pStyle w:val="12"/>
        <w:ind w:firstLine="480"/>
        <w:rPr>
          <w:rFonts w:hint="eastAsia" w:cs="宋体"/>
          <w:color w:val="auto"/>
        </w:rPr>
      </w:pPr>
      <w:r>
        <w:rPr>
          <w:rFonts w:hint="eastAsia" w:cs="宋体"/>
          <w:color w:val="auto"/>
        </w:rPr>
        <w:t>18.《资产损失税前扣除及纳税调整明细表》（A105090）</w:t>
      </w:r>
    </w:p>
    <w:p>
      <w:pPr>
        <w:pStyle w:val="12"/>
        <w:ind w:firstLine="480"/>
        <w:rPr>
          <w:rFonts w:hint="eastAsia" w:cs="宋体"/>
          <w:color w:val="auto"/>
        </w:rPr>
      </w:pPr>
      <w:r>
        <w:rPr>
          <w:rFonts w:hint="eastAsia" w:cs="宋体"/>
          <w:color w:val="auto"/>
        </w:rPr>
        <w:t>本表反映纳税人发生的资产损失的项目及金额情况，以及由于会计处理与税收规定不一致，需要进行纳税调整的项目和金额情况。</w:t>
      </w:r>
    </w:p>
    <w:p>
      <w:pPr>
        <w:pStyle w:val="12"/>
        <w:ind w:firstLine="480"/>
        <w:rPr>
          <w:rFonts w:hint="eastAsia" w:cs="宋体"/>
          <w:color w:val="auto"/>
        </w:rPr>
      </w:pPr>
      <w:r>
        <w:rPr>
          <w:rFonts w:hint="eastAsia" w:cs="宋体"/>
          <w:color w:val="auto"/>
        </w:rPr>
        <w:t>19.《企业重组及递延纳税事项纳税调整明细表》（A105100）</w:t>
      </w:r>
    </w:p>
    <w:p>
      <w:pPr>
        <w:pStyle w:val="12"/>
        <w:ind w:firstLine="480"/>
        <w:rPr>
          <w:rFonts w:hint="eastAsia" w:cs="宋体"/>
          <w:color w:val="auto"/>
        </w:rPr>
      </w:pPr>
      <w:r>
        <w:rPr>
          <w:rFonts w:hint="eastAsia" w:cs="宋体"/>
          <w:color w:val="auto"/>
        </w:rPr>
        <w:t>本表反映纳税人发生企业重组、非货币性资产对外投资、技术入股等业务所涉及的所得或损失情况，以及由于会计处理与税收规定不一致，需要进行纳税调整的项目和金额情况。</w:t>
      </w:r>
    </w:p>
    <w:p>
      <w:pPr>
        <w:pStyle w:val="12"/>
        <w:ind w:firstLine="480"/>
        <w:rPr>
          <w:rFonts w:hint="eastAsia" w:cs="宋体"/>
          <w:color w:val="auto"/>
        </w:rPr>
      </w:pPr>
      <w:r>
        <w:rPr>
          <w:rFonts w:hint="eastAsia" w:cs="宋体"/>
          <w:color w:val="auto"/>
        </w:rPr>
        <w:t>20.《政策性搬迁纳税调整明细表》（A105110）</w:t>
      </w:r>
    </w:p>
    <w:p>
      <w:pPr>
        <w:pStyle w:val="12"/>
        <w:ind w:firstLine="480"/>
        <w:rPr>
          <w:rFonts w:hint="eastAsia" w:cs="宋体"/>
          <w:color w:val="auto"/>
        </w:rPr>
      </w:pPr>
      <w:r>
        <w:rPr>
          <w:rFonts w:hint="eastAsia" w:cs="宋体"/>
          <w:color w:val="auto"/>
        </w:rPr>
        <w:t>本表反映纳税人发生政策性搬迁所涉及的所得或损失，由于会计处理与税收规定不一致，需要进行纳税调整的项目和金额情况。</w:t>
      </w:r>
    </w:p>
    <w:p>
      <w:pPr>
        <w:pStyle w:val="12"/>
        <w:ind w:firstLine="480"/>
        <w:rPr>
          <w:rFonts w:hint="eastAsia" w:cs="宋体"/>
          <w:color w:val="auto"/>
        </w:rPr>
      </w:pPr>
      <w:r>
        <w:rPr>
          <w:rFonts w:hint="eastAsia" w:cs="宋体"/>
          <w:color w:val="auto"/>
        </w:rPr>
        <w:t>21.《贷款损失准备金及纳税调整明细表》（A105120）</w:t>
      </w:r>
    </w:p>
    <w:p>
      <w:pPr>
        <w:pStyle w:val="12"/>
        <w:ind w:firstLine="480"/>
        <w:rPr>
          <w:rFonts w:hint="eastAsia" w:cs="宋体"/>
          <w:color w:val="auto"/>
        </w:rPr>
      </w:pPr>
      <w:r>
        <w:rPr>
          <w:rFonts w:hint="eastAsia" w:cs="宋体"/>
          <w:color w:val="auto"/>
        </w:rPr>
        <w:t>本表反映金融企业、小额贷款公司纳税人发生的贷款损失准备金情况，以及由于会计处理与税收规定不一致，需要进行纳税调整的项目和金额情况。</w:t>
      </w:r>
    </w:p>
    <w:p>
      <w:pPr>
        <w:pStyle w:val="12"/>
        <w:ind w:firstLine="480"/>
        <w:rPr>
          <w:rFonts w:hint="eastAsia" w:cs="宋体"/>
          <w:color w:val="auto"/>
        </w:rPr>
      </w:pPr>
      <w:r>
        <w:rPr>
          <w:rFonts w:hint="eastAsia" w:cs="宋体"/>
          <w:color w:val="auto"/>
        </w:rPr>
        <w:t>22.《企业所得税弥补亏损明细表》（A106000）</w:t>
      </w:r>
    </w:p>
    <w:p>
      <w:pPr>
        <w:pStyle w:val="12"/>
        <w:ind w:firstLine="480"/>
        <w:rPr>
          <w:rFonts w:hint="eastAsia" w:cs="宋体"/>
          <w:color w:val="auto"/>
        </w:rPr>
      </w:pPr>
      <w:r>
        <w:rPr>
          <w:rFonts w:hint="eastAsia" w:cs="宋体"/>
          <w:color w:val="auto"/>
        </w:rPr>
        <w:t>本表反映纳税人以前年度发生的亏损需要在本年度结转弥补的金额，本年度可弥补的金额以及可继续结转以后年度弥补的亏损额情况。</w:t>
      </w:r>
    </w:p>
    <w:p>
      <w:pPr>
        <w:pStyle w:val="12"/>
        <w:ind w:firstLine="480"/>
        <w:rPr>
          <w:rFonts w:hint="eastAsia" w:cs="宋体"/>
          <w:color w:val="auto"/>
        </w:rPr>
      </w:pPr>
      <w:r>
        <w:rPr>
          <w:rFonts w:hint="eastAsia" w:cs="宋体"/>
          <w:color w:val="auto"/>
        </w:rPr>
        <w:t>23.《符合条件的居民企业之间的股息、红利等权益性投资收益优惠明细表》（A107011）</w:t>
      </w:r>
    </w:p>
    <w:p>
      <w:pPr>
        <w:pStyle w:val="12"/>
        <w:ind w:firstLine="480"/>
        <w:rPr>
          <w:rFonts w:hint="eastAsia" w:cs="宋体"/>
          <w:color w:val="auto"/>
        </w:rPr>
      </w:pPr>
      <w:r>
        <w:rPr>
          <w:rFonts w:hint="eastAsia" w:cs="宋体"/>
          <w:color w:val="auto"/>
        </w:rPr>
        <w:t>本表反映纳税人本年度享受居民企业之间的股息、红利等权益性投资收益免税优惠政策的项目和金额情况。</w:t>
      </w:r>
    </w:p>
    <w:p>
      <w:pPr>
        <w:pStyle w:val="12"/>
        <w:ind w:firstLine="480"/>
        <w:rPr>
          <w:rFonts w:hint="eastAsia" w:cs="宋体"/>
          <w:color w:val="auto"/>
        </w:rPr>
      </w:pPr>
      <w:r>
        <w:rPr>
          <w:rFonts w:hint="eastAsia" w:cs="宋体"/>
          <w:color w:val="auto"/>
        </w:rPr>
        <w:t>24.《研发费用加计扣除优惠明细表》（A107012）</w:t>
      </w:r>
    </w:p>
    <w:p>
      <w:pPr>
        <w:pStyle w:val="12"/>
        <w:ind w:firstLine="480"/>
        <w:rPr>
          <w:rFonts w:hint="eastAsia" w:cs="宋体"/>
          <w:color w:val="auto"/>
        </w:rPr>
      </w:pPr>
      <w:r>
        <w:rPr>
          <w:rFonts w:hint="eastAsia" w:cs="宋体"/>
          <w:color w:val="auto"/>
        </w:rPr>
        <w:t>本表反映纳税人享受研发费用加计扣除优惠政策情况。纳税人以前年度有销售研发活动直接形成产品（包括组成部分）对应材料部分未扣减完毕的，应填报以前年度未扣减情况。</w:t>
      </w:r>
    </w:p>
    <w:p>
      <w:pPr>
        <w:pStyle w:val="12"/>
        <w:ind w:firstLine="480"/>
        <w:rPr>
          <w:rFonts w:hint="eastAsia" w:cs="宋体"/>
          <w:color w:val="auto"/>
        </w:rPr>
      </w:pPr>
      <w:r>
        <w:rPr>
          <w:rFonts w:hint="eastAsia" w:cs="宋体"/>
          <w:color w:val="auto"/>
        </w:rPr>
        <w:t>25.《所得减免优惠明细表》（A107020）</w:t>
      </w:r>
    </w:p>
    <w:p>
      <w:pPr>
        <w:pStyle w:val="12"/>
        <w:ind w:firstLine="480"/>
        <w:rPr>
          <w:rFonts w:hint="eastAsia" w:cs="宋体"/>
          <w:color w:val="auto"/>
        </w:rPr>
      </w:pPr>
      <w:r>
        <w:rPr>
          <w:rFonts w:hint="eastAsia" w:cs="宋体"/>
          <w:color w:val="auto"/>
        </w:rPr>
        <w:t>本表反映纳税人本年度享受减免所得额优惠政策（包括农、林、牧、渔项目和国家重点扶持的公共基础设施项目、环境保护、节能节水项目、集成电路生产项目以及符合条件的技术转让项目等）项目和金额情况。</w:t>
      </w:r>
    </w:p>
    <w:p>
      <w:pPr>
        <w:pStyle w:val="12"/>
        <w:ind w:firstLine="480"/>
        <w:rPr>
          <w:rFonts w:hint="eastAsia" w:cs="宋体"/>
          <w:color w:val="auto"/>
        </w:rPr>
      </w:pPr>
      <w:r>
        <w:rPr>
          <w:rFonts w:hint="eastAsia" w:cs="宋体"/>
          <w:color w:val="auto"/>
        </w:rPr>
        <w:t>26.《抵扣应纳税所得额明细表》（A107030）</w:t>
      </w:r>
    </w:p>
    <w:p>
      <w:pPr>
        <w:pStyle w:val="12"/>
        <w:ind w:firstLine="480"/>
        <w:rPr>
          <w:rFonts w:hint="eastAsia" w:cs="宋体"/>
          <w:color w:val="auto"/>
        </w:rPr>
      </w:pPr>
      <w:r>
        <w:rPr>
          <w:rFonts w:hint="eastAsia" w:cs="宋体"/>
          <w:color w:val="auto"/>
        </w:rPr>
        <w:t>本表反映纳税人本年度享受创业投资企业抵扣应纳税所得额优惠政策的项目和金额情况。纳税人有以前年度结转的尚未抵扣的股权投资余额的，应填报以前年度累计结转情况。</w:t>
      </w:r>
    </w:p>
    <w:p>
      <w:pPr>
        <w:pStyle w:val="12"/>
        <w:ind w:firstLine="480"/>
        <w:rPr>
          <w:rFonts w:hint="eastAsia" w:cs="宋体"/>
          <w:color w:val="auto"/>
        </w:rPr>
      </w:pPr>
      <w:r>
        <w:rPr>
          <w:rFonts w:hint="eastAsia" w:cs="宋体"/>
          <w:color w:val="auto"/>
        </w:rPr>
        <w:t>27.《高新技术企业优惠情况及明细表》（A107041）</w:t>
      </w:r>
    </w:p>
    <w:p>
      <w:pPr>
        <w:pStyle w:val="12"/>
        <w:ind w:firstLine="480"/>
        <w:rPr>
          <w:rFonts w:hint="eastAsia" w:cs="宋体"/>
          <w:color w:val="auto"/>
        </w:rPr>
      </w:pPr>
      <w:r>
        <w:rPr>
          <w:rFonts w:hint="eastAsia" w:cs="宋体"/>
          <w:color w:val="auto"/>
        </w:rPr>
        <w:t>本表反映高新技术企业基本情况和享受优惠政策的有关情况。高新技术企业资格证书在有效期内的纳税人需要填报本表。</w:t>
      </w:r>
    </w:p>
    <w:p>
      <w:pPr>
        <w:pStyle w:val="12"/>
        <w:ind w:firstLine="480"/>
        <w:rPr>
          <w:rFonts w:hint="eastAsia" w:cs="宋体"/>
          <w:color w:val="auto"/>
        </w:rPr>
      </w:pPr>
      <w:r>
        <w:rPr>
          <w:rFonts w:hint="eastAsia" w:cs="宋体"/>
          <w:color w:val="auto"/>
        </w:rPr>
        <w:t>28.《软件、集成电路企业优惠情况及明细表》（A107042）</w:t>
      </w:r>
    </w:p>
    <w:p>
      <w:pPr>
        <w:pStyle w:val="12"/>
        <w:ind w:firstLine="480"/>
        <w:rPr>
          <w:rFonts w:hint="eastAsia" w:cs="宋体"/>
          <w:color w:val="auto"/>
        </w:rPr>
      </w:pPr>
      <w:r>
        <w:rPr>
          <w:rFonts w:hint="eastAsia" w:cs="宋体"/>
          <w:color w:val="auto"/>
        </w:rPr>
        <w:t>本表反映纳税人本年度享受软件、集成电路企业优惠政策的有关情况。</w:t>
      </w:r>
    </w:p>
    <w:p>
      <w:pPr>
        <w:pStyle w:val="12"/>
        <w:ind w:firstLine="480"/>
        <w:rPr>
          <w:rFonts w:hint="eastAsia" w:cs="宋体"/>
          <w:color w:val="auto"/>
        </w:rPr>
      </w:pPr>
      <w:r>
        <w:rPr>
          <w:rFonts w:hint="eastAsia" w:cs="宋体"/>
          <w:color w:val="auto"/>
        </w:rPr>
        <w:t>29.《税额抵免优惠明细表》（A107050）</w:t>
      </w:r>
    </w:p>
    <w:p>
      <w:pPr>
        <w:pStyle w:val="12"/>
        <w:ind w:firstLine="480"/>
        <w:rPr>
          <w:rFonts w:hint="eastAsia" w:cs="宋体"/>
          <w:color w:val="auto"/>
        </w:rPr>
      </w:pPr>
      <w:r>
        <w:rPr>
          <w:rFonts w:hint="eastAsia" w:cs="宋体"/>
          <w:color w:val="auto"/>
        </w:rPr>
        <w:t>本表反映纳税人享受专用设备投资额抵免税额优惠政策的项目和金额情况。纳税人有以前年度结转的尚未抵免的专用设备投资额的，应填报以前年度已抵免情况。</w:t>
      </w:r>
    </w:p>
    <w:p>
      <w:pPr>
        <w:pStyle w:val="12"/>
        <w:ind w:firstLine="480"/>
        <w:rPr>
          <w:rFonts w:hint="eastAsia" w:cs="宋体"/>
          <w:color w:val="auto"/>
        </w:rPr>
      </w:pPr>
      <w:r>
        <w:rPr>
          <w:rFonts w:hint="eastAsia" w:cs="宋体"/>
          <w:color w:val="auto"/>
        </w:rPr>
        <w:t>30.《境外所得税收抵免明细表》（A108000）</w:t>
      </w:r>
    </w:p>
    <w:p>
      <w:pPr>
        <w:pStyle w:val="12"/>
        <w:ind w:firstLine="480"/>
        <w:rPr>
          <w:rFonts w:hint="eastAsia" w:cs="宋体"/>
          <w:color w:val="auto"/>
        </w:rPr>
      </w:pPr>
      <w:r>
        <w:rPr>
          <w:rFonts w:hint="eastAsia" w:cs="宋体"/>
          <w:color w:val="auto"/>
        </w:rPr>
        <w:t>本表反映纳税人本年度来源于或发生于其他国家、地区的境外所得，按照我国税收规定计算应缴纳和应抵免的企业所得税额情况。</w:t>
      </w:r>
    </w:p>
    <w:p>
      <w:pPr>
        <w:pStyle w:val="12"/>
        <w:ind w:firstLine="480"/>
        <w:rPr>
          <w:rFonts w:hint="eastAsia" w:cs="宋体"/>
          <w:color w:val="auto"/>
        </w:rPr>
      </w:pPr>
      <w:r>
        <w:rPr>
          <w:rFonts w:hint="eastAsia" w:cs="宋体"/>
          <w:color w:val="auto"/>
        </w:rPr>
        <w:t>31.《境外所得纳税调整后所得明细表》（A108010）</w:t>
      </w:r>
    </w:p>
    <w:p>
      <w:pPr>
        <w:pStyle w:val="12"/>
        <w:ind w:firstLine="480"/>
        <w:rPr>
          <w:rFonts w:hint="eastAsia" w:cs="宋体"/>
          <w:color w:val="auto"/>
        </w:rPr>
      </w:pPr>
      <w:r>
        <w:rPr>
          <w:rFonts w:hint="eastAsia" w:cs="宋体"/>
          <w:color w:val="auto"/>
        </w:rPr>
        <w:t>本表反映纳税人本年度来源于或发生于其他国家、地区的境外所得，按照我国税收规定计算调整后的所得情况。</w:t>
      </w:r>
    </w:p>
    <w:p>
      <w:pPr>
        <w:pStyle w:val="12"/>
        <w:ind w:firstLine="480"/>
        <w:rPr>
          <w:rFonts w:hint="eastAsia" w:cs="宋体"/>
          <w:color w:val="auto"/>
        </w:rPr>
      </w:pPr>
      <w:r>
        <w:rPr>
          <w:rFonts w:hint="eastAsia" w:cs="宋体"/>
          <w:color w:val="auto"/>
        </w:rPr>
        <w:t>32.《境外分支机构弥补亏损明细表》（A108020）</w:t>
      </w:r>
    </w:p>
    <w:p>
      <w:pPr>
        <w:pStyle w:val="12"/>
        <w:ind w:firstLine="480"/>
        <w:rPr>
          <w:rFonts w:hint="eastAsia" w:cs="宋体"/>
          <w:color w:val="auto"/>
        </w:rPr>
      </w:pPr>
      <w:r>
        <w:rPr>
          <w:rFonts w:hint="eastAsia" w:cs="宋体"/>
          <w:color w:val="auto"/>
        </w:rPr>
        <w:t>本表反映纳税人境外分支机构本年度及以前年度发生的税前尚未弥补的非实际亏损额和实际亏损额、结转以后年度弥补的非实际亏损额和实际亏损额情况。</w:t>
      </w:r>
    </w:p>
    <w:p>
      <w:pPr>
        <w:pStyle w:val="12"/>
        <w:ind w:firstLine="480"/>
        <w:rPr>
          <w:rFonts w:hint="eastAsia" w:cs="宋体"/>
          <w:color w:val="auto"/>
        </w:rPr>
      </w:pPr>
      <w:r>
        <w:rPr>
          <w:rFonts w:hint="eastAsia" w:cs="宋体"/>
          <w:color w:val="auto"/>
        </w:rPr>
        <w:t>33.《跨年度结转抵免境外所得税明细表》（A108030）</w:t>
      </w:r>
    </w:p>
    <w:p>
      <w:pPr>
        <w:pStyle w:val="12"/>
        <w:ind w:firstLine="480"/>
        <w:rPr>
          <w:rFonts w:hint="eastAsia" w:cs="宋体"/>
          <w:color w:val="auto"/>
        </w:rPr>
      </w:pPr>
      <w:r>
        <w:rPr>
          <w:rFonts w:hint="eastAsia" w:cs="宋体"/>
          <w:color w:val="auto"/>
        </w:rPr>
        <w:t>本表反映纳税人本年度来源于或发生于其他国家或地区的境外所得按照我国税收规定可以抵免的所得税额情况。</w:t>
      </w:r>
    </w:p>
    <w:p>
      <w:pPr>
        <w:pStyle w:val="12"/>
        <w:ind w:firstLine="480"/>
        <w:rPr>
          <w:rFonts w:hint="eastAsia" w:cs="宋体"/>
          <w:color w:val="auto"/>
        </w:rPr>
      </w:pPr>
      <w:r>
        <w:rPr>
          <w:rFonts w:hint="eastAsia" w:cs="宋体"/>
          <w:color w:val="auto"/>
        </w:rPr>
        <w:t>34.《跨地区经营汇总纳税企业年度分摊企业所得税明细表》（A109000）</w:t>
      </w:r>
    </w:p>
    <w:p>
      <w:pPr>
        <w:pStyle w:val="12"/>
        <w:ind w:firstLine="480"/>
        <w:rPr>
          <w:rFonts w:hint="eastAsia" w:cs="宋体"/>
          <w:color w:val="auto"/>
        </w:rPr>
      </w:pPr>
      <w:r>
        <w:rPr>
          <w:rFonts w:hint="eastAsia" w:cs="宋体"/>
          <w:color w:val="auto"/>
        </w:rPr>
        <w:t>本表适用于跨地区经营汇总纳税企业的总机构填报，反映按照规定计算的总机构、分支机构本年度应缴的企业所得税情况，以及总机构、分支机构应分摊的企业所得税情况。</w:t>
      </w:r>
    </w:p>
    <w:p>
      <w:pPr>
        <w:pStyle w:val="12"/>
        <w:ind w:firstLine="480"/>
        <w:rPr>
          <w:rFonts w:hint="eastAsia" w:cs="宋体"/>
          <w:color w:val="auto"/>
        </w:rPr>
      </w:pPr>
      <w:r>
        <w:rPr>
          <w:rFonts w:hint="eastAsia" w:cs="宋体"/>
          <w:color w:val="auto"/>
        </w:rPr>
        <w:t>35.《企业所得税汇总纳税分支机构所得税分配表》（A109010）</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本表适用于跨地区经营汇总纳税企业的总机构填报，反映总机构本年度实际应纳所得税额以及所属分支机构本年度应分摊的所得税额情况。</w:t>
      </w:r>
    </w:p>
    <w:p>
      <w:pPr>
        <w:widowControl/>
        <w:jc w:val="left"/>
        <w:rPr>
          <w:rFonts w:hint="eastAsia" w:ascii="宋体" w:hAnsi="宋体" w:cs="宋体"/>
          <w:color w:val="auto"/>
          <w:sz w:val="24"/>
        </w:rPr>
        <w:sectPr>
          <w:footerReference r:id="rId8" w:type="default"/>
          <w:pgSz w:w="11906" w:h="16838"/>
          <w:pgMar w:top="1440" w:right="1800" w:bottom="1440" w:left="1800" w:header="851" w:footer="992" w:gutter="0"/>
          <w:pgNumType w:fmt="decimal"/>
          <w:cols w:space="720" w:num="1"/>
          <w:docGrid w:type="lines" w:linePitch="312" w:charSpace="0"/>
        </w:sectPr>
      </w:pPr>
    </w:p>
    <w:p>
      <w:pPr>
        <w:pStyle w:val="13"/>
        <w:widowControl/>
        <w:jc w:val="both"/>
        <w:rPr>
          <w:rFonts w:hint="eastAsia" w:ascii="方正小标宋_GBK" w:hAnsi="方正小标宋_GBK" w:eastAsia="方正小标宋_GBK" w:cs="方正小标宋_GBK"/>
          <w:color w:val="auto"/>
        </w:rPr>
      </w:pPr>
      <w:bookmarkStart w:id="8" w:name="_Toc11271"/>
      <w:bookmarkStart w:id="9" w:name="_Toc28877"/>
      <w:bookmarkStart w:id="10" w:name="_Toc12335"/>
      <w:bookmarkStart w:id="11" w:name="_Toc29283"/>
      <w:bookmarkStart w:id="12" w:name="_Toc19826"/>
      <w:bookmarkStart w:id="13" w:name="_Toc16081"/>
      <w:bookmarkStart w:id="14" w:name="_Toc176972042"/>
      <w:bookmarkStart w:id="15" w:name="_Toc1922398481"/>
      <w:r>
        <w:rPr>
          <w:rFonts w:hint="eastAsia" w:ascii="方正小标宋_GBK" w:hAnsi="方正小标宋_GBK" w:eastAsia="方正小标宋_GBK" w:cs="方正小标宋_GBK"/>
          <w:color w:val="auto"/>
        </w:rPr>
        <w:t>A100000</w:t>
      </w:r>
      <w:r>
        <w:rPr>
          <w:color w:val="auto"/>
        </w:rPr>
        <w:tab/>
      </w:r>
      <w:r>
        <w:rPr>
          <w:rFonts w:hint="eastAsia" w:ascii="方正小标宋_GBK" w:hAnsi="方正小标宋_GBK" w:eastAsia="方正小标宋_GBK" w:cs="方正小标宋_GBK"/>
          <w:color w:val="auto"/>
        </w:rPr>
        <w:t>企业所得税年度纳税申报主表</w:t>
      </w:r>
      <w:bookmarkEnd w:id="8"/>
      <w:bookmarkEnd w:id="9"/>
      <w:bookmarkEnd w:id="10"/>
      <w:bookmarkEnd w:id="11"/>
      <w:bookmarkEnd w:id="12"/>
      <w:bookmarkEnd w:id="13"/>
      <w:bookmarkEnd w:id="14"/>
      <w:bookmarkEnd w:id="15"/>
    </w:p>
    <w:tbl>
      <w:tblPr>
        <w:tblStyle w:val="7"/>
        <w:tblW w:w="10050"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20"/>
        <w:gridCol w:w="620"/>
        <w:gridCol w:w="7392"/>
        <w:gridCol w:w="1418"/>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b/>
                <w:bCs/>
                <w:color w:val="auto"/>
                <w:kern w:val="0"/>
                <w:sz w:val="20"/>
                <w:szCs w:val="20"/>
              </w:rPr>
            </w:pPr>
            <w:r>
              <w:rPr>
                <w:rFonts w:hint="eastAsia" w:ascii="宋体" w:hAnsi="宋体"/>
                <w:b/>
                <w:bCs/>
                <w:color w:val="auto"/>
                <w:kern w:val="0"/>
                <w:sz w:val="20"/>
                <w:szCs w:val="20"/>
              </w:rPr>
              <w:t>行次</w:t>
            </w:r>
          </w:p>
        </w:tc>
        <w:tc>
          <w:tcPr>
            <w:tcW w:w="620" w:type="dxa"/>
            <w:noWrap w:val="0"/>
            <w:vAlign w:val="center"/>
          </w:tcPr>
          <w:p>
            <w:pPr>
              <w:widowControl/>
              <w:spacing w:line="240" w:lineRule="exact"/>
              <w:jc w:val="center"/>
              <w:rPr>
                <w:rFonts w:hint="eastAsia" w:ascii="宋体" w:hAnsi="宋体"/>
                <w:b/>
                <w:bCs/>
                <w:color w:val="auto"/>
                <w:kern w:val="0"/>
                <w:sz w:val="20"/>
                <w:szCs w:val="20"/>
              </w:rPr>
            </w:pPr>
            <w:r>
              <w:rPr>
                <w:rFonts w:hint="eastAsia" w:ascii="宋体" w:hAnsi="宋体"/>
                <w:b/>
                <w:bCs/>
                <w:color w:val="auto"/>
                <w:kern w:val="0"/>
                <w:sz w:val="20"/>
                <w:szCs w:val="20"/>
              </w:rPr>
              <w:t>类别</w:t>
            </w:r>
          </w:p>
        </w:tc>
        <w:tc>
          <w:tcPr>
            <w:tcW w:w="7392" w:type="dxa"/>
            <w:noWrap w:val="0"/>
            <w:vAlign w:val="center"/>
          </w:tcPr>
          <w:p>
            <w:pPr>
              <w:widowControl/>
              <w:spacing w:line="240" w:lineRule="exact"/>
              <w:jc w:val="center"/>
              <w:rPr>
                <w:rFonts w:hint="eastAsia" w:ascii="宋体" w:hAnsi="宋体"/>
                <w:b/>
                <w:bCs/>
                <w:color w:val="auto"/>
                <w:kern w:val="0"/>
                <w:sz w:val="20"/>
                <w:szCs w:val="20"/>
              </w:rPr>
            </w:pPr>
            <w:r>
              <w:rPr>
                <w:rFonts w:hint="eastAsia" w:ascii="宋体" w:hAnsi="宋体"/>
                <w:b/>
                <w:bCs/>
                <w:color w:val="auto"/>
                <w:kern w:val="0"/>
                <w:sz w:val="20"/>
                <w:szCs w:val="20"/>
              </w:rPr>
              <w:t>项</w:t>
            </w:r>
            <w:r>
              <w:rPr>
                <w:rFonts w:ascii="宋体" w:hAnsi="宋体"/>
                <w:b/>
                <w:bCs/>
                <w:color w:val="auto"/>
                <w:kern w:val="0"/>
                <w:sz w:val="20"/>
                <w:szCs w:val="20"/>
              </w:rPr>
              <w:t xml:space="preserve">        </w:t>
            </w:r>
            <w:r>
              <w:rPr>
                <w:rFonts w:hint="eastAsia" w:ascii="宋体" w:hAnsi="宋体"/>
                <w:b/>
                <w:bCs/>
                <w:color w:val="auto"/>
                <w:kern w:val="0"/>
                <w:sz w:val="20"/>
                <w:szCs w:val="20"/>
              </w:rPr>
              <w:t>目</w:t>
            </w:r>
          </w:p>
        </w:tc>
        <w:tc>
          <w:tcPr>
            <w:tcW w:w="1418" w:type="dxa"/>
            <w:noWrap w:val="0"/>
            <w:vAlign w:val="center"/>
          </w:tcPr>
          <w:p>
            <w:pPr>
              <w:widowControl/>
              <w:spacing w:line="240" w:lineRule="exact"/>
              <w:jc w:val="center"/>
              <w:rPr>
                <w:rFonts w:hint="eastAsia" w:ascii="宋体" w:hAnsi="宋体"/>
                <w:b/>
                <w:bCs/>
                <w:color w:val="auto"/>
                <w:kern w:val="0"/>
                <w:sz w:val="20"/>
                <w:szCs w:val="20"/>
              </w:rPr>
            </w:pPr>
            <w:r>
              <w:rPr>
                <w:rFonts w:hint="eastAsia" w:ascii="宋体" w:hAnsi="宋体"/>
                <w:b/>
                <w:bCs/>
                <w:color w:val="auto"/>
                <w:kern w:val="0"/>
                <w:sz w:val="20"/>
                <w:szCs w:val="20"/>
              </w:rPr>
              <w:t>金</w:t>
            </w:r>
            <w:r>
              <w:rPr>
                <w:rFonts w:ascii="宋体" w:hAnsi="宋体"/>
                <w:b/>
                <w:bCs/>
                <w:color w:val="auto"/>
                <w:kern w:val="0"/>
                <w:sz w:val="20"/>
                <w:szCs w:val="20"/>
              </w:rPr>
              <w:t xml:space="preserve">    </w:t>
            </w:r>
            <w:r>
              <w:rPr>
                <w:rFonts w:hint="eastAsia" w:ascii="宋体" w:hAnsi="宋体"/>
                <w:b/>
                <w:bCs/>
                <w:color w:val="auto"/>
                <w:kern w:val="0"/>
                <w:sz w:val="20"/>
                <w:szCs w:val="20"/>
              </w:rPr>
              <w:t>额</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1</w:t>
            </w:r>
          </w:p>
        </w:tc>
        <w:tc>
          <w:tcPr>
            <w:tcW w:w="620" w:type="dxa"/>
            <w:vMerge w:val="restart"/>
            <w:noWrap w:val="0"/>
            <w:vAlign w:val="center"/>
          </w:tcPr>
          <w:p>
            <w:pPr>
              <w:widowControl/>
              <w:spacing w:line="240" w:lineRule="exact"/>
              <w:jc w:val="center"/>
              <w:rPr>
                <w:rFonts w:hint="eastAsia" w:ascii="宋体" w:hAnsi="宋体"/>
                <w:color w:val="auto"/>
                <w:kern w:val="0"/>
                <w:sz w:val="20"/>
                <w:szCs w:val="20"/>
              </w:rPr>
            </w:pPr>
            <w:r>
              <w:rPr>
                <w:rFonts w:hint="eastAsia" w:ascii="宋体" w:hAnsi="宋体"/>
                <w:color w:val="auto"/>
                <w:kern w:val="0"/>
                <w:sz w:val="20"/>
                <w:szCs w:val="20"/>
              </w:rPr>
              <w:t>利润总额计算</w:t>
            </w:r>
          </w:p>
        </w:tc>
        <w:tc>
          <w:tcPr>
            <w:tcW w:w="7392" w:type="dxa"/>
            <w:noWrap w:val="0"/>
            <w:vAlign w:val="center"/>
          </w:tcPr>
          <w:p>
            <w:pPr>
              <w:widowControl/>
              <w:spacing w:line="240" w:lineRule="exact"/>
              <w:jc w:val="left"/>
              <w:rPr>
                <w:rFonts w:hint="eastAsia" w:ascii="宋体" w:hAnsi="宋体" w:eastAsia="宋体"/>
                <w:color w:val="auto"/>
                <w:kern w:val="0"/>
                <w:sz w:val="20"/>
                <w:szCs w:val="20"/>
              </w:rPr>
            </w:pPr>
            <w:r>
              <w:rPr>
                <w:rFonts w:hint="eastAsia" w:ascii="宋体" w:hAnsi="宋体"/>
                <w:color w:val="auto"/>
                <w:kern w:val="0"/>
                <w:sz w:val="20"/>
                <w:szCs w:val="20"/>
              </w:rPr>
              <w:t>一、营业收入（填写</w:t>
            </w:r>
            <w:r>
              <w:rPr>
                <w:rFonts w:ascii="宋体" w:hAnsi="宋体"/>
                <w:color w:val="auto"/>
                <w:kern w:val="0"/>
                <w:sz w:val="20"/>
                <w:szCs w:val="20"/>
              </w:rPr>
              <w:t>A1010</w:t>
            </w:r>
            <w:r>
              <w:rPr>
                <w:rFonts w:hint="eastAsia" w:ascii="宋体" w:hAnsi="宋体"/>
                <w:color w:val="auto"/>
                <w:kern w:val="0"/>
                <w:sz w:val="20"/>
                <w:szCs w:val="20"/>
              </w:rPr>
              <w:t>1</w:t>
            </w:r>
            <w:r>
              <w:rPr>
                <w:rFonts w:ascii="宋体" w:hAnsi="宋体"/>
                <w:color w:val="auto"/>
                <w:kern w:val="0"/>
                <w:sz w:val="20"/>
                <w:szCs w:val="20"/>
              </w:rPr>
              <w:t>0</w:t>
            </w:r>
            <w:r>
              <w:rPr>
                <w:rFonts w:hint="eastAsia" w:ascii="宋体" w:hAnsi="宋体"/>
                <w:color w:val="auto"/>
                <w:kern w:val="0"/>
                <w:sz w:val="20"/>
                <w:szCs w:val="20"/>
              </w:rPr>
              <w:t>/</w:t>
            </w:r>
            <w:r>
              <w:rPr>
                <w:rFonts w:ascii="宋体" w:hAnsi="宋体"/>
                <w:color w:val="auto"/>
                <w:kern w:val="0"/>
                <w:sz w:val="20"/>
                <w:szCs w:val="20"/>
              </w:rPr>
              <w:t>1010</w:t>
            </w:r>
            <w:r>
              <w:rPr>
                <w:rFonts w:hint="eastAsia" w:ascii="宋体" w:hAnsi="宋体"/>
                <w:color w:val="auto"/>
                <w:kern w:val="0"/>
                <w:sz w:val="20"/>
                <w:szCs w:val="20"/>
              </w:rPr>
              <w:t>2</w:t>
            </w:r>
            <w:r>
              <w:rPr>
                <w:rFonts w:ascii="宋体" w:hAnsi="宋体"/>
                <w:color w:val="auto"/>
                <w:kern w:val="0"/>
                <w:sz w:val="20"/>
                <w:szCs w:val="20"/>
              </w:rPr>
              <w:t>0</w:t>
            </w:r>
            <w:r>
              <w:rPr>
                <w:rFonts w:hint="eastAsia" w:ascii="宋体" w:hAnsi="宋体"/>
                <w:color w:val="auto"/>
                <w:kern w:val="0"/>
                <w:sz w:val="20"/>
                <w:szCs w:val="20"/>
              </w:rPr>
              <w:t>/</w:t>
            </w:r>
            <w:r>
              <w:rPr>
                <w:rFonts w:ascii="宋体" w:hAnsi="宋体"/>
                <w:color w:val="auto"/>
                <w:kern w:val="0"/>
                <w:sz w:val="20"/>
                <w:szCs w:val="20"/>
              </w:rPr>
              <w:t>103000</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减：营业成本（填写</w:t>
            </w:r>
            <w:r>
              <w:rPr>
                <w:rFonts w:ascii="宋体" w:hAnsi="宋体"/>
                <w:color w:val="auto"/>
                <w:kern w:val="0"/>
                <w:sz w:val="20"/>
                <w:szCs w:val="20"/>
              </w:rPr>
              <w:t>A1020</w:t>
            </w:r>
            <w:r>
              <w:rPr>
                <w:rFonts w:hint="eastAsia" w:ascii="宋体" w:hAnsi="宋体"/>
                <w:color w:val="auto"/>
                <w:kern w:val="0"/>
                <w:sz w:val="20"/>
                <w:szCs w:val="20"/>
              </w:rPr>
              <w:t>1</w:t>
            </w:r>
            <w:r>
              <w:rPr>
                <w:rFonts w:ascii="宋体" w:hAnsi="宋体"/>
                <w:color w:val="auto"/>
                <w:kern w:val="0"/>
                <w:sz w:val="20"/>
                <w:szCs w:val="20"/>
              </w:rPr>
              <w:t>0</w:t>
            </w:r>
            <w:r>
              <w:rPr>
                <w:rFonts w:hint="eastAsia" w:ascii="宋体" w:hAnsi="宋体"/>
                <w:color w:val="auto"/>
                <w:kern w:val="0"/>
                <w:sz w:val="20"/>
                <w:szCs w:val="20"/>
              </w:rPr>
              <w:t>/</w:t>
            </w:r>
            <w:r>
              <w:rPr>
                <w:rFonts w:ascii="宋体" w:hAnsi="宋体"/>
                <w:color w:val="auto"/>
                <w:kern w:val="0"/>
                <w:sz w:val="20"/>
                <w:szCs w:val="20"/>
              </w:rPr>
              <w:t>1020</w:t>
            </w:r>
            <w:r>
              <w:rPr>
                <w:rFonts w:hint="eastAsia" w:ascii="宋体" w:hAnsi="宋体"/>
                <w:color w:val="auto"/>
                <w:kern w:val="0"/>
                <w:sz w:val="20"/>
                <w:szCs w:val="20"/>
              </w:rPr>
              <w:t>2</w:t>
            </w:r>
            <w:r>
              <w:rPr>
                <w:rFonts w:ascii="宋体" w:hAnsi="宋体"/>
                <w:color w:val="auto"/>
                <w:kern w:val="0"/>
                <w:sz w:val="20"/>
                <w:szCs w:val="20"/>
              </w:rPr>
              <w:t>0</w:t>
            </w:r>
            <w:r>
              <w:rPr>
                <w:rFonts w:hint="eastAsia" w:ascii="宋体" w:hAnsi="宋体"/>
                <w:color w:val="auto"/>
                <w:kern w:val="0"/>
                <w:sz w:val="20"/>
                <w:szCs w:val="20"/>
              </w:rPr>
              <w:t>/</w:t>
            </w:r>
            <w:r>
              <w:rPr>
                <w:rFonts w:ascii="宋体" w:hAnsi="宋体"/>
                <w:color w:val="auto"/>
                <w:kern w:val="0"/>
                <w:sz w:val="20"/>
                <w:szCs w:val="20"/>
              </w:rPr>
              <w:t>103000</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color w:val="auto"/>
                <w:kern w:val="0"/>
                <w:sz w:val="20"/>
                <w:szCs w:val="20"/>
              </w:rPr>
            </w:pPr>
            <w:r>
              <w:rPr>
                <w:rFonts w:hint="eastAsia" w:ascii="宋体" w:hAnsi="宋体"/>
                <w:color w:val="auto"/>
                <w:kern w:val="0"/>
                <w:sz w:val="20"/>
                <w:szCs w:val="20"/>
              </w:rPr>
              <w:t>减：税金及附加</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4</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减：销售费用（填写</w:t>
            </w:r>
            <w:r>
              <w:rPr>
                <w:rFonts w:ascii="宋体" w:hAnsi="宋体"/>
                <w:color w:val="auto"/>
                <w:kern w:val="0"/>
                <w:sz w:val="20"/>
                <w:szCs w:val="20"/>
              </w:rPr>
              <w:t>A104000</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5</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减：管理费用（填写</w:t>
            </w:r>
            <w:r>
              <w:rPr>
                <w:rFonts w:ascii="宋体" w:hAnsi="宋体"/>
                <w:color w:val="auto"/>
                <w:kern w:val="0"/>
                <w:sz w:val="20"/>
                <w:szCs w:val="20"/>
              </w:rPr>
              <w:t>A104000</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6</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减：研发费用（填写</w:t>
            </w:r>
            <w:r>
              <w:rPr>
                <w:rFonts w:ascii="宋体" w:hAnsi="宋体"/>
                <w:color w:val="auto"/>
                <w:kern w:val="0"/>
                <w:sz w:val="20"/>
                <w:szCs w:val="20"/>
              </w:rPr>
              <w:t>A104000</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7</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减：财务费用（填写</w:t>
            </w:r>
            <w:r>
              <w:rPr>
                <w:rFonts w:ascii="宋体" w:hAnsi="宋体"/>
                <w:color w:val="auto"/>
                <w:kern w:val="0"/>
                <w:sz w:val="20"/>
                <w:szCs w:val="20"/>
              </w:rPr>
              <w:t>A104000</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8</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color w:val="auto"/>
                <w:kern w:val="0"/>
                <w:sz w:val="20"/>
                <w:szCs w:val="20"/>
              </w:rPr>
            </w:pPr>
            <w:r>
              <w:rPr>
                <w:rFonts w:hint="eastAsia" w:ascii="宋体" w:hAnsi="宋体"/>
                <w:color w:val="auto"/>
                <w:kern w:val="0"/>
                <w:sz w:val="20"/>
                <w:szCs w:val="20"/>
              </w:rPr>
              <w:t>加：其他收益</w:t>
            </w:r>
          </w:p>
        </w:tc>
        <w:tc>
          <w:tcPr>
            <w:tcW w:w="1418" w:type="dxa"/>
            <w:noWrap w:val="0"/>
            <w:vAlign w:val="center"/>
          </w:tcPr>
          <w:p>
            <w:pPr>
              <w:widowControl/>
              <w:spacing w:line="240" w:lineRule="exact"/>
              <w:jc w:val="right"/>
              <w:rPr>
                <w:rFonts w:hint="eastAsia" w:ascii="宋体" w:hAns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27"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9</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color w:val="auto"/>
                <w:kern w:val="0"/>
                <w:sz w:val="20"/>
                <w:szCs w:val="20"/>
              </w:rPr>
            </w:pPr>
            <w:r>
              <w:rPr>
                <w:rFonts w:hint="eastAsia" w:ascii="宋体" w:hAnsi="宋体"/>
                <w:color w:val="auto"/>
                <w:kern w:val="0"/>
                <w:sz w:val="20"/>
                <w:szCs w:val="20"/>
              </w:rPr>
              <w:t>加：投资收益（损失以‘－’号填列）</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10</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color w:val="auto"/>
                <w:kern w:val="0"/>
                <w:sz w:val="20"/>
                <w:szCs w:val="20"/>
              </w:rPr>
            </w:pPr>
            <w:r>
              <w:rPr>
                <w:rFonts w:hint="eastAsia" w:ascii="宋体" w:hAnsi="宋体"/>
                <w:color w:val="auto"/>
                <w:kern w:val="0"/>
                <w:sz w:val="20"/>
                <w:szCs w:val="20"/>
              </w:rPr>
              <w:t>加：净敞口套期收益（损失以‘－’号填列）</w:t>
            </w:r>
          </w:p>
        </w:tc>
        <w:tc>
          <w:tcPr>
            <w:tcW w:w="1418" w:type="dxa"/>
            <w:noWrap w:val="0"/>
            <w:vAlign w:val="center"/>
          </w:tcPr>
          <w:p>
            <w:pPr>
              <w:widowControl/>
              <w:spacing w:line="240" w:lineRule="exact"/>
              <w:jc w:val="right"/>
              <w:rPr>
                <w:rFonts w:hint="eastAsia" w:ascii="宋体" w:hAns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11</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color w:val="auto"/>
                <w:kern w:val="0"/>
                <w:sz w:val="20"/>
                <w:szCs w:val="20"/>
              </w:rPr>
            </w:pPr>
            <w:r>
              <w:rPr>
                <w:rFonts w:hint="eastAsia" w:ascii="宋体" w:hAnsi="宋体"/>
                <w:color w:val="auto"/>
                <w:kern w:val="0"/>
                <w:sz w:val="20"/>
                <w:szCs w:val="20"/>
              </w:rPr>
              <w:t>加：公允价值变动收益（损失以‘－’号填列）</w:t>
            </w:r>
          </w:p>
        </w:tc>
        <w:tc>
          <w:tcPr>
            <w:tcW w:w="1418" w:type="dxa"/>
            <w:noWrap w:val="0"/>
            <w:vAlign w:val="center"/>
          </w:tcPr>
          <w:p>
            <w:pPr>
              <w:widowControl/>
              <w:spacing w:line="240" w:lineRule="exact"/>
              <w:jc w:val="right"/>
              <w:rPr>
                <w:rFonts w:hint="eastAsia" w:ascii="宋体" w:hAns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12</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加：信用减值损失（损失以‘－’号填列）</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13</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加：资产减值损失（损失以‘－’号填列）</w:t>
            </w:r>
          </w:p>
        </w:tc>
        <w:tc>
          <w:tcPr>
            <w:tcW w:w="1418" w:type="dxa"/>
            <w:noWrap w:val="0"/>
            <w:vAlign w:val="center"/>
          </w:tcPr>
          <w:p>
            <w:pPr>
              <w:widowControl/>
              <w:spacing w:line="240" w:lineRule="exact"/>
              <w:jc w:val="right"/>
              <w:rPr>
                <w:rFonts w:hint="eastAsia" w:ascii="宋体" w:hAns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14</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color w:val="auto"/>
                <w:kern w:val="0"/>
                <w:sz w:val="20"/>
                <w:szCs w:val="20"/>
              </w:rPr>
            </w:pPr>
            <w:r>
              <w:rPr>
                <w:rFonts w:hint="eastAsia" w:ascii="宋体" w:hAnsi="宋体"/>
                <w:color w:val="auto"/>
                <w:kern w:val="0"/>
                <w:sz w:val="20"/>
                <w:szCs w:val="20"/>
              </w:rPr>
              <w:t>加：资产处置收益（损失以‘－’号填列）</w:t>
            </w:r>
          </w:p>
        </w:tc>
        <w:tc>
          <w:tcPr>
            <w:tcW w:w="1418" w:type="dxa"/>
            <w:noWrap w:val="0"/>
            <w:vAlign w:val="center"/>
          </w:tcPr>
          <w:p>
            <w:pPr>
              <w:widowControl/>
              <w:spacing w:line="240" w:lineRule="exact"/>
              <w:jc w:val="right"/>
              <w:rPr>
                <w:rFonts w:hint="eastAsia" w:ascii="宋体" w:hAns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15</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jc w:val="left"/>
              <w:rPr>
                <w:rFonts w:hint="eastAsia" w:ascii="宋体" w:hAnsi="宋体"/>
                <w:color w:val="auto"/>
                <w:kern w:val="0"/>
                <w:sz w:val="20"/>
                <w:szCs w:val="20"/>
              </w:rPr>
            </w:pPr>
            <w:r>
              <w:rPr>
                <w:rFonts w:hint="eastAsia" w:ascii="宋体" w:hAnsi="宋体"/>
                <w:color w:val="auto"/>
                <w:kern w:val="0"/>
                <w:sz w:val="20"/>
                <w:szCs w:val="20"/>
              </w:rPr>
              <w:t>二、营业利润（亏损以‘－’号填列）</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16</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加：营业外收入（填写</w:t>
            </w:r>
            <w:r>
              <w:rPr>
                <w:rFonts w:ascii="宋体" w:hAnsi="宋体"/>
                <w:color w:val="auto"/>
                <w:kern w:val="0"/>
                <w:sz w:val="20"/>
                <w:szCs w:val="20"/>
              </w:rPr>
              <w:t>A1010</w:t>
            </w:r>
            <w:r>
              <w:rPr>
                <w:rFonts w:hint="eastAsia" w:ascii="宋体" w:hAnsi="宋体"/>
                <w:color w:val="auto"/>
                <w:kern w:val="0"/>
                <w:sz w:val="20"/>
                <w:szCs w:val="20"/>
              </w:rPr>
              <w:t>1</w:t>
            </w:r>
            <w:r>
              <w:rPr>
                <w:rFonts w:ascii="宋体" w:hAnsi="宋体"/>
                <w:color w:val="auto"/>
                <w:kern w:val="0"/>
                <w:sz w:val="20"/>
                <w:szCs w:val="20"/>
              </w:rPr>
              <w:t>0</w:t>
            </w:r>
            <w:r>
              <w:rPr>
                <w:rFonts w:hint="eastAsia" w:ascii="宋体" w:hAnsi="宋体"/>
                <w:color w:val="auto"/>
                <w:kern w:val="0"/>
                <w:sz w:val="20"/>
                <w:szCs w:val="20"/>
              </w:rPr>
              <w:t>/</w:t>
            </w:r>
            <w:r>
              <w:rPr>
                <w:rFonts w:ascii="宋体" w:hAnsi="宋体"/>
                <w:color w:val="auto"/>
                <w:kern w:val="0"/>
                <w:sz w:val="20"/>
                <w:szCs w:val="20"/>
              </w:rPr>
              <w:t>1010</w:t>
            </w:r>
            <w:r>
              <w:rPr>
                <w:rFonts w:hint="eastAsia" w:ascii="宋体" w:hAnsi="宋体"/>
                <w:color w:val="auto"/>
                <w:kern w:val="0"/>
                <w:sz w:val="20"/>
                <w:szCs w:val="20"/>
              </w:rPr>
              <w:t>2</w:t>
            </w:r>
            <w:r>
              <w:rPr>
                <w:rFonts w:ascii="宋体" w:hAnsi="宋体"/>
                <w:color w:val="auto"/>
                <w:kern w:val="0"/>
                <w:sz w:val="20"/>
                <w:szCs w:val="20"/>
              </w:rPr>
              <w:t>0</w:t>
            </w:r>
            <w:r>
              <w:rPr>
                <w:rFonts w:hint="eastAsia" w:ascii="宋体" w:hAnsi="宋体"/>
                <w:color w:val="auto"/>
                <w:kern w:val="0"/>
                <w:sz w:val="20"/>
                <w:szCs w:val="20"/>
              </w:rPr>
              <w:t>/</w:t>
            </w:r>
            <w:r>
              <w:rPr>
                <w:rFonts w:ascii="宋体" w:hAnsi="宋体"/>
                <w:color w:val="auto"/>
                <w:kern w:val="0"/>
                <w:sz w:val="20"/>
                <w:szCs w:val="20"/>
              </w:rPr>
              <w:t>103000</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17</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减：营业外支出（填写</w:t>
            </w:r>
            <w:r>
              <w:rPr>
                <w:rFonts w:ascii="宋体" w:hAnsi="宋体"/>
                <w:color w:val="auto"/>
                <w:kern w:val="0"/>
                <w:sz w:val="20"/>
                <w:szCs w:val="20"/>
              </w:rPr>
              <w:t>A10</w:t>
            </w:r>
            <w:r>
              <w:rPr>
                <w:rFonts w:hint="eastAsia" w:ascii="宋体" w:hAnsi="宋体"/>
                <w:color w:val="auto"/>
                <w:kern w:val="0"/>
                <w:sz w:val="20"/>
                <w:szCs w:val="20"/>
                <w:lang w:val="en-US" w:eastAsia="zh-CN"/>
              </w:rPr>
              <w:t>2</w:t>
            </w:r>
            <w:r>
              <w:rPr>
                <w:rFonts w:ascii="宋体" w:hAnsi="宋体"/>
                <w:color w:val="auto"/>
                <w:kern w:val="0"/>
                <w:sz w:val="20"/>
                <w:szCs w:val="20"/>
              </w:rPr>
              <w:t>0</w:t>
            </w:r>
            <w:r>
              <w:rPr>
                <w:rFonts w:hint="eastAsia" w:ascii="宋体" w:hAnsi="宋体"/>
                <w:color w:val="auto"/>
                <w:kern w:val="0"/>
                <w:sz w:val="20"/>
                <w:szCs w:val="20"/>
              </w:rPr>
              <w:t>1</w:t>
            </w:r>
            <w:r>
              <w:rPr>
                <w:rFonts w:ascii="宋体" w:hAnsi="宋体"/>
                <w:color w:val="auto"/>
                <w:kern w:val="0"/>
                <w:sz w:val="20"/>
                <w:szCs w:val="20"/>
              </w:rPr>
              <w:t>0</w:t>
            </w:r>
            <w:r>
              <w:rPr>
                <w:rFonts w:hint="eastAsia" w:ascii="宋体" w:hAnsi="宋体"/>
                <w:color w:val="auto"/>
                <w:kern w:val="0"/>
                <w:sz w:val="20"/>
                <w:szCs w:val="20"/>
              </w:rPr>
              <w:t>/</w:t>
            </w:r>
            <w:r>
              <w:rPr>
                <w:rFonts w:ascii="宋体" w:hAnsi="宋体"/>
                <w:color w:val="auto"/>
                <w:kern w:val="0"/>
                <w:sz w:val="20"/>
                <w:szCs w:val="20"/>
              </w:rPr>
              <w:t>10</w:t>
            </w:r>
            <w:r>
              <w:rPr>
                <w:rFonts w:hint="eastAsia" w:ascii="宋体" w:hAnsi="宋体"/>
                <w:color w:val="auto"/>
                <w:kern w:val="0"/>
                <w:sz w:val="20"/>
                <w:szCs w:val="20"/>
                <w:lang w:val="en-US" w:eastAsia="zh-CN"/>
              </w:rPr>
              <w:t>2</w:t>
            </w:r>
            <w:r>
              <w:rPr>
                <w:rFonts w:ascii="宋体" w:hAnsi="宋体"/>
                <w:color w:val="auto"/>
                <w:kern w:val="0"/>
                <w:sz w:val="20"/>
                <w:szCs w:val="20"/>
              </w:rPr>
              <w:t>0</w:t>
            </w:r>
            <w:r>
              <w:rPr>
                <w:rFonts w:hint="eastAsia" w:ascii="宋体" w:hAnsi="宋体"/>
                <w:color w:val="auto"/>
                <w:kern w:val="0"/>
                <w:sz w:val="20"/>
                <w:szCs w:val="20"/>
              </w:rPr>
              <w:t>2</w:t>
            </w:r>
            <w:r>
              <w:rPr>
                <w:rFonts w:ascii="宋体" w:hAnsi="宋体"/>
                <w:color w:val="auto"/>
                <w:kern w:val="0"/>
                <w:sz w:val="20"/>
                <w:szCs w:val="20"/>
              </w:rPr>
              <w:t>0</w:t>
            </w:r>
            <w:r>
              <w:rPr>
                <w:rFonts w:hint="eastAsia" w:ascii="宋体" w:hAnsi="宋体"/>
                <w:color w:val="auto"/>
                <w:kern w:val="0"/>
                <w:sz w:val="20"/>
                <w:szCs w:val="20"/>
              </w:rPr>
              <w:t>/</w:t>
            </w:r>
            <w:r>
              <w:rPr>
                <w:rFonts w:ascii="宋体" w:hAnsi="宋体"/>
                <w:color w:val="auto"/>
                <w:kern w:val="0"/>
                <w:sz w:val="20"/>
                <w:szCs w:val="20"/>
              </w:rPr>
              <w:t>103000</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18</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jc w:val="left"/>
              <w:rPr>
                <w:rFonts w:hint="eastAsia" w:ascii="宋体" w:hAnsi="宋体" w:eastAsia="宋体"/>
                <w:color w:val="auto"/>
                <w:kern w:val="0"/>
                <w:sz w:val="20"/>
                <w:szCs w:val="20"/>
              </w:rPr>
            </w:pPr>
            <w:r>
              <w:rPr>
                <w:rFonts w:hint="eastAsia" w:ascii="宋体" w:hAnsi="宋体"/>
                <w:color w:val="auto"/>
                <w:kern w:val="0"/>
                <w:sz w:val="20"/>
                <w:szCs w:val="20"/>
              </w:rPr>
              <w:t>三、利润总额（</w:t>
            </w:r>
            <w:r>
              <w:rPr>
                <w:rFonts w:ascii="宋体" w:hAnsi="宋体"/>
                <w:color w:val="auto"/>
                <w:kern w:val="0"/>
                <w:sz w:val="20"/>
                <w:szCs w:val="20"/>
              </w:rPr>
              <w:t>15＋16－17</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19</w:t>
            </w:r>
          </w:p>
        </w:tc>
        <w:tc>
          <w:tcPr>
            <w:tcW w:w="620" w:type="dxa"/>
            <w:vMerge w:val="restart"/>
            <w:noWrap w:val="0"/>
            <w:vAlign w:val="center"/>
          </w:tcPr>
          <w:p>
            <w:pPr>
              <w:widowControl/>
              <w:spacing w:line="240" w:lineRule="exact"/>
              <w:jc w:val="center"/>
              <w:rPr>
                <w:rFonts w:hint="eastAsia" w:ascii="宋体" w:hAnsi="宋体"/>
                <w:color w:val="auto"/>
                <w:kern w:val="0"/>
                <w:sz w:val="20"/>
                <w:szCs w:val="20"/>
              </w:rPr>
            </w:pPr>
            <w:r>
              <w:rPr>
                <w:rFonts w:hint="eastAsia" w:ascii="宋体" w:hAnsi="宋体"/>
                <w:color w:val="auto"/>
                <w:kern w:val="0"/>
                <w:sz w:val="20"/>
                <w:szCs w:val="20"/>
              </w:rPr>
              <w:t>应纳税所得额计算</w:t>
            </w: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减：境外所得（填写</w:t>
            </w:r>
            <w:r>
              <w:rPr>
                <w:rFonts w:ascii="宋体" w:hAnsi="宋体"/>
                <w:color w:val="auto"/>
                <w:kern w:val="0"/>
                <w:sz w:val="20"/>
                <w:szCs w:val="20"/>
              </w:rPr>
              <w:t>A108010</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20</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加：纳税调整增加额（填写</w:t>
            </w:r>
            <w:r>
              <w:rPr>
                <w:rFonts w:ascii="宋体" w:hAnsi="宋体"/>
                <w:color w:val="auto"/>
                <w:kern w:val="0"/>
                <w:sz w:val="20"/>
                <w:szCs w:val="20"/>
              </w:rPr>
              <w:t>A105000</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21</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减：纳税调整减少额（填写</w:t>
            </w:r>
            <w:r>
              <w:rPr>
                <w:rFonts w:ascii="宋体" w:hAnsi="宋体"/>
                <w:color w:val="auto"/>
                <w:kern w:val="0"/>
                <w:sz w:val="20"/>
                <w:szCs w:val="20"/>
              </w:rPr>
              <w:t>A105000</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22</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减：免税、减计收入及加计扣除（</w:t>
            </w:r>
            <w:r>
              <w:rPr>
                <w:rFonts w:ascii="宋体" w:hAnsi="宋体"/>
                <w:color w:val="auto"/>
                <w:kern w:val="0"/>
                <w:sz w:val="20"/>
                <w:szCs w:val="20"/>
              </w:rPr>
              <w:t>22.1＋22.2＋…</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22.1</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（填写优惠事项名称）</w:t>
            </w:r>
          </w:p>
        </w:tc>
        <w:tc>
          <w:tcPr>
            <w:tcW w:w="1418" w:type="dxa"/>
            <w:noWrap w:val="0"/>
            <w:vAlign w:val="center"/>
          </w:tcPr>
          <w:p>
            <w:pPr>
              <w:widowControl/>
              <w:spacing w:line="240" w:lineRule="exact"/>
              <w:jc w:val="right"/>
              <w:rPr>
                <w:rFonts w:hint="eastAsia" w:ascii="宋体" w:hAns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22.2</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（填写优惠事项名称）</w:t>
            </w:r>
          </w:p>
        </w:tc>
        <w:tc>
          <w:tcPr>
            <w:tcW w:w="1418" w:type="dxa"/>
            <w:noWrap w:val="0"/>
            <w:vAlign w:val="center"/>
          </w:tcPr>
          <w:p>
            <w:pPr>
              <w:widowControl/>
              <w:spacing w:line="240" w:lineRule="exact"/>
              <w:jc w:val="right"/>
              <w:rPr>
                <w:rFonts w:hint="eastAsia" w:ascii="宋体" w:hAns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23</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加：境外应税所得抵减境内亏损（填写</w:t>
            </w:r>
            <w:r>
              <w:rPr>
                <w:rFonts w:ascii="宋体" w:hAnsi="宋体"/>
                <w:color w:val="auto"/>
                <w:kern w:val="0"/>
                <w:sz w:val="20"/>
                <w:szCs w:val="20"/>
              </w:rPr>
              <w:t>A108000</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24</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jc w:val="left"/>
              <w:rPr>
                <w:rFonts w:hint="eastAsia" w:ascii="宋体" w:hAnsi="宋体" w:eastAsia="宋体"/>
                <w:color w:val="auto"/>
                <w:kern w:val="0"/>
                <w:sz w:val="20"/>
                <w:szCs w:val="20"/>
              </w:rPr>
            </w:pPr>
            <w:r>
              <w:rPr>
                <w:rFonts w:hint="eastAsia" w:ascii="宋体" w:hAnsi="宋体"/>
                <w:color w:val="auto"/>
                <w:kern w:val="0"/>
                <w:sz w:val="20"/>
                <w:szCs w:val="20"/>
              </w:rPr>
              <w:t>四、纳税调整后所得（</w:t>
            </w:r>
            <w:r>
              <w:rPr>
                <w:rFonts w:ascii="宋体" w:hAnsi="宋体"/>
                <w:color w:val="auto"/>
                <w:kern w:val="0"/>
                <w:sz w:val="20"/>
                <w:szCs w:val="20"/>
              </w:rPr>
              <w:t>18－19＋20－21－22＋23</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25</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减：所得减免（填写</w:t>
            </w:r>
            <w:r>
              <w:rPr>
                <w:rFonts w:ascii="宋体" w:hAnsi="宋体"/>
                <w:color w:val="auto"/>
                <w:kern w:val="0"/>
                <w:sz w:val="20"/>
                <w:szCs w:val="20"/>
              </w:rPr>
              <w:t>A107020</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26</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减：弥补以前年度亏损（填写</w:t>
            </w:r>
            <w:r>
              <w:rPr>
                <w:rFonts w:ascii="宋体" w:hAnsi="宋体"/>
                <w:color w:val="auto"/>
                <w:kern w:val="0"/>
                <w:sz w:val="20"/>
                <w:szCs w:val="20"/>
              </w:rPr>
              <w:t>A106000</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27</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减：抵扣应纳税所得额（填写</w:t>
            </w:r>
            <w:r>
              <w:rPr>
                <w:rFonts w:ascii="宋体" w:hAnsi="宋体"/>
                <w:color w:val="auto"/>
                <w:kern w:val="0"/>
                <w:sz w:val="20"/>
                <w:szCs w:val="20"/>
              </w:rPr>
              <w:t>A107030</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28</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jc w:val="left"/>
              <w:rPr>
                <w:rFonts w:hint="eastAsia" w:ascii="宋体" w:hAnsi="宋体" w:eastAsia="宋体"/>
                <w:color w:val="auto"/>
                <w:kern w:val="0"/>
                <w:sz w:val="20"/>
                <w:szCs w:val="20"/>
              </w:rPr>
            </w:pPr>
            <w:r>
              <w:rPr>
                <w:rFonts w:hint="eastAsia" w:ascii="宋体" w:hAnsi="宋体"/>
                <w:color w:val="auto"/>
                <w:kern w:val="0"/>
                <w:sz w:val="20"/>
                <w:szCs w:val="20"/>
              </w:rPr>
              <w:t>五、应纳税所得额（</w:t>
            </w:r>
            <w:r>
              <w:rPr>
                <w:rFonts w:ascii="宋体" w:hAnsi="宋体"/>
                <w:color w:val="auto"/>
                <w:kern w:val="0"/>
                <w:sz w:val="20"/>
                <w:szCs w:val="20"/>
              </w:rPr>
              <w:t>24－25－26－27</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29</w:t>
            </w:r>
          </w:p>
        </w:tc>
        <w:tc>
          <w:tcPr>
            <w:tcW w:w="620" w:type="dxa"/>
            <w:vMerge w:val="restart"/>
            <w:noWrap w:val="0"/>
            <w:vAlign w:val="center"/>
          </w:tcPr>
          <w:p>
            <w:pPr>
              <w:widowControl/>
              <w:spacing w:line="240" w:lineRule="exact"/>
              <w:jc w:val="center"/>
              <w:rPr>
                <w:rFonts w:hint="eastAsia" w:ascii="宋体" w:hAnsi="宋体"/>
                <w:color w:val="auto"/>
                <w:kern w:val="0"/>
                <w:sz w:val="20"/>
                <w:szCs w:val="20"/>
              </w:rPr>
            </w:pPr>
            <w:r>
              <w:rPr>
                <w:rFonts w:hint="eastAsia" w:ascii="宋体" w:hAnsi="宋体"/>
                <w:color w:val="auto"/>
                <w:kern w:val="0"/>
                <w:sz w:val="20"/>
                <w:szCs w:val="20"/>
              </w:rPr>
              <w:t>应纳税额计算</w:t>
            </w:r>
          </w:p>
        </w:tc>
        <w:tc>
          <w:tcPr>
            <w:tcW w:w="7392" w:type="dxa"/>
            <w:noWrap w:val="0"/>
            <w:vAlign w:val="center"/>
          </w:tcPr>
          <w:p>
            <w:pPr>
              <w:widowControl/>
              <w:spacing w:line="240" w:lineRule="exact"/>
              <w:jc w:val="left"/>
              <w:rPr>
                <w:rFonts w:hint="eastAsia" w:ascii="宋体" w:hAnsi="宋体" w:eastAsia="宋体"/>
                <w:color w:val="auto"/>
                <w:kern w:val="0"/>
                <w:sz w:val="20"/>
                <w:szCs w:val="20"/>
                <w:lang w:eastAsia="zh-CN"/>
              </w:rPr>
            </w:pPr>
            <w:r>
              <w:rPr>
                <w:rFonts w:hint="eastAsia" w:ascii="宋体" w:hAnsi="宋体"/>
                <w:color w:val="auto"/>
                <w:kern w:val="0"/>
                <w:sz w:val="20"/>
                <w:szCs w:val="20"/>
              </w:rPr>
              <w:t>税率</w:t>
            </w:r>
            <w:r>
              <w:rPr>
                <w:rFonts w:hint="eastAsia" w:ascii="宋体" w:hAnsi="宋体"/>
                <w:color w:val="auto"/>
                <w:kern w:val="0"/>
                <w:sz w:val="20"/>
                <w:szCs w:val="20"/>
                <w:lang w:eastAsia="zh-CN"/>
              </w:rPr>
              <w:t>（</w:t>
            </w:r>
            <w:r>
              <w:rPr>
                <w:rFonts w:hint="eastAsia" w:ascii="宋体" w:hAnsi="宋体"/>
                <w:color w:val="auto"/>
                <w:kern w:val="0"/>
                <w:sz w:val="20"/>
                <w:szCs w:val="20"/>
                <w:lang w:val="en-US" w:eastAsia="zh-CN"/>
              </w:rPr>
              <w:t>25%</w:t>
            </w:r>
            <w:r>
              <w:rPr>
                <w:rFonts w:hint="eastAsia" w:ascii="宋体" w:hAnsi="宋体"/>
                <w:color w:val="auto"/>
                <w:kern w:val="0"/>
                <w:sz w:val="20"/>
                <w:szCs w:val="20"/>
                <w:lang w:eastAsia="zh-CN"/>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30</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jc w:val="left"/>
              <w:rPr>
                <w:rFonts w:hint="eastAsia" w:ascii="宋体" w:hAnsi="宋体" w:eastAsia="宋体"/>
                <w:color w:val="auto"/>
                <w:kern w:val="0"/>
                <w:sz w:val="20"/>
                <w:szCs w:val="20"/>
              </w:rPr>
            </w:pPr>
            <w:r>
              <w:rPr>
                <w:rFonts w:hint="eastAsia" w:ascii="宋体" w:hAnsi="宋体"/>
                <w:color w:val="auto"/>
                <w:kern w:val="0"/>
                <w:sz w:val="20"/>
                <w:szCs w:val="20"/>
              </w:rPr>
              <w:t>六、应纳所得税额（</w:t>
            </w:r>
            <w:r>
              <w:rPr>
                <w:rFonts w:ascii="宋体" w:hAnsi="宋体"/>
                <w:color w:val="auto"/>
                <w:kern w:val="0"/>
                <w:sz w:val="20"/>
                <w:szCs w:val="20"/>
              </w:rPr>
              <w:t>28</w:t>
            </w:r>
            <w:r>
              <w:rPr>
                <w:rFonts w:hint="eastAsia" w:ascii="宋体" w:hAnsi="宋体"/>
                <w:color w:val="auto"/>
                <w:kern w:val="0"/>
                <w:sz w:val="20"/>
                <w:szCs w:val="20"/>
              </w:rPr>
              <w:t>×</w:t>
            </w:r>
            <w:r>
              <w:rPr>
                <w:rFonts w:ascii="宋体" w:hAnsi="宋体"/>
                <w:color w:val="auto"/>
                <w:kern w:val="0"/>
                <w:sz w:val="20"/>
                <w:szCs w:val="20"/>
              </w:rPr>
              <w:t>29</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31</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减：减免所得税额（</w:t>
            </w:r>
            <w:r>
              <w:rPr>
                <w:rFonts w:ascii="宋体" w:hAnsi="宋体"/>
                <w:color w:val="auto"/>
                <w:kern w:val="0"/>
                <w:sz w:val="20"/>
                <w:szCs w:val="20"/>
              </w:rPr>
              <w:t>31.1＋31.2＋…</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31.1</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（填写优惠事项名称）</w:t>
            </w:r>
          </w:p>
        </w:tc>
        <w:tc>
          <w:tcPr>
            <w:tcW w:w="1418" w:type="dxa"/>
            <w:noWrap w:val="0"/>
            <w:vAlign w:val="center"/>
          </w:tcPr>
          <w:p>
            <w:pPr>
              <w:widowControl/>
              <w:spacing w:line="240" w:lineRule="exact"/>
              <w:jc w:val="right"/>
              <w:rPr>
                <w:rFonts w:hint="eastAsia" w:ascii="宋体" w:hAns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31.2</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（填写优惠事项名称）</w:t>
            </w:r>
          </w:p>
        </w:tc>
        <w:tc>
          <w:tcPr>
            <w:tcW w:w="1418" w:type="dxa"/>
            <w:noWrap w:val="0"/>
            <w:vAlign w:val="center"/>
          </w:tcPr>
          <w:p>
            <w:pPr>
              <w:widowControl/>
              <w:spacing w:line="240" w:lineRule="exact"/>
              <w:jc w:val="right"/>
              <w:rPr>
                <w:rFonts w:hint="eastAsia" w:ascii="宋体" w:hAns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32</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减：抵免所得税额（填写</w:t>
            </w:r>
            <w:r>
              <w:rPr>
                <w:rFonts w:ascii="宋体" w:hAnsi="宋体"/>
                <w:color w:val="auto"/>
                <w:kern w:val="0"/>
                <w:sz w:val="20"/>
                <w:szCs w:val="20"/>
              </w:rPr>
              <w:t>A107050</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33</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jc w:val="left"/>
              <w:rPr>
                <w:rFonts w:hint="eastAsia" w:ascii="宋体" w:hAnsi="宋体" w:eastAsia="宋体"/>
                <w:color w:val="auto"/>
                <w:kern w:val="0"/>
                <w:sz w:val="20"/>
                <w:szCs w:val="20"/>
              </w:rPr>
            </w:pPr>
            <w:r>
              <w:rPr>
                <w:rFonts w:hint="eastAsia" w:ascii="宋体" w:hAnsi="宋体"/>
                <w:color w:val="auto"/>
                <w:kern w:val="0"/>
                <w:sz w:val="20"/>
                <w:szCs w:val="20"/>
              </w:rPr>
              <w:t>七、应纳税额（</w:t>
            </w:r>
            <w:r>
              <w:rPr>
                <w:rFonts w:ascii="宋体" w:hAnsi="宋体"/>
                <w:color w:val="auto"/>
                <w:kern w:val="0"/>
                <w:sz w:val="20"/>
                <w:szCs w:val="20"/>
              </w:rPr>
              <w:t>30－31－32</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34</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加：境外所得应纳所得税额（填写</w:t>
            </w:r>
            <w:r>
              <w:rPr>
                <w:rFonts w:ascii="宋体" w:hAnsi="宋体"/>
                <w:color w:val="auto"/>
                <w:kern w:val="0"/>
                <w:sz w:val="20"/>
                <w:szCs w:val="20"/>
              </w:rPr>
              <w:t>A108000</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35</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减：境外所得抵免所得税额（填写</w:t>
            </w:r>
            <w:r>
              <w:rPr>
                <w:rFonts w:ascii="宋体" w:hAnsi="宋体"/>
                <w:color w:val="auto"/>
                <w:kern w:val="0"/>
                <w:sz w:val="20"/>
                <w:szCs w:val="20"/>
              </w:rPr>
              <w:t>A108000</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36</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jc w:val="left"/>
              <w:rPr>
                <w:rFonts w:hint="eastAsia" w:ascii="宋体" w:hAnsi="宋体" w:eastAsia="宋体"/>
                <w:color w:val="auto"/>
                <w:kern w:val="0"/>
                <w:sz w:val="20"/>
                <w:szCs w:val="20"/>
              </w:rPr>
            </w:pPr>
            <w:r>
              <w:rPr>
                <w:rFonts w:hint="eastAsia" w:ascii="宋体" w:hAnsi="宋体"/>
                <w:color w:val="auto"/>
                <w:kern w:val="0"/>
                <w:sz w:val="20"/>
                <w:szCs w:val="20"/>
              </w:rPr>
              <w:t>八、实际应纳所得税额（</w:t>
            </w:r>
            <w:r>
              <w:rPr>
                <w:rFonts w:ascii="宋体" w:hAnsi="宋体"/>
                <w:color w:val="auto"/>
                <w:kern w:val="0"/>
                <w:sz w:val="20"/>
                <w:szCs w:val="20"/>
              </w:rPr>
              <w:t>33＋34－35</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37</w:t>
            </w:r>
          </w:p>
        </w:tc>
        <w:tc>
          <w:tcPr>
            <w:tcW w:w="620" w:type="dxa"/>
            <w:vMerge w:val="restart"/>
            <w:noWrap w:val="0"/>
            <w:vAlign w:val="center"/>
          </w:tcPr>
          <w:p>
            <w:pPr>
              <w:widowControl/>
              <w:spacing w:line="240" w:lineRule="exact"/>
              <w:jc w:val="left"/>
              <w:rPr>
                <w:rFonts w:hint="eastAsia" w:ascii="宋体" w:hAnsi="宋体"/>
                <w:color w:val="auto"/>
                <w:kern w:val="0"/>
                <w:sz w:val="20"/>
                <w:szCs w:val="20"/>
              </w:rPr>
            </w:pPr>
            <w:r>
              <w:rPr>
                <w:rFonts w:hint="eastAsia" w:ascii="宋体" w:hAnsi="宋体"/>
                <w:color w:val="auto"/>
                <w:kern w:val="0"/>
                <w:sz w:val="20"/>
                <w:szCs w:val="20"/>
              </w:rPr>
              <w:t>实际应补（退）税额计算</w:t>
            </w: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减：本年累计预缴所得税额</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38</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jc w:val="left"/>
              <w:rPr>
                <w:rFonts w:hint="eastAsia" w:ascii="宋体" w:hAnsi="宋体" w:eastAsia="宋体"/>
                <w:color w:val="auto"/>
                <w:kern w:val="0"/>
                <w:sz w:val="20"/>
                <w:szCs w:val="20"/>
              </w:rPr>
            </w:pPr>
            <w:r>
              <w:rPr>
                <w:rFonts w:hint="eastAsia" w:ascii="宋体" w:hAnsi="宋体"/>
                <w:color w:val="auto"/>
                <w:kern w:val="0"/>
                <w:sz w:val="20"/>
                <w:szCs w:val="20"/>
              </w:rPr>
              <w:t>九、本年应补（退）所得税额（</w:t>
            </w:r>
            <w:r>
              <w:rPr>
                <w:rFonts w:ascii="宋体" w:hAnsi="宋体"/>
                <w:color w:val="auto"/>
                <w:kern w:val="0"/>
                <w:sz w:val="20"/>
                <w:szCs w:val="20"/>
              </w:rPr>
              <w:t>36－37</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39</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其中：总机构分摊本年应补（退）所得税额（填写</w:t>
            </w:r>
            <w:r>
              <w:rPr>
                <w:rFonts w:ascii="宋体" w:hAnsi="宋体"/>
                <w:color w:val="auto"/>
                <w:kern w:val="0"/>
                <w:sz w:val="20"/>
                <w:szCs w:val="20"/>
              </w:rPr>
              <w:t>A109000</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40</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1000" w:firstLineChars="500"/>
              <w:jc w:val="left"/>
              <w:rPr>
                <w:rFonts w:hint="eastAsia" w:ascii="宋体" w:hAnsi="宋体" w:eastAsia="宋体"/>
                <w:color w:val="auto"/>
                <w:kern w:val="0"/>
                <w:sz w:val="20"/>
                <w:szCs w:val="20"/>
              </w:rPr>
            </w:pPr>
            <w:r>
              <w:rPr>
                <w:rFonts w:hint="eastAsia" w:ascii="宋体" w:hAnsi="宋体"/>
                <w:color w:val="auto"/>
                <w:kern w:val="0"/>
                <w:sz w:val="20"/>
                <w:szCs w:val="20"/>
              </w:rPr>
              <w:t>财政集中分配本年应补（退）所得税额（填写</w:t>
            </w:r>
            <w:r>
              <w:rPr>
                <w:rFonts w:ascii="宋体" w:hAnsi="宋体"/>
                <w:color w:val="auto"/>
                <w:kern w:val="0"/>
                <w:sz w:val="20"/>
                <w:szCs w:val="20"/>
              </w:rPr>
              <w:t>A109000</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41</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ind w:firstLine="1000" w:firstLineChars="500"/>
              <w:jc w:val="left"/>
              <w:rPr>
                <w:rFonts w:hint="eastAsia" w:ascii="宋体" w:hAnsi="宋体" w:eastAsia="宋体"/>
                <w:color w:val="auto"/>
                <w:kern w:val="0"/>
                <w:sz w:val="20"/>
                <w:szCs w:val="20"/>
              </w:rPr>
            </w:pPr>
            <w:r>
              <w:rPr>
                <w:rFonts w:hint="eastAsia" w:ascii="宋体" w:hAnsi="宋体"/>
                <w:color w:val="auto"/>
                <w:kern w:val="0"/>
                <w:sz w:val="20"/>
                <w:szCs w:val="20"/>
              </w:rPr>
              <w:t>总机构主体生产经营部门分摊本年应补（退）所得税额（填写</w:t>
            </w:r>
            <w:r>
              <w:rPr>
                <w:rFonts w:ascii="宋体" w:hAnsi="宋体"/>
                <w:color w:val="auto"/>
                <w:kern w:val="0"/>
                <w:sz w:val="20"/>
                <w:szCs w:val="20"/>
              </w:rPr>
              <w:t>A109000</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42</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spacing w:line="240" w:lineRule="exact"/>
              <w:rPr>
                <w:rFonts w:hint="eastAsia" w:ascii="宋体" w:hAnsi="宋体" w:eastAsia="宋体"/>
                <w:color w:val="auto"/>
                <w:kern w:val="0"/>
                <w:sz w:val="20"/>
                <w:szCs w:val="20"/>
              </w:rPr>
            </w:pPr>
            <w:r>
              <w:rPr>
                <w:rFonts w:hint="eastAsia" w:ascii="宋体" w:hAnsi="宋体"/>
                <w:color w:val="auto"/>
                <w:kern w:val="0"/>
                <w:sz w:val="20"/>
                <w:szCs w:val="20"/>
              </w:rPr>
              <w:t>减：民族自治地区企业所得税地方分享部分：（□</w:t>
            </w:r>
            <w:r>
              <w:rPr>
                <w:rFonts w:ascii="宋体" w:hAnsi="宋体"/>
                <w:color w:val="auto"/>
                <w:kern w:val="0"/>
                <w:sz w:val="20"/>
                <w:szCs w:val="20"/>
              </w:rPr>
              <w:t xml:space="preserve"> </w:t>
            </w:r>
            <w:r>
              <w:rPr>
                <w:rFonts w:hint="eastAsia" w:ascii="宋体" w:hAnsi="宋体"/>
                <w:color w:val="auto"/>
                <w:kern w:val="0"/>
                <w:sz w:val="20"/>
                <w:szCs w:val="20"/>
              </w:rPr>
              <w:t>免征</w:t>
            </w:r>
            <w:r>
              <w:rPr>
                <w:rFonts w:ascii="宋体" w:hAnsi="宋体"/>
                <w:color w:val="auto"/>
                <w:kern w:val="0"/>
                <w:sz w:val="20"/>
                <w:szCs w:val="20"/>
              </w:rPr>
              <w:t xml:space="preserve"> □ </w:t>
            </w:r>
            <w:r>
              <w:rPr>
                <w:rFonts w:hint="eastAsia" w:ascii="宋体" w:hAnsi="宋体"/>
                <w:color w:val="auto"/>
                <w:kern w:val="0"/>
                <w:sz w:val="20"/>
                <w:szCs w:val="20"/>
              </w:rPr>
              <w:t>减征：减征幅度</w:t>
            </w:r>
            <w:r>
              <w:rPr>
                <w:rFonts w:ascii="宋体" w:hAnsi="宋体"/>
                <w:color w:val="auto"/>
                <w:kern w:val="0"/>
                <w:sz w:val="20"/>
                <w:szCs w:val="20"/>
                <w:u w:val="single"/>
              </w:rPr>
              <w:t xml:space="preserve">   </w:t>
            </w:r>
            <w:r>
              <w:rPr>
                <w:rFonts w:ascii="宋体" w:hAnsi="宋体"/>
                <w:color w:val="auto"/>
                <w:kern w:val="0"/>
                <w:sz w:val="20"/>
                <w:szCs w:val="20"/>
              </w:rPr>
              <w:t>%</w:t>
            </w:r>
            <w:r>
              <w:rPr>
                <w:rFonts w:hint="eastAsia" w:ascii="宋体" w:hAnsi="宋体"/>
                <w:color w:val="auto"/>
                <w:kern w:val="0"/>
                <w:sz w:val="20"/>
                <w:szCs w:val="20"/>
              </w:rPr>
              <w:t>）</w:t>
            </w:r>
          </w:p>
        </w:tc>
        <w:tc>
          <w:tcPr>
            <w:tcW w:w="1418" w:type="dxa"/>
            <w:noWrap w:val="0"/>
            <w:vAlign w:val="center"/>
          </w:tcPr>
          <w:p>
            <w:pPr>
              <w:widowControl/>
              <w:spacing w:line="240" w:lineRule="exact"/>
              <w:jc w:val="right"/>
              <w:rPr>
                <w:rFonts w:hint="eastAsia" w:ascii="宋体" w:hAns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eastAsia="宋体"/>
                <w:color w:val="auto"/>
                <w:kern w:val="0"/>
                <w:sz w:val="20"/>
                <w:szCs w:val="20"/>
              </w:rPr>
            </w:pPr>
            <w:r>
              <w:rPr>
                <w:rFonts w:hint="eastAsia" w:ascii="宋体" w:hAnsi="宋体"/>
                <w:color w:val="auto"/>
                <w:kern w:val="0"/>
                <w:sz w:val="20"/>
                <w:szCs w:val="20"/>
              </w:rPr>
              <w:t>43</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jc w:val="left"/>
              <w:rPr>
                <w:rFonts w:hint="eastAsia" w:ascii="宋体" w:hAnsi="宋体" w:eastAsia="宋体"/>
                <w:color w:val="auto"/>
                <w:kern w:val="0"/>
                <w:sz w:val="20"/>
                <w:szCs w:val="20"/>
                <w:lang w:eastAsia="zh-CN"/>
              </w:rPr>
            </w:pPr>
            <w:r>
              <w:rPr>
                <w:rFonts w:hint="eastAsia" w:ascii="宋体" w:hAnsi="宋体"/>
                <w:color w:val="auto"/>
                <w:kern w:val="0"/>
                <w:sz w:val="20"/>
                <w:szCs w:val="20"/>
              </w:rPr>
              <w:t>减：</w:t>
            </w:r>
            <w:r>
              <w:rPr>
                <w:rFonts w:ascii="宋体" w:hAnsi="宋体" w:eastAsia="宋体"/>
                <w:color w:val="auto"/>
                <w:kern w:val="0"/>
                <w:sz w:val="20"/>
                <w:szCs w:val="20"/>
              </w:rPr>
              <w:t>稽查查</w:t>
            </w:r>
            <w:r>
              <w:rPr>
                <w:rFonts w:hint="eastAsia" w:ascii="宋体" w:hAnsi="宋体"/>
                <w:color w:val="auto"/>
                <w:kern w:val="0"/>
                <w:sz w:val="20"/>
                <w:szCs w:val="20"/>
              </w:rPr>
              <w:t>补（退）</w:t>
            </w:r>
            <w:r>
              <w:rPr>
                <w:rFonts w:ascii="宋体" w:hAnsi="宋体" w:eastAsia="宋体"/>
                <w:color w:val="auto"/>
                <w:kern w:val="0"/>
                <w:sz w:val="20"/>
                <w:szCs w:val="20"/>
              </w:rPr>
              <w:t>所得税额</w:t>
            </w:r>
          </w:p>
        </w:tc>
        <w:tc>
          <w:tcPr>
            <w:tcW w:w="1418" w:type="dxa"/>
            <w:noWrap w:val="0"/>
            <w:vAlign w:val="center"/>
          </w:tcPr>
          <w:p>
            <w:pPr>
              <w:widowControl/>
              <w:spacing w:line="240" w:lineRule="exact"/>
              <w:jc w:val="right"/>
              <w:rPr>
                <w:rFonts w:hint="eastAsia" w:ascii="宋体" w:hAns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eastAsia="宋体" w:cs="Times New Roman"/>
                <w:color w:val="auto"/>
                <w:kern w:val="0"/>
                <w:sz w:val="20"/>
                <w:szCs w:val="20"/>
                <w:lang w:val="en-US" w:eastAsia="zh-CN" w:bidi="ar-SA"/>
              </w:rPr>
            </w:pPr>
            <w:r>
              <w:rPr>
                <w:rFonts w:ascii="宋体" w:hAnsi="宋体"/>
                <w:color w:val="auto"/>
                <w:kern w:val="0"/>
                <w:sz w:val="20"/>
                <w:szCs w:val="20"/>
              </w:rPr>
              <w:t>4</w:t>
            </w:r>
            <w:r>
              <w:rPr>
                <w:rFonts w:hint="eastAsia" w:ascii="宋体" w:hAnsi="宋体"/>
                <w:color w:val="auto"/>
                <w:kern w:val="0"/>
                <w:sz w:val="20"/>
                <w:szCs w:val="20"/>
                <w:lang w:val="en-US" w:eastAsia="zh-CN"/>
              </w:rPr>
              <w:t>4</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jc w:val="left"/>
              <w:rPr>
                <w:rFonts w:hint="eastAsia" w:ascii="宋体" w:hAnsi="宋体"/>
                <w:color w:val="auto"/>
                <w:kern w:val="0"/>
                <w:sz w:val="20"/>
                <w:szCs w:val="20"/>
              </w:rPr>
            </w:pPr>
            <w:r>
              <w:rPr>
                <w:rFonts w:hint="eastAsia" w:ascii="宋体" w:hAnsi="宋体"/>
                <w:color w:val="auto"/>
                <w:kern w:val="0"/>
                <w:sz w:val="20"/>
                <w:szCs w:val="20"/>
              </w:rPr>
              <w:t>减：</w:t>
            </w:r>
            <w:r>
              <w:rPr>
                <w:rFonts w:ascii="宋体" w:hAnsi="宋体" w:eastAsia="宋体"/>
                <w:color w:val="auto"/>
                <w:kern w:val="0"/>
                <w:sz w:val="20"/>
                <w:szCs w:val="20"/>
              </w:rPr>
              <w:t>特别纳税调整</w:t>
            </w:r>
            <w:r>
              <w:rPr>
                <w:rFonts w:hint="eastAsia" w:ascii="宋体" w:hAnsi="宋体"/>
                <w:color w:val="auto"/>
                <w:kern w:val="0"/>
                <w:sz w:val="20"/>
                <w:szCs w:val="20"/>
              </w:rPr>
              <w:t>补（退）</w:t>
            </w:r>
            <w:r>
              <w:rPr>
                <w:rFonts w:ascii="宋体" w:hAnsi="宋体" w:eastAsia="宋体"/>
                <w:color w:val="auto"/>
                <w:kern w:val="0"/>
                <w:sz w:val="20"/>
                <w:szCs w:val="20"/>
              </w:rPr>
              <w:t>所得税额</w:t>
            </w:r>
          </w:p>
        </w:tc>
        <w:tc>
          <w:tcPr>
            <w:tcW w:w="1418" w:type="dxa"/>
            <w:noWrap w:val="0"/>
            <w:vAlign w:val="center"/>
          </w:tcPr>
          <w:p>
            <w:pPr>
              <w:widowControl/>
              <w:spacing w:line="240" w:lineRule="exact"/>
              <w:jc w:val="right"/>
              <w:rPr>
                <w:rFonts w:hint="eastAsia" w:ascii="宋体" w:hAns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pPr>
              <w:widowControl/>
              <w:spacing w:line="240" w:lineRule="exact"/>
              <w:jc w:val="center"/>
              <w:rPr>
                <w:rFonts w:hint="eastAsia" w:ascii="宋体" w:hAnsi="宋体" w:eastAsia="宋体"/>
                <w:color w:val="auto"/>
                <w:kern w:val="0"/>
                <w:sz w:val="20"/>
                <w:szCs w:val="20"/>
                <w:lang w:val="en-US" w:eastAsia="zh-CN"/>
              </w:rPr>
            </w:pPr>
            <w:r>
              <w:rPr>
                <w:rFonts w:ascii="宋体" w:hAnsi="宋体"/>
                <w:color w:val="auto"/>
                <w:kern w:val="0"/>
                <w:sz w:val="20"/>
                <w:szCs w:val="20"/>
              </w:rPr>
              <w:t>4</w:t>
            </w:r>
            <w:r>
              <w:rPr>
                <w:rFonts w:hint="eastAsia" w:ascii="宋体" w:hAnsi="宋体"/>
                <w:color w:val="auto"/>
                <w:kern w:val="0"/>
                <w:sz w:val="20"/>
                <w:szCs w:val="20"/>
                <w:lang w:val="en-US" w:eastAsia="zh-CN"/>
              </w:rPr>
              <w:t>5</w:t>
            </w:r>
          </w:p>
        </w:tc>
        <w:tc>
          <w:tcPr>
            <w:tcW w:w="620" w:type="dxa"/>
            <w:vMerge w:val="continue"/>
            <w:noWrap w:val="0"/>
            <w:vAlign w:val="center"/>
          </w:tcPr>
          <w:p>
            <w:pPr>
              <w:widowControl/>
              <w:spacing w:line="240" w:lineRule="exact"/>
              <w:jc w:val="left"/>
              <w:rPr>
                <w:rFonts w:hint="eastAsia" w:ascii="宋体" w:hAnsi="宋体"/>
                <w:color w:val="auto"/>
                <w:kern w:val="0"/>
                <w:sz w:val="20"/>
                <w:szCs w:val="20"/>
              </w:rPr>
            </w:pPr>
          </w:p>
        </w:tc>
        <w:tc>
          <w:tcPr>
            <w:tcW w:w="7392" w:type="dxa"/>
            <w:noWrap w:val="0"/>
            <w:vAlign w:val="center"/>
          </w:tcPr>
          <w:p>
            <w:pPr>
              <w:widowControl/>
              <w:spacing w:line="240" w:lineRule="exact"/>
              <w:jc w:val="left"/>
              <w:rPr>
                <w:rFonts w:hint="eastAsia" w:ascii="宋体" w:hAnsi="宋体" w:eastAsia="宋体"/>
                <w:color w:val="auto"/>
                <w:kern w:val="0"/>
                <w:sz w:val="20"/>
                <w:szCs w:val="20"/>
              </w:rPr>
            </w:pPr>
            <w:r>
              <w:rPr>
                <w:rFonts w:hint="eastAsia" w:ascii="宋体" w:hAnsi="宋体"/>
                <w:color w:val="auto"/>
                <w:kern w:val="0"/>
                <w:sz w:val="20"/>
                <w:szCs w:val="20"/>
              </w:rPr>
              <w:t>十、本年实际应补（退）所得税额（</w:t>
            </w:r>
            <w:r>
              <w:rPr>
                <w:rFonts w:ascii="宋体" w:hAnsi="宋体"/>
                <w:color w:val="auto"/>
                <w:kern w:val="0"/>
                <w:sz w:val="20"/>
                <w:szCs w:val="20"/>
              </w:rPr>
              <w:t>38－42</w:t>
            </w:r>
            <w:r>
              <w:rPr>
                <w:rFonts w:hint="eastAsia" w:ascii="宋体" w:hAnsi="宋体"/>
                <w:color w:val="auto"/>
                <w:kern w:val="0"/>
                <w:sz w:val="20"/>
                <w:szCs w:val="20"/>
              </w:rPr>
              <w:t>－43－44）</w:t>
            </w:r>
          </w:p>
        </w:tc>
        <w:tc>
          <w:tcPr>
            <w:tcW w:w="1418" w:type="dxa"/>
            <w:noWrap w:val="0"/>
            <w:vAlign w:val="center"/>
          </w:tcPr>
          <w:p>
            <w:pPr>
              <w:widowControl/>
              <w:spacing w:line="240" w:lineRule="exact"/>
              <w:jc w:val="right"/>
              <w:rPr>
                <w:rFonts w:hint="eastAsia" w:ascii="宋体" w:hAnsi="宋体" w:eastAsia="宋体"/>
                <w:color w:val="auto"/>
                <w:kern w:val="0"/>
                <w:sz w:val="20"/>
                <w:szCs w:val="20"/>
              </w:rPr>
            </w:pPr>
          </w:p>
        </w:tc>
      </w:tr>
    </w:tbl>
    <w:p>
      <w:pPr>
        <w:widowControl/>
        <w:jc w:val="left"/>
        <w:rPr>
          <w:color w:val="auto"/>
        </w:rPr>
      </w:pPr>
      <w:r>
        <w:rPr>
          <w:color w:val="auto"/>
        </w:rPr>
        <w:br w:type="page"/>
      </w:r>
    </w:p>
    <w:p>
      <w:pPr>
        <w:pStyle w:val="13"/>
        <w:rPr>
          <w:rFonts w:hint="eastAsia" w:ascii="方正小标宋_GBK" w:hAnsi="方正小标宋_GBK" w:eastAsia="方正小标宋_GBK" w:cs="方正小标宋_GBK"/>
          <w:color w:val="auto"/>
        </w:rPr>
      </w:pPr>
      <w:bookmarkStart w:id="16" w:name="_Toc176972043"/>
      <w:bookmarkStart w:id="17" w:name="_Toc164008813"/>
      <w:bookmarkStart w:id="18" w:name="_Toc1634982304"/>
      <w:bookmarkStart w:id="19" w:name="_Toc12075"/>
      <w:bookmarkStart w:id="20" w:name="_Toc11389"/>
      <w:bookmarkStart w:id="21" w:name="_Toc24132"/>
      <w:bookmarkStart w:id="22" w:name="_Toc7304"/>
      <w:bookmarkStart w:id="23" w:name="_Toc54267893"/>
      <w:bookmarkStart w:id="24" w:name="_Toc21286"/>
      <w:bookmarkStart w:id="25" w:name="_Toc26285"/>
      <w:bookmarkStart w:id="26" w:name="_Toc9829"/>
      <w:bookmarkStart w:id="27" w:name="_Toc5016"/>
      <w:bookmarkStart w:id="28" w:name="_Toc23658"/>
      <w:bookmarkStart w:id="29" w:name="_Toc3634"/>
      <w:bookmarkStart w:id="30" w:name="_Toc22483"/>
      <w:bookmarkStart w:id="31" w:name="_Toc18387"/>
      <w:bookmarkStart w:id="32" w:name="_Toc13442"/>
      <w:bookmarkStart w:id="33" w:name="_Toc420684843_WPSOffice_Level1"/>
      <w:bookmarkStart w:id="34" w:name="_Toc54267918"/>
      <w:bookmarkStart w:id="35" w:name="_Toc1822427688_WPSOffice_Level1"/>
      <w:bookmarkStart w:id="36" w:name="_Toc24674"/>
      <w:r>
        <w:rPr>
          <w:rFonts w:hint="eastAsia" w:ascii="方正小标宋_GBK" w:hAnsi="方正小标宋_GBK" w:eastAsia="方正小标宋_GBK" w:cs="方正小标宋_GBK"/>
          <w:color w:val="auto"/>
        </w:rPr>
        <w:t>A100000《企业所得税年度纳税申报主表》填报说明</w:t>
      </w:r>
      <w:bookmarkEnd w:id="16"/>
      <w:bookmarkEnd w:id="17"/>
      <w:bookmarkEnd w:id="18"/>
    </w:p>
    <w:bookmarkEnd w:id="19"/>
    <w:bookmarkEnd w:id="20"/>
    <w:bookmarkEnd w:id="21"/>
    <w:bookmarkEnd w:id="22"/>
    <w:bookmarkEnd w:id="23"/>
    <w:bookmarkEnd w:id="24"/>
    <w:bookmarkEnd w:id="25"/>
    <w:bookmarkEnd w:id="26"/>
    <w:p>
      <w:pPr>
        <w:pStyle w:val="16"/>
        <w:spacing w:line="360" w:lineRule="auto"/>
        <w:ind w:firstLine="480"/>
        <w:rPr>
          <w:rFonts w:hint="eastAsia" w:ascii="宋体" w:hAnsi="宋体" w:eastAsia="宋体" w:cs="宋体"/>
          <w:color w:val="auto"/>
        </w:rPr>
      </w:pPr>
      <w:r>
        <w:rPr>
          <w:rFonts w:hint="eastAsia" w:ascii="宋体" w:hAnsi="宋体" w:eastAsia="宋体" w:cs="宋体"/>
          <w:color w:val="auto"/>
        </w:rPr>
        <w:t>本表为企业所得税年度纳税申报表的主表，纳税人应当</w:t>
      </w:r>
      <w:r>
        <w:rPr>
          <w:rFonts w:hint="eastAsia" w:ascii="宋体" w:hAnsi="宋体" w:eastAsia="宋体" w:cs="宋体"/>
          <w:color w:val="auto"/>
          <w:lang w:eastAsia="zh-CN"/>
        </w:rPr>
        <w:t>根据有关规定</w:t>
      </w:r>
      <w:r>
        <w:rPr>
          <w:rFonts w:hint="eastAsia" w:ascii="宋体" w:hAnsi="宋体" w:eastAsia="宋体" w:cs="宋体"/>
          <w:color w:val="auto"/>
        </w:rPr>
        <w:t>计算填报利润总额、应纳税所得额、应纳税额和实际应补（退）税额等有关项目。纳税人在计算应纳税所得额及应纳税额时，会计处理与税收规定不一致的，应当按照税收规定计算。税收规定不明确的，在没有明确规定之前，暂按国家统一会计制度计算。</w:t>
      </w:r>
    </w:p>
    <w:p>
      <w:pPr>
        <w:pStyle w:val="17"/>
        <w:ind w:firstLine="480"/>
        <w:jc w:val="both"/>
        <w:outlineLvl w:val="1"/>
        <w:rPr>
          <w:rFonts w:hint="eastAsia"/>
          <w:color w:val="auto"/>
          <w:sz w:val="24"/>
          <w:szCs w:val="24"/>
        </w:rPr>
      </w:pPr>
      <w:bookmarkStart w:id="37" w:name="_Toc29250"/>
      <w:bookmarkStart w:id="38" w:name="_Toc238322417_WPSOffice_Level1"/>
      <w:bookmarkStart w:id="39" w:name="_Toc1624919271"/>
      <w:bookmarkStart w:id="40" w:name="_Toc163974560"/>
      <w:bookmarkStart w:id="41" w:name="_Toc17105"/>
      <w:bookmarkStart w:id="42" w:name="_Toc18808"/>
      <w:bookmarkStart w:id="43" w:name="_Toc3511"/>
      <w:bookmarkStart w:id="44" w:name="_Toc164008814"/>
      <w:bookmarkStart w:id="45" w:name="_Toc163974756"/>
      <w:bookmarkStart w:id="46" w:name="_Toc26832"/>
      <w:bookmarkStart w:id="47" w:name="_Toc176972044"/>
      <w:bookmarkStart w:id="48" w:name="_Toc3391"/>
      <w:bookmarkStart w:id="49" w:name="_Toc1191137581_WPSOffice_Level1"/>
      <w:bookmarkStart w:id="50" w:name="_Toc30416"/>
      <w:r>
        <w:rPr>
          <w:rFonts w:hint="eastAsia"/>
          <w:color w:val="auto"/>
          <w:sz w:val="24"/>
          <w:szCs w:val="24"/>
        </w:rPr>
        <w:t>一、有关项目填报说明</w:t>
      </w:r>
      <w:bookmarkEnd w:id="37"/>
      <w:bookmarkEnd w:id="38"/>
      <w:bookmarkEnd w:id="39"/>
      <w:bookmarkEnd w:id="40"/>
      <w:bookmarkEnd w:id="41"/>
      <w:bookmarkEnd w:id="42"/>
      <w:bookmarkEnd w:id="43"/>
      <w:bookmarkEnd w:id="44"/>
      <w:bookmarkEnd w:id="45"/>
      <w:bookmarkEnd w:id="46"/>
      <w:bookmarkEnd w:id="47"/>
      <w:bookmarkEnd w:id="48"/>
      <w:bookmarkEnd w:id="49"/>
      <w:bookmarkEnd w:id="50"/>
    </w:p>
    <w:p>
      <w:pPr>
        <w:pStyle w:val="21"/>
        <w:ind w:firstLine="480"/>
        <w:rPr>
          <w:rFonts w:hint="eastAsia"/>
          <w:color w:val="auto"/>
        </w:rPr>
      </w:pPr>
      <w:bookmarkStart w:id="51" w:name="_Toc1473874572_WPSOffice_Level2"/>
      <w:bookmarkStart w:id="52" w:name="_Toc1431273687_WPSOffice_Level2"/>
      <w:r>
        <w:rPr>
          <w:rFonts w:hint="eastAsia"/>
          <w:color w:val="auto"/>
        </w:rPr>
        <w:t>（一）表体项目</w:t>
      </w:r>
      <w:bookmarkEnd w:id="51"/>
      <w:bookmarkEnd w:id="52"/>
    </w:p>
    <w:p>
      <w:pPr>
        <w:pStyle w:val="12"/>
        <w:ind w:firstLine="480"/>
        <w:rPr>
          <w:rFonts w:hint="eastAsia"/>
          <w:color w:val="auto"/>
        </w:rPr>
      </w:pPr>
      <w:r>
        <w:rPr>
          <w:rFonts w:hint="eastAsia"/>
          <w:color w:val="auto"/>
        </w:rPr>
        <w:t>本表是在纳税人会计利润总额的基础上，加减纳税调整等金额后计算出“纳税调整后所得”。会计与税法的差异（包括收入类、扣除类、资产类等差异）通过《纳税调整项目明细表》（A105000）集中填报。</w:t>
      </w:r>
    </w:p>
    <w:p>
      <w:pPr>
        <w:pStyle w:val="12"/>
        <w:ind w:firstLine="480"/>
        <w:rPr>
          <w:rFonts w:hint="eastAsia"/>
          <w:color w:val="auto"/>
        </w:rPr>
      </w:pPr>
      <w:r>
        <w:rPr>
          <w:rFonts w:hint="eastAsia"/>
          <w:color w:val="auto"/>
        </w:rPr>
        <w:t>本表包括利润总额计算、应纳税所得额计算、应纳税额计算、实际应补（退）税额计算四个部分。</w:t>
      </w:r>
    </w:p>
    <w:p>
      <w:pPr>
        <w:pStyle w:val="12"/>
        <w:ind w:firstLine="480"/>
        <w:rPr>
          <w:rFonts w:hint="eastAsia"/>
          <w:color w:val="auto"/>
        </w:rPr>
      </w:pPr>
      <w:r>
        <w:rPr>
          <w:rFonts w:hint="eastAsia"/>
          <w:color w:val="auto"/>
        </w:rPr>
        <w:t>1.“利润总额计算”部分，按照国家统一会计制度规定计算填报。</w:t>
      </w:r>
      <w:bookmarkStart w:id="53" w:name="_Hlk164241768"/>
      <w:r>
        <w:rPr>
          <w:rFonts w:hint="eastAsia"/>
          <w:color w:val="auto"/>
        </w:rPr>
        <w:t>执</w:t>
      </w:r>
      <w:bookmarkEnd w:id="53"/>
      <w:r>
        <w:rPr>
          <w:rFonts w:hint="eastAsia"/>
          <w:color w:val="auto"/>
        </w:rPr>
        <w:t>行企业会计准则、小企业会计准则、企业会计制度等的纳税人，其数据直接取自《利润表》（另有说明的除外）；执行</w:t>
      </w:r>
      <w:bookmarkStart w:id="54" w:name="_Hlk134867403"/>
      <w:r>
        <w:rPr>
          <w:rFonts w:hint="eastAsia"/>
          <w:color w:val="auto"/>
        </w:rPr>
        <w:t>政府会计准则制度</w:t>
      </w:r>
      <w:bookmarkEnd w:id="54"/>
      <w:r>
        <w:rPr>
          <w:rFonts w:hint="eastAsia"/>
          <w:color w:val="auto"/>
        </w:rPr>
        <w:t>的纳税人，其数据取自《收入支出表》；执行民间非营利组织会计制度的纳税人，其数据取自《业务活动表》；执行其他国家统一会计制度的纳税人，根据本表项目进行分析填报。</w:t>
      </w:r>
    </w:p>
    <w:p>
      <w:pPr>
        <w:pStyle w:val="12"/>
        <w:ind w:firstLine="480"/>
        <w:rPr>
          <w:rFonts w:hint="eastAsia"/>
          <w:color w:val="auto"/>
        </w:rPr>
      </w:pPr>
      <w:r>
        <w:rPr>
          <w:rFonts w:hint="eastAsia"/>
          <w:color w:val="auto"/>
        </w:rPr>
        <w:t>2.“应纳税所得额计算”、“应纳税额计算”和“实际应补（退）税额计算”部分，根据具体项目填写。</w:t>
      </w:r>
    </w:p>
    <w:p>
      <w:pPr>
        <w:pStyle w:val="21"/>
        <w:ind w:firstLine="480"/>
        <w:rPr>
          <w:rFonts w:hint="eastAsia"/>
          <w:color w:val="auto"/>
        </w:rPr>
      </w:pPr>
      <w:bookmarkStart w:id="55" w:name="_Toc961699152_WPSOffice_Level2"/>
      <w:bookmarkStart w:id="56" w:name="_Toc164281316_WPSOffice_Level2"/>
      <w:r>
        <w:rPr>
          <w:rFonts w:hint="eastAsia"/>
          <w:color w:val="auto"/>
        </w:rPr>
        <w:t>（二）行次说明</w:t>
      </w:r>
      <w:bookmarkEnd w:id="55"/>
      <w:bookmarkEnd w:id="56"/>
    </w:p>
    <w:p>
      <w:pPr>
        <w:pStyle w:val="16"/>
        <w:spacing w:line="360" w:lineRule="auto"/>
        <w:ind w:firstLine="480"/>
        <w:rPr>
          <w:rFonts w:hint="eastAsia" w:ascii="宋体" w:hAnsi="宋体" w:eastAsia="宋体" w:cs="宋体"/>
          <w:color w:val="auto"/>
        </w:rPr>
      </w:pPr>
      <w:r>
        <w:rPr>
          <w:rFonts w:hint="eastAsia" w:ascii="宋体" w:hAnsi="宋体" w:eastAsia="宋体" w:cs="宋体"/>
          <w:color w:val="auto"/>
        </w:rPr>
        <w:t>1.第1行“营业收入”：填报纳税人主要经营业务和其他经营业务取得的收入总额。本行根据“主营业务收入”和“其他业务收入”的数额填报。一般企业纳税人</w:t>
      </w:r>
      <w:r>
        <w:rPr>
          <w:rFonts w:hint="eastAsia" w:ascii="宋体" w:hAnsi="宋体" w:eastAsia="宋体" w:cs="宋体"/>
          <w:color w:val="auto"/>
          <w:lang w:eastAsia="zh-CN"/>
        </w:rPr>
        <w:t>在</w:t>
      </w:r>
      <w:r>
        <w:rPr>
          <w:rFonts w:hint="eastAsia" w:ascii="宋体" w:hAnsi="宋体" w:eastAsia="宋体" w:cs="宋体"/>
          <w:color w:val="auto"/>
        </w:rPr>
        <w:t>《一般企业收入明细表》（A101010）填报</w:t>
      </w:r>
      <w:r>
        <w:rPr>
          <w:rFonts w:hint="eastAsia" w:ascii="宋体" w:hAnsi="宋体" w:eastAsia="宋体" w:cs="宋体"/>
          <w:color w:val="auto"/>
          <w:lang w:eastAsia="zh-CN"/>
        </w:rPr>
        <w:t>具体情况</w:t>
      </w:r>
      <w:r>
        <w:rPr>
          <w:rFonts w:hint="eastAsia" w:ascii="宋体" w:hAnsi="宋体" w:eastAsia="宋体" w:cs="宋体"/>
          <w:color w:val="auto"/>
        </w:rPr>
        <w:t>；金融企业纳税人</w:t>
      </w:r>
      <w:r>
        <w:rPr>
          <w:rFonts w:hint="eastAsia" w:ascii="宋体" w:hAnsi="宋体" w:eastAsia="宋体" w:cs="宋体"/>
          <w:color w:val="auto"/>
          <w:lang w:eastAsia="zh-CN"/>
        </w:rPr>
        <w:t>在</w:t>
      </w:r>
      <w:r>
        <w:rPr>
          <w:rFonts w:hint="eastAsia" w:ascii="宋体" w:hAnsi="宋体" w:eastAsia="宋体" w:cs="宋体"/>
          <w:color w:val="auto"/>
        </w:rPr>
        <w:t>《金融企业收入明细表》（A101020）填报</w:t>
      </w:r>
      <w:r>
        <w:rPr>
          <w:rFonts w:hint="eastAsia" w:ascii="宋体" w:hAnsi="宋体" w:eastAsia="宋体" w:cs="宋体"/>
          <w:color w:val="auto"/>
          <w:lang w:eastAsia="zh-CN"/>
        </w:rPr>
        <w:t>具体情况</w:t>
      </w:r>
      <w:r>
        <w:rPr>
          <w:rFonts w:hint="eastAsia" w:ascii="宋体" w:hAnsi="宋体" w:eastAsia="宋体" w:cs="宋体"/>
          <w:color w:val="auto"/>
        </w:rPr>
        <w:t>；事业单位、社会团体、民办非企业单位、非营利组织等纳税人</w:t>
      </w:r>
      <w:r>
        <w:rPr>
          <w:rFonts w:hint="eastAsia" w:ascii="宋体" w:hAnsi="宋体" w:eastAsia="宋体" w:cs="宋体"/>
          <w:color w:val="auto"/>
          <w:lang w:eastAsia="zh-CN"/>
        </w:rPr>
        <w:t>在</w:t>
      </w:r>
      <w:r>
        <w:rPr>
          <w:rFonts w:hint="eastAsia" w:ascii="宋体" w:hAnsi="宋体" w:eastAsia="宋体" w:cs="宋体"/>
          <w:color w:val="auto"/>
        </w:rPr>
        <w:t>《事业单位、民间非营利组织收入、支出明细表》（A103000）填报</w:t>
      </w:r>
      <w:r>
        <w:rPr>
          <w:rFonts w:hint="eastAsia" w:ascii="宋体" w:hAnsi="宋体" w:eastAsia="宋体" w:cs="宋体"/>
          <w:color w:val="auto"/>
          <w:lang w:eastAsia="zh-CN"/>
        </w:rPr>
        <w:t>具体情况</w:t>
      </w:r>
      <w:r>
        <w:rPr>
          <w:rFonts w:hint="eastAsia" w:ascii="宋体" w:hAnsi="宋体" w:eastAsia="宋体" w:cs="宋体"/>
          <w:color w:val="auto"/>
        </w:rPr>
        <w:t>。</w:t>
      </w:r>
    </w:p>
    <w:p>
      <w:pPr>
        <w:pStyle w:val="12"/>
        <w:ind w:firstLine="480"/>
        <w:rPr>
          <w:rFonts w:hint="eastAsia" w:cs="宋体"/>
          <w:color w:val="auto"/>
        </w:rPr>
      </w:pPr>
      <w:r>
        <w:rPr>
          <w:rFonts w:hint="eastAsia" w:cs="宋体"/>
          <w:color w:val="auto"/>
        </w:rPr>
        <w:t>2.第2行“营业成本”：填报纳税人主要经营业务和其他经营业务发生的成本总额。本行根据“主营业务成本”和“其他业务成本”的数额填报。一般企业纳税人</w:t>
      </w:r>
      <w:r>
        <w:rPr>
          <w:rFonts w:hint="eastAsia" w:cs="宋体"/>
          <w:color w:val="auto"/>
          <w:lang w:eastAsia="zh-CN"/>
        </w:rPr>
        <w:t>在</w:t>
      </w:r>
      <w:r>
        <w:rPr>
          <w:rFonts w:hint="eastAsia" w:cs="宋体"/>
          <w:color w:val="auto"/>
        </w:rPr>
        <w:t>《一般企业成本支出明细表》（A102010）填报</w:t>
      </w:r>
      <w:r>
        <w:rPr>
          <w:rFonts w:hint="eastAsia" w:ascii="宋体" w:hAnsi="宋体" w:eastAsia="宋体" w:cs="宋体"/>
          <w:color w:val="auto"/>
          <w:lang w:eastAsia="zh-CN"/>
        </w:rPr>
        <w:t>具体情况</w:t>
      </w:r>
      <w:r>
        <w:rPr>
          <w:rFonts w:hint="eastAsia" w:cs="宋体"/>
          <w:color w:val="auto"/>
        </w:rPr>
        <w:t>；金融企业纳税人</w:t>
      </w:r>
      <w:r>
        <w:rPr>
          <w:rFonts w:hint="eastAsia" w:cs="宋体"/>
          <w:color w:val="auto"/>
          <w:lang w:eastAsia="zh-CN"/>
        </w:rPr>
        <w:t>在</w:t>
      </w:r>
      <w:r>
        <w:rPr>
          <w:rFonts w:hint="eastAsia" w:cs="宋体"/>
          <w:color w:val="auto"/>
        </w:rPr>
        <w:t>《金融企业支出明细表》（A102020）填报</w:t>
      </w:r>
      <w:r>
        <w:rPr>
          <w:rFonts w:hint="eastAsia" w:ascii="宋体" w:hAnsi="宋体" w:eastAsia="宋体" w:cs="宋体"/>
          <w:color w:val="auto"/>
          <w:lang w:eastAsia="zh-CN"/>
        </w:rPr>
        <w:t>具体情况</w:t>
      </w:r>
      <w:r>
        <w:rPr>
          <w:rFonts w:hint="eastAsia" w:cs="宋体"/>
          <w:color w:val="auto"/>
        </w:rPr>
        <w:t>；事业单位、社会团体、民办非企业单位、非营利组织等纳税人，</w:t>
      </w:r>
      <w:r>
        <w:rPr>
          <w:rFonts w:hint="eastAsia" w:cs="宋体"/>
          <w:color w:val="auto"/>
          <w:lang w:eastAsia="zh-CN"/>
        </w:rPr>
        <w:t>在</w:t>
      </w:r>
      <w:r>
        <w:rPr>
          <w:rFonts w:hint="eastAsia" w:cs="宋体"/>
          <w:color w:val="auto"/>
        </w:rPr>
        <w:t>《事业单位、民间非营利组织收入、支出明细表》（A103000）填报</w:t>
      </w:r>
      <w:r>
        <w:rPr>
          <w:rFonts w:hint="eastAsia" w:ascii="宋体" w:hAnsi="宋体" w:eastAsia="宋体" w:cs="宋体"/>
          <w:color w:val="auto"/>
          <w:lang w:eastAsia="zh-CN"/>
        </w:rPr>
        <w:t>具体情况</w:t>
      </w:r>
      <w:r>
        <w:rPr>
          <w:rFonts w:hint="eastAsia" w:cs="宋体"/>
          <w:color w:val="auto"/>
        </w:rPr>
        <w:t>。</w:t>
      </w:r>
    </w:p>
    <w:p>
      <w:pPr>
        <w:pStyle w:val="16"/>
        <w:spacing w:line="360" w:lineRule="auto"/>
        <w:ind w:firstLine="480"/>
        <w:rPr>
          <w:rFonts w:hint="eastAsia" w:ascii="宋体" w:hAnsi="宋体" w:eastAsia="宋体" w:cs="宋体"/>
          <w:color w:val="auto"/>
        </w:rPr>
      </w:pPr>
      <w:r>
        <w:rPr>
          <w:rFonts w:hint="eastAsia" w:ascii="宋体" w:hAnsi="宋体" w:eastAsia="宋体" w:cs="宋体"/>
          <w:color w:val="auto"/>
        </w:rPr>
        <w:t>3.第3行“税金及附加”：填报纳税人经营活动发生的消费税、城市维护建设税、资源税、土地增值税和教育费附加等相关税费。本行根据纳税人相关会计科目填报。纳税人在其他会计科目核算的税金不得重复填报。</w:t>
      </w:r>
    </w:p>
    <w:p>
      <w:pPr>
        <w:pStyle w:val="16"/>
        <w:spacing w:line="360" w:lineRule="auto"/>
        <w:ind w:firstLine="480"/>
        <w:rPr>
          <w:rFonts w:hint="eastAsia" w:ascii="宋体" w:hAnsi="宋体" w:eastAsia="宋体" w:cs="宋体"/>
          <w:color w:val="auto"/>
        </w:rPr>
      </w:pPr>
      <w:r>
        <w:rPr>
          <w:rFonts w:hint="eastAsia" w:ascii="宋体" w:hAnsi="宋体" w:eastAsia="宋体" w:cs="宋体"/>
          <w:color w:val="auto"/>
        </w:rPr>
        <w:t>4.第4行“销售费用”：填报纳税人在销售商品和材料、提供劳务的过程中发生的各种费用。</w:t>
      </w:r>
      <w:r>
        <w:rPr>
          <w:rFonts w:hint="eastAsia" w:ascii="宋体" w:hAnsi="宋体" w:eastAsia="宋体" w:cs="宋体"/>
          <w:color w:val="auto"/>
          <w:lang w:eastAsia="zh-CN"/>
        </w:rPr>
        <w:t>在</w:t>
      </w:r>
      <w:r>
        <w:rPr>
          <w:rFonts w:hint="eastAsia" w:ascii="宋体" w:hAnsi="宋体" w:eastAsia="宋体" w:cs="宋体"/>
          <w:color w:val="auto"/>
        </w:rPr>
        <w:t>《期间费用明细表》（A104000）中“销售费用”</w:t>
      </w:r>
      <w:r>
        <w:rPr>
          <w:rFonts w:hint="eastAsia" w:ascii="宋体" w:hAnsi="宋体" w:eastAsia="宋体" w:cs="宋体"/>
          <w:color w:val="auto"/>
          <w:lang w:eastAsia="zh-CN"/>
        </w:rPr>
        <w:t>项目</w:t>
      </w:r>
      <w:r>
        <w:rPr>
          <w:rFonts w:hint="eastAsia" w:ascii="宋体" w:hAnsi="宋体" w:eastAsia="宋体" w:cs="宋体"/>
          <w:color w:val="auto"/>
        </w:rPr>
        <w:t>填报</w:t>
      </w:r>
      <w:r>
        <w:rPr>
          <w:rFonts w:hint="eastAsia" w:ascii="宋体" w:hAnsi="宋体" w:eastAsia="宋体" w:cs="宋体"/>
          <w:color w:val="auto"/>
          <w:lang w:eastAsia="zh-CN"/>
        </w:rPr>
        <w:t>具体情况</w:t>
      </w:r>
      <w:r>
        <w:rPr>
          <w:rFonts w:hint="eastAsia" w:ascii="宋体" w:hAnsi="宋体" w:eastAsia="宋体" w:cs="宋体"/>
          <w:color w:val="auto"/>
        </w:rPr>
        <w:t>。</w:t>
      </w:r>
    </w:p>
    <w:p>
      <w:pPr>
        <w:pStyle w:val="16"/>
        <w:spacing w:line="360" w:lineRule="auto"/>
        <w:ind w:firstLine="480"/>
        <w:rPr>
          <w:rFonts w:hint="eastAsia" w:ascii="宋体" w:hAnsi="宋体" w:eastAsia="宋体" w:cs="宋体"/>
          <w:color w:val="auto"/>
        </w:rPr>
      </w:pPr>
      <w:r>
        <w:rPr>
          <w:rFonts w:hint="eastAsia" w:ascii="宋体" w:hAnsi="宋体" w:eastAsia="宋体" w:cs="宋体"/>
          <w:color w:val="auto"/>
        </w:rPr>
        <w:t>5.第5行“管理费用”：填报纳税人为组织和管理企业生产经营发生的管理费用。</w:t>
      </w:r>
      <w:r>
        <w:rPr>
          <w:rFonts w:hint="eastAsia" w:ascii="宋体" w:hAnsi="宋体" w:eastAsia="宋体" w:cs="宋体"/>
          <w:color w:val="auto"/>
          <w:lang w:eastAsia="zh-CN"/>
        </w:rPr>
        <w:t>在</w:t>
      </w:r>
      <w:r>
        <w:rPr>
          <w:rFonts w:hint="eastAsia" w:ascii="宋体" w:hAnsi="宋体" w:eastAsia="宋体" w:cs="宋体"/>
          <w:color w:val="auto"/>
        </w:rPr>
        <w:t>《期间费用明细表》（A104000）中“管理费用”</w:t>
      </w:r>
      <w:r>
        <w:rPr>
          <w:rFonts w:hint="eastAsia" w:ascii="宋体" w:hAnsi="宋体" w:eastAsia="宋体" w:cs="宋体"/>
          <w:color w:val="auto"/>
          <w:lang w:eastAsia="zh-CN"/>
        </w:rPr>
        <w:t>项目</w:t>
      </w:r>
      <w:r>
        <w:rPr>
          <w:rFonts w:hint="eastAsia" w:ascii="宋体" w:hAnsi="宋体" w:eastAsia="宋体" w:cs="宋体"/>
          <w:color w:val="auto"/>
        </w:rPr>
        <w:t>填报</w:t>
      </w:r>
      <w:r>
        <w:rPr>
          <w:rFonts w:hint="eastAsia" w:ascii="宋体" w:hAnsi="宋体" w:eastAsia="宋体" w:cs="宋体"/>
          <w:color w:val="auto"/>
          <w:lang w:eastAsia="zh-CN"/>
        </w:rPr>
        <w:t>具体情况</w:t>
      </w:r>
      <w:r>
        <w:rPr>
          <w:rFonts w:hint="eastAsia" w:ascii="宋体" w:hAnsi="宋体" w:eastAsia="宋体" w:cs="宋体"/>
          <w:color w:val="auto"/>
        </w:rPr>
        <w:t>。本行应剔除会计核算“管理费用”科目下“研究费用”明细科目的发生额，并减去“管理费用”科目下“无形资产摊销”中自行开发无形资产摊销额。</w:t>
      </w:r>
    </w:p>
    <w:p>
      <w:pPr>
        <w:pStyle w:val="16"/>
        <w:spacing w:line="360" w:lineRule="auto"/>
        <w:ind w:firstLine="480"/>
        <w:rPr>
          <w:rFonts w:hint="eastAsia" w:ascii="宋体" w:hAnsi="宋体" w:eastAsia="宋体" w:cs="宋体"/>
          <w:color w:val="auto"/>
        </w:rPr>
      </w:pPr>
      <w:r>
        <w:rPr>
          <w:rFonts w:hint="eastAsia" w:ascii="宋体" w:hAnsi="宋体" w:eastAsia="宋体" w:cs="宋体"/>
          <w:color w:val="auto"/>
        </w:rPr>
        <w:t>6.第6行“研发费用”：填报</w:t>
      </w:r>
      <w:r>
        <w:rPr>
          <w:rFonts w:hint="eastAsia" w:ascii="宋体" w:hAnsi="宋体" w:eastAsia="宋体" w:cs="宋体"/>
          <w:color w:val="auto"/>
          <w:lang w:eastAsia="zh-CN"/>
        </w:rPr>
        <w:t>纳税人</w:t>
      </w:r>
      <w:r>
        <w:rPr>
          <w:rFonts w:hint="eastAsia" w:ascii="宋体" w:hAnsi="宋体" w:eastAsia="宋体" w:cs="宋体"/>
          <w:color w:val="auto"/>
        </w:rPr>
        <w:t>进行研究与开发过程中发生的费用化支出，以及计入管理费用的自行开发无形资产摊销</w:t>
      </w:r>
      <w:r>
        <w:rPr>
          <w:rFonts w:hint="eastAsia" w:ascii="宋体" w:hAnsi="宋体" w:eastAsia="宋体" w:cs="宋体"/>
          <w:color w:val="auto"/>
          <w:lang w:eastAsia="zh-CN"/>
        </w:rPr>
        <w:t>额</w:t>
      </w:r>
      <w:r>
        <w:rPr>
          <w:rFonts w:hint="eastAsia" w:ascii="宋体" w:hAnsi="宋体" w:eastAsia="宋体" w:cs="宋体"/>
          <w:color w:val="auto"/>
        </w:rPr>
        <w:t>。</w:t>
      </w:r>
      <w:r>
        <w:rPr>
          <w:rFonts w:hint="eastAsia" w:ascii="宋体" w:hAnsi="宋体" w:eastAsia="宋体" w:cs="宋体"/>
          <w:color w:val="auto"/>
          <w:highlight w:val="none"/>
          <w:lang w:eastAsia="zh-CN"/>
        </w:rPr>
        <w:t>在</w:t>
      </w:r>
      <w:r>
        <w:rPr>
          <w:rFonts w:hint="eastAsia" w:ascii="宋体" w:hAnsi="宋体" w:eastAsia="宋体" w:cs="宋体"/>
          <w:color w:val="auto"/>
          <w:highlight w:val="none"/>
        </w:rPr>
        <w:t>《期间费用明细表》（A104000）中“管理费用”</w:t>
      </w:r>
      <w:r>
        <w:rPr>
          <w:rFonts w:hint="eastAsia" w:ascii="宋体" w:hAnsi="宋体" w:eastAsia="宋体" w:cs="宋体"/>
          <w:color w:val="auto"/>
          <w:highlight w:val="none"/>
          <w:lang w:eastAsia="zh-CN"/>
        </w:rPr>
        <w:t>项目</w:t>
      </w:r>
      <w:r>
        <w:rPr>
          <w:rFonts w:hint="eastAsia" w:ascii="宋体" w:hAnsi="宋体" w:eastAsia="宋体" w:cs="宋体"/>
          <w:color w:val="auto"/>
          <w:highlight w:val="none"/>
        </w:rPr>
        <w:t>填报</w:t>
      </w:r>
      <w:r>
        <w:rPr>
          <w:rFonts w:hint="eastAsia" w:ascii="宋体" w:hAnsi="宋体" w:eastAsia="宋体" w:cs="宋体"/>
          <w:color w:val="auto"/>
          <w:highlight w:val="none"/>
          <w:lang w:eastAsia="zh-CN"/>
        </w:rPr>
        <w:t>具体情况</w:t>
      </w:r>
      <w:r>
        <w:rPr>
          <w:rFonts w:hint="eastAsia" w:ascii="宋体" w:hAnsi="宋体" w:eastAsia="宋体" w:cs="宋体"/>
          <w:color w:val="auto"/>
          <w:highlight w:val="none"/>
        </w:rPr>
        <w:t>。</w:t>
      </w:r>
      <w:r>
        <w:rPr>
          <w:rFonts w:hint="eastAsia" w:ascii="宋体" w:hAnsi="宋体" w:eastAsia="宋体" w:cs="宋体"/>
          <w:color w:val="auto"/>
        </w:rPr>
        <w:t>本行根据“管理费用”科目下的“研究费用”明细科目的发生额，以及“管理费用”科目下的“无形资产摊销”明细科目的发生额分析填报。</w:t>
      </w:r>
    </w:p>
    <w:p>
      <w:pPr>
        <w:pStyle w:val="16"/>
        <w:spacing w:line="360" w:lineRule="auto"/>
        <w:ind w:firstLine="480"/>
        <w:rPr>
          <w:rFonts w:hint="eastAsia" w:ascii="宋体" w:hAnsi="宋体" w:eastAsia="宋体" w:cs="宋体"/>
          <w:color w:val="auto"/>
        </w:rPr>
      </w:pPr>
      <w:r>
        <w:rPr>
          <w:rFonts w:hint="eastAsia" w:ascii="宋体" w:hAnsi="宋体" w:eastAsia="宋体" w:cs="宋体"/>
          <w:color w:val="auto"/>
        </w:rPr>
        <w:t>7.第7行“财务费用”：填报纳税人为筹集生产经营所需资金等发生的筹资费用。</w:t>
      </w:r>
      <w:r>
        <w:rPr>
          <w:rFonts w:hint="eastAsia" w:ascii="宋体" w:hAnsi="宋体" w:eastAsia="宋体" w:cs="宋体"/>
          <w:color w:val="auto"/>
          <w:lang w:eastAsia="zh-CN"/>
        </w:rPr>
        <w:t>在</w:t>
      </w:r>
      <w:r>
        <w:rPr>
          <w:rFonts w:hint="eastAsia" w:ascii="宋体" w:hAnsi="宋体" w:eastAsia="宋体" w:cs="宋体"/>
          <w:color w:val="auto"/>
        </w:rPr>
        <w:t>《期间费用明细表》（A104000）中“财务费用”</w:t>
      </w:r>
      <w:r>
        <w:rPr>
          <w:rFonts w:hint="eastAsia" w:ascii="宋体" w:hAnsi="宋体" w:eastAsia="宋体" w:cs="宋体"/>
          <w:color w:val="auto"/>
          <w:lang w:eastAsia="zh-CN"/>
        </w:rPr>
        <w:t>项目</w:t>
      </w:r>
      <w:r>
        <w:rPr>
          <w:rFonts w:hint="eastAsia" w:ascii="宋体" w:hAnsi="宋体" w:eastAsia="宋体" w:cs="宋体"/>
          <w:color w:val="auto"/>
        </w:rPr>
        <w:t>填报</w:t>
      </w:r>
      <w:r>
        <w:rPr>
          <w:rFonts w:hint="eastAsia" w:ascii="宋体" w:hAnsi="宋体" w:eastAsia="宋体" w:cs="宋体"/>
          <w:color w:val="auto"/>
          <w:lang w:eastAsia="zh-CN"/>
        </w:rPr>
        <w:t>具体情况</w:t>
      </w:r>
      <w:r>
        <w:rPr>
          <w:rFonts w:hint="eastAsia" w:ascii="宋体" w:hAnsi="宋体" w:eastAsia="宋体" w:cs="宋体"/>
          <w:color w:val="auto"/>
        </w:rPr>
        <w:t>。</w:t>
      </w:r>
    </w:p>
    <w:p>
      <w:pPr>
        <w:pStyle w:val="16"/>
        <w:spacing w:line="360" w:lineRule="auto"/>
        <w:ind w:firstLine="480"/>
        <w:rPr>
          <w:rFonts w:hint="eastAsia" w:ascii="宋体" w:hAnsi="宋体" w:eastAsia="宋体" w:cs="宋体"/>
          <w:color w:val="auto"/>
        </w:rPr>
      </w:pPr>
      <w:r>
        <w:rPr>
          <w:rFonts w:hint="eastAsia" w:ascii="宋体" w:hAnsi="宋体" w:eastAsia="宋体" w:cs="宋体"/>
          <w:color w:val="auto"/>
        </w:rPr>
        <w:t>8.第8行“其他收益”：填报纳税人计入其他收益的政府补助，以及其他与日常活动相关且计入其他收益的项目金额。本行根据“其他收益”科目的发生额分析填报。</w:t>
      </w:r>
    </w:p>
    <w:p>
      <w:pPr>
        <w:pStyle w:val="16"/>
        <w:spacing w:line="360" w:lineRule="auto"/>
        <w:ind w:firstLine="480"/>
        <w:rPr>
          <w:rFonts w:hint="eastAsia" w:ascii="宋体" w:hAnsi="宋体" w:eastAsia="宋体" w:cs="宋体"/>
          <w:color w:val="auto"/>
        </w:rPr>
      </w:pPr>
      <w:r>
        <w:rPr>
          <w:rFonts w:hint="eastAsia" w:ascii="宋体" w:hAnsi="宋体" w:eastAsia="宋体" w:cs="宋体"/>
          <w:color w:val="auto"/>
        </w:rPr>
        <w:t>9.第9行“投资收益”：填报纳税人以各种方式对外投资所取得的收益或发生的损失。根据“投资收益”科目的</w:t>
      </w:r>
      <w:r>
        <w:rPr>
          <w:rFonts w:hint="eastAsia" w:ascii="宋体" w:hAnsi="宋体" w:eastAsia="宋体" w:cs="宋体"/>
          <w:color w:val="auto"/>
          <w:lang w:eastAsia="zh-CN"/>
        </w:rPr>
        <w:t>发生</w:t>
      </w:r>
      <w:r>
        <w:rPr>
          <w:rFonts w:hint="eastAsia" w:ascii="宋体" w:hAnsi="宋体" w:eastAsia="宋体" w:cs="宋体"/>
          <w:color w:val="auto"/>
        </w:rPr>
        <w:t>额计算填报，损失以</w:t>
      </w:r>
      <w:r>
        <w:rPr>
          <w:rFonts w:hint="eastAsia" w:ascii="宋体" w:hAnsi="宋体" w:eastAsia="宋体" w:cs="宋体"/>
          <w:color w:val="auto"/>
          <w:lang w:eastAsia="zh-CN"/>
        </w:rPr>
        <w:t>“－”</w:t>
      </w:r>
      <w:r>
        <w:rPr>
          <w:rFonts w:hint="eastAsia" w:ascii="宋体" w:hAnsi="宋体" w:eastAsia="宋体" w:cs="宋体"/>
          <w:color w:val="auto"/>
        </w:rPr>
        <w:t>号填列。</w:t>
      </w:r>
    </w:p>
    <w:p>
      <w:pPr>
        <w:pStyle w:val="16"/>
        <w:spacing w:line="360" w:lineRule="auto"/>
        <w:ind w:firstLine="480"/>
        <w:rPr>
          <w:rFonts w:hint="eastAsia" w:ascii="宋体" w:hAnsi="宋体" w:eastAsia="宋体" w:cs="宋体"/>
          <w:color w:val="auto"/>
        </w:rPr>
      </w:pPr>
      <w:r>
        <w:rPr>
          <w:rFonts w:hint="eastAsia" w:ascii="宋体" w:hAnsi="宋体" w:eastAsia="宋体" w:cs="宋体"/>
          <w:color w:val="auto"/>
        </w:rPr>
        <w:t>10.第10行“净敞口套期收益”：填报</w:t>
      </w:r>
      <w:r>
        <w:rPr>
          <w:rFonts w:hint="eastAsia" w:ascii="宋体" w:hAnsi="宋体" w:eastAsia="宋体" w:cs="宋体"/>
          <w:color w:val="auto"/>
          <w:lang w:eastAsia="zh-CN"/>
        </w:rPr>
        <w:t>纳税人</w:t>
      </w:r>
      <w:r>
        <w:rPr>
          <w:rFonts w:hint="eastAsia" w:ascii="宋体" w:hAnsi="宋体" w:eastAsia="宋体" w:cs="宋体"/>
          <w:color w:val="auto"/>
        </w:rPr>
        <w:t>净敞口套期下被套期项目累计公允价值变动转入当期损益的金额或现金流量套期储备转入当期损益的金额。本行根据“净敞口套期损益”科目的发生额分析填报</w:t>
      </w:r>
      <w:r>
        <w:rPr>
          <w:rFonts w:hint="eastAsia" w:ascii="宋体" w:hAnsi="宋体" w:eastAsia="宋体" w:cs="宋体"/>
          <w:color w:val="auto"/>
          <w:lang w:eastAsia="zh-CN"/>
        </w:rPr>
        <w:t>，</w:t>
      </w:r>
      <w:r>
        <w:rPr>
          <w:rFonts w:hint="eastAsia" w:ascii="宋体" w:hAnsi="宋体" w:eastAsia="宋体" w:cs="宋体"/>
          <w:color w:val="auto"/>
        </w:rPr>
        <w:t>损失以</w:t>
      </w:r>
      <w:r>
        <w:rPr>
          <w:rFonts w:hint="eastAsia" w:ascii="宋体" w:hAnsi="宋体" w:eastAsia="宋体" w:cs="宋体"/>
          <w:color w:val="auto"/>
          <w:lang w:eastAsia="zh-CN"/>
        </w:rPr>
        <w:t>“－”</w:t>
      </w:r>
      <w:r>
        <w:rPr>
          <w:rFonts w:hint="eastAsia" w:ascii="宋体" w:hAnsi="宋体" w:eastAsia="宋体" w:cs="宋体"/>
          <w:color w:val="auto"/>
        </w:rPr>
        <w:t>号填列。</w:t>
      </w:r>
    </w:p>
    <w:p>
      <w:pPr>
        <w:pStyle w:val="16"/>
        <w:spacing w:line="360" w:lineRule="auto"/>
        <w:ind w:firstLine="480"/>
        <w:rPr>
          <w:rFonts w:hint="eastAsia" w:ascii="宋体" w:hAnsi="宋体" w:eastAsia="宋体" w:cs="宋体"/>
          <w:color w:val="auto"/>
        </w:rPr>
      </w:pPr>
      <w:r>
        <w:rPr>
          <w:rFonts w:hint="eastAsia" w:ascii="宋体" w:hAnsi="宋体" w:eastAsia="宋体" w:cs="宋体"/>
          <w:color w:val="auto"/>
        </w:rPr>
        <w:t>11.第11行“公允价值变动收益”：填报纳税人在初始确认时划分为以公允价值计量且其变动计入当期损益的金融资产或金融负债（包括交易性金融资产或负债，直接指定为以公允价值计量且其变动计入当期损益的金融资产或金融负债），以及采用公允价值模式计量的投资性房地产、衍生工具和套期业务中公允价值变动形成的应计入当期损益的利得或损失。本行根据“公允价值变动损益”科目的</w:t>
      </w:r>
      <w:r>
        <w:rPr>
          <w:rFonts w:hint="eastAsia" w:ascii="宋体" w:hAnsi="宋体" w:eastAsia="宋体" w:cs="宋体"/>
          <w:color w:val="auto"/>
          <w:lang w:eastAsia="zh-CN"/>
        </w:rPr>
        <w:t>发生</w:t>
      </w:r>
      <w:r>
        <w:rPr>
          <w:rFonts w:hint="eastAsia" w:ascii="宋体" w:hAnsi="宋体" w:eastAsia="宋体" w:cs="宋体"/>
          <w:color w:val="auto"/>
        </w:rPr>
        <w:t>额填报，损失以</w:t>
      </w:r>
      <w:r>
        <w:rPr>
          <w:rFonts w:hint="eastAsia" w:ascii="宋体" w:hAnsi="宋体" w:eastAsia="宋体" w:cs="宋体"/>
          <w:color w:val="auto"/>
          <w:lang w:eastAsia="zh-CN"/>
        </w:rPr>
        <w:t>“－”</w:t>
      </w:r>
      <w:r>
        <w:rPr>
          <w:rFonts w:hint="eastAsia" w:ascii="宋体" w:hAnsi="宋体" w:eastAsia="宋体" w:cs="宋体"/>
          <w:color w:val="auto"/>
        </w:rPr>
        <w:t>号填</w:t>
      </w:r>
      <w:r>
        <w:rPr>
          <w:rFonts w:hint="eastAsia" w:ascii="宋体" w:hAnsi="宋体" w:eastAsia="宋体" w:cs="宋体"/>
          <w:color w:val="auto"/>
          <w:lang w:eastAsia="zh-CN"/>
        </w:rPr>
        <w:t>列</w:t>
      </w:r>
      <w:r>
        <w:rPr>
          <w:rFonts w:hint="eastAsia" w:ascii="宋体" w:hAnsi="宋体" w:eastAsia="宋体" w:cs="宋体"/>
          <w:color w:val="auto"/>
        </w:rPr>
        <w:t>。</w:t>
      </w:r>
    </w:p>
    <w:p>
      <w:pPr>
        <w:pStyle w:val="16"/>
        <w:spacing w:line="360" w:lineRule="auto"/>
        <w:ind w:firstLine="480"/>
        <w:rPr>
          <w:rFonts w:hint="eastAsia" w:ascii="宋体" w:hAnsi="宋体" w:eastAsia="宋体" w:cs="宋体"/>
          <w:color w:val="auto"/>
        </w:rPr>
      </w:pPr>
      <w:r>
        <w:rPr>
          <w:rFonts w:hint="eastAsia" w:ascii="宋体" w:hAnsi="宋体" w:eastAsia="宋体" w:cs="宋体"/>
          <w:color w:val="auto"/>
        </w:rPr>
        <w:t>12.第12行“信用减值损失”：填报</w:t>
      </w:r>
      <w:r>
        <w:rPr>
          <w:rFonts w:hint="eastAsia" w:ascii="宋体" w:hAnsi="宋体" w:eastAsia="宋体" w:cs="宋体"/>
          <w:color w:val="auto"/>
          <w:lang w:eastAsia="zh-CN"/>
        </w:rPr>
        <w:t>纳税人</w:t>
      </w:r>
      <w:r>
        <w:rPr>
          <w:rFonts w:hint="eastAsia" w:ascii="宋体" w:hAnsi="宋体" w:eastAsia="宋体" w:cs="宋体"/>
          <w:color w:val="auto"/>
        </w:rPr>
        <w:t>按照《企业会计准则第22 号——金融工具确认和计量》（财会〔2017〕7号</w:t>
      </w:r>
      <w:r>
        <w:rPr>
          <w:rFonts w:hint="eastAsia" w:ascii="宋体" w:hAnsi="宋体" w:eastAsia="宋体" w:cs="宋体"/>
          <w:color w:val="auto"/>
          <w:lang w:eastAsia="zh-CN"/>
        </w:rPr>
        <w:t>发布</w:t>
      </w:r>
      <w:r>
        <w:rPr>
          <w:rFonts w:hint="eastAsia" w:ascii="宋体" w:hAnsi="宋体" w:eastAsia="宋体" w:cs="宋体"/>
          <w:color w:val="auto"/>
        </w:rPr>
        <w:t>）的要求计提的各项金融工具信用减值准备所确认的信用损失。该项目应根据“信用减值损失”科目的发生额分析填报，损失以</w:t>
      </w:r>
      <w:r>
        <w:rPr>
          <w:rFonts w:hint="eastAsia" w:ascii="宋体" w:hAnsi="宋体" w:eastAsia="宋体" w:cs="宋体"/>
          <w:color w:val="auto"/>
          <w:lang w:eastAsia="zh-CN"/>
        </w:rPr>
        <w:t>“－”</w:t>
      </w:r>
      <w:r>
        <w:rPr>
          <w:rFonts w:hint="eastAsia" w:ascii="宋体" w:hAnsi="宋体" w:eastAsia="宋体" w:cs="宋体"/>
          <w:color w:val="auto"/>
        </w:rPr>
        <w:t>号填列。</w:t>
      </w:r>
    </w:p>
    <w:p>
      <w:pPr>
        <w:pStyle w:val="16"/>
        <w:spacing w:line="360" w:lineRule="auto"/>
        <w:ind w:firstLine="480"/>
        <w:rPr>
          <w:rFonts w:hint="eastAsia" w:ascii="宋体" w:hAnsi="宋体" w:eastAsia="宋体" w:cs="宋体"/>
          <w:color w:val="auto"/>
        </w:rPr>
      </w:pPr>
      <w:r>
        <w:rPr>
          <w:rFonts w:hint="eastAsia" w:ascii="宋体" w:hAnsi="宋体" w:eastAsia="宋体" w:cs="宋体"/>
          <w:color w:val="auto"/>
        </w:rPr>
        <w:t>13.第13行“资产减值损失”：填报纳税人计提各项资产准备发生的减值损失。本行根据企业“资产减值损失”科目上的</w:t>
      </w:r>
      <w:r>
        <w:rPr>
          <w:rFonts w:hint="eastAsia" w:ascii="宋体" w:hAnsi="宋体" w:eastAsia="宋体" w:cs="宋体"/>
          <w:color w:val="auto"/>
          <w:lang w:eastAsia="zh-CN"/>
        </w:rPr>
        <w:t>发生额</w:t>
      </w:r>
      <w:r>
        <w:rPr>
          <w:rFonts w:hint="eastAsia" w:ascii="宋体" w:hAnsi="宋体" w:eastAsia="宋体" w:cs="宋体"/>
          <w:color w:val="auto"/>
        </w:rPr>
        <w:t>填报，损失以</w:t>
      </w:r>
      <w:r>
        <w:rPr>
          <w:rFonts w:hint="eastAsia" w:ascii="宋体" w:hAnsi="宋体" w:eastAsia="宋体" w:cs="宋体"/>
          <w:color w:val="auto"/>
          <w:lang w:eastAsia="zh-CN"/>
        </w:rPr>
        <w:t>“－”</w:t>
      </w:r>
      <w:r>
        <w:rPr>
          <w:rFonts w:hint="eastAsia" w:ascii="宋体" w:hAnsi="宋体" w:eastAsia="宋体" w:cs="宋体"/>
          <w:color w:val="auto"/>
        </w:rPr>
        <w:t>号填列。实行其他会计制度的比照填报。</w:t>
      </w:r>
    </w:p>
    <w:p>
      <w:pPr>
        <w:pStyle w:val="16"/>
        <w:spacing w:line="360" w:lineRule="auto"/>
        <w:ind w:firstLine="480"/>
        <w:rPr>
          <w:rFonts w:hint="eastAsia" w:ascii="宋体" w:hAnsi="宋体" w:eastAsia="宋体" w:cs="宋体"/>
          <w:color w:val="auto"/>
        </w:rPr>
      </w:pPr>
      <w:r>
        <w:rPr>
          <w:rFonts w:hint="eastAsia" w:ascii="宋体" w:hAnsi="宋体" w:eastAsia="宋体" w:cs="宋体"/>
          <w:color w:val="auto"/>
        </w:rPr>
        <w:t>14.第14行“资产处置收益”：填报</w:t>
      </w:r>
      <w:r>
        <w:rPr>
          <w:rFonts w:hint="eastAsia" w:ascii="宋体" w:hAnsi="宋体" w:eastAsia="宋体" w:cs="宋体"/>
          <w:color w:val="auto"/>
          <w:lang w:eastAsia="zh-CN"/>
        </w:rPr>
        <w:t>纳税人</w:t>
      </w:r>
      <w:r>
        <w:rPr>
          <w:rFonts w:hint="eastAsia" w:ascii="宋体" w:hAnsi="宋体" w:eastAsia="宋体" w:cs="宋体"/>
          <w:color w:val="auto"/>
        </w:rPr>
        <w:t>出售划分为持有待售的非流动资产（金融工具、长期股权投资和投资性房地产除外）或处置组（子公司和业务除外）时确认的处置利得或损失，以及处置未划分为持有待售的固定资产、在建工程、生产性生物资产及无形资产而产生的处置利得或损失。债务重组中因处置非流动资产（金融工具、长期股权投资和投资性房地产除外）产生的利得或损失和非货币性资产交换中换出非流动资产（金融工具、长期股权投资和投资性房地产除外）产生的利得或损失也在本行</w:t>
      </w:r>
      <w:r>
        <w:rPr>
          <w:rFonts w:hint="eastAsia" w:ascii="宋体" w:hAnsi="宋体" w:eastAsia="宋体" w:cs="宋体"/>
          <w:color w:val="auto"/>
          <w:lang w:eastAsia="zh-CN"/>
        </w:rPr>
        <w:t>填报</w:t>
      </w:r>
      <w:r>
        <w:rPr>
          <w:rFonts w:hint="eastAsia" w:ascii="宋体" w:hAnsi="宋体" w:eastAsia="宋体" w:cs="宋体"/>
          <w:color w:val="auto"/>
        </w:rPr>
        <w:t>。本行根据“资产处置损益”科目的发生额分析填报；损失以</w:t>
      </w:r>
      <w:r>
        <w:rPr>
          <w:rFonts w:hint="eastAsia" w:ascii="宋体" w:hAnsi="宋体" w:eastAsia="宋体" w:cs="宋体"/>
          <w:color w:val="auto"/>
          <w:lang w:eastAsia="zh-CN"/>
        </w:rPr>
        <w:t>“－”</w:t>
      </w:r>
      <w:r>
        <w:rPr>
          <w:rFonts w:hint="eastAsia" w:ascii="宋体" w:hAnsi="宋体" w:eastAsia="宋体" w:cs="宋体"/>
          <w:color w:val="auto"/>
        </w:rPr>
        <w:t>号填列。</w:t>
      </w:r>
    </w:p>
    <w:p>
      <w:pPr>
        <w:pStyle w:val="16"/>
        <w:spacing w:line="360" w:lineRule="auto"/>
        <w:ind w:firstLine="480"/>
        <w:rPr>
          <w:rFonts w:hint="eastAsia" w:ascii="宋体" w:hAnsi="宋体" w:eastAsia="宋体" w:cs="宋体"/>
          <w:color w:val="auto"/>
        </w:rPr>
      </w:pPr>
      <w:r>
        <w:rPr>
          <w:rFonts w:hint="eastAsia" w:ascii="宋体" w:hAnsi="宋体" w:eastAsia="宋体" w:cs="宋体"/>
          <w:color w:val="auto"/>
        </w:rPr>
        <w:t>15.第15行“营业利润”：填报纳税人当期的营业利润。根据上述项目计算填报。</w:t>
      </w:r>
    </w:p>
    <w:p>
      <w:pPr>
        <w:pStyle w:val="16"/>
        <w:spacing w:line="360" w:lineRule="auto"/>
        <w:ind w:firstLine="480"/>
        <w:rPr>
          <w:rFonts w:hint="eastAsia" w:ascii="宋体" w:hAnsi="宋体" w:eastAsia="宋体" w:cs="宋体"/>
          <w:color w:val="auto"/>
        </w:rPr>
      </w:pPr>
      <w:r>
        <w:rPr>
          <w:rFonts w:hint="eastAsia" w:ascii="宋体" w:hAnsi="宋体" w:eastAsia="宋体" w:cs="宋体"/>
          <w:color w:val="auto"/>
        </w:rPr>
        <w:t>16.第16行“营业外收入”：填报</w:t>
      </w:r>
      <w:r>
        <w:rPr>
          <w:rFonts w:hint="eastAsia" w:ascii="宋体" w:hAnsi="宋体" w:eastAsia="宋体" w:cs="宋体"/>
          <w:color w:val="auto"/>
          <w:lang w:eastAsia="zh-CN"/>
        </w:rPr>
        <w:t>纳税人</w:t>
      </w:r>
      <w:r>
        <w:rPr>
          <w:rFonts w:hint="eastAsia" w:ascii="宋体" w:hAnsi="宋体" w:eastAsia="宋体" w:cs="宋体"/>
          <w:color w:val="auto"/>
        </w:rPr>
        <w:t>发生的除营业利润以外的收益，主要包括与企业日常活动无关的政府补助、盘盈利得、捐赠利得（企业接受股东或股东的子公司直接或间接的捐赠，经济实质属于股东对企业的资本性投入的除外）等。一般企业纳税人</w:t>
      </w:r>
      <w:r>
        <w:rPr>
          <w:rFonts w:hint="eastAsia" w:ascii="宋体" w:hAnsi="宋体" w:eastAsia="宋体" w:cs="宋体"/>
          <w:color w:val="auto"/>
          <w:lang w:eastAsia="zh-CN"/>
        </w:rPr>
        <w:t>在</w:t>
      </w:r>
      <w:r>
        <w:rPr>
          <w:rFonts w:hint="eastAsia" w:ascii="宋体" w:hAnsi="宋体" w:eastAsia="宋体" w:cs="宋体"/>
          <w:color w:val="auto"/>
        </w:rPr>
        <w:t>《一般企业收入明细表》（A101010）填报</w:t>
      </w:r>
      <w:r>
        <w:rPr>
          <w:rFonts w:hint="eastAsia" w:ascii="宋体" w:hAnsi="宋体" w:eastAsia="宋体" w:cs="宋体"/>
          <w:color w:val="auto"/>
          <w:lang w:eastAsia="zh-CN"/>
        </w:rPr>
        <w:t>具体情况</w:t>
      </w:r>
      <w:r>
        <w:rPr>
          <w:rFonts w:hint="eastAsia" w:ascii="宋体" w:hAnsi="宋体" w:eastAsia="宋体" w:cs="宋体"/>
          <w:color w:val="auto"/>
        </w:rPr>
        <w:t>；金融企业纳税人</w:t>
      </w:r>
      <w:r>
        <w:rPr>
          <w:rFonts w:hint="eastAsia" w:ascii="宋体" w:hAnsi="宋体" w:eastAsia="宋体" w:cs="宋体"/>
          <w:color w:val="auto"/>
          <w:lang w:eastAsia="zh-CN"/>
        </w:rPr>
        <w:t>在</w:t>
      </w:r>
      <w:r>
        <w:rPr>
          <w:rFonts w:hint="eastAsia" w:ascii="宋体" w:hAnsi="宋体" w:eastAsia="宋体" w:cs="宋体"/>
          <w:color w:val="auto"/>
        </w:rPr>
        <w:t>《金融企业收入明细表》（A101020）填报</w:t>
      </w:r>
      <w:r>
        <w:rPr>
          <w:rFonts w:hint="eastAsia" w:ascii="宋体" w:hAnsi="宋体" w:eastAsia="宋体" w:cs="宋体"/>
          <w:color w:val="auto"/>
          <w:lang w:eastAsia="zh-CN"/>
        </w:rPr>
        <w:t>具体情况</w:t>
      </w:r>
      <w:r>
        <w:rPr>
          <w:rFonts w:hint="eastAsia" w:ascii="宋体" w:hAnsi="宋体" w:eastAsia="宋体" w:cs="宋体"/>
          <w:color w:val="auto"/>
        </w:rPr>
        <w:t>；实行事业单位会计准则或民间非营利组织会计制度的纳税人</w:t>
      </w:r>
      <w:r>
        <w:rPr>
          <w:rFonts w:hint="eastAsia" w:ascii="宋体" w:hAnsi="宋体" w:eastAsia="宋体" w:cs="宋体"/>
          <w:color w:val="auto"/>
          <w:lang w:eastAsia="zh-CN"/>
        </w:rPr>
        <w:t>在</w:t>
      </w:r>
      <w:r>
        <w:rPr>
          <w:rFonts w:hint="eastAsia" w:ascii="宋体" w:hAnsi="宋体" w:eastAsia="宋体" w:cs="宋体"/>
          <w:color w:val="auto"/>
        </w:rPr>
        <w:t>《事业单位、民间非营利组织收入、支出明细表》（A103000）填报</w:t>
      </w:r>
      <w:r>
        <w:rPr>
          <w:rFonts w:hint="eastAsia" w:ascii="宋体" w:hAnsi="宋体" w:eastAsia="宋体" w:cs="宋体"/>
          <w:color w:val="auto"/>
          <w:lang w:eastAsia="zh-CN"/>
        </w:rPr>
        <w:t>具体情况</w:t>
      </w:r>
      <w:r>
        <w:rPr>
          <w:rFonts w:hint="eastAsia" w:ascii="宋体" w:hAnsi="宋体" w:eastAsia="宋体" w:cs="宋体"/>
          <w:color w:val="auto"/>
        </w:rPr>
        <w:t>。</w:t>
      </w:r>
    </w:p>
    <w:p>
      <w:pPr>
        <w:pStyle w:val="16"/>
        <w:spacing w:line="360" w:lineRule="auto"/>
        <w:ind w:firstLine="480"/>
        <w:rPr>
          <w:rFonts w:hint="eastAsia" w:ascii="宋体" w:hAnsi="宋体" w:eastAsia="宋体" w:cs="宋体"/>
          <w:color w:val="auto"/>
        </w:rPr>
      </w:pPr>
      <w:r>
        <w:rPr>
          <w:rFonts w:hint="eastAsia" w:ascii="宋体" w:hAnsi="宋体" w:eastAsia="宋体" w:cs="宋体"/>
          <w:color w:val="auto"/>
        </w:rPr>
        <w:t>17.第17行“营业外支出”：填报</w:t>
      </w:r>
      <w:r>
        <w:rPr>
          <w:rFonts w:hint="eastAsia" w:ascii="宋体" w:hAnsi="宋体" w:eastAsia="宋体" w:cs="宋体"/>
          <w:color w:val="auto"/>
          <w:lang w:eastAsia="zh-CN"/>
        </w:rPr>
        <w:t>纳税人</w:t>
      </w:r>
      <w:r>
        <w:rPr>
          <w:rFonts w:hint="eastAsia" w:ascii="宋体" w:hAnsi="宋体" w:eastAsia="宋体" w:cs="宋体"/>
          <w:color w:val="auto"/>
        </w:rPr>
        <w:t>发生的除营业利润以外的支出，主要包括公益性捐赠支出、非常损失、盘亏损失、非流动资产毁损报废损失等。</w:t>
      </w:r>
      <w:r>
        <w:rPr>
          <w:rFonts w:hint="eastAsia" w:ascii="宋体" w:hAnsi="宋体" w:eastAsia="宋体" w:cs="宋体"/>
          <w:color w:val="auto"/>
          <w:lang w:eastAsia="zh-CN"/>
        </w:rPr>
        <w:t>纳税人</w:t>
      </w:r>
      <w:r>
        <w:rPr>
          <w:rFonts w:hint="eastAsia" w:ascii="宋体" w:hAnsi="宋体" w:eastAsia="宋体" w:cs="宋体"/>
          <w:color w:val="auto"/>
        </w:rPr>
        <w:t>在不同交易中形成的非流动资产毁损报废利得和损失不得相互抵销，应分别在“营业外收入”项目和“营业外支出”项目进行填列。一般企业纳税人</w:t>
      </w:r>
      <w:r>
        <w:rPr>
          <w:rFonts w:hint="eastAsia" w:ascii="宋体" w:hAnsi="宋体" w:eastAsia="宋体" w:cs="宋体"/>
          <w:color w:val="auto"/>
          <w:lang w:eastAsia="zh-CN"/>
        </w:rPr>
        <w:t>在</w:t>
      </w:r>
      <w:r>
        <w:rPr>
          <w:rFonts w:hint="eastAsia" w:ascii="宋体" w:hAnsi="宋体" w:eastAsia="宋体" w:cs="宋体"/>
          <w:color w:val="auto"/>
        </w:rPr>
        <w:t>《一般企业成本支出明细表》（A102010）填报</w:t>
      </w:r>
      <w:r>
        <w:rPr>
          <w:rFonts w:hint="eastAsia" w:ascii="宋体" w:hAnsi="宋体" w:eastAsia="宋体" w:cs="宋体"/>
          <w:color w:val="auto"/>
          <w:lang w:eastAsia="zh-CN"/>
        </w:rPr>
        <w:t>具体情况</w:t>
      </w:r>
      <w:r>
        <w:rPr>
          <w:rFonts w:hint="eastAsia" w:ascii="宋体" w:hAnsi="宋体" w:eastAsia="宋体" w:cs="宋体"/>
          <w:color w:val="auto"/>
        </w:rPr>
        <w:t>；金融企业纳税人</w:t>
      </w:r>
      <w:r>
        <w:rPr>
          <w:rFonts w:hint="eastAsia" w:ascii="宋体" w:hAnsi="宋体" w:eastAsia="宋体" w:cs="宋体"/>
          <w:color w:val="auto"/>
          <w:lang w:eastAsia="zh-CN"/>
        </w:rPr>
        <w:t>在</w:t>
      </w:r>
      <w:r>
        <w:rPr>
          <w:rFonts w:hint="eastAsia" w:ascii="宋体" w:hAnsi="宋体" w:eastAsia="宋体" w:cs="宋体"/>
          <w:color w:val="auto"/>
        </w:rPr>
        <w:t>《金融企业支出明细表》（A102020）填报</w:t>
      </w:r>
      <w:r>
        <w:rPr>
          <w:rFonts w:hint="eastAsia" w:ascii="宋体" w:hAnsi="宋体" w:eastAsia="宋体" w:cs="宋体"/>
          <w:color w:val="auto"/>
          <w:lang w:eastAsia="zh-CN"/>
        </w:rPr>
        <w:t>具体情况</w:t>
      </w:r>
      <w:r>
        <w:rPr>
          <w:rFonts w:hint="eastAsia" w:ascii="宋体" w:hAnsi="宋体" w:eastAsia="宋体" w:cs="宋体"/>
          <w:color w:val="auto"/>
        </w:rPr>
        <w:t>；实行事业单位会计准则或民间非营利组织会计制度的纳税人</w:t>
      </w:r>
      <w:r>
        <w:rPr>
          <w:rFonts w:hint="eastAsia" w:ascii="宋体" w:hAnsi="宋体" w:eastAsia="宋体" w:cs="宋体"/>
          <w:color w:val="auto"/>
          <w:lang w:eastAsia="zh-CN"/>
        </w:rPr>
        <w:t>在</w:t>
      </w:r>
      <w:r>
        <w:rPr>
          <w:rFonts w:hint="eastAsia" w:ascii="宋体" w:hAnsi="宋体" w:eastAsia="宋体" w:cs="宋体"/>
          <w:color w:val="auto"/>
        </w:rPr>
        <w:t>《事业单位、民间非营利组织收入、支出明细表》（A103000）填报</w:t>
      </w:r>
      <w:r>
        <w:rPr>
          <w:rFonts w:hint="eastAsia" w:ascii="宋体" w:hAnsi="宋体" w:eastAsia="宋体" w:cs="宋体"/>
          <w:color w:val="auto"/>
          <w:lang w:eastAsia="zh-CN"/>
        </w:rPr>
        <w:t>具体情况</w:t>
      </w:r>
      <w:r>
        <w:rPr>
          <w:rFonts w:hint="eastAsia" w:ascii="宋体" w:hAnsi="宋体" w:eastAsia="宋体" w:cs="宋体"/>
          <w:color w:val="auto"/>
        </w:rPr>
        <w:t>。</w:t>
      </w:r>
    </w:p>
    <w:p>
      <w:pPr>
        <w:pStyle w:val="16"/>
        <w:spacing w:line="360" w:lineRule="auto"/>
        <w:ind w:firstLine="480"/>
        <w:rPr>
          <w:rFonts w:hint="eastAsia" w:ascii="宋体" w:hAnsi="宋体" w:eastAsia="宋体" w:cs="宋体"/>
          <w:color w:val="auto"/>
        </w:rPr>
      </w:pPr>
      <w:r>
        <w:rPr>
          <w:rFonts w:hint="eastAsia" w:ascii="宋体" w:hAnsi="宋体" w:eastAsia="宋体" w:cs="宋体"/>
          <w:color w:val="auto"/>
        </w:rPr>
        <w:t>18.第18行“利润总额”：填报纳税人当期的利润总额。根据上述项目计算填报。</w:t>
      </w:r>
    </w:p>
    <w:p>
      <w:pPr>
        <w:pStyle w:val="16"/>
        <w:spacing w:line="360" w:lineRule="auto"/>
        <w:ind w:firstLine="480"/>
        <w:rPr>
          <w:color w:val="auto"/>
        </w:rPr>
      </w:pPr>
      <w:r>
        <w:rPr>
          <w:rFonts w:hint="eastAsia" w:ascii="宋体" w:hAnsi="宋体" w:eastAsia="宋体" w:cs="宋体"/>
          <w:color w:val="auto"/>
        </w:rPr>
        <w:t>19.第19</w:t>
      </w:r>
      <w:r>
        <w:rPr>
          <w:rFonts w:hint="eastAsia"/>
          <w:color w:val="auto"/>
        </w:rPr>
        <w:t>行“境外所得”：填报已计入利润总额以及按照税法相关规定已在《纳税调整项目明细表》</w:t>
      </w:r>
      <w:r>
        <w:rPr>
          <w:rFonts w:hint="eastAsia" w:ascii="宋体" w:hAnsi="宋体" w:eastAsia="宋体" w:cs="宋体"/>
          <w:color w:val="auto"/>
        </w:rPr>
        <w:t>（A105000）进行纳税调整的境外所得金额。同时，在《境外所得纳税调整后所得明细表》（A108010）</w:t>
      </w:r>
      <w:r>
        <w:rPr>
          <w:rFonts w:hint="eastAsia"/>
          <w:color w:val="auto"/>
        </w:rPr>
        <w:t>填报具体情况。</w:t>
      </w:r>
    </w:p>
    <w:p>
      <w:pPr>
        <w:pStyle w:val="12"/>
        <w:ind w:firstLine="480"/>
        <w:rPr>
          <w:rFonts w:hint="eastAsia" w:cs="宋体"/>
          <w:color w:val="auto"/>
        </w:rPr>
      </w:pPr>
      <w:r>
        <w:rPr>
          <w:rFonts w:hint="eastAsia" w:cs="宋体"/>
          <w:color w:val="auto"/>
        </w:rPr>
        <w:t>20.第</w:t>
      </w:r>
      <w:r>
        <w:rPr>
          <w:rFonts w:cs="宋体"/>
          <w:color w:val="auto"/>
        </w:rPr>
        <w:t>20</w:t>
      </w:r>
      <w:r>
        <w:rPr>
          <w:rFonts w:hint="eastAsia" w:cs="宋体"/>
          <w:color w:val="auto"/>
        </w:rPr>
        <w:t>行“纳税调整增加额”：填报纳税人会计处理与税收规定不一致，进行纳税调整增加的金额。同时，在《纳税调整项目明细表》（A105000）填报具体情况。</w:t>
      </w:r>
    </w:p>
    <w:p>
      <w:pPr>
        <w:pStyle w:val="12"/>
        <w:ind w:firstLine="480"/>
        <w:rPr>
          <w:rFonts w:hint="eastAsia" w:cs="宋体"/>
          <w:color w:val="auto"/>
        </w:rPr>
      </w:pPr>
      <w:r>
        <w:rPr>
          <w:rFonts w:hint="eastAsia" w:cs="宋体"/>
          <w:color w:val="auto"/>
        </w:rPr>
        <w:t>21.第</w:t>
      </w:r>
      <w:r>
        <w:rPr>
          <w:rFonts w:cs="宋体"/>
          <w:color w:val="auto"/>
        </w:rPr>
        <w:t>21</w:t>
      </w:r>
      <w:r>
        <w:rPr>
          <w:rFonts w:hint="eastAsia" w:cs="宋体"/>
          <w:color w:val="auto"/>
        </w:rPr>
        <w:t>行“纳税调整减少额”：填报纳税人会计处理与税收规定不一致，进行纳税调整减少的金额。同时，在《纳税调整项目明细表》（A105000）中填报具体情况。</w:t>
      </w:r>
    </w:p>
    <w:p>
      <w:pPr>
        <w:pStyle w:val="12"/>
        <w:ind w:firstLine="480"/>
        <w:rPr>
          <w:rFonts w:hint="eastAsia" w:cs="宋体"/>
          <w:color w:val="auto"/>
        </w:rPr>
      </w:pPr>
      <w:r>
        <w:rPr>
          <w:rFonts w:hint="eastAsia" w:cs="宋体"/>
          <w:color w:val="auto"/>
        </w:rPr>
        <w:t>22.第</w:t>
      </w:r>
      <w:r>
        <w:rPr>
          <w:rFonts w:cs="宋体"/>
          <w:color w:val="auto"/>
        </w:rPr>
        <w:t>22</w:t>
      </w:r>
      <w:r>
        <w:rPr>
          <w:rFonts w:hint="eastAsia" w:cs="宋体"/>
          <w:color w:val="auto"/>
        </w:rPr>
        <w:t>行“免税、减计收入及加计扣除”：根据相关行次计算结果填报属于税收规定的免税收入、减计收入、加计扣除金额。</w:t>
      </w:r>
      <w:bookmarkStart w:id="57" w:name="_Hlk134779499"/>
      <w:r>
        <w:rPr>
          <w:rFonts w:hint="eastAsia" w:cs="宋体"/>
          <w:color w:val="auto"/>
        </w:rPr>
        <w:t>纳税人根据</w:t>
      </w:r>
      <w:r>
        <w:rPr>
          <w:rFonts w:hint="eastAsia"/>
          <w:color w:val="auto"/>
        </w:rPr>
        <w:t>《企业所得税申报事项目录》，在</w:t>
      </w:r>
      <w:r>
        <w:rPr>
          <w:rFonts w:hint="eastAsia" w:cs="宋体"/>
          <w:color w:val="auto"/>
        </w:rPr>
        <w:t>第2</w:t>
      </w:r>
      <w:r>
        <w:rPr>
          <w:rFonts w:cs="宋体"/>
          <w:color w:val="auto"/>
        </w:rPr>
        <w:t>2.1</w:t>
      </w:r>
      <w:r>
        <w:rPr>
          <w:rFonts w:hint="eastAsia" w:cs="宋体"/>
          <w:color w:val="auto"/>
        </w:rPr>
        <w:t>行、第2</w:t>
      </w:r>
      <w:r>
        <w:rPr>
          <w:rFonts w:cs="宋体"/>
          <w:color w:val="auto"/>
        </w:rPr>
        <w:t>2.2</w:t>
      </w:r>
      <w:r>
        <w:rPr>
          <w:rFonts w:hint="eastAsia" w:cs="宋体"/>
          <w:color w:val="auto"/>
        </w:rPr>
        <w:t>行……填报税收规定的免税收入、减计收入、加计扣除等优惠事项的具体名称和本年累计金额。发生多项且根据税收规定可以同时享受的优惠事项，可以增加行次，但每个事项仅能填报一次。纳税人享受符合条件的居民企业之间的股息、红利等权益性投资收益优惠和研发费用加计扣除优惠的，同时在《符合条件的居民企业之间的股息、红利等权益性投资收益优惠明细表》（A107011）和《研发费用加计扣除优惠明细表》（A107012）中填报具体情况。</w:t>
      </w:r>
    </w:p>
    <w:bookmarkEnd w:id="57"/>
    <w:p>
      <w:pPr>
        <w:pStyle w:val="12"/>
        <w:ind w:firstLine="480"/>
        <w:rPr>
          <w:rFonts w:hint="eastAsia" w:cs="宋体"/>
          <w:color w:val="auto"/>
        </w:rPr>
      </w:pPr>
      <w:r>
        <w:rPr>
          <w:rFonts w:hint="eastAsia" w:cs="宋体"/>
          <w:color w:val="auto"/>
        </w:rPr>
        <w:t>23.第</w:t>
      </w:r>
      <w:r>
        <w:rPr>
          <w:rFonts w:cs="宋体"/>
          <w:color w:val="auto"/>
        </w:rPr>
        <w:t>23</w:t>
      </w:r>
      <w:r>
        <w:rPr>
          <w:rFonts w:hint="eastAsia" w:cs="宋体"/>
          <w:color w:val="auto"/>
        </w:rPr>
        <w:t>行“境外应税所得抵减境内亏损”：当纳税人选择不用境外所得抵减境内亏损时，填报0；当纳税人选择用境外所得抵减境内亏损时，填报境外所得抵减当年度境内亏损的金额。用境外所得弥补以前年度境内亏损的，同时在《企业所得税弥补亏损明细表》（A106000）和《境外所得税收抵免明细表》（A108000）填报具体情况。</w:t>
      </w:r>
    </w:p>
    <w:p>
      <w:pPr>
        <w:pStyle w:val="12"/>
        <w:ind w:firstLine="480"/>
        <w:rPr>
          <w:rFonts w:hint="eastAsia" w:cs="宋体"/>
          <w:color w:val="auto"/>
        </w:rPr>
      </w:pPr>
      <w:r>
        <w:rPr>
          <w:rFonts w:hint="eastAsia" w:cs="宋体"/>
          <w:color w:val="auto"/>
        </w:rPr>
        <w:t>24.第</w:t>
      </w:r>
      <w:r>
        <w:rPr>
          <w:rFonts w:cs="宋体"/>
          <w:color w:val="auto"/>
        </w:rPr>
        <w:t>24</w:t>
      </w:r>
      <w:r>
        <w:rPr>
          <w:rFonts w:hint="eastAsia" w:cs="宋体"/>
          <w:color w:val="auto"/>
        </w:rPr>
        <w:t>行“纳税调整后所得”：填报第18行－第19行＋第20行－第21行－第22行＋第23行金额。</w:t>
      </w:r>
    </w:p>
    <w:p>
      <w:pPr>
        <w:pStyle w:val="12"/>
        <w:ind w:firstLine="480"/>
        <w:rPr>
          <w:rFonts w:hint="eastAsia" w:cs="宋体"/>
          <w:color w:val="auto"/>
        </w:rPr>
      </w:pPr>
      <w:r>
        <w:rPr>
          <w:rFonts w:hint="eastAsia" w:cs="宋体"/>
          <w:color w:val="auto"/>
        </w:rPr>
        <w:t>25.第2</w:t>
      </w:r>
      <w:r>
        <w:rPr>
          <w:rFonts w:cs="宋体"/>
          <w:color w:val="auto"/>
        </w:rPr>
        <w:t>5</w:t>
      </w:r>
      <w:r>
        <w:rPr>
          <w:rFonts w:hint="eastAsia" w:cs="宋体"/>
          <w:color w:val="auto"/>
        </w:rPr>
        <w:t>行“所得减免”：填报属于税收规定的所得减免金额。同时，在《所得减免优惠明细表》（A107020）填报项目的具体情况。</w:t>
      </w:r>
    </w:p>
    <w:p>
      <w:pPr>
        <w:pStyle w:val="12"/>
        <w:ind w:firstLine="480"/>
        <w:rPr>
          <w:rFonts w:hint="eastAsia" w:cs="宋体"/>
          <w:color w:val="auto"/>
        </w:rPr>
      </w:pPr>
      <w:r>
        <w:rPr>
          <w:rFonts w:hint="eastAsia" w:cs="宋体"/>
          <w:color w:val="auto"/>
        </w:rPr>
        <w:t>26.第2</w:t>
      </w:r>
      <w:r>
        <w:rPr>
          <w:rFonts w:cs="宋体"/>
          <w:color w:val="auto"/>
        </w:rPr>
        <w:t>6</w:t>
      </w:r>
      <w:r>
        <w:rPr>
          <w:rFonts w:hint="eastAsia" w:cs="宋体"/>
          <w:color w:val="auto"/>
        </w:rPr>
        <w:t>行“弥补以前年度亏损”：填报纳税人按照税收规定可在税前弥补的以前年度亏损数额。同时，在《企业所得税弥补亏损明细表》（A106000）分年填报具体情况。</w:t>
      </w:r>
    </w:p>
    <w:p>
      <w:pPr>
        <w:pStyle w:val="12"/>
        <w:ind w:firstLine="480"/>
        <w:rPr>
          <w:rFonts w:hint="eastAsia" w:cs="宋体"/>
          <w:color w:val="auto"/>
        </w:rPr>
      </w:pPr>
      <w:r>
        <w:rPr>
          <w:rFonts w:hint="eastAsia" w:cs="宋体"/>
          <w:color w:val="auto"/>
        </w:rPr>
        <w:t>27.第2</w:t>
      </w:r>
      <w:r>
        <w:rPr>
          <w:rFonts w:cs="宋体"/>
          <w:color w:val="auto"/>
        </w:rPr>
        <w:t>7</w:t>
      </w:r>
      <w:r>
        <w:rPr>
          <w:rFonts w:hint="eastAsia" w:cs="宋体"/>
          <w:color w:val="auto"/>
        </w:rPr>
        <w:t>行“抵扣应纳税所得额”：填报根据税收规定应抵扣的应纳税所得额。同时在《抵扣应纳税所得额明细表》（A107030）中填报具体情况。</w:t>
      </w:r>
    </w:p>
    <w:p>
      <w:pPr>
        <w:pStyle w:val="12"/>
        <w:ind w:firstLine="480"/>
        <w:rPr>
          <w:rFonts w:hint="eastAsia" w:cs="宋体"/>
          <w:color w:val="auto"/>
        </w:rPr>
      </w:pPr>
      <w:r>
        <w:rPr>
          <w:rFonts w:hint="eastAsia" w:cs="宋体"/>
          <w:color w:val="auto"/>
        </w:rPr>
        <w:t>28.第2</w:t>
      </w:r>
      <w:r>
        <w:rPr>
          <w:rFonts w:cs="宋体"/>
          <w:color w:val="auto"/>
        </w:rPr>
        <w:t>8</w:t>
      </w:r>
      <w:r>
        <w:rPr>
          <w:rFonts w:hint="eastAsia" w:cs="宋体"/>
          <w:color w:val="auto"/>
        </w:rPr>
        <w:t>行“应纳税所得额”：填报第</w:t>
      </w:r>
      <w:r>
        <w:rPr>
          <w:rFonts w:cs="宋体"/>
          <w:color w:val="auto"/>
        </w:rPr>
        <w:t>24</w:t>
      </w:r>
      <w:r>
        <w:rPr>
          <w:rFonts w:hint="eastAsia" w:cs="宋体"/>
          <w:color w:val="auto"/>
        </w:rPr>
        <w:t>行－第2</w:t>
      </w:r>
      <w:r>
        <w:rPr>
          <w:rFonts w:cs="宋体"/>
          <w:color w:val="auto"/>
        </w:rPr>
        <w:t>5</w:t>
      </w:r>
      <w:r>
        <w:rPr>
          <w:rFonts w:hint="eastAsia" w:cs="宋体"/>
          <w:color w:val="auto"/>
        </w:rPr>
        <w:t>行－第2</w:t>
      </w:r>
      <w:r>
        <w:rPr>
          <w:rFonts w:cs="宋体"/>
          <w:color w:val="auto"/>
        </w:rPr>
        <w:t>6</w:t>
      </w:r>
      <w:r>
        <w:rPr>
          <w:rFonts w:hint="eastAsia" w:cs="宋体"/>
          <w:color w:val="auto"/>
        </w:rPr>
        <w:t>行－第2</w:t>
      </w:r>
      <w:r>
        <w:rPr>
          <w:rFonts w:cs="宋体"/>
          <w:color w:val="auto"/>
        </w:rPr>
        <w:t>7</w:t>
      </w:r>
      <w:r>
        <w:rPr>
          <w:rFonts w:hint="eastAsia" w:cs="宋体"/>
          <w:color w:val="auto"/>
        </w:rPr>
        <w:t>行金额。按照上述行次顺序计算结果为负数的，本行按0填报。</w:t>
      </w:r>
    </w:p>
    <w:p>
      <w:pPr>
        <w:pStyle w:val="12"/>
        <w:ind w:firstLine="480"/>
        <w:rPr>
          <w:rFonts w:hint="eastAsia" w:cs="宋体"/>
          <w:color w:val="auto"/>
        </w:rPr>
      </w:pPr>
      <w:r>
        <w:rPr>
          <w:rFonts w:hint="eastAsia" w:cs="宋体"/>
          <w:color w:val="auto"/>
        </w:rPr>
        <w:t>29.第2</w:t>
      </w:r>
      <w:r>
        <w:rPr>
          <w:rFonts w:cs="宋体"/>
          <w:color w:val="auto"/>
        </w:rPr>
        <w:t>9</w:t>
      </w:r>
      <w:r>
        <w:rPr>
          <w:rFonts w:hint="eastAsia" w:cs="宋体"/>
          <w:color w:val="auto"/>
        </w:rPr>
        <w:t>行“税率”：填报税法规定的税率</w:t>
      </w:r>
      <w:r>
        <w:rPr>
          <w:rFonts w:hint="eastAsia" w:cs="宋体"/>
          <w:color w:val="auto"/>
          <w:lang w:val="en-US" w:eastAsia="zh-CN"/>
        </w:rPr>
        <w:t>25%</w:t>
      </w:r>
      <w:r>
        <w:rPr>
          <w:rFonts w:hint="eastAsia" w:cs="宋体"/>
          <w:color w:val="auto"/>
        </w:rPr>
        <w:t>。</w:t>
      </w:r>
    </w:p>
    <w:p>
      <w:pPr>
        <w:pStyle w:val="12"/>
        <w:ind w:firstLine="480"/>
        <w:rPr>
          <w:rFonts w:hint="eastAsia" w:cs="宋体"/>
          <w:color w:val="auto"/>
        </w:rPr>
      </w:pPr>
      <w:r>
        <w:rPr>
          <w:rFonts w:hint="eastAsia" w:cs="宋体"/>
          <w:color w:val="auto"/>
        </w:rPr>
        <w:t>30.第</w:t>
      </w:r>
      <w:r>
        <w:rPr>
          <w:rFonts w:cs="宋体"/>
          <w:color w:val="auto"/>
        </w:rPr>
        <w:t>30</w:t>
      </w:r>
      <w:r>
        <w:rPr>
          <w:rFonts w:hint="eastAsia" w:cs="宋体"/>
          <w:color w:val="auto"/>
        </w:rPr>
        <w:t>行“应纳所得税额”：填报第2</w:t>
      </w:r>
      <w:r>
        <w:rPr>
          <w:rFonts w:cs="宋体"/>
          <w:color w:val="auto"/>
        </w:rPr>
        <w:t>8</w:t>
      </w:r>
      <w:r>
        <w:rPr>
          <w:rFonts w:hint="eastAsia" w:cs="宋体"/>
          <w:color w:val="auto"/>
        </w:rPr>
        <w:t>行×第2</w:t>
      </w:r>
      <w:r>
        <w:rPr>
          <w:rFonts w:cs="宋体"/>
          <w:color w:val="auto"/>
        </w:rPr>
        <w:t>9</w:t>
      </w:r>
      <w:r>
        <w:rPr>
          <w:rFonts w:hint="eastAsia" w:cs="宋体"/>
          <w:color w:val="auto"/>
        </w:rPr>
        <w:t>行金额。</w:t>
      </w:r>
    </w:p>
    <w:p>
      <w:pPr>
        <w:pStyle w:val="12"/>
        <w:ind w:firstLine="480"/>
        <w:rPr>
          <w:rFonts w:hint="eastAsia" w:cs="宋体"/>
          <w:color w:val="auto"/>
        </w:rPr>
      </w:pPr>
      <w:r>
        <w:rPr>
          <w:rFonts w:hint="eastAsia" w:cs="宋体"/>
          <w:color w:val="auto"/>
        </w:rPr>
        <w:t>31.第</w:t>
      </w:r>
      <w:r>
        <w:rPr>
          <w:rFonts w:cs="宋体"/>
          <w:color w:val="auto"/>
        </w:rPr>
        <w:t>31</w:t>
      </w:r>
      <w:r>
        <w:rPr>
          <w:rFonts w:hint="eastAsia" w:cs="宋体"/>
          <w:color w:val="auto"/>
        </w:rPr>
        <w:t>行“减免所得税额”：根据相关行次计算结果填报纳税人按税收规定实际减免的企业所得税额。</w:t>
      </w:r>
      <w:r>
        <w:rPr>
          <w:rFonts w:hint="eastAsia" w:cs="宋体"/>
          <w:color w:val="auto"/>
          <w:lang w:eastAsia="zh-CN"/>
        </w:rPr>
        <w:t>纳税人</w:t>
      </w:r>
      <w:r>
        <w:rPr>
          <w:rFonts w:hint="eastAsia" w:cs="宋体"/>
          <w:color w:val="auto"/>
        </w:rPr>
        <w:t>根据</w:t>
      </w:r>
      <w:r>
        <w:rPr>
          <w:rFonts w:hint="eastAsia"/>
          <w:color w:val="auto"/>
        </w:rPr>
        <w:t>《企业所得税申报事项目录》，</w:t>
      </w:r>
      <w:r>
        <w:rPr>
          <w:rFonts w:hint="eastAsia" w:cs="宋体"/>
          <w:color w:val="auto"/>
        </w:rPr>
        <w:t>在第</w:t>
      </w:r>
      <w:r>
        <w:rPr>
          <w:rFonts w:cs="宋体"/>
          <w:color w:val="auto"/>
        </w:rPr>
        <w:t>31.1</w:t>
      </w:r>
      <w:r>
        <w:rPr>
          <w:rFonts w:hint="eastAsia" w:cs="宋体"/>
          <w:color w:val="auto"/>
        </w:rPr>
        <w:t>行、第</w:t>
      </w:r>
      <w:r>
        <w:rPr>
          <w:rFonts w:cs="宋体"/>
          <w:color w:val="auto"/>
        </w:rPr>
        <w:t>31.2</w:t>
      </w:r>
      <w:r>
        <w:rPr>
          <w:rFonts w:hint="eastAsia" w:cs="宋体"/>
          <w:color w:val="auto"/>
        </w:rPr>
        <w:t>行……填报税收规定的减免所得税额优惠事项的具体名称和本年累计金额。发生多项且根据税收规定可以同时享受的优惠事项，可以增加行次，但每个事项仅能填报一次。具备高新技术企业资格的纳税人和享受软件、集成电路企业优惠政策的纳税人，同时在《高新技术企业优惠情况及明细表》（A107041）和《软件、集成电路企业优惠情况及明细表》（A107042）中填报具体情况。</w:t>
      </w:r>
    </w:p>
    <w:p>
      <w:pPr>
        <w:pStyle w:val="12"/>
        <w:ind w:firstLine="480"/>
        <w:rPr>
          <w:rFonts w:hint="eastAsia" w:cs="宋体"/>
          <w:color w:val="auto"/>
        </w:rPr>
      </w:pPr>
      <w:r>
        <w:rPr>
          <w:rFonts w:hint="eastAsia" w:cs="宋体"/>
          <w:color w:val="auto"/>
        </w:rPr>
        <w:t>32.第</w:t>
      </w:r>
      <w:r>
        <w:rPr>
          <w:rFonts w:cs="宋体"/>
          <w:color w:val="auto"/>
        </w:rPr>
        <w:t>32</w:t>
      </w:r>
      <w:r>
        <w:rPr>
          <w:rFonts w:hint="eastAsia" w:cs="宋体"/>
          <w:color w:val="auto"/>
        </w:rPr>
        <w:t>行“抵免所得税额”：填报</w:t>
      </w:r>
      <w:r>
        <w:rPr>
          <w:rFonts w:hint="eastAsia" w:cs="宋体"/>
          <w:color w:val="auto"/>
          <w:lang w:eastAsia="zh-CN"/>
        </w:rPr>
        <w:t>纳税人</w:t>
      </w:r>
      <w:r>
        <w:rPr>
          <w:rFonts w:hint="eastAsia" w:cs="宋体"/>
          <w:color w:val="auto"/>
        </w:rPr>
        <w:t>当年的应纳所得税额中抵免的金额。同时，在《税额抵免优惠明细表》（A107050）中填报具体情况。</w:t>
      </w:r>
    </w:p>
    <w:p>
      <w:pPr>
        <w:pStyle w:val="12"/>
        <w:ind w:firstLine="480"/>
        <w:rPr>
          <w:rFonts w:hint="eastAsia" w:cs="宋体"/>
          <w:color w:val="auto"/>
        </w:rPr>
      </w:pPr>
      <w:r>
        <w:rPr>
          <w:rFonts w:hint="eastAsia" w:cs="宋体"/>
          <w:color w:val="auto"/>
        </w:rPr>
        <w:t>33.第</w:t>
      </w:r>
      <w:r>
        <w:rPr>
          <w:rFonts w:cs="宋体"/>
          <w:color w:val="auto"/>
        </w:rPr>
        <w:t>33</w:t>
      </w:r>
      <w:r>
        <w:rPr>
          <w:rFonts w:hint="eastAsia" w:cs="宋体"/>
          <w:color w:val="auto"/>
        </w:rPr>
        <w:t>行“应纳税额”：填报第</w:t>
      </w:r>
      <w:r>
        <w:rPr>
          <w:rFonts w:cs="宋体"/>
          <w:color w:val="auto"/>
        </w:rPr>
        <w:t>30</w:t>
      </w:r>
      <w:r>
        <w:rPr>
          <w:rFonts w:hint="eastAsia" w:cs="宋体"/>
          <w:color w:val="auto"/>
        </w:rPr>
        <w:t>行－第</w:t>
      </w:r>
      <w:r>
        <w:rPr>
          <w:rFonts w:cs="宋体"/>
          <w:color w:val="auto"/>
        </w:rPr>
        <w:t>31</w:t>
      </w:r>
      <w:r>
        <w:rPr>
          <w:rFonts w:hint="eastAsia" w:cs="宋体"/>
          <w:color w:val="auto"/>
        </w:rPr>
        <w:t>行－第</w:t>
      </w:r>
      <w:r>
        <w:rPr>
          <w:rFonts w:cs="宋体"/>
          <w:color w:val="auto"/>
        </w:rPr>
        <w:t>32</w:t>
      </w:r>
      <w:r>
        <w:rPr>
          <w:rFonts w:hint="eastAsia" w:cs="宋体"/>
          <w:color w:val="auto"/>
        </w:rPr>
        <w:t>行金额。</w:t>
      </w:r>
    </w:p>
    <w:p>
      <w:pPr>
        <w:pStyle w:val="12"/>
        <w:ind w:firstLine="480"/>
        <w:rPr>
          <w:rFonts w:hint="eastAsia" w:cs="宋体"/>
          <w:color w:val="auto"/>
        </w:rPr>
      </w:pPr>
      <w:r>
        <w:rPr>
          <w:rFonts w:hint="eastAsia" w:cs="宋体"/>
          <w:color w:val="auto"/>
        </w:rPr>
        <w:t>34.第</w:t>
      </w:r>
      <w:r>
        <w:rPr>
          <w:rFonts w:cs="宋体"/>
          <w:color w:val="auto"/>
        </w:rPr>
        <w:t>34</w:t>
      </w:r>
      <w:r>
        <w:rPr>
          <w:rFonts w:hint="eastAsia" w:cs="宋体"/>
          <w:color w:val="auto"/>
        </w:rPr>
        <w:t>行“境外所得应纳所得税额”：填报纳税人来源于中国境外的所得，按照我国税收规定计算的应纳所得税额。同时，在《境外所得税收抵免明细表》（A108000）中填报具体情况。</w:t>
      </w:r>
    </w:p>
    <w:p>
      <w:pPr>
        <w:pStyle w:val="12"/>
        <w:ind w:firstLine="480"/>
        <w:rPr>
          <w:rFonts w:hint="eastAsia" w:cs="宋体"/>
          <w:color w:val="auto"/>
        </w:rPr>
      </w:pPr>
      <w:r>
        <w:rPr>
          <w:rFonts w:hint="eastAsia" w:cs="宋体"/>
          <w:color w:val="auto"/>
        </w:rPr>
        <w:t>35.第3</w:t>
      </w:r>
      <w:r>
        <w:rPr>
          <w:rFonts w:cs="宋体"/>
          <w:color w:val="auto"/>
        </w:rPr>
        <w:t>5</w:t>
      </w:r>
      <w:r>
        <w:rPr>
          <w:rFonts w:hint="eastAsia" w:cs="宋体"/>
          <w:color w:val="auto"/>
        </w:rPr>
        <w:t>行“境外所得抵免所得税额”：填报纳税人来源于中国境外所得依照中国境外税收法律以及相关规定应缴纳并实际缴纳（包括视同已实际缴纳）的企业所得税性质的税款（准予抵免税款）。同时，在《境外所得税收抵免明细表》（A108000）中填报具体情况。</w:t>
      </w:r>
    </w:p>
    <w:p>
      <w:pPr>
        <w:pStyle w:val="12"/>
        <w:ind w:firstLine="480"/>
        <w:rPr>
          <w:rFonts w:hint="eastAsia" w:cs="宋体"/>
          <w:color w:val="auto"/>
        </w:rPr>
      </w:pPr>
      <w:r>
        <w:rPr>
          <w:rFonts w:hint="eastAsia" w:cs="宋体"/>
          <w:color w:val="auto"/>
        </w:rPr>
        <w:t>36.第3</w:t>
      </w:r>
      <w:r>
        <w:rPr>
          <w:rFonts w:cs="宋体"/>
          <w:color w:val="auto"/>
        </w:rPr>
        <w:t>6</w:t>
      </w:r>
      <w:r>
        <w:rPr>
          <w:rFonts w:hint="eastAsia" w:cs="宋体"/>
          <w:color w:val="auto"/>
        </w:rPr>
        <w:t>行“实际应纳所得税额”：填报第</w:t>
      </w:r>
      <w:r>
        <w:rPr>
          <w:rFonts w:cs="宋体"/>
          <w:color w:val="auto"/>
        </w:rPr>
        <w:t>33</w:t>
      </w:r>
      <w:r>
        <w:rPr>
          <w:rFonts w:hint="eastAsia" w:cs="宋体"/>
          <w:color w:val="auto"/>
        </w:rPr>
        <w:t>行＋第</w:t>
      </w:r>
      <w:r>
        <w:rPr>
          <w:rFonts w:cs="宋体"/>
          <w:color w:val="auto"/>
        </w:rPr>
        <w:t>34</w:t>
      </w:r>
      <w:r>
        <w:rPr>
          <w:rFonts w:hint="eastAsia" w:cs="宋体"/>
          <w:color w:val="auto"/>
        </w:rPr>
        <w:t>行－第3</w:t>
      </w:r>
      <w:r>
        <w:rPr>
          <w:rFonts w:cs="宋体"/>
          <w:color w:val="auto"/>
        </w:rPr>
        <w:t>5</w:t>
      </w:r>
      <w:r>
        <w:rPr>
          <w:rFonts w:hint="eastAsia" w:cs="宋体"/>
          <w:color w:val="auto"/>
        </w:rPr>
        <w:t>行金额。其中，跨地区经营企业类型为“分支机构—须进行完整年度申报并按比例纳税”的纳税人，填报（第</w:t>
      </w:r>
      <w:r>
        <w:rPr>
          <w:rFonts w:cs="宋体"/>
          <w:color w:val="auto"/>
        </w:rPr>
        <w:t>33</w:t>
      </w:r>
      <w:r>
        <w:rPr>
          <w:rFonts w:hint="eastAsia" w:cs="宋体"/>
          <w:color w:val="auto"/>
        </w:rPr>
        <w:t>行＋第</w:t>
      </w:r>
      <w:r>
        <w:rPr>
          <w:rFonts w:cs="宋体"/>
          <w:color w:val="auto"/>
        </w:rPr>
        <w:t>34</w:t>
      </w:r>
      <w:r>
        <w:rPr>
          <w:rFonts w:hint="eastAsia" w:cs="宋体"/>
          <w:color w:val="auto"/>
        </w:rPr>
        <w:t>行－第3</w:t>
      </w:r>
      <w:r>
        <w:rPr>
          <w:rFonts w:cs="宋体"/>
          <w:color w:val="auto"/>
        </w:rPr>
        <w:t>5</w:t>
      </w:r>
      <w:r>
        <w:rPr>
          <w:rFonts w:hint="eastAsia" w:cs="宋体"/>
          <w:color w:val="auto"/>
        </w:rPr>
        <w:t>行）×“分支机构就地纳税比例”金额。</w:t>
      </w:r>
    </w:p>
    <w:p>
      <w:pPr>
        <w:pStyle w:val="12"/>
        <w:ind w:firstLine="480"/>
        <w:rPr>
          <w:rFonts w:hint="eastAsia" w:cs="宋体"/>
          <w:color w:val="auto"/>
        </w:rPr>
      </w:pPr>
      <w:r>
        <w:rPr>
          <w:rFonts w:hint="eastAsia" w:cs="宋体"/>
          <w:color w:val="auto"/>
        </w:rPr>
        <w:t>37.第3</w:t>
      </w:r>
      <w:r>
        <w:rPr>
          <w:rFonts w:cs="宋体"/>
          <w:color w:val="auto"/>
        </w:rPr>
        <w:t>7</w:t>
      </w:r>
      <w:r>
        <w:rPr>
          <w:rFonts w:hint="eastAsia" w:cs="宋体"/>
          <w:color w:val="auto"/>
        </w:rPr>
        <w:t>行“本年累计预缴所得税额”：填报纳税人按照税收规定本纳税年度已在月（季）度累计预缴的所得税额，包括建筑企业总机构直接管理的跨地区设立的项目部按规定向项目所在地主管税务机关预缴的所得税额、预缴时已享受的民族自治地区企业所得税地方分享部分减免金额。</w:t>
      </w:r>
    </w:p>
    <w:p>
      <w:pPr>
        <w:pStyle w:val="12"/>
        <w:ind w:firstLine="480"/>
        <w:rPr>
          <w:rFonts w:hint="eastAsia" w:cs="宋体"/>
          <w:color w:val="auto"/>
        </w:rPr>
      </w:pPr>
      <w:r>
        <w:rPr>
          <w:rFonts w:hint="eastAsia" w:cs="宋体"/>
          <w:color w:val="auto"/>
        </w:rPr>
        <w:t>38.第3</w:t>
      </w:r>
      <w:r>
        <w:rPr>
          <w:rFonts w:cs="宋体"/>
          <w:color w:val="auto"/>
        </w:rPr>
        <w:t>8</w:t>
      </w:r>
      <w:r>
        <w:rPr>
          <w:rFonts w:hint="eastAsia" w:cs="宋体"/>
          <w:color w:val="auto"/>
        </w:rPr>
        <w:t>行“本年应补（退）所得税额”：填报第3</w:t>
      </w:r>
      <w:r>
        <w:rPr>
          <w:rFonts w:cs="宋体"/>
          <w:color w:val="auto"/>
        </w:rPr>
        <w:t>6</w:t>
      </w:r>
      <w:r>
        <w:rPr>
          <w:rFonts w:hint="eastAsia" w:cs="宋体"/>
          <w:color w:val="auto"/>
        </w:rPr>
        <w:t>行－第3</w:t>
      </w:r>
      <w:r>
        <w:rPr>
          <w:rFonts w:cs="宋体"/>
          <w:color w:val="auto"/>
        </w:rPr>
        <w:t>7</w:t>
      </w:r>
      <w:r>
        <w:rPr>
          <w:rFonts w:hint="eastAsia" w:cs="宋体"/>
          <w:color w:val="auto"/>
        </w:rPr>
        <w:t>行金额。</w:t>
      </w:r>
    </w:p>
    <w:p>
      <w:pPr>
        <w:pStyle w:val="12"/>
        <w:ind w:firstLine="480"/>
        <w:rPr>
          <w:rFonts w:hint="eastAsia" w:cs="宋体"/>
          <w:color w:val="auto"/>
        </w:rPr>
      </w:pPr>
      <w:r>
        <w:rPr>
          <w:rFonts w:hint="eastAsia" w:cs="宋体"/>
          <w:color w:val="auto"/>
        </w:rPr>
        <w:t>39.第39行“总机构分摊本年应补（退）所得税额”：填报汇总纳税的总机构按照税收规定在总机构所在地分摊本年应补（退）所得税额。同时，在《跨地区经营汇总纳税企业年度分摊企业所得税明细表》（A109000）中填报具体情况。</w:t>
      </w:r>
    </w:p>
    <w:p>
      <w:pPr>
        <w:pStyle w:val="12"/>
        <w:ind w:firstLine="480"/>
        <w:rPr>
          <w:rFonts w:hint="eastAsia" w:cs="宋体"/>
          <w:color w:val="auto"/>
        </w:rPr>
      </w:pPr>
      <w:r>
        <w:rPr>
          <w:rFonts w:hint="eastAsia" w:cs="宋体"/>
          <w:color w:val="auto"/>
        </w:rPr>
        <w:t>40.第40行“财政集中分配本年应补（退）所得税额”：填报汇总纳税的总机构按照税收规定财政集中分配本年应补（退）所得税款。同时，在《跨地区经营汇总纳税企业年度分摊企业所得税明细表》（A109000）中填报具体情况。</w:t>
      </w:r>
    </w:p>
    <w:p>
      <w:pPr>
        <w:pStyle w:val="12"/>
        <w:ind w:firstLine="480"/>
        <w:rPr>
          <w:rFonts w:hint="eastAsia" w:cs="宋体"/>
          <w:color w:val="auto"/>
        </w:rPr>
      </w:pPr>
      <w:r>
        <w:rPr>
          <w:rFonts w:hint="eastAsia" w:cs="宋体"/>
          <w:color w:val="auto"/>
        </w:rPr>
        <w:t>41.第</w:t>
      </w:r>
      <w:r>
        <w:rPr>
          <w:rFonts w:cs="宋体"/>
          <w:color w:val="auto"/>
        </w:rPr>
        <w:t>41</w:t>
      </w:r>
      <w:r>
        <w:rPr>
          <w:rFonts w:hint="eastAsia" w:cs="宋体"/>
          <w:color w:val="auto"/>
        </w:rPr>
        <w:t>行“总机构主体生产经营部门分摊本年应补（退）所得税额”：填报汇总纳税的总机构所属的具有主体生产经营职能的部门按照税收规定应分摊的本年应补（退）所得税额。同时，在《跨地区经营汇总纳税企业年度分摊企业所得税明细表》（A109000）中填报具体情况。</w:t>
      </w:r>
    </w:p>
    <w:p>
      <w:pPr>
        <w:pStyle w:val="12"/>
        <w:ind w:firstLine="480"/>
        <w:rPr>
          <w:rFonts w:hint="eastAsia" w:cs="宋体"/>
          <w:color w:val="auto"/>
        </w:rPr>
      </w:pPr>
      <w:r>
        <w:rPr>
          <w:rFonts w:hint="eastAsia" w:cs="宋体"/>
          <w:color w:val="auto"/>
        </w:rPr>
        <w:t>42.第42行“民族自治地区企业所得税地方分享部分：□ 免征 □ 减征：减征幅度</w:t>
      </w:r>
      <w:r>
        <w:rPr>
          <w:color w:val="auto"/>
          <w:kern w:val="0"/>
          <w:u w:val="single"/>
        </w:rPr>
        <w:t xml:space="preserve">   </w:t>
      </w:r>
      <w:r>
        <w:rPr>
          <w:rFonts w:hint="eastAsia" w:cs="宋体"/>
          <w:color w:val="auto"/>
        </w:rPr>
        <w:t>%）”：根据有关规定，实行民族区域自治的自治区、自治州、自治县的自治机关对本民族自治地方的企业应缴纳的企业所得税中属于地方分享的部分，可以决定减征或免征，自治州、自治县决定减征或者免征的，须报省、自治区、直辖市人民政府批准。</w:t>
      </w:r>
    </w:p>
    <w:p>
      <w:pPr>
        <w:pStyle w:val="12"/>
        <w:ind w:firstLine="480"/>
        <w:rPr>
          <w:rFonts w:hint="eastAsia" w:cs="宋体"/>
          <w:color w:val="auto"/>
        </w:rPr>
      </w:pPr>
      <w:r>
        <w:rPr>
          <w:rFonts w:hint="eastAsia" w:cs="宋体"/>
          <w:color w:val="auto"/>
        </w:rPr>
        <w:t>纳税人填报该行次时，根据享受政策的类型选择“免征”或“减征”，二者必选其一。选择“免征”是指免征企业所得税税收地方分享部分；选择“减征：减征幅度</w:t>
      </w:r>
      <w:r>
        <w:rPr>
          <w:color w:val="auto"/>
          <w:kern w:val="0"/>
          <w:u w:val="single"/>
        </w:rPr>
        <w:t xml:space="preserve">   </w:t>
      </w:r>
      <w:r>
        <w:rPr>
          <w:rFonts w:hint="eastAsia" w:cs="宋体"/>
          <w:color w:val="auto"/>
        </w:rPr>
        <w:t>%”是指减征企业所得税税收地方分享部分。此时需填写“减征幅度”，减征幅度填写范围为1至100，表示企业所得税税收地方分享部分的减征比例。例如：地方分享部分减半征收，则选择“减征”，并在“减征幅度”后填写“50%”。</w:t>
      </w:r>
    </w:p>
    <w:p>
      <w:pPr>
        <w:pStyle w:val="12"/>
        <w:ind w:firstLine="480"/>
        <w:rPr>
          <w:rFonts w:hint="eastAsia" w:cs="宋体"/>
          <w:color w:val="auto"/>
        </w:rPr>
      </w:pPr>
      <w:r>
        <w:rPr>
          <w:rFonts w:hint="eastAsia" w:cs="宋体"/>
          <w:color w:val="auto"/>
        </w:rPr>
        <w:t>企业类型为“非跨地区经营企业”的，本行填报“实际应纳所得税额”×40%×减征幅度－本年度预缴申报累计已减免的地方分享部分减免金额的余额。企业类型为“跨地区经营汇总纳税企业总机构”的，本行填报总机构因民族地方优惠调整分配金额。</w:t>
      </w:r>
    </w:p>
    <w:p>
      <w:pPr>
        <w:pStyle w:val="12"/>
        <w:ind w:firstLine="480"/>
        <w:rPr>
          <w:rFonts w:hint="eastAsia" w:cs="宋体"/>
          <w:color w:val="auto"/>
        </w:rPr>
      </w:pPr>
      <w:r>
        <w:rPr>
          <w:rFonts w:hint="eastAsia" w:cs="宋体"/>
          <w:color w:val="auto"/>
        </w:rPr>
        <w:t>43.第43行“稽查查补（退）所得税额”：填报年度汇算清缴期结束后发生的税款所属期为本年度的稽查查补（退）所得税额。</w:t>
      </w:r>
    </w:p>
    <w:p>
      <w:pPr>
        <w:pStyle w:val="12"/>
        <w:ind w:firstLine="480"/>
        <w:rPr>
          <w:rFonts w:hint="eastAsia" w:cs="宋体"/>
          <w:color w:val="auto"/>
        </w:rPr>
      </w:pPr>
      <w:r>
        <w:rPr>
          <w:rFonts w:hint="eastAsia" w:cs="宋体"/>
          <w:color w:val="auto"/>
        </w:rPr>
        <w:t>44.第4</w:t>
      </w:r>
      <w:r>
        <w:rPr>
          <w:rFonts w:hint="eastAsia" w:cs="宋体"/>
          <w:color w:val="auto"/>
          <w:lang w:val="en-US" w:eastAsia="zh-CN"/>
        </w:rPr>
        <w:t>4</w:t>
      </w:r>
      <w:r>
        <w:rPr>
          <w:rFonts w:hint="eastAsia" w:cs="宋体"/>
          <w:color w:val="auto"/>
        </w:rPr>
        <w:t>行“特别纳税调整补（退）所得税额”：填报年度汇算清缴期结束后</w:t>
      </w:r>
      <w:r>
        <w:rPr>
          <w:rFonts w:hint="eastAsia" w:cs="宋体"/>
          <w:color w:val="auto"/>
          <w:lang w:eastAsia="zh-CN"/>
        </w:rPr>
        <w:t>发生的</w:t>
      </w:r>
      <w:r>
        <w:rPr>
          <w:rFonts w:hint="eastAsia" w:cs="宋体"/>
          <w:color w:val="auto"/>
        </w:rPr>
        <w:t>税款所属期为本年度的特别纳税调整实际已补（退）所得税额。</w:t>
      </w:r>
    </w:p>
    <w:p>
      <w:pPr>
        <w:pStyle w:val="12"/>
        <w:ind w:firstLine="480"/>
        <w:rPr>
          <w:rFonts w:hint="eastAsia" w:cs="宋体"/>
          <w:color w:val="auto"/>
        </w:rPr>
      </w:pPr>
      <w:r>
        <w:rPr>
          <w:rFonts w:hint="eastAsia" w:cs="宋体"/>
          <w:color w:val="auto"/>
        </w:rPr>
        <w:t>4</w:t>
      </w:r>
      <w:r>
        <w:rPr>
          <w:rFonts w:hint="eastAsia" w:cs="宋体"/>
          <w:color w:val="auto"/>
          <w:lang w:val="en-US" w:eastAsia="zh-CN"/>
        </w:rPr>
        <w:t>5</w:t>
      </w:r>
      <w:r>
        <w:rPr>
          <w:rFonts w:hint="eastAsia" w:cs="宋体"/>
          <w:color w:val="auto"/>
        </w:rPr>
        <w:t>.第45行“本年实际应补（退）所得税额”：填报纳税人当期实际应补（退）的所得税额。企业类型为“非跨地区经营企业”的，本行填报第38行－第42行－第43行－第44行金额。企业类型为“跨地区经营汇总纳税企业总机构”的，本行填报总机构本年实际应补（退）所得税额。</w:t>
      </w:r>
    </w:p>
    <w:p>
      <w:pPr>
        <w:pStyle w:val="17"/>
        <w:ind w:firstLine="480"/>
        <w:jc w:val="both"/>
        <w:outlineLvl w:val="1"/>
        <w:rPr>
          <w:rFonts w:hint="eastAsia" w:ascii="黑体" w:hAnsi="黑体" w:eastAsia="黑体"/>
          <w:color w:val="auto"/>
          <w:sz w:val="24"/>
          <w:szCs w:val="24"/>
        </w:rPr>
      </w:pPr>
      <w:bookmarkStart w:id="58" w:name="_Toc164008815"/>
      <w:bookmarkStart w:id="59" w:name="_Toc663956507"/>
      <w:bookmarkStart w:id="60" w:name="_Toc176972045"/>
      <w:bookmarkStart w:id="61" w:name="_Toc838873667_WPSOffice_Level1"/>
      <w:bookmarkStart w:id="62" w:name="_Toc5206"/>
      <w:bookmarkStart w:id="63" w:name="_Toc163974561"/>
      <w:bookmarkStart w:id="64" w:name="_Toc8220"/>
      <w:bookmarkStart w:id="65" w:name="_Toc163974757"/>
      <w:bookmarkStart w:id="66" w:name="_Toc1721528180_WPSOffice_Level1"/>
      <w:bookmarkStart w:id="67" w:name="_Toc21850"/>
      <w:bookmarkStart w:id="68" w:name="_Toc17318"/>
      <w:bookmarkStart w:id="69" w:name="_Toc11263"/>
      <w:bookmarkStart w:id="70" w:name="_Toc22578"/>
      <w:bookmarkStart w:id="71" w:name="_Toc3734"/>
      <w:r>
        <w:rPr>
          <w:rFonts w:hint="eastAsia" w:ascii="黑体" w:hAnsi="黑体" w:eastAsia="黑体"/>
          <w:color w:val="auto"/>
          <w:sz w:val="24"/>
          <w:szCs w:val="24"/>
        </w:rPr>
        <w:t>二、表内、表间关系</w:t>
      </w:r>
      <w:bookmarkEnd w:id="58"/>
      <w:bookmarkEnd w:id="59"/>
      <w:bookmarkEnd w:id="60"/>
      <w:bookmarkEnd w:id="61"/>
      <w:bookmarkEnd w:id="62"/>
      <w:bookmarkEnd w:id="63"/>
      <w:bookmarkEnd w:id="64"/>
      <w:bookmarkEnd w:id="65"/>
      <w:bookmarkEnd w:id="66"/>
      <w:bookmarkEnd w:id="67"/>
      <w:bookmarkEnd w:id="68"/>
      <w:bookmarkEnd w:id="69"/>
      <w:bookmarkEnd w:id="70"/>
      <w:bookmarkEnd w:id="71"/>
    </w:p>
    <w:p>
      <w:pPr>
        <w:pStyle w:val="21"/>
        <w:ind w:firstLine="480"/>
        <w:rPr>
          <w:rFonts w:hint="eastAsia"/>
          <w:color w:val="auto"/>
        </w:rPr>
      </w:pPr>
      <w:bookmarkStart w:id="72" w:name="_Toc426540113_WPSOffice_Level2"/>
      <w:bookmarkStart w:id="73" w:name="_Toc1432589415_WPSOffice_Level2"/>
      <w:r>
        <w:rPr>
          <w:rFonts w:hint="eastAsia"/>
          <w:color w:val="auto"/>
        </w:rPr>
        <w:t>（一）表内关系</w:t>
      </w:r>
      <w:bookmarkEnd w:id="72"/>
      <w:bookmarkEnd w:id="73"/>
    </w:p>
    <w:p>
      <w:pPr>
        <w:pStyle w:val="12"/>
        <w:ind w:firstLine="480"/>
        <w:rPr>
          <w:rFonts w:hint="eastAsia"/>
          <w:color w:val="auto"/>
        </w:rPr>
      </w:pPr>
      <w:r>
        <w:rPr>
          <w:color w:val="auto"/>
        </w:rPr>
        <w:t>1.</w:t>
      </w:r>
      <w:r>
        <w:rPr>
          <w:rFonts w:hint="eastAsia"/>
          <w:color w:val="auto"/>
        </w:rPr>
        <w:t>第</w:t>
      </w:r>
      <w:r>
        <w:rPr>
          <w:color w:val="auto"/>
        </w:rPr>
        <w:t>18</w:t>
      </w:r>
      <w:r>
        <w:rPr>
          <w:rFonts w:hint="eastAsia"/>
          <w:color w:val="auto"/>
        </w:rPr>
        <w:t>行＝第</w:t>
      </w:r>
      <w:r>
        <w:rPr>
          <w:color w:val="auto"/>
        </w:rPr>
        <w:t>15＋16－17</w:t>
      </w:r>
      <w:r>
        <w:rPr>
          <w:rFonts w:hint="eastAsia"/>
          <w:color w:val="auto"/>
        </w:rPr>
        <w:t>行。</w:t>
      </w:r>
    </w:p>
    <w:p>
      <w:pPr>
        <w:pStyle w:val="12"/>
        <w:ind w:firstLine="480"/>
        <w:rPr>
          <w:rFonts w:hint="eastAsia"/>
          <w:color w:val="auto"/>
        </w:rPr>
      </w:pPr>
      <w:r>
        <w:rPr>
          <w:color w:val="auto"/>
        </w:rPr>
        <w:t>2.</w:t>
      </w:r>
      <w:r>
        <w:rPr>
          <w:rFonts w:hint="eastAsia"/>
          <w:color w:val="auto"/>
        </w:rPr>
        <w:t>第</w:t>
      </w:r>
      <w:r>
        <w:rPr>
          <w:color w:val="auto"/>
        </w:rPr>
        <w:t>24</w:t>
      </w:r>
      <w:r>
        <w:rPr>
          <w:rFonts w:hint="eastAsia"/>
          <w:color w:val="auto"/>
        </w:rPr>
        <w:t>行＝第</w:t>
      </w:r>
      <w:r>
        <w:rPr>
          <w:color w:val="auto"/>
        </w:rPr>
        <w:t>18－19＋20－21－22＋23</w:t>
      </w:r>
      <w:r>
        <w:rPr>
          <w:rFonts w:hint="eastAsia"/>
          <w:color w:val="auto"/>
        </w:rPr>
        <w:t>行。</w:t>
      </w:r>
    </w:p>
    <w:p>
      <w:pPr>
        <w:pStyle w:val="12"/>
        <w:ind w:firstLine="480"/>
        <w:rPr>
          <w:rFonts w:hint="eastAsia"/>
          <w:color w:val="auto"/>
        </w:rPr>
      </w:pPr>
      <w:r>
        <w:rPr>
          <w:color w:val="auto"/>
        </w:rPr>
        <w:t>3.</w:t>
      </w:r>
      <w:r>
        <w:rPr>
          <w:rFonts w:hint="eastAsia"/>
          <w:color w:val="auto"/>
        </w:rPr>
        <w:t>第</w:t>
      </w:r>
      <w:r>
        <w:rPr>
          <w:color w:val="auto"/>
        </w:rPr>
        <w:t>28</w:t>
      </w:r>
      <w:r>
        <w:rPr>
          <w:rFonts w:hint="eastAsia"/>
          <w:color w:val="auto"/>
        </w:rPr>
        <w:t>行＝第</w:t>
      </w:r>
      <w:r>
        <w:rPr>
          <w:color w:val="auto"/>
        </w:rPr>
        <w:t>24－25－26－27</w:t>
      </w:r>
      <w:r>
        <w:rPr>
          <w:rFonts w:hint="eastAsia"/>
          <w:color w:val="auto"/>
        </w:rPr>
        <w:t>行。</w:t>
      </w:r>
    </w:p>
    <w:p>
      <w:pPr>
        <w:pStyle w:val="12"/>
        <w:ind w:firstLine="480"/>
        <w:rPr>
          <w:rFonts w:hint="eastAsia"/>
          <w:color w:val="auto"/>
        </w:rPr>
      </w:pPr>
      <w:r>
        <w:rPr>
          <w:color w:val="auto"/>
        </w:rPr>
        <w:t>4.</w:t>
      </w:r>
      <w:r>
        <w:rPr>
          <w:rFonts w:hint="eastAsia"/>
          <w:color w:val="auto"/>
        </w:rPr>
        <w:t>第</w:t>
      </w:r>
      <w:r>
        <w:rPr>
          <w:color w:val="auto"/>
        </w:rPr>
        <w:t>30</w:t>
      </w:r>
      <w:r>
        <w:rPr>
          <w:rFonts w:hint="eastAsia"/>
          <w:color w:val="auto"/>
        </w:rPr>
        <w:t>行＝第</w:t>
      </w:r>
      <w:r>
        <w:rPr>
          <w:color w:val="auto"/>
        </w:rPr>
        <w:t>28</w:t>
      </w:r>
      <w:r>
        <w:rPr>
          <w:rFonts w:hint="eastAsia"/>
          <w:color w:val="auto"/>
        </w:rPr>
        <w:t>×</w:t>
      </w:r>
      <w:r>
        <w:rPr>
          <w:color w:val="auto"/>
        </w:rPr>
        <w:t>29</w:t>
      </w:r>
      <w:r>
        <w:rPr>
          <w:rFonts w:hint="eastAsia"/>
          <w:color w:val="auto"/>
        </w:rPr>
        <w:t>行。</w:t>
      </w:r>
    </w:p>
    <w:p>
      <w:pPr>
        <w:pStyle w:val="12"/>
        <w:ind w:firstLine="480"/>
        <w:rPr>
          <w:rFonts w:hint="eastAsia"/>
          <w:color w:val="auto"/>
        </w:rPr>
      </w:pPr>
      <w:r>
        <w:rPr>
          <w:color w:val="auto"/>
        </w:rPr>
        <w:t>5.</w:t>
      </w:r>
      <w:r>
        <w:rPr>
          <w:rFonts w:hint="eastAsia"/>
          <w:color w:val="auto"/>
        </w:rPr>
        <w:t>第</w:t>
      </w:r>
      <w:r>
        <w:rPr>
          <w:color w:val="auto"/>
        </w:rPr>
        <w:t>33</w:t>
      </w:r>
      <w:r>
        <w:rPr>
          <w:rFonts w:hint="eastAsia"/>
          <w:color w:val="auto"/>
        </w:rPr>
        <w:t>行＝第</w:t>
      </w:r>
      <w:r>
        <w:rPr>
          <w:color w:val="auto"/>
        </w:rPr>
        <w:t>30－31－32</w:t>
      </w:r>
      <w:r>
        <w:rPr>
          <w:rFonts w:hint="eastAsia"/>
          <w:color w:val="auto"/>
        </w:rPr>
        <w:t>行。</w:t>
      </w:r>
    </w:p>
    <w:p>
      <w:pPr>
        <w:pStyle w:val="12"/>
        <w:ind w:firstLine="480"/>
        <w:rPr>
          <w:rFonts w:hint="eastAsia"/>
          <w:color w:val="auto"/>
        </w:rPr>
      </w:pPr>
      <w:r>
        <w:rPr>
          <w:color w:val="auto"/>
        </w:rPr>
        <w:t>6.</w:t>
      </w:r>
      <w:r>
        <w:rPr>
          <w:rFonts w:hint="eastAsia"/>
          <w:color w:val="auto"/>
        </w:rPr>
        <w:t>第</w:t>
      </w:r>
      <w:r>
        <w:rPr>
          <w:color w:val="auto"/>
        </w:rPr>
        <w:t>36</w:t>
      </w:r>
      <w:r>
        <w:rPr>
          <w:rFonts w:hint="eastAsia"/>
          <w:color w:val="auto"/>
        </w:rPr>
        <w:t>行＝第</w:t>
      </w:r>
      <w:r>
        <w:rPr>
          <w:color w:val="auto"/>
        </w:rPr>
        <w:t>33＋34－35</w:t>
      </w:r>
      <w:r>
        <w:rPr>
          <w:rFonts w:hint="eastAsia"/>
          <w:color w:val="auto"/>
        </w:rPr>
        <w:t>行。其中，跨地区经营企业类型为“分支机构—须进行完整年度申报并按比例纳税”的纳税人，第</w:t>
      </w:r>
      <w:r>
        <w:rPr>
          <w:color w:val="auto"/>
        </w:rPr>
        <w:t>36</w:t>
      </w:r>
      <w:r>
        <w:rPr>
          <w:rFonts w:hint="eastAsia"/>
          <w:color w:val="auto"/>
        </w:rPr>
        <w:t>行＝（第</w:t>
      </w:r>
      <w:r>
        <w:rPr>
          <w:color w:val="auto"/>
        </w:rPr>
        <w:t>33＋34－35</w:t>
      </w:r>
      <w:r>
        <w:rPr>
          <w:rFonts w:hint="eastAsia"/>
          <w:color w:val="auto"/>
        </w:rPr>
        <w:t>行）×表</w:t>
      </w:r>
      <w:r>
        <w:rPr>
          <w:color w:val="auto"/>
        </w:rPr>
        <w:t>A000000</w:t>
      </w:r>
      <w:r>
        <w:rPr>
          <w:rFonts w:hint="eastAsia"/>
          <w:color w:val="auto"/>
        </w:rPr>
        <w:t>“</w:t>
      </w:r>
      <w:r>
        <w:rPr>
          <w:color w:val="auto"/>
        </w:rPr>
        <w:t>102</w:t>
      </w:r>
      <w:r>
        <w:rPr>
          <w:rFonts w:hint="eastAsia"/>
          <w:color w:val="auto"/>
        </w:rPr>
        <w:t>分支机构就地纳税比例”。</w:t>
      </w:r>
    </w:p>
    <w:p>
      <w:pPr>
        <w:pStyle w:val="12"/>
        <w:ind w:firstLine="480"/>
        <w:rPr>
          <w:rFonts w:hint="eastAsia"/>
          <w:color w:val="auto"/>
        </w:rPr>
      </w:pPr>
      <w:r>
        <w:rPr>
          <w:color w:val="auto"/>
        </w:rPr>
        <w:t>7.</w:t>
      </w:r>
      <w:r>
        <w:rPr>
          <w:rFonts w:hint="eastAsia"/>
          <w:color w:val="auto"/>
        </w:rPr>
        <w:t>第</w:t>
      </w:r>
      <w:r>
        <w:rPr>
          <w:color w:val="auto"/>
        </w:rPr>
        <w:t>38</w:t>
      </w:r>
      <w:r>
        <w:rPr>
          <w:rFonts w:hint="eastAsia"/>
          <w:color w:val="auto"/>
        </w:rPr>
        <w:t>行＝第</w:t>
      </w:r>
      <w:r>
        <w:rPr>
          <w:color w:val="auto"/>
        </w:rPr>
        <w:t>36－37</w:t>
      </w:r>
      <w:r>
        <w:rPr>
          <w:rFonts w:hint="eastAsia"/>
          <w:color w:val="auto"/>
        </w:rPr>
        <w:t>行。</w:t>
      </w:r>
    </w:p>
    <w:p>
      <w:pPr>
        <w:pStyle w:val="12"/>
        <w:ind w:firstLine="480"/>
        <w:rPr>
          <w:rFonts w:hint="eastAsia"/>
          <w:color w:val="auto"/>
        </w:rPr>
      </w:pPr>
      <w:r>
        <w:rPr>
          <w:color w:val="auto"/>
        </w:rPr>
        <w:t>8.</w:t>
      </w:r>
      <w:r>
        <w:rPr>
          <w:rFonts w:hint="eastAsia"/>
          <w:color w:val="auto"/>
        </w:rPr>
        <w:t>企业类型为“非跨地区经营企业”的，第45行＝第38－42－43－44行。</w:t>
      </w:r>
    </w:p>
    <w:p>
      <w:pPr>
        <w:pStyle w:val="21"/>
        <w:ind w:firstLine="480"/>
        <w:rPr>
          <w:rFonts w:hint="eastAsia"/>
          <w:color w:val="auto"/>
        </w:rPr>
      </w:pPr>
      <w:bookmarkStart w:id="74" w:name="_Toc211959255_WPSOffice_Level2"/>
      <w:bookmarkStart w:id="75" w:name="_Toc992607885_WPSOffice_Level2"/>
      <w:r>
        <w:rPr>
          <w:rFonts w:hint="eastAsia"/>
          <w:color w:val="auto"/>
        </w:rPr>
        <w:t>（二）表间关系</w:t>
      </w:r>
      <w:bookmarkEnd w:id="74"/>
      <w:bookmarkEnd w:id="75"/>
    </w:p>
    <w:p>
      <w:pPr>
        <w:pStyle w:val="12"/>
        <w:ind w:firstLine="480"/>
        <w:rPr>
          <w:rFonts w:hint="eastAsia"/>
          <w:color w:val="auto"/>
        </w:rPr>
      </w:pPr>
      <w:r>
        <w:rPr>
          <w:rFonts w:hint="eastAsia"/>
          <w:color w:val="auto"/>
        </w:rPr>
        <w:t>1.第1行＝表A101010第1行或表A101020第1行或表A103000第2＋3＋4＋5＋6行或表A103000第11＋12＋13＋14＋15行。</w:t>
      </w:r>
    </w:p>
    <w:p>
      <w:pPr>
        <w:pStyle w:val="12"/>
        <w:ind w:firstLine="480"/>
        <w:rPr>
          <w:rFonts w:hint="eastAsia"/>
          <w:color w:val="auto"/>
        </w:rPr>
      </w:pPr>
      <w:r>
        <w:rPr>
          <w:rFonts w:hint="eastAsia"/>
          <w:color w:val="auto"/>
        </w:rPr>
        <w:t>2.第2行＝表A102010第1行或表A102020第1行或表A103000第19＋20＋21＋22行或表A103000第25＋26＋27行。</w:t>
      </w:r>
    </w:p>
    <w:p>
      <w:pPr>
        <w:pStyle w:val="12"/>
        <w:ind w:firstLine="480"/>
        <w:rPr>
          <w:rFonts w:hint="eastAsia"/>
          <w:color w:val="auto"/>
        </w:rPr>
      </w:pPr>
      <w:r>
        <w:rPr>
          <w:rFonts w:hint="eastAsia"/>
          <w:color w:val="auto"/>
        </w:rPr>
        <w:t>3.第4行＝表A104000第26行第1列。</w:t>
      </w:r>
    </w:p>
    <w:p>
      <w:pPr>
        <w:pStyle w:val="12"/>
        <w:ind w:firstLine="480"/>
        <w:rPr>
          <w:rFonts w:hint="eastAsia" w:eastAsia="宋体"/>
          <w:color w:val="auto"/>
          <w:lang w:val="en-US" w:eastAsia="zh-CN"/>
        </w:rPr>
      </w:pPr>
      <w:r>
        <w:rPr>
          <w:rFonts w:hint="eastAsia"/>
          <w:color w:val="auto"/>
        </w:rPr>
        <w:t>4.第5行＋第6行＝表</w:t>
      </w:r>
      <w:r>
        <w:rPr>
          <w:color w:val="auto"/>
        </w:rPr>
        <w:t>A104000</w:t>
      </w:r>
      <w:r>
        <w:rPr>
          <w:rFonts w:hint="eastAsia"/>
          <w:color w:val="auto"/>
        </w:rPr>
        <w:t>第26行第3列</w:t>
      </w:r>
      <w:r>
        <w:rPr>
          <w:rFonts w:hint="eastAsia"/>
          <w:color w:val="auto"/>
          <w:lang w:eastAsia="zh-CN"/>
        </w:rPr>
        <w:t>。</w:t>
      </w:r>
    </w:p>
    <w:p>
      <w:pPr>
        <w:pStyle w:val="12"/>
        <w:ind w:firstLine="480"/>
        <w:rPr>
          <w:rFonts w:hint="eastAsia"/>
          <w:color w:val="auto"/>
        </w:rPr>
      </w:pPr>
      <w:r>
        <w:rPr>
          <w:rFonts w:hint="eastAsia"/>
          <w:color w:val="auto"/>
        </w:rPr>
        <w:t>5.第7行＝表A104000第26行第5列。</w:t>
      </w:r>
    </w:p>
    <w:p>
      <w:pPr>
        <w:pStyle w:val="12"/>
        <w:ind w:firstLine="480"/>
        <w:rPr>
          <w:rFonts w:hint="eastAsia"/>
          <w:color w:val="auto"/>
        </w:rPr>
      </w:pPr>
      <w:r>
        <w:rPr>
          <w:rFonts w:hint="eastAsia"/>
          <w:color w:val="auto"/>
        </w:rPr>
        <w:t>6.第9行＝表A103000第8行或第16行</w:t>
      </w:r>
      <w:r>
        <w:rPr>
          <w:rFonts w:hint="eastAsia"/>
          <w:color w:val="auto"/>
          <w:lang w:eastAsia="zh-CN"/>
        </w:rPr>
        <w:t>。</w:t>
      </w:r>
      <w:r>
        <w:rPr>
          <w:rFonts w:hint="eastAsia"/>
          <w:color w:val="auto"/>
        </w:rPr>
        <w:t>（仅限于填报表A103000的纳税人，其他纳税人根据财务核算情况自行填写）</w:t>
      </w:r>
    </w:p>
    <w:p>
      <w:pPr>
        <w:pStyle w:val="12"/>
        <w:ind w:firstLine="480"/>
        <w:rPr>
          <w:rFonts w:hint="eastAsia"/>
          <w:color w:val="auto"/>
        </w:rPr>
      </w:pPr>
      <w:r>
        <w:rPr>
          <w:rFonts w:hint="eastAsia"/>
          <w:color w:val="auto"/>
        </w:rPr>
        <w:t>7.第16行＝表A101010第16行或表A101020第35行或表A103000第9行或第17行。</w:t>
      </w:r>
    </w:p>
    <w:p>
      <w:pPr>
        <w:pStyle w:val="12"/>
        <w:ind w:firstLine="480"/>
        <w:rPr>
          <w:rFonts w:hint="eastAsia"/>
          <w:color w:val="auto"/>
        </w:rPr>
      </w:pPr>
      <w:r>
        <w:rPr>
          <w:rFonts w:hint="eastAsia"/>
          <w:color w:val="auto"/>
        </w:rPr>
        <w:t>8.第17行＝</w:t>
      </w:r>
      <w:r>
        <w:rPr>
          <w:rFonts w:hint="eastAsia" w:cs="宋体"/>
          <w:color w:val="auto"/>
        </w:rPr>
        <w:t>表A102010第16行或表A102020第33行或表A103000第23行或第28行。</w:t>
      </w:r>
    </w:p>
    <w:p>
      <w:pPr>
        <w:pStyle w:val="12"/>
        <w:ind w:firstLine="480"/>
        <w:rPr>
          <w:rFonts w:hint="eastAsia"/>
          <w:color w:val="auto"/>
        </w:rPr>
      </w:pPr>
      <w:r>
        <w:rPr>
          <w:rFonts w:hint="eastAsia"/>
          <w:color w:val="auto"/>
        </w:rPr>
        <w:t>9.第19行＝表A108010第14列合计－第11列合计。</w:t>
      </w:r>
    </w:p>
    <w:p>
      <w:pPr>
        <w:pStyle w:val="12"/>
        <w:ind w:firstLine="480"/>
        <w:rPr>
          <w:rFonts w:hint="eastAsia"/>
          <w:color w:val="auto"/>
        </w:rPr>
      </w:pPr>
      <w:r>
        <w:rPr>
          <w:color w:val="auto"/>
        </w:rPr>
        <w:t>1</w:t>
      </w:r>
      <w:r>
        <w:rPr>
          <w:rFonts w:hint="eastAsia"/>
          <w:color w:val="auto"/>
        </w:rPr>
        <w:t>0</w:t>
      </w:r>
      <w:r>
        <w:rPr>
          <w:color w:val="auto"/>
        </w:rPr>
        <w:t>.第20</w:t>
      </w:r>
      <w:r>
        <w:rPr>
          <w:rFonts w:hint="eastAsia"/>
          <w:color w:val="auto"/>
        </w:rPr>
        <w:t>行＝表</w:t>
      </w:r>
      <w:r>
        <w:rPr>
          <w:color w:val="auto"/>
        </w:rPr>
        <w:t>A105000第</w:t>
      </w:r>
      <w:r>
        <w:rPr>
          <w:rFonts w:hint="eastAsia"/>
          <w:color w:val="auto"/>
        </w:rPr>
        <w:t>46行第</w:t>
      </w:r>
      <w:r>
        <w:rPr>
          <w:color w:val="auto"/>
        </w:rPr>
        <w:t>3列。</w:t>
      </w:r>
    </w:p>
    <w:p>
      <w:pPr>
        <w:pStyle w:val="12"/>
        <w:ind w:firstLine="480"/>
        <w:rPr>
          <w:rFonts w:hint="eastAsia"/>
          <w:color w:val="auto"/>
        </w:rPr>
      </w:pPr>
      <w:r>
        <w:rPr>
          <w:color w:val="auto"/>
        </w:rPr>
        <w:t>1</w:t>
      </w:r>
      <w:r>
        <w:rPr>
          <w:rFonts w:hint="eastAsia"/>
          <w:color w:val="auto"/>
        </w:rPr>
        <w:t>1</w:t>
      </w:r>
      <w:r>
        <w:rPr>
          <w:color w:val="auto"/>
        </w:rPr>
        <w:t>.第21</w:t>
      </w:r>
      <w:r>
        <w:rPr>
          <w:rFonts w:hint="eastAsia"/>
          <w:color w:val="auto"/>
        </w:rPr>
        <w:t>行＝表</w:t>
      </w:r>
      <w:r>
        <w:rPr>
          <w:color w:val="auto"/>
        </w:rPr>
        <w:t>A105000第</w:t>
      </w:r>
      <w:r>
        <w:rPr>
          <w:rFonts w:hint="eastAsia"/>
          <w:color w:val="auto"/>
        </w:rPr>
        <w:t>46行第</w:t>
      </w:r>
      <w:r>
        <w:rPr>
          <w:color w:val="auto"/>
        </w:rPr>
        <w:t>4列。</w:t>
      </w:r>
    </w:p>
    <w:p>
      <w:pPr>
        <w:pStyle w:val="12"/>
        <w:ind w:firstLine="480"/>
        <w:rPr>
          <w:rFonts w:hint="eastAsia"/>
          <w:color w:val="auto"/>
        </w:rPr>
      </w:pPr>
      <w:r>
        <w:rPr>
          <w:color w:val="auto"/>
        </w:rPr>
        <w:t>1</w:t>
      </w:r>
      <w:r>
        <w:rPr>
          <w:rFonts w:hint="eastAsia"/>
          <w:color w:val="auto"/>
        </w:rPr>
        <w:t>2</w:t>
      </w:r>
      <w:r>
        <w:rPr>
          <w:color w:val="auto"/>
        </w:rPr>
        <w:t>.</w:t>
      </w:r>
      <w:r>
        <w:rPr>
          <w:rFonts w:hint="eastAsia"/>
          <w:color w:val="auto"/>
        </w:rPr>
        <w:t>第23行：</w:t>
      </w:r>
    </w:p>
    <w:p>
      <w:pPr>
        <w:pStyle w:val="12"/>
        <w:ind w:left="1545" w:leftChars="450" w:hanging="600" w:hangingChars="250"/>
        <w:rPr>
          <w:rFonts w:hint="eastAsia"/>
          <w:color w:val="auto"/>
        </w:rPr>
      </w:pPr>
      <w:r>
        <w:rPr>
          <w:rFonts w:hint="eastAsia"/>
          <w:color w:val="auto"/>
        </w:rPr>
        <w:t>（1）当第18－19＋20－21－22行≥0，第23行＝0；</w:t>
      </w:r>
    </w:p>
    <w:p>
      <w:pPr>
        <w:pStyle w:val="12"/>
        <w:ind w:left="1545" w:leftChars="450" w:hanging="600" w:hangingChars="250"/>
        <w:rPr>
          <w:rFonts w:hint="eastAsia"/>
          <w:color w:val="auto"/>
        </w:rPr>
      </w:pPr>
      <w:r>
        <w:rPr>
          <w:rFonts w:hint="eastAsia"/>
          <w:color w:val="auto"/>
        </w:rPr>
        <w:t>（2）当第18－19＋20－21－22</w:t>
      </w:r>
      <w:r>
        <w:rPr>
          <w:rFonts w:hint="eastAsia"/>
          <w:color w:val="auto"/>
          <w:lang w:eastAsia="zh-CN"/>
        </w:rPr>
        <w:t>行</w:t>
      </w:r>
      <w:r>
        <w:rPr>
          <w:rFonts w:hint="eastAsia"/>
          <w:color w:val="auto"/>
        </w:rPr>
        <w:t>＜0且表A108000第5列合计行≥0，表A108000第6列合计行＞0时，第23行＝表A108000第5列合计行与表A100000第18－19＋20－21－22行绝对值的孰小值；</w:t>
      </w:r>
    </w:p>
    <w:p>
      <w:pPr>
        <w:pStyle w:val="12"/>
        <w:ind w:left="1545" w:leftChars="450" w:hanging="600" w:hangingChars="250"/>
        <w:rPr>
          <w:rFonts w:hint="eastAsia"/>
          <w:color w:val="auto"/>
        </w:rPr>
      </w:pPr>
      <w:r>
        <w:rPr>
          <w:rFonts w:hint="eastAsia"/>
          <w:color w:val="auto"/>
        </w:rPr>
        <w:t>（3）当第18－19＋20－21－22</w:t>
      </w:r>
      <w:r>
        <w:rPr>
          <w:rFonts w:hint="eastAsia"/>
          <w:color w:val="auto"/>
          <w:lang w:eastAsia="zh-CN"/>
        </w:rPr>
        <w:t>行</w:t>
      </w:r>
      <w:r>
        <w:rPr>
          <w:rFonts w:hint="eastAsia"/>
          <w:color w:val="auto"/>
        </w:rPr>
        <w:t>＜0且表A108000第5列合计行≥0，表A108000第6列合计行＝0时，第23行＝0。</w:t>
      </w:r>
    </w:p>
    <w:p>
      <w:pPr>
        <w:pStyle w:val="12"/>
        <w:ind w:firstLine="480"/>
        <w:rPr>
          <w:rFonts w:hint="eastAsia"/>
          <w:color w:val="auto"/>
        </w:rPr>
      </w:pPr>
      <w:r>
        <w:rPr>
          <w:color w:val="auto"/>
        </w:rPr>
        <w:t>1</w:t>
      </w:r>
      <w:r>
        <w:rPr>
          <w:rFonts w:hint="eastAsia"/>
          <w:color w:val="auto"/>
        </w:rPr>
        <w:t>3</w:t>
      </w:r>
      <w:r>
        <w:rPr>
          <w:color w:val="auto"/>
        </w:rPr>
        <w:t>.</w:t>
      </w:r>
      <w:r>
        <w:rPr>
          <w:rFonts w:hint="eastAsia"/>
          <w:color w:val="auto"/>
        </w:rPr>
        <w:t>第25行：</w:t>
      </w:r>
    </w:p>
    <w:p>
      <w:pPr>
        <w:pStyle w:val="12"/>
        <w:ind w:left="315" w:leftChars="150" w:firstLine="480"/>
        <w:rPr>
          <w:rFonts w:hint="eastAsia"/>
          <w:color w:val="auto"/>
        </w:rPr>
      </w:pPr>
      <w:r>
        <w:rPr>
          <w:rFonts w:hint="eastAsia"/>
          <w:color w:val="auto"/>
        </w:rPr>
        <w:t>当第24行≤0时，第25行＝0；</w:t>
      </w:r>
    </w:p>
    <w:p>
      <w:pPr>
        <w:pStyle w:val="12"/>
        <w:ind w:left="315" w:leftChars="150" w:firstLine="480"/>
        <w:rPr>
          <w:rFonts w:hint="eastAsia"/>
          <w:color w:val="auto"/>
        </w:rPr>
      </w:pPr>
      <w:r>
        <w:rPr>
          <w:rFonts w:hint="eastAsia"/>
          <w:color w:val="auto"/>
        </w:rPr>
        <w:t>当第24行＞0时，</w:t>
      </w:r>
    </w:p>
    <w:p>
      <w:pPr>
        <w:pStyle w:val="12"/>
        <w:ind w:left="1545" w:leftChars="450" w:hanging="600" w:hangingChars="250"/>
        <w:rPr>
          <w:rFonts w:hint="eastAsia"/>
          <w:color w:val="auto"/>
        </w:rPr>
      </w:pPr>
      <w:r>
        <w:rPr>
          <w:rFonts w:hint="eastAsia"/>
          <w:color w:val="auto"/>
        </w:rPr>
        <w:t>（1）第24行≥表A107020</w:t>
      </w:r>
      <w:r>
        <w:rPr>
          <w:rFonts w:hint="eastAsia"/>
          <w:color w:val="auto"/>
          <w:lang w:eastAsia="zh-CN"/>
        </w:rPr>
        <w:t>第</w:t>
      </w:r>
      <w:r>
        <w:rPr>
          <w:rFonts w:hint="eastAsia"/>
          <w:color w:val="auto"/>
          <w:lang w:val="en-US" w:eastAsia="zh-CN"/>
        </w:rPr>
        <w:t>31行</w:t>
      </w:r>
      <w:r>
        <w:rPr>
          <w:rFonts w:hint="eastAsia"/>
          <w:color w:val="auto"/>
        </w:rPr>
        <w:t>合计行第</w:t>
      </w:r>
      <w:r>
        <w:rPr>
          <w:color w:val="auto"/>
        </w:rPr>
        <w:t>1</w:t>
      </w:r>
      <w:r>
        <w:rPr>
          <w:rFonts w:hint="eastAsia"/>
          <w:color w:val="auto"/>
          <w:lang w:val="en-US" w:eastAsia="zh-CN"/>
        </w:rPr>
        <w:t>1</w:t>
      </w:r>
      <w:r>
        <w:rPr>
          <w:rFonts w:hint="eastAsia"/>
          <w:color w:val="auto"/>
        </w:rPr>
        <w:t>列，第25行＝表A107020</w:t>
      </w:r>
      <w:r>
        <w:rPr>
          <w:rFonts w:hint="eastAsia"/>
          <w:color w:val="auto"/>
          <w:lang w:eastAsia="zh-CN"/>
        </w:rPr>
        <w:t>第</w:t>
      </w:r>
      <w:r>
        <w:rPr>
          <w:rFonts w:hint="eastAsia"/>
          <w:color w:val="auto"/>
          <w:lang w:val="en-US" w:eastAsia="zh-CN"/>
        </w:rPr>
        <w:t>31行</w:t>
      </w:r>
      <w:r>
        <w:rPr>
          <w:rFonts w:hint="eastAsia"/>
          <w:color w:val="auto"/>
        </w:rPr>
        <w:t>合计行第1</w:t>
      </w:r>
      <w:r>
        <w:rPr>
          <w:rFonts w:hint="eastAsia"/>
          <w:color w:val="auto"/>
          <w:lang w:val="en-US" w:eastAsia="zh-CN"/>
        </w:rPr>
        <w:t>1</w:t>
      </w:r>
      <w:r>
        <w:rPr>
          <w:rFonts w:hint="eastAsia"/>
          <w:color w:val="auto"/>
        </w:rPr>
        <w:t>列；</w:t>
      </w:r>
    </w:p>
    <w:p>
      <w:pPr>
        <w:pStyle w:val="12"/>
        <w:ind w:left="1545" w:leftChars="450" w:hanging="600" w:hangingChars="250"/>
        <w:rPr>
          <w:rFonts w:hint="eastAsia"/>
          <w:color w:val="auto"/>
        </w:rPr>
      </w:pPr>
      <w:r>
        <w:rPr>
          <w:rFonts w:hint="eastAsia"/>
          <w:color w:val="auto"/>
        </w:rPr>
        <w:t>（2）第24行＜表A107020</w:t>
      </w:r>
      <w:r>
        <w:rPr>
          <w:rFonts w:hint="eastAsia"/>
          <w:color w:val="auto"/>
          <w:lang w:eastAsia="zh-CN"/>
        </w:rPr>
        <w:t>第</w:t>
      </w:r>
      <w:r>
        <w:rPr>
          <w:rFonts w:hint="eastAsia"/>
          <w:color w:val="auto"/>
          <w:lang w:val="en-US" w:eastAsia="zh-CN"/>
        </w:rPr>
        <w:t>31行</w:t>
      </w:r>
      <w:r>
        <w:rPr>
          <w:rFonts w:hint="eastAsia"/>
          <w:color w:val="auto"/>
        </w:rPr>
        <w:t>合计行第</w:t>
      </w:r>
      <w:r>
        <w:rPr>
          <w:color w:val="auto"/>
        </w:rPr>
        <w:t>1</w:t>
      </w:r>
      <w:r>
        <w:rPr>
          <w:rFonts w:hint="eastAsia"/>
          <w:color w:val="auto"/>
          <w:lang w:val="en-US" w:eastAsia="zh-CN"/>
        </w:rPr>
        <w:t>1</w:t>
      </w:r>
      <w:r>
        <w:rPr>
          <w:rFonts w:hint="eastAsia"/>
          <w:color w:val="auto"/>
        </w:rPr>
        <w:t>列，第25行＝第24行。</w:t>
      </w:r>
    </w:p>
    <w:p>
      <w:pPr>
        <w:pStyle w:val="12"/>
        <w:ind w:firstLine="480"/>
        <w:rPr>
          <w:rFonts w:hint="eastAsia"/>
          <w:color w:val="auto"/>
        </w:rPr>
      </w:pPr>
      <w:r>
        <w:rPr>
          <w:color w:val="auto"/>
        </w:rPr>
        <w:t>1</w:t>
      </w:r>
      <w:r>
        <w:rPr>
          <w:rFonts w:hint="eastAsia"/>
          <w:color w:val="auto"/>
        </w:rPr>
        <w:t>4</w:t>
      </w:r>
      <w:r>
        <w:rPr>
          <w:color w:val="auto"/>
        </w:rPr>
        <w:t>.</w:t>
      </w:r>
      <w:r>
        <w:rPr>
          <w:rFonts w:hint="eastAsia"/>
          <w:color w:val="auto"/>
        </w:rPr>
        <w:t>第26行＝表A106000表11行第10列。</w:t>
      </w:r>
    </w:p>
    <w:p>
      <w:pPr>
        <w:pStyle w:val="12"/>
        <w:ind w:firstLine="480"/>
        <w:rPr>
          <w:rFonts w:hint="eastAsia"/>
          <w:color w:val="auto"/>
        </w:rPr>
      </w:pPr>
      <w:r>
        <w:rPr>
          <w:color w:val="auto"/>
        </w:rPr>
        <w:t>1</w:t>
      </w:r>
      <w:r>
        <w:rPr>
          <w:rFonts w:hint="eastAsia"/>
          <w:color w:val="auto"/>
        </w:rPr>
        <w:t>5</w:t>
      </w:r>
      <w:r>
        <w:rPr>
          <w:color w:val="auto"/>
        </w:rPr>
        <w:t>.</w:t>
      </w:r>
      <w:r>
        <w:rPr>
          <w:rFonts w:hint="eastAsia"/>
          <w:color w:val="auto"/>
        </w:rPr>
        <w:t>第27行＝表A107030第15行第1列。</w:t>
      </w:r>
    </w:p>
    <w:p>
      <w:pPr>
        <w:pStyle w:val="12"/>
        <w:ind w:firstLine="480"/>
        <w:rPr>
          <w:rFonts w:hint="eastAsia"/>
          <w:color w:val="auto"/>
        </w:rPr>
      </w:pPr>
      <w:r>
        <w:rPr>
          <w:color w:val="auto"/>
        </w:rPr>
        <w:t>1</w:t>
      </w:r>
      <w:r>
        <w:rPr>
          <w:rFonts w:hint="eastAsia"/>
          <w:color w:val="auto"/>
        </w:rPr>
        <w:t>6</w:t>
      </w:r>
      <w:r>
        <w:rPr>
          <w:color w:val="auto"/>
        </w:rPr>
        <w:t>.</w:t>
      </w:r>
      <w:r>
        <w:rPr>
          <w:rFonts w:hint="eastAsia"/>
          <w:color w:val="auto"/>
        </w:rPr>
        <w:t>第32行＝表A107050第7行第6列。</w:t>
      </w:r>
    </w:p>
    <w:p>
      <w:pPr>
        <w:pStyle w:val="12"/>
        <w:ind w:firstLine="480"/>
        <w:rPr>
          <w:rFonts w:hint="eastAsia"/>
          <w:color w:val="auto"/>
        </w:rPr>
      </w:pPr>
      <w:r>
        <w:rPr>
          <w:color w:val="auto"/>
        </w:rPr>
        <w:t>1</w:t>
      </w:r>
      <w:r>
        <w:rPr>
          <w:rFonts w:hint="eastAsia"/>
          <w:color w:val="auto"/>
        </w:rPr>
        <w:t>7</w:t>
      </w:r>
      <w:r>
        <w:rPr>
          <w:color w:val="auto"/>
        </w:rPr>
        <w:t>.</w:t>
      </w:r>
      <w:r>
        <w:rPr>
          <w:rFonts w:hint="eastAsia"/>
          <w:color w:val="auto"/>
        </w:rPr>
        <w:t>第34行＝表A108000合计行第9列。</w:t>
      </w:r>
    </w:p>
    <w:p>
      <w:pPr>
        <w:pStyle w:val="12"/>
        <w:ind w:firstLine="480"/>
        <w:rPr>
          <w:rFonts w:hint="eastAsia"/>
          <w:color w:val="auto"/>
        </w:rPr>
      </w:pPr>
      <w:r>
        <w:rPr>
          <w:color w:val="auto"/>
        </w:rPr>
        <w:t>1</w:t>
      </w:r>
      <w:r>
        <w:rPr>
          <w:rFonts w:hint="eastAsia"/>
          <w:color w:val="auto"/>
        </w:rPr>
        <w:t>8</w:t>
      </w:r>
      <w:r>
        <w:rPr>
          <w:color w:val="auto"/>
        </w:rPr>
        <w:t>.</w:t>
      </w:r>
      <w:r>
        <w:rPr>
          <w:rFonts w:hint="eastAsia"/>
          <w:color w:val="auto"/>
        </w:rPr>
        <w:t>第35行＝表A108000合计行第19列。</w:t>
      </w:r>
    </w:p>
    <w:p>
      <w:pPr>
        <w:pStyle w:val="12"/>
        <w:ind w:firstLine="480"/>
        <w:rPr>
          <w:rFonts w:hint="eastAsia"/>
          <w:color w:val="auto"/>
        </w:rPr>
      </w:pPr>
      <w:r>
        <w:rPr>
          <w:rFonts w:hint="eastAsia"/>
          <w:color w:val="auto"/>
        </w:rPr>
        <w:t>19</w:t>
      </w:r>
      <w:r>
        <w:rPr>
          <w:color w:val="auto"/>
        </w:rPr>
        <w:t>.</w:t>
      </w:r>
      <w:r>
        <w:rPr>
          <w:rFonts w:hint="eastAsia"/>
          <w:color w:val="auto"/>
        </w:rPr>
        <w:t>第39行＝表A109000第17</w:t>
      </w:r>
      <w:r>
        <w:rPr>
          <w:rFonts w:hint="eastAsia"/>
          <w:color w:val="auto"/>
          <w:lang w:val="en-US" w:eastAsia="zh-CN"/>
        </w:rPr>
        <w:t>+21</w:t>
      </w:r>
      <w:r>
        <w:rPr>
          <w:rFonts w:hint="eastAsia"/>
          <w:color w:val="auto"/>
        </w:rPr>
        <w:t>行。</w:t>
      </w:r>
    </w:p>
    <w:p>
      <w:pPr>
        <w:pStyle w:val="12"/>
        <w:ind w:firstLine="480"/>
        <w:rPr>
          <w:rFonts w:hint="eastAsia"/>
          <w:color w:val="auto"/>
        </w:rPr>
      </w:pPr>
      <w:r>
        <w:rPr>
          <w:color w:val="auto"/>
        </w:rPr>
        <w:t>2</w:t>
      </w:r>
      <w:r>
        <w:rPr>
          <w:rFonts w:hint="eastAsia"/>
          <w:color w:val="auto"/>
        </w:rPr>
        <w:t>0</w:t>
      </w:r>
      <w:r>
        <w:rPr>
          <w:color w:val="auto"/>
        </w:rPr>
        <w:t>.</w:t>
      </w:r>
      <w:r>
        <w:rPr>
          <w:rFonts w:hint="eastAsia"/>
          <w:color w:val="auto"/>
        </w:rPr>
        <w:t>第40行＝表A109000第18行。</w:t>
      </w:r>
    </w:p>
    <w:p>
      <w:pPr>
        <w:pStyle w:val="12"/>
        <w:ind w:firstLine="480"/>
        <w:rPr>
          <w:rFonts w:hint="eastAsia"/>
          <w:color w:val="auto"/>
        </w:rPr>
      </w:pPr>
      <w:r>
        <w:rPr>
          <w:color w:val="auto"/>
        </w:rPr>
        <w:t>2</w:t>
      </w:r>
      <w:r>
        <w:rPr>
          <w:rFonts w:hint="eastAsia"/>
          <w:color w:val="auto"/>
        </w:rPr>
        <w:t>1</w:t>
      </w:r>
      <w:r>
        <w:rPr>
          <w:color w:val="auto"/>
        </w:rPr>
        <w:t>.</w:t>
      </w:r>
      <w:r>
        <w:rPr>
          <w:rFonts w:hint="eastAsia"/>
          <w:color w:val="auto"/>
        </w:rPr>
        <w:t>第41行＝表A109000第20行。</w:t>
      </w:r>
    </w:p>
    <w:p>
      <w:pPr>
        <w:pStyle w:val="12"/>
        <w:ind w:firstLine="480"/>
        <w:rPr>
          <w:rFonts w:hint="eastAsia"/>
          <w:color w:val="auto"/>
          <w:lang w:eastAsia="zh-CN"/>
        </w:rPr>
      </w:pPr>
      <w:r>
        <w:rPr>
          <w:color w:val="auto"/>
        </w:rPr>
        <w:t>2</w:t>
      </w:r>
      <w:r>
        <w:rPr>
          <w:rFonts w:hint="eastAsia"/>
          <w:color w:val="auto"/>
        </w:rPr>
        <w:t>2</w:t>
      </w:r>
      <w:r>
        <w:rPr>
          <w:color w:val="auto"/>
        </w:rPr>
        <w:t>.</w:t>
      </w:r>
      <w:r>
        <w:rPr>
          <w:rFonts w:hint="eastAsia"/>
          <w:color w:val="auto"/>
        </w:rPr>
        <w:t>企业类型为“跨地区经营汇总纳税企业总机构”的，第42行＝表A109000第23行</w:t>
      </w:r>
      <w:r>
        <w:rPr>
          <w:rFonts w:hint="eastAsia"/>
          <w:color w:val="auto"/>
          <w:lang w:eastAsia="zh-CN"/>
        </w:rPr>
        <w:t>。</w:t>
      </w:r>
    </w:p>
    <w:p>
      <w:pPr>
        <w:pStyle w:val="12"/>
        <w:ind w:firstLine="480"/>
        <w:rPr>
          <w:rFonts w:hint="eastAsia"/>
          <w:color w:val="auto"/>
        </w:rPr>
      </w:pPr>
      <w:r>
        <w:rPr>
          <w:rFonts w:hint="eastAsia"/>
          <w:color w:val="auto"/>
          <w:lang w:val="en-US" w:eastAsia="zh-CN"/>
        </w:rPr>
        <w:t>23.</w:t>
      </w:r>
      <w:r>
        <w:rPr>
          <w:rFonts w:hint="eastAsia"/>
          <w:color w:val="auto"/>
        </w:rPr>
        <w:t>企业类型为“跨地区经营汇总纳税企业总机构”的，第4</w:t>
      </w:r>
      <w:r>
        <w:rPr>
          <w:rFonts w:hint="eastAsia"/>
          <w:color w:val="auto"/>
          <w:lang w:val="en-US" w:eastAsia="zh-CN"/>
        </w:rPr>
        <w:t>5</w:t>
      </w:r>
      <w:r>
        <w:rPr>
          <w:rFonts w:hint="eastAsia"/>
          <w:color w:val="auto"/>
        </w:rPr>
        <w:t>行＝表A109000第26行。</w:t>
      </w:r>
    </w:p>
    <w:p>
      <w:pPr>
        <w:widowControl/>
        <w:jc w:val="left"/>
        <w:rPr>
          <w:rFonts w:hint="eastAsia" w:ascii="宋体" w:hAnsi="宋体"/>
          <w:color w:val="auto"/>
          <w:sz w:val="24"/>
        </w:rPr>
      </w:pPr>
      <w:r>
        <w:rPr>
          <w:rFonts w:hint="eastAsia"/>
          <w:color w:val="auto"/>
        </w:rPr>
        <w:br w:type="page"/>
      </w:r>
    </w:p>
    <w:p>
      <w:pPr>
        <w:pStyle w:val="24"/>
        <w:tabs>
          <w:tab w:val="clear" w:pos="4200"/>
        </w:tabs>
        <w:spacing w:before="120" w:after="120"/>
        <w:rPr>
          <w:rFonts w:hint="eastAsia" w:ascii="宋体" w:hAnsi="宋体" w:eastAsia="宋体" w:cs="宋体"/>
          <w:color w:val="auto"/>
        </w:rPr>
      </w:pPr>
      <w:bookmarkStart w:id="76" w:name="_Toc176972046"/>
      <w:bookmarkStart w:id="77" w:name="_Toc1843013244"/>
      <w:bookmarkStart w:id="78" w:name="_Toc474610959"/>
      <w:bookmarkStart w:id="79" w:name="_Toc309469223"/>
      <w:bookmarkStart w:id="80" w:name="_Toc2108947540_WPSOffice_Level1"/>
      <w:bookmarkStart w:id="81" w:name="_Toc123222302"/>
      <w:r>
        <w:rPr>
          <w:rFonts w:hint="eastAsia" w:ascii="宋体" w:hAnsi="宋体" w:eastAsia="宋体" w:cs="宋体"/>
          <w:color w:val="auto"/>
        </w:rPr>
        <w:t>A101010</w:t>
      </w:r>
      <w:r>
        <w:rPr>
          <w:rFonts w:hint="eastAsia" w:ascii="宋体" w:hAnsi="宋体" w:eastAsia="宋体" w:cs="宋体"/>
          <w:color w:val="auto"/>
        </w:rPr>
        <w:tab/>
      </w:r>
      <w:r>
        <w:rPr>
          <w:rFonts w:hint="eastAsia" w:ascii="宋体" w:hAnsi="宋体" w:eastAsia="宋体" w:cs="宋体"/>
          <w:color w:val="auto"/>
        </w:rPr>
        <w:t>《一般企业收入明细表》填报说明</w:t>
      </w:r>
      <w:bookmarkEnd w:id="76"/>
      <w:bookmarkEnd w:id="77"/>
      <w:bookmarkEnd w:id="78"/>
    </w:p>
    <w:p>
      <w:pPr>
        <w:pStyle w:val="12"/>
        <w:ind w:firstLine="480"/>
        <w:rPr>
          <w:rFonts w:hint="eastAsia"/>
          <w:color w:val="auto"/>
        </w:rPr>
      </w:pPr>
      <w:r>
        <w:rPr>
          <w:rFonts w:hint="eastAsia"/>
          <w:color w:val="auto"/>
        </w:rPr>
        <w:t>本表适用于除金融企业、事业单位和民间非营利组织外的企业填报。纳税人应根据国家统一会计制度的规定，填报“主营业务收入”“其他业务收入”和“营业外收入”。</w:t>
      </w:r>
    </w:p>
    <w:p>
      <w:pPr>
        <w:pStyle w:val="23"/>
        <w:ind w:firstLine="482"/>
        <w:rPr>
          <w:rFonts w:hint="eastAsia"/>
          <w:color w:val="auto"/>
        </w:rPr>
      </w:pPr>
      <w:bookmarkStart w:id="82" w:name="_Toc393480186"/>
      <w:r>
        <w:rPr>
          <w:rFonts w:hint="eastAsia"/>
          <w:color w:val="auto"/>
        </w:rPr>
        <w:t>一、有关项目填报说明</w:t>
      </w:r>
      <w:bookmarkEnd w:id="82"/>
    </w:p>
    <w:p>
      <w:pPr>
        <w:pStyle w:val="12"/>
        <w:ind w:firstLine="480"/>
        <w:rPr>
          <w:rFonts w:hint="eastAsia"/>
          <w:color w:val="auto"/>
        </w:rPr>
      </w:pPr>
      <w:r>
        <w:rPr>
          <w:color w:val="auto"/>
        </w:rPr>
        <w:t>1</w:t>
      </w:r>
      <w:r>
        <w:rPr>
          <w:rFonts w:hint="eastAsia"/>
          <w:color w:val="auto"/>
        </w:rPr>
        <w:t>.第</w:t>
      </w:r>
      <w:r>
        <w:rPr>
          <w:color w:val="auto"/>
        </w:rPr>
        <w:t>1</w:t>
      </w:r>
      <w:r>
        <w:rPr>
          <w:rFonts w:hint="eastAsia"/>
          <w:color w:val="auto"/>
        </w:rPr>
        <w:t>行“营业收入”：根据主营业务收入、其他业务收入的数额计算填报。</w:t>
      </w:r>
    </w:p>
    <w:p>
      <w:pPr>
        <w:pStyle w:val="12"/>
        <w:ind w:firstLine="480"/>
        <w:rPr>
          <w:rFonts w:hint="eastAsia"/>
          <w:color w:val="auto"/>
        </w:rPr>
      </w:pPr>
      <w:r>
        <w:rPr>
          <w:color w:val="auto"/>
        </w:rPr>
        <w:t>2.</w:t>
      </w:r>
      <w:r>
        <w:rPr>
          <w:rFonts w:hint="eastAsia"/>
          <w:color w:val="auto"/>
        </w:rPr>
        <w:t>第</w:t>
      </w:r>
      <w:r>
        <w:rPr>
          <w:color w:val="auto"/>
        </w:rPr>
        <w:t>2</w:t>
      </w:r>
      <w:r>
        <w:rPr>
          <w:rFonts w:hint="eastAsia"/>
          <w:color w:val="auto"/>
        </w:rPr>
        <w:t>行“主营业务收入”：根据不同行业的业务性质分别填报纳税人核算的主营业务收入。</w:t>
      </w:r>
    </w:p>
    <w:p>
      <w:pPr>
        <w:pStyle w:val="12"/>
        <w:ind w:firstLine="480"/>
        <w:rPr>
          <w:rFonts w:hint="eastAsia"/>
          <w:color w:val="auto"/>
        </w:rPr>
      </w:pPr>
      <w:r>
        <w:rPr>
          <w:rFonts w:cs="宋体"/>
          <w:color w:val="auto"/>
        </w:rPr>
        <w:t>3.</w:t>
      </w:r>
      <w:r>
        <w:rPr>
          <w:rFonts w:hint="eastAsia" w:cs="宋体"/>
          <w:color w:val="auto"/>
        </w:rPr>
        <w:t>第</w:t>
      </w:r>
      <w:r>
        <w:rPr>
          <w:rFonts w:cs="宋体"/>
          <w:color w:val="auto"/>
        </w:rPr>
        <w:t>3</w:t>
      </w:r>
      <w:r>
        <w:rPr>
          <w:rFonts w:hint="eastAsia" w:cs="宋体"/>
          <w:color w:val="auto"/>
        </w:rPr>
        <w:t>行“销售商品收入”：</w:t>
      </w:r>
      <w:r>
        <w:rPr>
          <w:rFonts w:hint="eastAsia"/>
          <w:color w:val="auto"/>
        </w:rPr>
        <w:t>填报纳税人从事工业制造、商品流通、农业生产以及其他商品销售活动取得的主营业务收入。房地产开发企业销售开发产品（销售未完工开发产品除外）取得的收入也在此行填报。</w:t>
      </w:r>
    </w:p>
    <w:p>
      <w:pPr>
        <w:pStyle w:val="12"/>
        <w:ind w:firstLine="480"/>
        <w:rPr>
          <w:rFonts w:hint="eastAsia"/>
          <w:color w:val="auto"/>
        </w:rPr>
      </w:pPr>
      <w:r>
        <w:rPr>
          <w:rFonts w:cs="宋体"/>
          <w:color w:val="auto"/>
        </w:rPr>
        <w:t>4.</w:t>
      </w:r>
      <w:r>
        <w:rPr>
          <w:rFonts w:hint="eastAsia" w:cs="宋体"/>
          <w:color w:val="auto"/>
        </w:rPr>
        <w:t>第</w:t>
      </w:r>
      <w:r>
        <w:rPr>
          <w:rFonts w:cs="宋体"/>
          <w:color w:val="auto"/>
        </w:rPr>
        <w:t>4</w:t>
      </w:r>
      <w:r>
        <w:rPr>
          <w:rFonts w:hint="eastAsia" w:cs="宋体"/>
          <w:color w:val="auto"/>
        </w:rPr>
        <w:t>行“其中：非货币性资产交换收入”：填报纳税人发生的非货币性资产交换按照国家统一会计制度应确认的销售商品收入。</w:t>
      </w:r>
    </w:p>
    <w:p>
      <w:pPr>
        <w:pStyle w:val="12"/>
        <w:ind w:firstLine="480"/>
        <w:rPr>
          <w:rFonts w:hint="eastAsia"/>
          <w:color w:val="auto"/>
        </w:rPr>
      </w:pPr>
      <w:r>
        <w:rPr>
          <w:rFonts w:cs="宋体"/>
          <w:color w:val="auto"/>
        </w:rPr>
        <w:t>5.</w:t>
      </w:r>
      <w:r>
        <w:rPr>
          <w:rFonts w:hint="eastAsia" w:cs="宋体"/>
          <w:color w:val="auto"/>
        </w:rPr>
        <w:t>第</w:t>
      </w:r>
      <w:r>
        <w:rPr>
          <w:rFonts w:cs="宋体"/>
          <w:color w:val="auto"/>
        </w:rPr>
        <w:t>5</w:t>
      </w:r>
      <w:r>
        <w:rPr>
          <w:rFonts w:hint="eastAsia" w:cs="宋体"/>
          <w:color w:val="auto"/>
        </w:rPr>
        <w:t>行“提供劳务收入”：</w:t>
      </w:r>
      <w:r>
        <w:rPr>
          <w:rFonts w:hint="eastAsia"/>
          <w:color w:val="auto"/>
        </w:rPr>
        <w:t>填报纳税人从事建筑安装、修理修配、交通运输、仓储租赁、邮电通信、咨询经纪、文化体育、科学研究、技术服务、教育培训、餐饮住宿、中介代理、卫生保健、社区服务、旅游、娱乐、加工以及其他劳务活动取得的主营业务收入。</w:t>
      </w:r>
    </w:p>
    <w:p>
      <w:pPr>
        <w:pStyle w:val="12"/>
        <w:ind w:firstLine="480"/>
        <w:rPr>
          <w:rFonts w:hint="eastAsia"/>
          <w:color w:val="auto"/>
        </w:rPr>
      </w:pPr>
      <w:r>
        <w:rPr>
          <w:rFonts w:cs="宋体"/>
          <w:color w:val="auto"/>
        </w:rPr>
        <w:t>6.</w:t>
      </w:r>
      <w:r>
        <w:rPr>
          <w:rFonts w:hint="eastAsia" w:cs="宋体"/>
          <w:color w:val="auto"/>
        </w:rPr>
        <w:t>第</w:t>
      </w:r>
      <w:r>
        <w:rPr>
          <w:rFonts w:cs="宋体"/>
          <w:color w:val="auto"/>
        </w:rPr>
        <w:t>6</w:t>
      </w:r>
      <w:r>
        <w:rPr>
          <w:rFonts w:hint="eastAsia" w:cs="宋体"/>
          <w:color w:val="auto"/>
        </w:rPr>
        <w:t>行“建造合同收入”：填报纳税人建造房屋、道路、桥梁、水坝等建筑物，以及生产船舶、飞机、大型机械设备等取得的主营业务收入。</w:t>
      </w:r>
    </w:p>
    <w:p>
      <w:pPr>
        <w:pStyle w:val="12"/>
        <w:ind w:firstLine="480"/>
        <w:rPr>
          <w:rFonts w:hint="eastAsia"/>
          <w:color w:val="auto"/>
        </w:rPr>
      </w:pPr>
      <w:r>
        <w:rPr>
          <w:color w:val="auto"/>
        </w:rPr>
        <w:t>7.</w:t>
      </w:r>
      <w:r>
        <w:rPr>
          <w:rFonts w:hint="eastAsia"/>
          <w:color w:val="auto"/>
        </w:rPr>
        <w:t>第</w:t>
      </w:r>
      <w:r>
        <w:rPr>
          <w:color w:val="auto"/>
        </w:rPr>
        <w:t>7</w:t>
      </w:r>
      <w:r>
        <w:rPr>
          <w:rFonts w:hint="eastAsia"/>
          <w:color w:val="auto"/>
        </w:rPr>
        <w:t>行“让渡资产使用权收入”：填报纳税人在主营业务收入核算的，让渡无形资产使用权而取得的使用费收入以及出租固定资产、无形资产、投资性房地产取得的租金收入。</w:t>
      </w:r>
    </w:p>
    <w:p>
      <w:pPr>
        <w:pStyle w:val="12"/>
        <w:ind w:firstLine="480"/>
        <w:rPr>
          <w:rFonts w:hint="eastAsia"/>
          <w:color w:val="auto"/>
        </w:rPr>
      </w:pPr>
      <w:r>
        <w:rPr>
          <w:rFonts w:cs="宋体"/>
          <w:color w:val="auto"/>
        </w:rPr>
        <w:t>8.</w:t>
      </w:r>
      <w:r>
        <w:rPr>
          <w:rFonts w:hint="eastAsia" w:cs="宋体"/>
          <w:color w:val="auto"/>
        </w:rPr>
        <w:t>第</w:t>
      </w:r>
      <w:r>
        <w:rPr>
          <w:rFonts w:cs="宋体"/>
          <w:color w:val="auto"/>
        </w:rPr>
        <w:t>8</w:t>
      </w:r>
      <w:r>
        <w:rPr>
          <w:rFonts w:hint="eastAsia" w:cs="宋体"/>
          <w:color w:val="auto"/>
        </w:rPr>
        <w:t>行“其他”：填报纳税人按照国家统一会计制度核算</w:t>
      </w:r>
      <w:r>
        <w:rPr>
          <w:rFonts w:hint="eastAsia" w:cs="宋体"/>
          <w:color w:val="auto"/>
          <w:lang w:eastAsia="zh-CN"/>
        </w:rPr>
        <w:t>，</w:t>
      </w:r>
      <w:r>
        <w:rPr>
          <w:rFonts w:hint="eastAsia" w:cs="宋体"/>
          <w:color w:val="auto"/>
        </w:rPr>
        <w:t>上述未列举的其他主营业务收入。</w:t>
      </w:r>
    </w:p>
    <w:p>
      <w:pPr>
        <w:pStyle w:val="12"/>
        <w:ind w:firstLine="480"/>
        <w:rPr>
          <w:rFonts w:hint="eastAsia"/>
          <w:color w:val="auto"/>
        </w:rPr>
      </w:pPr>
      <w:r>
        <w:rPr>
          <w:rFonts w:cs="宋体"/>
          <w:color w:val="auto"/>
        </w:rPr>
        <w:t>9.</w:t>
      </w:r>
      <w:r>
        <w:rPr>
          <w:rFonts w:hint="eastAsia" w:cs="宋体"/>
          <w:color w:val="auto"/>
        </w:rPr>
        <w:t>第</w:t>
      </w:r>
      <w:r>
        <w:rPr>
          <w:rFonts w:cs="宋体"/>
          <w:color w:val="auto"/>
        </w:rPr>
        <w:t>9</w:t>
      </w:r>
      <w:r>
        <w:rPr>
          <w:rFonts w:hint="eastAsia" w:cs="宋体"/>
          <w:color w:val="auto"/>
        </w:rPr>
        <w:t>行“其他业务收入”：填报根据不同行业的业务性质分别填报纳税人核算的其他业务收入。</w:t>
      </w:r>
    </w:p>
    <w:p>
      <w:pPr>
        <w:pStyle w:val="12"/>
        <w:ind w:firstLine="480"/>
        <w:rPr>
          <w:rFonts w:hint="eastAsia" w:cs="宋体"/>
          <w:color w:val="auto"/>
        </w:rPr>
      </w:pPr>
      <w:r>
        <w:rPr>
          <w:rFonts w:cs="宋体"/>
          <w:color w:val="auto"/>
        </w:rPr>
        <w:t>10.</w:t>
      </w:r>
      <w:r>
        <w:rPr>
          <w:rFonts w:hint="eastAsia" w:cs="宋体"/>
          <w:color w:val="auto"/>
        </w:rPr>
        <w:t>第</w:t>
      </w:r>
      <w:r>
        <w:rPr>
          <w:rFonts w:cs="宋体"/>
          <w:color w:val="auto"/>
        </w:rPr>
        <w:t>10</w:t>
      </w:r>
      <w:r>
        <w:rPr>
          <w:rFonts w:hint="eastAsia" w:cs="宋体"/>
          <w:color w:val="auto"/>
        </w:rPr>
        <w:t>行“销售材料收入”：填报纳税人销售材料、下脚料、废料、废旧物资等取得的收入。</w:t>
      </w:r>
    </w:p>
    <w:p>
      <w:pPr>
        <w:pStyle w:val="12"/>
        <w:ind w:firstLine="480"/>
        <w:rPr>
          <w:rFonts w:hint="eastAsia"/>
          <w:color w:val="auto"/>
        </w:rPr>
      </w:pPr>
      <w:r>
        <w:rPr>
          <w:color w:val="auto"/>
        </w:rPr>
        <w:t>11</w:t>
      </w:r>
      <w:r>
        <w:rPr>
          <w:rFonts w:hint="eastAsia"/>
          <w:color w:val="auto"/>
        </w:rPr>
        <w:t>.第</w:t>
      </w:r>
      <w:r>
        <w:rPr>
          <w:color w:val="auto"/>
        </w:rPr>
        <w:t>11</w:t>
      </w:r>
      <w:r>
        <w:rPr>
          <w:rFonts w:hint="eastAsia"/>
          <w:color w:val="auto"/>
        </w:rPr>
        <w:t>行“其中：非货币性资产交换收入”：</w:t>
      </w:r>
      <w:r>
        <w:rPr>
          <w:rFonts w:hint="eastAsia" w:cs="宋体"/>
          <w:color w:val="auto"/>
        </w:rPr>
        <w:t>填报纳税人发生的非货币性资产交换按照国家统一会计制度应确认的材料销售收入。</w:t>
      </w:r>
    </w:p>
    <w:p>
      <w:pPr>
        <w:pStyle w:val="12"/>
        <w:ind w:firstLine="480"/>
        <w:rPr>
          <w:rFonts w:hint="eastAsia"/>
          <w:color w:val="auto"/>
        </w:rPr>
      </w:pPr>
      <w:r>
        <w:rPr>
          <w:rFonts w:cs="宋体"/>
          <w:color w:val="auto"/>
        </w:rPr>
        <w:t>12.</w:t>
      </w:r>
      <w:r>
        <w:rPr>
          <w:rFonts w:hint="eastAsia" w:cs="宋体"/>
          <w:color w:val="auto"/>
        </w:rPr>
        <w:t>第</w:t>
      </w:r>
      <w:r>
        <w:rPr>
          <w:rFonts w:cs="宋体"/>
          <w:color w:val="auto"/>
        </w:rPr>
        <w:t>12</w:t>
      </w:r>
      <w:r>
        <w:rPr>
          <w:rFonts w:hint="eastAsia" w:cs="宋体"/>
          <w:color w:val="auto"/>
        </w:rPr>
        <w:t>行“出租固定资产收入”：填报纳税人将固定资产使用权让与承租人获取的其他业务收入。</w:t>
      </w:r>
    </w:p>
    <w:p>
      <w:pPr>
        <w:pStyle w:val="12"/>
        <w:ind w:firstLine="480"/>
        <w:rPr>
          <w:rFonts w:hint="eastAsia"/>
          <w:color w:val="auto"/>
        </w:rPr>
      </w:pPr>
      <w:r>
        <w:rPr>
          <w:rFonts w:cs="宋体"/>
          <w:color w:val="auto"/>
        </w:rPr>
        <w:t>13.</w:t>
      </w:r>
      <w:r>
        <w:rPr>
          <w:rFonts w:hint="eastAsia" w:cs="宋体"/>
          <w:color w:val="auto"/>
        </w:rPr>
        <w:t>第</w:t>
      </w:r>
      <w:r>
        <w:rPr>
          <w:rFonts w:cs="宋体"/>
          <w:color w:val="auto"/>
        </w:rPr>
        <w:t>13</w:t>
      </w:r>
      <w:r>
        <w:rPr>
          <w:rFonts w:hint="eastAsia" w:cs="宋体"/>
          <w:color w:val="auto"/>
        </w:rPr>
        <w:t>行“出租无形资产收入”：填报纳税人让渡无形资产使用权取得的其他业务收入。</w:t>
      </w:r>
    </w:p>
    <w:p>
      <w:pPr>
        <w:pStyle w:val="12"/>
        <w:ind w:firstLine="480"/>
        <w:rPr>
          <w:rFonts w:hint="eastAsia" w:cs="宋体"/>
          <w:color w:val="auto"/>
        </w:rPr>
      </w:pPr>
      <w:r>
        <w:rPr>
          <w:rFonts w:cs="宋体"/>
          <w:color w:val="auto"/>
        </w:rPr>
        <w:t>14.</w:t>
      </w:r>
      <w:r>
        <w:rPr>
          <w:rFonts w:hint="eastAsia" w:cs="宋体"/>
          <w:color w:val="auto"/>
        </w:rPr>
        <w:t>第</w:t>
      </w:r>
      <w:r>
        <w:rPr>
          <w:rFonts w:cs="宋体"/>
          <w:color w:val="auto"/>
        </w:rPr>
        <w:t>14</w:t>
      </w:r>
      <w:r>
        <w:rPr>
          <w:rFonts w:hint="eastAsia" w:cs="宋体"/>
          <w:color w:val="auto"/>
        </w:rPr>
        <w:t>行“出租包装物和商品收入”：填报纳税人出租、出借包装物和商品取得的其他业务收入。</w:t>
      </w:r>
    </w:p>
    <w:p>
      <w:pPr>
        <w:pStyle w:val="12"/>
        <w:ind w:firstLine="480"/>
        <w:rPr>
          <w:rFonts w:hint="eastAsia" w:cs="宋体"/>
          <w:color w:val="auto"/>
        </w:rPr>
      </w:pPr>
      <w:r>
        <w:rPr>
          <w:rFonts w:cs="宋体"/>
          <w:color w:val="auto"/>
        </w:rPr>
        <w:t>15.</w:t>
      </w:r>
      <w:r>
        <w:rPr>
          <w:rFonts w:hint="eastAsia" w:cs="宋体"/>
          <w:color w:val="auto"/>
        </w:rPr>
        <w:t>第</w:t>
      </w:r>
      <w:r>
        <w:rPr>
          <w:rFonts w:cs="宋体"/>
          <w:color w:val="auto"/>
        </w:rPr>
        <w:t>15</w:t>
      </w:r>
      <w:r>
        <w:rPr>
          <w:rFonts w:hint="eastAsia" w:cs="宋体"/>
          <w:color w:val="auto"/>
        </w:rPr>
        <w:t>行“其他”：填报纳税人按照国家统一会计制度核算，上述未列举的其他业务收入。</w:t>
      </w:r>
    </w:p>
    <w:p>
      <w:pPr>
        <w:pStyle w:val="12"/>
        <w:ind w:firstLine="480"/>
        <w:rPr>
          <w:rFonts w:hint="eastAsia" w:cs="宋体"/>
          <w:color w:val="auto"/>
        </w:rPr>
      </w:pPr>
      <w:r>
        <w:rPr>
          <w:rFonts w:cs="宋体"/>
          <w:color w:val="auto"/>
        </w:rPr>
        <w:t>16.</w:t>
      </w:r>
      <w:r>
        <w:rPr>
          <w:rFonts w:hint="eastAsia" w:cs="宋体"/>
          <w:color w:val="auto"/>
        </w:rPr>
        <w:t>第</w:t>
      </w:r>
      <w:r>
        <w:rPr>
          <w:rFonts w:cs="宋体"/>
          <w:color w:val="auto"/>
        </w:rPr>
        <w:t>16</w:t>
      </w:r>
      <w:r>
        <w:rPr>
          <w:rFonts w:hint="eastAsia" w:cs="宋体"/>
          <w:color w:val="auto"/>
        </w:rPr>
        <w:t>行“营业外收入”：</w:t>
      </w:r>
      <w:r>
        <w:rPr>
          <w:rFonts w:hint="eastAsia" w:ascii="宋体" w:hAnsi="宋体" w:eastAsia="宋体" w:cs="宋体"/>
          <w:color w:val="auto"/>
        </w:rPr>
        <w:t>填报</w:t>
      </w:r>
      <w:r>
        <w:rPr>
          <w:rFonts w:hint="eastAsia" w:ascii="宋体" w:hAnsi="宋体" w:eastAsia="宋体" w:cs="宋体"/>
          <w:color w:val="auto"/>
          <w:lang w:eastAsia="zh-CN"/>
        </w:rPr>
        <w:t>纳税人</w:t>
      </w:r>
      <w:r>
        <w:rPr>
          <w:rFonts w:hint="eastAsia" w:ascii="宋体" w:hAnsi="宋体" w:eastAsia="宋体" w:cs="宋体"/>
          <w:color w:val="auto"/>
        </w:rPr>
        <w:t>发生的除营业利润以外的收益</w:t>
      </w:r>
      <w:r>
        <w:rPr>
          <w:rFonts w:hint="eastAsia" w:cs="宋体"/>
          <w:color w:val="auto"/>
        </w:rPr>
        <w:t>。</w:t>
      </w:r>
    </w:p>
    <w:p>
      <w:pPr>
        <w:pStyle w:val="12"/>
        <w:ind w:firstLine="480"/>
        <w:rPr>
          <w:rFonts w:hint="eastAsia" w:cs="宋体"/>
          <w:color w:val="auto"/>
        </w:rPr>
      </w:pPr>
      <w:r>
        <w:rPr>
          <w:rFonts w:cs="宋体"/>
          <w:color w:val="auto"/>
        </w:rPr>
        <w:t>17.</w:t>
      </w:r>
      <w:r>
        <w:rPr>
          <w:rFonts w:hint="eastAsia" w:cs="宋体"/>
          <w:color w:val="auto"/>
        </w:rPr>
        <w:t>第</w:t>
      </w:r>
      <w:r>
        <w:rPr>
          <w:rFonts w:cs="宋体"/>
          <w:color w:val="auto"/>
        </w:rPr>
        <w:t>17</w:t>
      </w:r>
      <w:r>
        <w:rPr>
          <w:rFonts w:hint="eastAsia" w:cs="宋体"/>
          <w:color w:val="auto"/>
        </w:rPr>
        <w:t>行“非流动资产处置利得”：填报纳税人处置固定资产、无形资产等取得的净收益。</w:t>
      </w:r>
    </w:p>
    <w:p>
      <w:pPr>
        <w:pStyle w:val="12"/>
        <w:ind w:firstLine="480"/>
        <w:rPr>
          <w:rFonts w:hint="eastAsia" w:cs="宋体"/>
          <w:color w:val="auto"/>
        </w:rPr>
      </w:pPr>
      <w:r>
        <w:rPr>
          <w:rFonts w:cs="宋体"/>
          <w:color w:val="auto"/>
        </w:rPr>
        <w:t>18.</w:t>
      </w:r>
      <w:r>
        <w:rPr>
          <w:rFonts w:hint="eastAsia" w:cs="宋体"/>
          <w:color w:val="auto"/>
        </w:rPr>
        <w:t>第</w:t>
      </w:r>
      <w:r>
        <w:rPr>
          <w:rFonts w:cs="宋体"/>
          <w:color w:val="auto"/>
        </w:rPr>
        <w:t>18</w:t>
      </w:r>
      <w:r>
        <w:rPr>
          <w:rFonts w:hint="eastAsia" w:cs="宋体"/>
          <w:color w:val="auto"/>
        </w:rPr>
        <w:t>行“非货币性资产交换利得”：填报纳税人发生非货币性资产交换应确认的净收益。</w:t>
      </w:r>
    </w:p>
    <w:p>
      <w:pPr>
        <w:pStyle w:val="12"/>
        <w:ind w:firstLine="480"/>
        <w:rPr>
          <w:rFonts w:hint="eastAsia" w:cs="宋体"/>
          <w:color w:val="auto"/>
        </w:rPr>
      </w:pPr>
      <w:r>
        <w:rPr>
          <w:rFonts w:cs="宋体"/>
          <w:color w:val="auto"/>
        </w:rPr>
        <w:t>19.</w:t>
      </w:r>
      <w:r>
        <w:rPr>
          <w:rFonts w:hint="eastAsia" w:cs="宋体"/>
          <w:color w:val="auto"/>
        </w:rPr>
        <w:t>第</w:t>
      </w:r>
      <w:r>
        <w:rPr>
          <w:rFonts w:cs="宋体"/>
          <w:color w:val="auto"/>
        </w:rPr>
        <w:t>19</w:t>
      </w:r>
      <w:r>
        <w:rPr>
          <w:rFonts w:hint="eastAsia" w:cs="宋体"/>
          <w:color w:val="auto"/>
        </w:rPr>
        <w:t>行“债务重组利得”：填报纳税人发生的债务重组业务确认的净收益。</w:t>
      </w:r>
    </w:p>
    <w:p>
      <w:pPr>
        <w:pStyle w:val="12"/>
        <w:ind w:firstLine="480"/>
        <w:rPr>
          <w:rFonts w:hint="eastAsia" w:cs="宋体"/>
          <w:color w:val="auto"/>
        </w:rPr>
      </w:pPr>
      <w:r>
        <w:rPr>
          <w:rFonts w:cs="宋体"/>
          <w:color w:val="auto"/>
        </w:rPr>
        <w:t>20.</w:t>
      </w:r>
      <w:r>
        <w:rPr>
          <w:rFonts w:hint="eastAsia" w:cs="宋体"/>
          <w:color w:val="auto"/>
        </w:rPr>
        <w:t>第</w:t>
      </w:r>
      <w:r>
        <w:rPr>
          <w:rFonts w:cs="宋体"/>
          <w:color w:val="auto"/>
        </w:rPr>
        <w:t>20</w:t>
      </w:r>
      <w:r>
        <w:rPr>
          <w:rFonts w:hint="eastAsia" w:cs="宋体"/>
          <w:color w:val="auto"/>
        </w:rPr>
        <w:t>行“政府补助利得”：填报纳税人从政府无偿取得货币性资产或非货币性资产应确认的净收益。</w:t>
      </w:r>
    </w:p>
    <w:p>
      <w:pPr>
        <w:pStyle w:val="12"/>
        <w:ind w:firstLine="480"/>
        <w:rPr>
          <w:rFonts w:hint="eastAsia" w:cs="宋体"/>
          <w:color w:val="auto"/>
        </w:rPr>
      </w:pPr>
      <w:r>
        <w:rPr>
          <w:rFonts w:cs="宋体"/>
          <w:color w:val="auto"/>
        </w:rPr>
        <w:t>21.</w:t>
      </w:r>
      <w:r>
        <w:rPr>
          <w:rFonts w:hint="eastAsia" w:cs="宋体"/>
          <w:color w:val="auto"/>
        </w:rPr>
        <w:t>第</w:t>
      </w:r>
      <w:r>
        <w:rPr>
          <w:rFonts w:cs="宋体"/>
          <w:color w:val="auto"/>
        </w:rPr>
        <w:t>21</w:t>
      </w:r>
      <w:r>
        <w:rPr>
          <w:rFonts w:hint="eastAsia" w:cs="宋体"/>
          <w:color w:val="auto"/>
        </w:rPr>
        <w:t>行“盘盈利得”：填报纳税人在清查财产过程中查明的各种财产盘盈应确认的净收益。</w:t>
      </w:r>
    </w:p>
    <w:p>
      <w:pPr>
        <w:pStyle w:val="12"/>
        <w:ind w:firstLine="480"/>
        <w:rPr>
          <w:rFonts w:hint="eastAsia" w:cs="宋体"/>
          <w:color w:val="auto"/>
        </w:rPr>
      </w:pPr>
      <w:r>
        <w:rPr>
          <w:rFonts w:cs="宋体"/>
          <w:color w:val="auto"/>
        </w:rPr>
        <w:t>22.</w:t>
      </w:r>
      <w:r>
        <w:rPr>
          <w:rFonts w:hint="eastAsia" w:cs="宋体"/>
          <w:color w:val="auto"/>
        </w:rPr>
        <w:t>第</w:t>
      </w:r>
      <w:r>
        <w:rPr>
          <w:rFonts w:cs="宋体"/>
          <w:color w:val="auto"/>
        </w:rPr>
        <w:t>22</w:t>
      </w:r>
      <w:r>
        <w:rPr>
          <w:rFonts w:hint="eastAsia" w:cs="宋体"/>
          <w:color w:val="auto"/>
        </w:rPr>
        <w:t>行“捐赠利得”：填报纳税人接受的来自企业、组织或个人无偿给予的货币性资产、非货币性资产捐赠应确认的净收益。</w:t>
      </w:r>
    </w:p>
    <w:p>
      <w:pPr>
        <w:pStyle w:val="12"/>
        <w:ind w:firstLine="480"/>
        <w:rPr>
          <w:rFonts w:hint="eastAsia" w:cs="宋体"/>
          <w:color w:val="auto"/>
        </w:rPr>
      </w:pPr>
      <w:r>
        <w:rPr>
          <w:rFonts w:cs="宋体"/>
          <w:color w:val="auto"/>
        </w:rPr>
        <w:t>23.</w:t>
      </w:r>
      <w:r>
        <w:rPr>
          <w:rFonts w:hint="eastAsia" w:cs="宋体"/>
          <w:color w:val="auto"/>
        </w:rPr>
        <w:t>第</w:t>
      </w:r>
      <w:r>
        <w:rPr>
          <w:rFonts w:cs="宋体"/>
          <w:color w:val="auto"/>
        </w:rPr>
        <w:t>23</w:t>
      </w:r>
      <w:r>
        <w:rPr>
          <w:rFonts w:hint="eastAsia" w:cs="宋体"/>
          <w:color w:val="auto"/>
        </w:rPr>
        <w:t>行“罚没利得”：填报纳税人在日常经营管理活动中取得的罚款、没收收入应确认的净收益。</w:t>
      </w:r>
    </w:p>
    <w:p>
      <w:pPr>
        <w:pStyle w:val="12"/>
        <w:ind w:firstLine="480"/>
        <w:rPr>
          <w:rFonts w:hint="eastAsia" w:cs="宋体"/>
          <w:color w:val="auto"/>
        </w:rPr>
      </w:pPr>
      <w:r>
        <w:rPr>
          <w:rFonts w:cs="宋体"/>
          <w:color w:val="auto"/>
        </w:rPr>
        <w:t>24.</w:t>
      </w:r>
      <w:r>
        <w:rPr>
          <w:rFonts w:hint="eastAsia" w:cs="宋体"/>
          <w:color w:val="auto"/>
        </w:rPr>
        <w:t>第</w:t>
      </w:r>
      <w:r>
        <w:rPr>
          <w:rFonts w:cs="宋体"/>
          <w:color w:val="auto"/>
        </w:rPr>
        <w:t>24</w:t>
      </w:r>
      <w:r>
        <w:rPr>
          <w:rFonts w:hint="eastAsia" w:cs="宋体"/>
          <w:color w:val="auto"/>
        </w:rPr>
        <w:t>行“确实无法偿付的应付款项”：填报纳税人因确实无法偿付的应付款项而确认的收入。</w:t>
      </w:r>
    </w:p>
    <w:p>
      <w:pPr>
        <w:pStyle w:val="12"/>
        <w:ind w:firstLine="480"/>
        <w:rPr>
          <w:rFonts w:hint="eastAsia" w:cs="宋体"/>
          <w:color w:val="auto"/>
        </w:rPr>
      </w:pPr>
      <w:r>
        <w:rPr>
          <w:rFonts w:cs="宋体"/>
          <w:color w:val="auto"/>
        </w:rPr>
        <w:t>25</w:t>
      </w:r>
      <w:r>
        <w:rPr>
          <w:rFonts w:hint="eastAsia" w:cs="宋体"/>
          <w:color w:val="auto"/>
        </w:rPr>
        <w:t>.第</w:t>
      </w:r>
      <w:r>
        <w:rPr>
          <w:rFonts w:cs="宋体"/>
          <w:color w:val="auto"/>
        </w:rPr>
        <w:t>25</w:t>
      </w:r>
      <w:r>
        <w:rPr>
          <w:rFonts w:hint="eastAsia" w:cs="宋体"/>
          <w:color w:val="auto"/>
        </w:rPr>
        <w:t>行“汇兑收益”：填报纳税人取得企业外币货币性项目因汇率变动形成的收益应确认的收入。（该项目为执行小企业会计准则企业填报）</w:t>
      </w:r>
    </w:p>
    <w:p>
      <w:pPr>
        <w:pStyle w:val="12"/>
        <w:ind w:firstLine="480"/>
        <w:rPr>
          <w:rFonts w:hint="eastAsia" w:cs="宋体"/>
          <w:color w:val="auto"/>
        </w:rPr>
      </w:pPr>
      <w:r>
        <w:rPr>
          <w:rFonts w:cs="宋体"/>
          <w:color w:val="auto"/>
        </w:rPr>
        <w:t>26.</w:t>
      </w:r>
      <w:r>
        <w:rPr>
          <w:rFonts w:hint="eastAsia" w:cs="宋体"/>
          <w:color w:val="auto"/>
        </w:rPr>
        <w:t>第</w:t>
      </w:r>
      <w:r>
        <w:rPr>
          <w:rFonts w:cs="宋体"/>
          <w:color w:val="auto"/>
        </w:rPr>
        <w:t>26</w:t>
      </w:r>
      <w:r>
        <w:rPr>
          <w:rFonts w:hint="eastAsia" w:cs="宋体"/>
          <w:color w:val="auto"/>
        </w:rPr>
        <w:t>行“其他”：</w:t>
      </w:r>
      <w:r>
        <w:rPr>
          <w:rFonts w:hint="eastAsia"/>
          <w:color w:val="auto"/>
        </w:rPr>
        <w:t>填报纳税人取得的上述项目未列举的其他营业外收入，</w:t>
      </w:r>
      <w:r>
        <w:rPr>
          <w:rFonts w:hint="eastAsia" w:cs="宋体"/>
          <w:color w:val="auto"/>
        </w:rPr>
        <w:t>包括执行企业会计准则纳税人按权益法核算长期股权投资对初始投资成本调整确认的收益，执行小企业会计准则纳税人取得的出租包装物和商品的租金收入、逾期未退包装物押金收益等。</w:t>
      </w:r>
    </w:p>
    <w:p>
      <w:pPr>
        <w:pStyle w:val="23"/>
        <w:ind w:firstLine="482"/>
        <w:rPr>
          <w:rFonts w:hint="eastAsia"/>
          <w:color w:val="auto"/>
        </w:rPr>
      </w:pPr>
      <w:bookmarkStart w:id="83" w:name="_Toc393480187"/>
      <w:r>
        <w:rPr>
          <w:rFonts w:hint="eastAsia"/>
          <w:color w:val="auto"/>
        </w:rPr>
        <w:t>二、表内、表间关系</w:t>
      </w:r>
      <w:bookmarkEnd w:id="83"/>
    </w:p>
    <w:p>
      <w:pPr>
        <w:pStyle w:val="22"/>
        <w:rPr>
          <w:rFonts w:hint="eastAsia"/>
          <w:color w:val="auto"/>
        </w:rPr>
      </w:pPr>
      <w:r>
        <w:rPr>
          <w:rFonts w:hint="eastAsia"/>
          <w:color w:val="auto"/>
        </w:rPr>
        <w:t>（一）表内关系</w:t>
      </w:r>
    </w:p>
    <w:p>
      <w:pPr>
        <w:pStyle w:val="12"/>
        <w:ind w:firstLine="480"/>
        <w:rPr>
          <w:rFonts w:hint="eastAsia"/>
          <w:color w:val="auto"/>
        </w:rPr>
      </w:pPr>
      <w:r>
        <w:rPr>
          <w:color w:val="auto"/>
        </w:rPr>
        <w:t>1.</w:t>
      </w:r>
      <w:r>
        <w:rPr>
          <w:rFonts w:hint="eastAsia"/>
          <w:color w:val="auto"/>
        </w:rPr>
        <w:t>第</w:t>
      </w:r>
      <w:r>
        <w:rPr>
          <w:color w:val="auto"/>
        </w:rPr>
        <w:t>1</w:t>
      </w:r>
      <w:r>
        <w:rPr>
          <w:rFonts w:hint="eastAsia"/>
          <w:color w:val="auto"/>
        </w:rPr>
        <w:t>行</w:t>
      </w:r>
      <w:r>
        <w:rPr>
          <w:color w:val="auto"/>
        </w:rPr>
        <w:t>＝</w:t>
      </w:r>
      <w:r>
        <w:rPr>
          <w:rFonts w:hint="eastAsia"/>
          <w:color w:val="auto"/>
        </w:rPr>
        <w:t>第</w:t>
      </w:r>
      <w:r>
        <w:rPr>
          <w:color w:val="auto"/>
        </w:rPr>
        <w:t>2＋9</w:t>
      </w:r>
      <w:r>
        <w:rPr>
          <w:rFonts w:hint="eastAsia"/>
          <w:color w:val="auto"/>
        </w:rPr>
        <w:t>行。</w:t>
      </w:r>
    </w:p>
    <w:p>
      <w:pPr>
        <w:pStyle w:val="12"/>
        <w:ind w:firstLine="480"/>
        <w:rPr>
          <w:rFonts w:hint="eastAsia"/>
          <w:color w:val="auto"/>
        </w:rPr>
      </w:pPr>
      <w:r>
        <w:rPr>
          <w:color w:val="auto"/>
        </w:rPr>
        <w:t>2.</w:t>
      </w:r>
      <w:r>
        <w:rPr>
          <w:rFonts w:hint="eastAsia"/>
          <w:color w:val="auto"/>
        </w:rPr>
        <w:t>第</w:t>
      </w:r>
      <w:r>
        <w:rPr>
          <w:color w:val="auto"/>
        </w:rPr>
        <w:t>2</w:t>
      </w:r>
      <w:r>
        <w:rPr>
          <w:rFonts w:hint="eastAsia"/>
          <w:color w:val="auto"/>
        </w:rPr>
        <w:t>行</w:t>
      </w:r>
      <w:r>
        <w:rPr>
          <w:color w:val="auto"/>
        </w:rPr>
        <w:t>＝</w:t>
      </w:r>
      <w:r>
        <w:rPr>
          <w:rFonts w:hint="eastAsia"/>
          <w:color w:val="auto"/>
        </w:rPr>
        <w:t>第</w:t>
      </w:r>
      <w:r>
        <w:rPr>
          <w:color w:val="auto"/>
        </w:rPr>
        <w:t>3＋5＋6＋7</w:t>
      </w:r>
      <w:r>
        <w:rPr>
          <w:rFonts w:hint="eastAsia"/>
          <w:color w:val="auto"/>
        </w:rPr>
        <w:t>＋8行。</w:t>
      </w:r>
    </w:p>
    <w:p>
      <w:pPr>
        <w:pStyle w:val="12"/>
        <w:ind w:firstLine="480"/>
        <w:rPr>
          <w:rFonts w:hint="eastAsia"/>
          <w:color w:val="auto"/>
        </w:rPr>
      </w:pPr>
      <w:r>
        <w:rPr>
          <w:color w:val="auto"/>
        </w:rPr>
        <w:t>3.</w:t>
      </w:r>
      <w:r>
        <w:rPr>
          <w:rFonts w:hint="eastAsia"/>
          <w:color w:val="auto"/>
        </w:rPr>
        <w:t>第</w:t>
      </w:r>
      <w:r>
        <w:rPr>
          <w:color w:val="auto"/>
        </w:rPr>
        <w:t>9</w:t>
      </w:r>
      <w:r>
        <w:rPr>
          <w:rFonts w:hint="eastAsia"/>
          <w:color w:val="auto"/>
        </w:rPr>
        <w:t>行</w:t>
      </w:r>
      <w:r>
        <w:rPr>
          <w:color w:val="auto"/>
        </w:rPr>
        <w:t>＝</w:t>
      </w:r>
      <w:r>
        <w:rPr>
          <w:rFonts w:hint="eastAsia"/>
          <w:color w:val="auto"/>
        </w:rPr>
        <w:t>第</w:t>
      </w:r>
      <w:r>
        <w:rPr>
          <w:color w:val="auto"/>
        </w:rPr>
        <w:t>10＋12＋13＋14＋15</w:t>
      </w:r>
      <w:r>
        <w:rPr>
          <w:rFonts w:hint="eastAsia"/>
          <w:color w:val="auto"/>
        </w:rPr>
        <w:t>行。</w:t>
      </w:r>
    </w:p>
    <w:p>
      <w:pPr>
        <w:pStyle w:val="12"/>
        <w:ind w:firstLine="480"/>
        <w:rPr>
          <w:rFonts w:hint="eastAsia"/>
          <w:color w:val="auto"/>
        </w:rPr>
      </w:pPr>
      <w:r>
        <w:rPr>
          <w:color w:val="auto"/>
        </w:rPr>
        <w:t>4.</w:t>
      </w:r>
      <w:r>
        <w:rPr>
          <w:rFonts w:hint="eastAsia"/>
          <w:color w:val="auto"/>
        </w:rPr>
        <w:t>第</w:t>
      </w:r>
      <w:r>
        <w:rPr>
          <w:color w:val="auto"/>
        </w:rPr>
        <w:t>16</w:t>
      </w:r>
      <w:r>
        <w:rPr>
          <w:rFonts w:hint="eastAsia"/>
          <w:color w:val="auto"/>
        </w:rPr>
        <w:t>行</w:t>
      </w:r>
      <w:r>
        <w:rPr>
          <w:color w:val="auto"/>
        </w:rPr>
        <w:t>＝</w:t>
      </w:r>
      <w:r>
        <w:rPr>
          <w:rFonts w:hint="eastAsia"/>
          <w:color w:val="auto"/>
        </w:rPr>
        <w:t>第</w:t>
      </w:r>
      <w:r>
        <w:rPr>
          <w:color w:val="auto"/>
        </w:rPr>
        <w:t>17＋18＋</w:t>
      </w:r>
      <w:r>
        <w:rPr>
          <w:rFonts w:hint="eastAsia"/>
          <w:color w:val="auto"/>
        </w:rPr>
        <w:t>19＋20＋21＋22＋23＋24＋25</w:t>
      </w:r>
      <w:r>
        <w:rPr>
          <w:color w:val="auto"/>
        </w:rPr>
        <w:t>＋26</w:t>
      </w:r>
      <w:r>
        <w:rPr>
          <w:rFonts w:hint="eastAsia"/>
          <w:color w:val="auto"/>
        </w:rPr>
        <w:t>行。</w:t>
      </w:r>
    </w:p>
    <w:p>
      <w:pPr>
        <w:pStyle w:val="22"/>
        <w:rPr>
          <w:rFonts w:hint="eastAsia"/>
          <w:color w:val="auto"/>
        </w:rPr>
      </w:pPr>
      <w:r>
        <w:rPr>
          <w:rFonts w:hint="eastAsia"/>
          <w:color w:val="auto"/>
        </w:rPr>
        <w:t>（二）表间关系</w:t>
      </w:r>
    </w:p>
    <w:p>
      <w:pPr>
        <w:pStyle w:val="12"/>
        <w:ind w:firstLine="480"/>
        <w:rPr>
          <w:rFonts w:hint="eastAsia"/>
          <w:color w:val="auto"/>
        </w:rPr>
      </w:pPr>
      <w:r>
        <w:rPr>
          <w:rFonts w:hint="eastAsia"/>
          <w:color w:val="auto"/>
        </w:rPr>
        <w:t>1.第</w:t>
      </w:r>
      <w:r>
        <w:rPr>
          <w:color w:val="auto"/>
        </w:rPr>
        <w:t>1</w:t>
      </w:r>
      <w:r>
        <w:rPr>
          <w:rFonts w:hint="eastAsia"/>
          <w:color w:val="auto"/>
        </w:rPr>
        <w:t>行</w:t>
      </w:r>
      <w:r>
        <w:rPr>
          <w:color w:val="auto"/>
        </w:rPr>
        <w:t>＝</w:t>
      </w:r>
      <w:r>
        <w:rPr>
          <w:rFonts w:hint="eastAsia"/>
          <w:color w:val="auto"/>
        </w:rPr>
        <w:t>表</w:t>
      </w:r>
      <w:r>
        <w:rPr>
          <w:color w:val="auto"/>
        </w:rPr>
        <w:t>A10000</w:t>
      </w:r>
      <w:r>
        <w:rPr>
          <w:rFonts w:hint="eastAsia"/>
          <w:color w:val="auto"/>
        </w:rPr>
        <w:t>0第</w:t>
      </w:r>
      <w:r>
        <w:rPr>
          <w:color w:val="auto"/>
        </w:rPr>
        <w:t>1</w:t>
      </w:r>
      <w:r>
        <w:rPr>
          <w:rFonts w:hint="eastAsia"/>
          <w:color w:val="auto"/>
        </w:rPr>
        <w:t>行。</w:t>
      </w:r>
    </w:p>
    <w:p>
      <w:pPr>
        <w:pStyle w:val="12"/>
        <w:ind w:firstLine="480"/>
        <w:rPr>
          <w:rFonts w:hint="eastAsia"/>
          <w:color w:val="auto"/>
        </w:rPr>
        <w:sectPr>
          <w:pgSz w:w="11906" w:h="16838"/>
          <w:pgMar w:top="1440" w:right="1800" w:bottom="1440" w:left="1800" w:header="851" w:footer="992" w:gutter="113"/>
          <w:pgNumType w:fmt="decimal"/>
          <w:cols w:space="720" w:num="1"/>
          <w:docGrid w:linePitch="312" w:charSpace="0"/>
        </w:sectPr>
      </w:pPr>
      <w:r>
        <w:rPr>
          <w:rFonts w:hint="eastAsia"/>
          <w:color w:val="auto"/>
        </w:rPr>
        <w:t>2.第</w:t>
      </w:r>
      <w:r>
        <w:rPr>
          <w:color w:val="auto"/>
        </w:rPr>
        <w:t>16</w:t>
      </w:r>
      <w:r>
        <w:rPr>
          <w:rFonts w:hint="eastAsia"/>
          <w:color w:val="auto"/>
        </w:rPr>
        <w:t>行</w:t>
      </w:r>
      <w:r>
        <w:rPr>
          <w:color w:val="auto"/>
        </w:rPr>
        <w:t>＝</w:t>
      </w:r>
      <w:r>
        <w:rPr>
          <w:rFonts w:hint="eastAsia"/>
          <w:color w:val="auto"/>
        </w:rPr>
        <w:t>表</w:t>
      </w:r>
      <w:r>
        <w:rPr>
          <w:color w:val="auto"/>
        </w:rPr>
        <w:t>A1000</w:t>
      </w:r>
      <w:r>
        <w:rPr>
          <w:color w:val="auto"/>
          <w:highlight w:val="none"/>
        </w:rPr>
        <w:t>0</w:t>
      </w:r>
      <w:r>
        <w:rPr>
          <w:rFonts w:hint="eastAsia"/>
          <w:color w:val="auto"/>
          <w:highlight w:val="none"/>
        </w:rPr>
        <w:t>0第</w:t>
      </w:r>
      <w:r>
        <w:rPr>
          <w:color w:val="auto"/>
          <w:highlight w:val="none"/>
        </w:rPr>
        <w:t>1</w:t>
      </w:r>
      <w:r>
        <w:rPr>
          <w:rFonts w:hint="eastAsia"/>
          <w:color w:val="auto"/>
          <w:highlight w:val="none"/>
        </w:rPr>
        <w:t>6行</w:t>
      </w:r>
      <w:r>
        <w:rPr>
          <w:rFonts w:hint="eastAsia"/>
          <w:color w:val="auto"/>
        </w:rPr>
        <w:t>。</w:t>
      </w:r>
    </w:p>
    <w:p>
      <w:pPr>
        <w:pStyle w:val="24"/>
        <w:tabs>
          <w:tab w:val="clear" w:pos="4200"/>
        </w:tabs>
        <w:spacing w:before="120" w:after="120"/>
        <w:rPr>
          <w:rFonts w:hint="eastAsia" w:ascii="宋体" w:hAnsi="宋体" w:eastAsia="宋体" w:cs="宋体"/>
          <w:color w:val="auto"/>
        </w:rPr>
      </w:pPr>
      <w:r>
        <w:rPr>
          <w:color w:val="auto"/>
        </w:rPr>
        <w:tab/>
      </w:r>
      <w:bookmarkStart w:id="84" w:name="_Toc392340134"/>
      <w:bookmarkStart w:id="85" w:name="_Toc176972047"/>
      <w:bookmarkStart w:id="86" w:name="_Toc1064974216"/>
      <w:r>
        <w:rPr>
          <w:rFonts w:hint="eastAsia" w:ascii="宋体" w:hAnsi="宋体" w:eastAsia="宋体" w:cs="宋体"/>
          <w:color w:val="auto"/>
        </w:rPr>
        <w:t>A101020</w:t>
      </w:r>
      <w:r>
        <w:rPr>
          <w:rFonts w:hint="eastAsia" w:ascii="宋体" w:hAnsi="宋体" w:eastAsia="宋体" w:cs="宋体"/>
          <w:color w:val="auto"/>
        </w:rPr>
        <w:tab/>
      </w:r>
      <w:r>
        <w:rPr>
          <w:rFonts w:hint="eastAsia" w:ascii="宋体" w:hAnsi="宋体" w:eastAsia="宋体" w:cs="宋体"/>
          <w:color w:val="auto"/>
        </w:rPr>
        <w:t>《金融企业收入明细表》填报说明</w:t>
      </w:r>
      <w:bookmarkEnd w:id="84"/>
      <w:bookmarkEnd w:id="85"/>
      <w:bookmarkEnd w:id="86"/>
    </w:p>
    <w:p>
      <w:pPr>
        <w:pStyle w:val="12"/>
        <w:ind w:firstLine="480"/>
        <w:rPr>
          <w:rFonts w:hint="eastAsia"/>
          <w:color w:val="auto"/>
        </w:rPr>
      </w:pPr>
      <w:r>
        <w:rPr>
          <w:rFonts w:hint="eastAsia"/>
          <w:color w:val="auto"/>
        </w:rPr>
        <w:t>本表适用于执行企业会计准则的金融企业纳税人填报，包括银行（信用社）、保险公司、证券公司等金融企业。金融企业应根据企业会计准则的规定填报“营业收入”“营业外收入”。</w:t>
      </w:r>
    </w:p>
    <w:p>
      <w:pPr>
        <w:pStyle w:val="23"/>
        <w:ind w:firstLine="482"/>
        <w:rPr>
          <w:rFonts w:hint="eastAsia"/>
          <w:color w:val="auto"/>
        </w:rPr>
      </w:pPr>
      <w:r>
        <w:rPr>
          <w:rFonts w:hint="eastAsia"/>
          <w:color w:val="auto"/>
        </w:rPr>
        <w:t>一、有关项目填报说明</w:t>
      </w:r>
    </w:p>
    <w:p>
      <w:pPr>
        <w:pStyle w:val="12"/>
        <w:ind w:firstLine="480"/>
        <w:rPr>
          <w:rFonts w:hint="eastAsia"/>
          <w:color w:val="auto"/>
        </w:rPr>
      </w:pPr>
      <w:r>
        <w:rPr>
          <w:rFonts w:hint="eastAsia"/>
          <w:color w:val="auto"/>
        </w:rPr>
        <w:t>1.第1行“营业收入”：填报纳税人提供金融商品服务取得的收入。</w:t>
      </w:r>
    </w:p>
    <w:p>
      <w:pPr>
        <w:pStyle w:val="12"/>
        <w:ind w:firstLine="480"/>
        <w:rPr>
          <w:rFonts w:hint="eastAsia"/>
          <w:color w:val="auto"/>
        </w:rPr>
      </w:pPr>
      <w:r>
        <w:rPr>
          <w:rFonts w:hint="eastAsia"/>
          <w:color w:val="auto"/>
        </w:rPr>
        <w:t>2.第2行“银行业务收入”：填报纳税人从事银行业务取得的收入。</w:t>
      </w:r>
    </w:p>
    <w:p>
      <w:pPr>
        <w:pStyle w:val="12"/>
        <w:ind w:firstLine="480"/>
        <w:rPr>
          <w:rFonts w:hint="eastAsia"/>
          <w:color w:val="auto"/>
        </w:rPr>
      </w:pPr>
      <w:r>
        <w:rPr>
          <w:rFonts w:hint="eastAsia"/>
          <w:color w:val="auto"/>
        </w:rPr>
        <w:t>3.第3行“利息收入”：填报银行存贷款业务等取得的各项利息收入，包括发放的各类贷款（银团贷款、贸易融资、贴现和转贴现融出资金、协议透支、信用卡透支、转贷款、垫款等）、与其他金融机构（中央银行、同业等）之间发生资金往来业务、买入返售金融资产等实现的利息收入等。</w:t>
      </w:r>
    </w:p>
    <w:p>
      <w:pPr>
        <w:pStyle w:val="12"/>
        <w:ind w:firstLine="480"/>
        <w:rPr>
          <w:rFonts w:hint="eastAsia"/>
          <w:color w:val="auto"/>
        </w:rPr>
      </w:pPr>
      <w:r>
        <w:rPr>
          <w:rFonts w:hint="eastAsia"/>
          <w:color w:val="auto"/>
        </w:rPr>
        <w:t>4.第4行“存放同业”：填报纳税人存放于境内、境外银行和非银行金融机构款项取得的利息收入。</w:t>
      </w:r>
    </w:p>
    <w:p>
      <w:pPr>
        <w:pStyle w:val="12"/>
        <w:ind w:firstLine="480"/>
        <w:rPr>
          <w:rFonts w:hint="eastAsia"/>
          <w:color w:val="auto"/>
        </w:rPr>
      </w:pPr>
      <w:r>
        <w:rPr>
          <w:rFonts w:hint="eastAsia"/>
          <w:color w:val="auto"/>
        </w:rPr>
        <w:t>5.第5行“存放中央银行”：填报纳税人存放于中国人民银行的各种款项利息收入。</w:t>
      </w:r>
    </w:p>
    <w:p>
      <w:pPr>
        <w:pStyle w:val="12"/>
        <w:ind w:firstLine="480"/>
        <w:rPr>
          <w:rFonts w:hint="eastAsia"/>
          <w:color w:val="auto"/>
        </w:rPr>
      </w:pPr>
      <w:r>
        <w:rPr>
          <w:rFonts w:hint="eastAsia"/>
          <w:color w:val="auto"/>
        </w:rPr>
        <w:t>6.第6行“拆出资金”：填报纳税人拆借给境内、境外其他金融机构款项的利息收入。</w:t>
      </w:r>
    </w:p>
    <w:p>
      <w:pPr>
        <w:pStyle w:val="12"/>
        <w:ind w:firstLine="480"/>
        <w:rPr>
          <w:rFonts w:hint="eastAsia"/>
          <w:color w:val="auto"/>
        </w:rPr>
      </w:pPr>
      <w:r>
        <w:rPr>
          <w:rFonts w:hint="eastAsia"/>
          <w:color w:val="auto"/>
        </w:rPr>
        <w:t>7.第7行“发放贷款及垫资”：填报纳税人发放贷款及垫资的利息收入。</w:t>
      </w:r>
    </w:p>
    <w:p>
      <w:pPr>
        <w:pStyle w:val="12"/>
        <w:ind w:firstLine="480"/>
        <w:rPr>
          <w:rFonts w:hint="eastAsia"/>
          <w:color w:val="auto"/>
        </w:rPr>
      </w:pPr>
      <w:r>
        <w:rPr>
          <w:rFonts w:hint="eastAsia"/>
          <w:color w:val="auto"/>
        </w:rPr>
        <w:t>8.第8行“买入返售金融资产”：填报纳税人按照返售协议约定先买入再按固定价格返售的票据、证券、贷款等金融资产所融出资金的利息收入。</w:t>
      </w:r>
    </w:p>
    <w:p>
      <w:pPr>
        <w:pStyle w:val="12"/>
        <w:ind w:firstLine="480"/>
        <w:rPr>
          <w:rFonts w:hint="eastAsia"/>
          <w:color w:val="auto"/>
        </w:rPr>
      </w:pPr>
      <w:r>
        <w:rPr>
          <w:rFonts w:hint="eastAsia"/>
          <w:color w:val="auto"/>
        </w:rPr>
        <w:t>9.第9行“其他”：填报纳税人除本表第4行至第8行以外的其他利息收入，包括债券投资利息等收入。</w:t>
      </w:r>
    </w:p>
    <w:p>
      <w:pPr>
        <w:pStyle w:val="12"/>
        <w:ind w:firstLine="480"/>
        <w:rPr>
          <w:rFonts w:hint="eastAsia"/>
          <w:color w:val="auto"/>
        </w:rPr>
      </w:pPr>
      <w:r>
        <w:rPr>
          <w:rFonts w:hint="eastAsia"/>
          <w:color w:val="auto"/>
        </w:rPr>
        <w:t>10.第10行“手续费及佣金收入”：填报银行在提供相关金融业务服务时向客户收取的收入，包括结算与清算手续费、代理业务手续费、信用承诺手续费及佣金、银行卡手续费、顾问和咨询费、托管及其他受托业务佣金等。</w:t>
      </w:r>
    </w:p>
    <w:p>
      <w:pPr>
        <w:pStyle w:val="12"/>
        <w:ind w:firstLine="480"/>
        <w:rPr>
          <w:rFonts w:hint="eastAsia"/>
          <w:color w:val="auto"/>
        </w:rPr>
      </w:pPr>
      <w:r>
        <w:rPr>
          <w:rFonts w:hint="eastAsia"/>
          <w:color w:val="auto"/>
        </w:rPr>
        <w:t>11.第18行“证券业务收入”：填报纳税人从事证券业务取得的收入。</w:t>
      </w:r>
    </w:p>
    <w:p>
      <w:pPr>
        <w:pStyle w:val="12"/>
        <w:ind w:firstLine="480"/>
        <w:rPr>
          <w:rFonts w:hint="eastAsia"/>
          <w:color w:val="auto"/>
        </w:rPr>
      </w:pPr>
      <w:r>
        <w:rPr>
          <w:rFonts w:hint="eastAsia"/>
          <w:color w:val="auto"/>
        </w:rPr>
        <w:t>12.第19行“证券业务手续费及佣金收入”：填报纳税人承销、代理兑付等业务取得的各项手续费、佣金等收入。</w:t>
      </w:r>
    </w:p>
    <w:p>
      <w:pPr>
        <w:pStyle w:val="12"/>
        <w:ind w:firstLine="480"/>
        <w:rPr>
          <w:rFonts w:hint="eastAsia"/>
          <w:color w:val="auto"/>
        </w:rPr>
      </w:pPr>
      <w:r>
        <w:rPr>
          <w:rFonts w:hint="eastAsia"/>
          <w:color w:val="auto"/>
        </w:rPr>
        <w:t>13.第26行“其他证券业务收入”：填报纳税人在国家许可的范围内从事的除经纪、自营和承销业务以外的与证券有关的业务收入。</w:t>
      </w:r>
    </w:p>
    <w:p>
      <w:pPr>
        <w:pStyle w:val="12"/>
        <w:ind w:firstLine="480"/>
        <w:rPr>
          <w:rFonts w:hint="eastAsia"/>
          <w:color w:val="auto"/>
        </w:rPr>
      </w:pPr>
      <w:r>
        <w:rPr>
          <w:rFonts w:hint="eastAsia"/>
          <w:color w:val="auto"/>
        </w:rPr>
        <w:t>14.第27行“已赚保费”：填报纳税人从事保险业务确认的本年实际保费收入。</w:t>
      </w:r>
    </w:p>
    <w:p>
      <w:pPr>
        <w:pStyle w:val="12"/>
        <w:ind w:firstLine="480"/>
        <w:rPr>
          <w:rFonts w:hint="eastAsia"/>
          <w:color w:val="auto"/>
        </w:rPr>
      </w:pPr>
      <w:r>
        <w:rPr>
          <w:rFonts w:hint="eastAsia"/>
          <w:color w:val="auto"/>
        </w:rPr>
        <w:t>15.第28行“保险业务收入”：填报纳税人从事保险业务确认的保费收入。</w:t>
      </w:r>
    </w:p>
    <w:p>
      <w:pPr>
        <w:pStyle w:val="12"/>
        <w:ind w:firstLine="480"/>
        <w:rPr>
          <w:rFonts w:hint="eastAsia"/>
          <w:color w:val="auto"/>
        </w:rPr>
      </w:pPr>
      <w:r>
        <w:rPr>
          <w:rFonts w:hint="eastAsia"/>
          <w:color w:val="auto"/>
        </w:rPr>
        <w:t>16.第29行“分保费收入”：填报纳税人（再保险公司或分入公司）从原保险公司或分出公司分入的保费收入。</w:t>
      </w:r>
    </w:p>
    <w:p>
      <w:pPr>
        <w:pStyle w:val="12"/>
        <w:ind w:firstLine="480"/>
        <w:rPr>
          <w:rFonts w:hint="eastAsia"/>
          <w:color w:val="auto"/>
        </w:rPr>
      </w:pPr>
      <w:r>
        <w:rPr>
          <w:rFonts w:hint="eastAsia"/>
          <w:color w:val="auto"/>
        </w:rPr>
        <w:t>17.第30行“分出保费”：填报纳税人（再保险分出人）向再保险接受人分出的保费。</w:t>
      </w:r>
    </w:p>
    <w:p>
      <w:pPr>
        <w:pStyle w:val="12"/>
        <w:ind w:firstLine="480"/>
        <w:rPr>
          <w:rFonts w:hint="eastAsia"/>
          <w:color w:val="auto"/>
        </w:rPr>
      </w:pPr>
      <w:r>
        <w:rPr>
          <w:rFonts w:hint="eastAsia"/>
          <w:color w:val="auto"/>
        </w:rPr>
        <w:t>18.第31行“提取未到期责任准备金”：填报纳税人（保险企业）提取的非寿险原保险合同未到期责任准备金和再保险合同分保未到期责任准备金。</w:t>
      </w:r>
    </w:p>
    <w:p>
      <w:pPr>
        <w:pStyle w:val="12"/>
        <w:ind w:firstLine="480"/>
        <w:rPr>
          <w:rFonts w:hint="eastAsia"/>
          <w:color w:val="auto"/>
        </w:rPr>
      </w:pPr>
      <w:r>
        <w:rPr>
          <w:rFonts w:hint="eastAsia"/>
          <w:color w:val="auto"/>
        </w:rPr>
        <w:t>19.第32行“其他金融业务收入”：填报纳税人提供除银行业、保险业、证券业以外的金融商品服务取得的收入。</w:t>
      </w:r>
    </w:p>
    <w:p>
      <w:pPr>
        <w:pStyle w:val="12"/>
        <w:ind w:firstLine="480"/>
        <w:rPr>
          <w:rFonts w:hint="eastAsia"/>
          <w:color w:val="auto"/>
        </w:rPr>
      </w:pPr>
      <w:r>
        <w:rPr>
          <w:rFonts w:hint="eastAsia"/>
          <w:color w:val="auto"/>
        </w:rPr>
        <w:t>20.第33行“汇兑收益”：填报纳税人发生的外币交易因汇率变动而产生的汇兑损益，</w:t>
      </w:r>
      <w:r>
        <w:rPr>
          <w:rFonts w:hint="eastAsia" w:cs="Arial"/>
          <w:color w:val="auto"/>
        </w:rPr>
        <w:t>损失以</w:t>
      </w:r>
      <w:r>
        <w:rPr>
          <w:rFonts w:hint="eastAsia" w:cs="Arial"/>
          <w:color w:val="auto"/>
          <w:lang w:eastAsia="zh-CN"/>
        </w:rPr>
        <w:t>“－”</w:t>
      </w:r>
      <w:r>
        <w:rPr>
          <w:rFonts w:hint="eastAsia" w:cs="Arial"/>
          <w:color w:val="auto"/>
        </w:rPr>
        <w:t>号填列</w:t>
      </w:r>
      <w:r>
        <w:rPr>
          <w:rFonts w:hint="eastAsia"/>
          <w:color w:val="auto"/>
        </w:rPr>
        <w:t>。</w:t>
      </w:r>
    </w:p>
    <w:p>
      <w:pPr>
        <w:pStyle w:val="12"/>
        <w:ind w:firstLine="480"/>
        <w:rPr>
          <w:rFonts w:hint="eastAsia"/>
          <w:color w:val="auto"/>
        </w:rPr>
      </w:pPr>
      <w:r>
        <w:rPr>
          <w:rFonts w:hint="eastAsia"/>
          <w:color w:val="auto"/>
        </w:rPr>
        <w:t>21.第34行“其他业务收入”：填报纳税人发生的除主营业务活动以外的其他经营活动实现的收入。</w:t>
      </w:r>
    </w:p>
    <w:p>
      <w:pPr>
        <w:pStyle w:val="12"/>
        <w:ind w:firstLine="480"/>
        <w:rPr>
          <w:rFonts w:hint="eastAsia"/>
          <w:color w:val="auto"/>
          <w:highlight w:val="none"/>
        </w:rPr>
      </w:pPr>
      <w:r>
        <w:rPr>
          <w:rFonts w:hint="eastAsia"/>
          <w:color w:val="auto"/>
        </w:rPr>
        <w:t>22.第35行“营业外收入”：</w:t>
      </w:r>
      <w:r>
        <w:rPr>
          <w:rFonts w:hint="eastAsia"/>
          <w:color w:val="auto"/>
          <w:highlight w:val="none"/>
        </w:rPr>
        <w:t>填报纳税人发生的除营业利润以外的</w:t>
      </w:r>
      <w:r>
        <w:rPr>
          <w:rFonts w:hint="eastAsia"/>
          <w:color w:val="auto"/>
          <w:highlight w:val="none"/>
          <w:lang w:eastAsia="zh-CN"/>
        </w:rPr>
        <w:t>收益，</w:t>
      </w:r>
      <w:r>
        <w:rPr>
          <w:rFonts w:hint="eastAsia"/>
          <w:color w:val="auto"/>
          <w:highlight w:val="none"/>
        </w:rPr>
        <w:t>主要包括非流动资产处置利得、非货币性资产交换利得、债务重组利得、政府补助利得、盘盈利得、捐赠利得等。</w:t>
      </w:r>
    </w:p>
    <w:p>
      <w:pPr>
        <w:pStyle w:val="12"/>
        <w:ind w:firstLine="480"/>
        <w:rPr>
          <w:rFonts w:hint="eastAsia"/>
          <w:color w:val="auto"/>
        </w:rPr>
      </w:pPr>
      <w:r>
        <w:rPr>
          <w:rFonts w:hint="eastAsia"/>
          <w:color w:val="auto"/>
        </w:rPr>
        <w:t>23.第36行“非流动资产处置利得”：填报纳税人处置固定资产、无形资产等取得的净收益。</w:t>
      </w:r>
    </w:p>
    <w:p>
      <w:pPr>
        <w:pStyle w:val="12"/>
        <w:ind w:firstLine="480"/>
        <w:rPr>
          <w:rFonts w:hint="eastAsia"/>
          <w:color w:val="auto"/>
        </w:rPr>
      </w:pPr>
      <w:r>
        <w:rPr>
          <w:rFonts w:hint="eastAsia"/>
          <w:color w:val="auto"/>
        </w:rPr>
        <w:t>24.第37行“非货币资产交换利得”：填报纳税人发生非货币性资产交换应确认的净收益。</w:t>
      </w:r>
    </w:p>
    <w:p>
      <w:pPr>
        <w:pStyle w:val="12"/>
        <w:ind w:firstLine="480"/>
        <w:rPr>
          <w:rFonts w:hint="eastAsia"/>
          <w:color w:val="auto"/>
        </w:rPr>
      </w:pPr>
      <w:r>
        <w:rPr>
          <w:rFonts w:hint="eastAsia"/>
          <w:color w:val="auto"/>
        </w:rPr>
        <w:t>25.第38行“债务重组利得”：填报纳税人发生的债务重组业务确认的净收益。</w:t>
      </w:r>
    </w:p>
    <w:p>
      <w:pPr>
        <w:pStyle w:val="12"/>
        <w:ind w:firstLine="480"/>
        <w:rPr>
          <w:rFonts w:hint="eastAsia"/>
          <w:color w:val="auto"/>
        </w:rPr>
      </w:pPr>
      <w:r>
        <w:rPr>
          <w:rFonts w:hint="eastAsia"/>
          <w:color w:val="auto"/>
        </w:rPr>
        <w:t>26.第39行“政府补助利得”：填报纳税人从政府无偿取得货币性资产或非货币性资产应确认的净收益。</w:t>
      </w:r>
    </w:p>
    <w:p>
      <w:pPr>
        <w:pStyle w:val="12"/>
        <w:ind w:firstLine="480"/>
        <w:rPr>
          <w:rFonts w:hint="eastAsia"/>
          <w:color w:val="auto"/>
        </w:rPr>
      </w:pPr>
      <w:r>
        <w:rPr>
          <w:rFonts w:hint="eastAsia"/>
          <w:color w:val="auto"/>
        </w:rPr>
        <w:t>27.第40行“盘盈利得”：填报纳税人在清查财产过程中查明的各种财产盘盈应确认的净收益。</w:t>
      </w:r>
    </w:p>
    <w:p>
      <w:pPr>
        <w:pStyle w:val="12"/>
        <w:ind w:firstLine="480"/>
        <w:rPr>
          <w:rFonts w:hint="eastAsia"/>
          <w:color w:val="auto"/>
        </w:rPr>
      </w:pPr>
      <w:r>
        <w:rPr>
          <w:rFonts w:hint="eastAsia"/>
          <w:color w:val="auto"/>
        </w:rPr>
        <w:t>28.第41行“捐赠利得”：填报纳税人接受的来自企业、组织或个人无偿给予的货币性资产、非货币性资产捐赠应确认的净收益。</w:t>
      </w:r>
    </w:p>
    <w:p>
      <w:pPr>
        <w:pStyle w:val="12"/>
        <w:ind w:firstLine="480"/>
        <w:rPr>
          <w:rFonts w:hint="eastAsia"/>
          <w:color w:val="auto"/>
        </w:rPr>
      </w:pPr>
      <w:r>
        <w:rPr>
          <w:rFonts w:hint="eastAsia"/>
          <w:color w:val="auto"/>
        </w:rPr>
        <w:t>29.第42行“其他”：填报纳税人取得的上述项目未列举的其他营业外收入，包括执行《企业会计准则》纳税人对按权益法核算的长期股权投资初始投资成本调整确认的收益。</w:t>
      </w:r>
    </w:p>
    <w:p>
      <w:pPr>
        <w:pStyle w:val="23"/>
        <w:ind w:firstLine="482"/>
        <w:rPr>
          <w:rFonts w:hint="eastAsia"/>
          <w:color w:val="auto"/>
        </w:rPr>
      </w:pPr>
      <w:r>
        <w:rPr>
          <w:rFonts w:hint="eastAsia"/>
          <w:color w:val="auto"/>
        </w:rPr>
        <w:t>二、表内、表间关系</w:t>
      </w:r>
    </w:p>
    <w:p>
      <w:pPr>
        <w:pStyle w:val="22"/>
        <w:rPr>
          <w:rFonts w:hint="eastAsia"/>
          <w:color w:val="auto"/>
        </w:rPr>
      </w:pPr>
      <w:r>
        <w:rPr>
          <w:rFonts w:hint="eastAsia"/>
          <w:color w:val="auto"/>
        </w:rPr>
        <w:t>（一）表内关系</w:t>
      </w:r>
    </w:p>
    <w:p>
      <w:pPr>
        <w:pStyle w:val="12"/>
        <w:ind w:firstLine="480"/>
        <w:rPr>
          <w:rFonts w:hint="eastAsia"/>
          <w:color w:val="auto"/>
        </w:rPr>
      </w:pPr>
      <w:r>
        <w:rPr>
          <w:rFonts w:hint="eastAsia"/>
          <w:color w:val="auto"/>
        </w:rPr>
        <w:t>1.第1行＝第2＋18＋27＋32＋33＋34行。</w:t>
      </w:r>
    </w:p>
    <w:p>
      <w:pPr>
        <w:pStyle w:val="12"/>
        <w:ind w:firstLine="480"/>
        <w:rPr>
          <w:rFonts w:hint="eastAsia"/>
          <w:color w:val="auto"/>
        </w:rPr>
      </w:pPr>
      <w:r>
        <w:rPr>
          <w:rFonts w:hint="eastAsia"/>
          <w:color w:val="auto"/>
        </w:rPr>
        <w:t>2.第2行＝第3＋10行。</w:t>
      </w:r>
    </w:p>
    <w:p>
      <w:pPr>
        <w:pStyle w:val="12"/>
        <w:ind w:firstLine="480"/>
        <w:rPr>
          <w:rFonts w:hint="eastAsia"/>
          <w:color w:val="auto"/>
        </w:rPr>
      </w:pPr>
      <w:r>
        <w:rPr>
          <w:rFonts w:hint="eastAsia"/>
          <w:color w:val="auto"/>
        </w:rPr>
        <w:t>3.第3行＝第4＋5＋</w:t>
      </w:r>
      <w:r>
        <w:rPr>
          <w:color w:val="auto"/>
        </w:rPr>
        <w:t>…</w:t>
      </w:r>
      <w:r>
        <w:rPr>
          <w:rFonts w:hint="eastAsia"/>
          <w:color w:val="auto"/>
        </w:rPr>
        <w:t>＋9行。</w:t>
      </w:r>
    </w:p>
    <w:p>
      <w:pPr>
        <w:pStyle w:val="12"/>
        <w:ind w:firstLine="480"/>
        <w:rPr>
          <w:rFonts w:hint="eastAsia"/>
          <w:color w:val="auto"/>
        </w:rPr>
      </w:pPr>
      <w:r>
        <w:rPr>
          <w:rFonts w:hint="eastAsia"/>
          <w:color w:val="auto"/>
        </w:rPr>
        <w:t>4.第10行＝第11＋12＋</w:t>
      </w:r>
      <w:r>
        <w:rPr>
          <w:color w:val="auto"/>
        </w:rPr>
        <w:t>…</w:t>
      </w:r>
      <w:r>
        <w:rPr>
          <w:rFonts w:hint="eastAsia"/>
          <w:color w:val="auto"/>
        </w:rPr>
        <w:t>＋17行。</w:t>
      </w:r>
    </w:p>
    <w:p>
      <w:pPr>
        <w:pStyle w:val="12"/>
        <w:ind w:firstLine="480"/>
        <w:rPr>
          <w:rFonts w:hint="eastAsia"/>
          <w:color w:val="auto"/>
        </w:rPr>
      </w:pPr>
      <w:r>
        <w:rPr>
          <w:rFonts w:hint="eastAsia"/>
          <w:color w:val="auto"/>
        </w:rPr>
        <w:t>5.第18行＝第19＋26行。</w:t>
      </w:r>
    </w:p>
    <w:p>
      <w:pPr>
        <w:pStyle w:val="12"/>
        <w:ind w:firstLine="480"/>
        <w:rPr>
          <w:rFonts w:hint="eastAsia"/>
          <w:color w:val="auto"/>
        </w:rPr>
      </w:pPr>
      <w:r>
        <w:rPr>
          <w:rFonts w:hint="eastAsia"/>
          <w:color w:val="auto"/>
        </w:rPr>
        <w:t>6.第19行＝第20＋21＋</w:t>
      </w:r>
      <w:r>
        <w:rPr>
          <w:color w:val="auto"/>
        </w:rPr>
        <w:t>…</w:t>
      </w:r>
      <w:r>
        <w:rPr>
          <w:rFonts w:hint="eastAsia"/>
          <w:color w:val="auto"/>
        </w:rPr>
        <w:t>＋25行。</w:t>
      </w:r>
    </w:p>
    <w:p>
      <w:pPr>
        <w:pStyle w:val="12"/>
        <w:ind w:firstLine="480"/>
        <w:rPr>
          <w:rFonts w:hint="eastAsia"/>
          <w:color w:val="auto"/>
        </w:rPr>
      </w:pPr>
      <w:r>
        <w:rPr>
          <w:rFonts w:hint="eastAsia"/>
          <w:color w:val="auto"/>
        </w:rPr>
        <w:t>7.第27行＝第28－30－31行。</w:t>
      </w:r>
    </w:p>
    <w:p>
      <w:pPr>
        <w:pStyle w:val="12"/>
        <w:ind w:firstLine="480"/>
        <w:rPr>
          <w:rFonts w:hint="eastAsia"/>
          <w:color w:val="auto"/>
        </w:rPr>
      </w:pPr>
      <w:r>
        <w:rPr>
          <w:rFonts w:hint="eastAsia"/>
          <w:color w:val="auto"/>
        </w:rPr>
        <w:t>8.第35行＝第36＋37＋</w:t>
      </w:r>
      <w:r>
        <w:rPr>
          <w:color w:val="auto"/>
        </w:rPr>
        <w:t>…</w:t>
      </w:r>
      <w:r>
        <w:rPr>
          <w:rFonts w:hint="eastAsia"/>
          <w:color w:val="auto"/>
        </w:rPr>
        <w:t>＋42行。</w:t>
      </w:r>
    </w:p>
    <w:p>
      <w:pPr>
        <w:pStyle w:val="22"/>
        <w:rPr>
          <w:rFonts w:hint="eastAsia"/>
          <w:color w:val="auto"/>
        </w:rPr>
      </w:pPr>
      <w:r>
        <w:rPr>
          <w:rFonts w:hint="eastAsia"/>
          <w:color w:val="auto"/>
        </w:rPr>
        <w:t>（二）表间关系</w:t>
      </w:r>
    </w:p>
    <w:p>
      <w:pPr>
        <w:pStyle w:val="12"/>
        <w:ind w:firstLine="480"/>
        <w:rPr>
          <w:rFonts w:hint="eastAsia"/>
          <w:color w:val="auto"/>
        </w:rPr>
      </w:pPr>
      <w:r>
        <w:rPr>
          <w:rFonts w:hint="eastAsia"/>
          <w:color w:val="auto"/>
        </w:rPr>
        <w:t>1.第1行＝表A100000第1行。</w:t>
      </w:r>
    </w:p>
    <w:p>
      <w:pPr>
        <w:pStyle w:val="12"/>
        <w:ind w:firstLine="480"/>
        <w:rPr>
          <w:rFonts w:hint="eastAsia"/>
          <w:color w:val="auto"/>
          <w:highlight w:val="none"/>
        </w:rPr>
        <w:sectPr>
          <w:pgSz w:w="11906" w:h="16838"/>
          <w:pgMar w:top="1440" w:right="1800" w:bottom="1440" w:left="1800" w:header="851" w:footer="992" w:gutter="113"/>
          <w:pgNumType w:fmt="decimal"/>
          <w:cols w:space="720" w:num="1"/>
          <w:docGrid w:linePitch="312" w:charSpace="0"/>
        </w:sectPr>
      </w:pPr>
      <w:r>
        <w:rPr>
          <w:rFonts w:hint="eastAsia"/>
          <w:color w:val="auto"/>
        </w:rPr>
        <w:t>2.第35行＝表A100000</w:t>
      </w:r>
      <w:r>
        <w:rPr>
          <w:rFonts w:hint="eastAsia"/>
          <w:color w:val="auto"/>
          <w:highlight w:val="none"/>
        </w:rPr>
        <w:t>第16行。</w:t>
      </w:r>
    </w:p>
    <w:p>
      <w:pPr>
        <w:pStyle w:val="24"/>
        <w:tabs>
          <w:tab w:val="clear" w:pos="4200"/>
        </w:tabs>
        <w:spacing w:before="120" w:after="120"/>
        <w:rPr>
          <w:rFonts w:hint="eastAsia" w:ascii="宋体" w:hAnsi="宋体" w:eastAsia="宋体" w:cs="宋体"/>
          <w:color w:val="auto"/>
        </w:rPr>
      </w:pPr>
      <w:bookmarkStart w:id="87" w:name="_Toc565566960"/>
      <w:bookmarkStart w:id="88" w:name="_Toc1811344709"/>
      <w:bookmarkStart w:id="89" w:name="_Toc176972048"/>
      <w:r>
        <w:rPr>
          <w:rFonts w:hint="eastAsia" w:ascii="宋体" w:hAnsi="宋体" w:eastAsia="宋体" w:cs="宋体"/>
          <w:color w:val="auto"/>
        </w:rPr>
        <w:t>A102010</w:t>
      </w:r>
      <w:r>
        <w:rPr>
          <w:rFonts w:hint="eastAsia" w:ascii="宋体" w:hAnsi="宋体" w:eastAsia="宋体" w:cs="宋体"/>
          <w:color w:val="auto"/>
        </w:rPr>
        <w:tab/>
      </w:r>
      <w:r>
        <w:rPr>
          <w:rFonts w:hint="eastAsia" w:ascii="宋体" w:hAnsi="宋体" w:eastAsia="宋体" w:cs="宋体"/>
          <w:color w:val="auto"/>
        </w:rPr>
        <w:tab/>
      </w:r>
      <w:r>
        <w:rPr>
          <w:rFonts w:hint="eastAsia" w:ascii="宋体" w:hAnsi="宋体" w:eastAsia="宋体" w:cs="宋体"/>
          <w:color w:val="auto"/>
        </w:rPr>
        <w:t>《一般企业成本支出明细表》填报说明</w:t>
      </w:r>
      <w:bookmarkEnd w:id="87"/>
      <w:bookmarkEnd w:id="88"/>
      <w:bookmarkEnd w:id="89"/>
    </w:p>
    <w:p>
      <w:pPr>
        <w:pStyle w:val="12"/>
        <w:ind w:firstLine="480"/>
        <w:rPr>
          <w:rFonts w:hint="eastAsia"/>
          <w:color w:val="auto"/>
        </w:rPr>
      </w:pPr>
      <w:r>
        <w:rPr>
          <w:rFonts w:hint="eastAsia"/>
          <w:color w:val="auto"/>
        </w:rPr>
        <w:t>本表适用于除金融企业、事业单位和民间非营利组织外的企业填报。纳税人应根据国家统一会计制度的规定，填报“主营业务成本”“其他业务成本”和“营业外支出”。</w:t>
      </w:r>
    </w:p>
    <w:p>
      <w:pPr>
        <w:pStyle w:val="23"/>
        <w:ind w:firstLine="482"/>
        <w:rPr>
          <w:rFonts w:hint="eastAsia"/>
          <w:color w:val="auto"/>
        </w:rPr>
      </w:pPr>
      <w:bookmarkStart w:id="90" w:name="_Toc393480201"/>
      <w:r>
        <w:rPr>
          <w:rFonts w:hint="eastAsia"/>
          <w:color w:val="auto"/>
        </w:rPr>
        <w:t>一、有关项目填报说明</w:t>
      </w:r>
      <w:bookmarkEnd w:id="90"/>
    </w:p>
    <w:p>
      <w:pPr>
        <w:pStyle w:val="12"/>
        <w:ind w:firstLine="480"/>
        <w:rPr>
          <w:rFonts w:hint="eastAsia"/>
          <w:color w:val="auto"/>
        </w:rPr>
      </w:pPr>
      <w:r>
        <w:rPr>
          <w:color w:val="auto"/>
        </w:rPr>
        <w:t>1</w:t>
      </w:r>
      <w:r>
        <w:rPr>
          <w:rFonts w:hint="eastAsia"/>
          <w:color w:val="auto"/>
        </w:rPr>
        <w:t>.第</w:t>
      </w:r>
      <w:r>
        <w:rPr>
          <w:color w:val="auto"/>
        </w:rPr>
        <w:t>1</w:t>
      </w:r>
      <w:r>
        <w:rPr>
          <w:rFonts w:hint="eastAsia"/>
          <w:color w:val="auto"/>
        </w:rPr>
        <w:t>行“营业成本”：填报纳税人主要经营业务和其他经营业务发生的成本总额。本行根据“主营业务成本”和“其他业务成本”的数额计算填报。</w:t>
      </w:r>
    </w:p>
    <w:p>
      <w:pPr>
        <w:pStyle w:val="12"/>
        <w:ind w:firstLine="480"/>
        <w:rPr>
          <w:rFonts w:hint="eastAsia"/>
          <w:color w:val="auto"/>
        </w:rPr>
      </w:pPr>
      <w:r>
        <w:rPr>
          <w:color w:val="auto"/>
        </w:rPr>
        <w:t>2.</w:t>
      </w:r>
      <w:r>
        <w:rPr>
          <w:rFonts w:hint="eastAsia"/>
          <w:color w:val="auto"/>
        </w:rPr>
        <w:t>第</w:t>
      </w:r>
      <w:r>
        <w:rPr>
          <w:color w:val="auto"/>
        </w:rPr>
        <w:t>2</w:t>
      </w:r>
      <w:r>
        <w:rPr>
          <w:rFonts w:hint="eastAsia"/>
          <w:color w:val="auto"/>
        </w:rPr>
        <w:t>行“主营业务成本”：根据不同行业的业务性质分别填报纳税人核算的主营业务成本。</w:t>
      </w:r>
    </w:p>
    <w:p>
      <w:pPr>
        <w:pStyle w:val="12"/>
        <w:ind w:firstLine="480"/>
        <w:rPr>
          <w:rFonts w:hint="eastAsia"/>
          <w:color w:val="auto"/>
        </w:rPr>
      </w:pPr>
      <w:r>
        <w:rPr>
          <w:color w:val="auto"/>
        </w:rPr>
        <w:t>3</w:t>
      </w:r>
      <w:r>
        <w:rPr>
          <w:rFonts w:hint="eastAsia"/>
          <w:color w:val="auto"/>
        </w:rPr>
        <w:t>.第</w:t>
      </w:r>
      <w:r>
        <w:rPr>
          <w:color w:val="auto"/>
        </w:rPr>
        <w:t>3</w:t>
      </w:r>
      <w:r>
        <w:rPr>
          <w:rFonts w:hint="eastAsia"/>
          <w:color w:val="auto"/>
        </w:rPr>
        <w:t>行“销售商品成本”：填报纳税人从事工业制造、商品流通、农业生产以及其他商品销售活动发生的主营业务成本。房地产开发企业销售开发产品（销售未完工开发产品除外）发生的成本也在此行填报。</w:t>
      </w:r>
    </w:p>
    <w:p>
      <w:pPr>
        <w:pStyle w:val="12"/>
        <w:ind w:firstLine="480"/>
        <w:rPr>
          <w:rFonts w:hint="eastAsia"/>
          <w:color w:val="auto"/>
        </w:rPr>
      </w:pPr>
      <w:r>
        <w:rPr>
          <w:color w:val="auto"/>
        </w:rPr>
        <w:t>4.</w:t>
      </w:r>
      <w:r>
        <w:rPr>
          <w:rFonts w:hint="eastAsia"/>
          <w:color w:val="auto"/>
        </w:rPr>
        <w:t>第</w:t>
      </w:r>
      <w:r>
        <w:rPr>
          <w:color w:val="auto"/>
        </w:rPr>
        <w:t>4</w:t>
      </w:r>
      <w:r>
        <w:rPr>
          <w:rFonts w:hint="eastAsia"/>
          <w:color w:val="auto"/>
        </w:rPr>
        <w:t>行“其中：非货币性资产交换成本”：填报纳税人发生的非货币性资产交换按照国家统一会计制度应确认的销售商品成本。</w:t>
      </w:r>
    </w:p>
    <w:p>
      <w:pPr>
        <w:pStyle w:val="12"/>
        <w:ind w:firstLine="480"/>
        <w:rPr>
          <w:rFonts w:hint="eastAsia"/>
          <w:color w:val="auto"/>
        </w:rPr>
      </w:pPr>
      <w:r>
        <w:rPr>
          <w:color w:val="auto"/>
        </w:rPr>
        <w:t>5.</w:t>
      </w:r>
      <w:r>
        <w:rPr>
          <w:rFonts w:hint="eastAsia"/>
          <w:color w:val="auto"/>
        </w:rPr>
        <w:t>第</w:t>
      </w:r>
      <w:r>
        <w:rPr>
          <w:color w:val="auto"/>
        </w:rPr>
        <w:t>5</w:t>
      </w:r>
      <w:r>
        <w:rPr>
          <w:rFonts w:hint="eastAsia"/>
          <w:color w:val="auto"/>
        </w:rPr>
        <w:t>行“提供劳务成本”：填报纳税人从事建筑安装、修理修配、交通运输、仓储租赁、邮电通信、咨询经纪、文化体育、科学研究、技术服务、教育培训、餐饮住宿、中介代理、卫生保健、社区服务、旅游、娱乐、加工以及其他劳务活动发生的主营业务成本。</w:t>
      </w:r>
    </w:p>
    <w:p>
      <w:pPr>
        <w:pStyle w:val="12"/>
        <w:ind w:firstLine="480"/>
        <w:rPr>
          <w:rFonts w:hint="eastAsia"/>
          <w:color w:val="auto"/>
        </w:rPr>
      </w:pPr>
      <w:r>
        <w:rPr>
          <w:color w:val="auto"/>
        </w:rPr>
        <w:t>6.</w:t>
      </w:r>
      <w:r>
        <w:rPr>
          <w:rFonts w:hint="eastAsia"/>
          <w:color w:val="auto"/>
        </w:rPr>
        <w:t>第</w:t>
      </w:r>
      <w:r>
        <w:rPr>
          <w:color w:val="auto"/>
        </w:rPr>
        <w:t>6</w:t>
      </w:r>
      <w:r>
        <w:rPr>
          <w:rFonts w:hint="eastAsia"/>
          <w:color w:val="auto"/>
        </w:rPr>
        <w:t>行“建造合同成本”：填报纳税人建造房屋、道路、桥梁、水坝等建筑物，以及生产船舶、飞机、大型机械设备等发生的主营业务成本。</w:t>
      </w:r>
    </w:p>
    <w:p>
      <w:pPr>
        <w:pStyle w:val="12"/>
        <w:ind w:firstLine="480"/>
        <w:rPr>
          <w:rFonts w:hint="eastAsia"/>
          <w:color w:val="auto"/>
        </w:rPr>
      </w:pPr>
      <w:r>
        <w:rPr>
          <w:color w:val="auto"/>
        </w:rPr>
        <w:t>7</w:t>
      </w:r>
      <w:r>
        <w:rPr>
          <w:rFonts w:hint="eastAsia"/>
          <w:color w:val="auto"/>
        </w:rPr>
        <w:t>.第</w:t>
      </w:r>
      <w:r>
        <w:rPr>
          <w:color w:val="auto"/>
        </w:rPr>
        <w:t>7</w:t>
      </w:r>
      <w:r>
        <w:rPr>
          <w:rFonts w:hint="eastAsia"/>
          <w:color w:val="auto"/>
        </w:rPr>
        <w:t>行“让渡资产使用权成本”：填报纳税人在主营业务成本核算的，让渡无形资产使用权而发生的使用费成本以及出租固定资产、无形资产、投资性房地产发生的租金成本。</w:t>
      </w:r>
    </w:p>
    <w:p>
      <w:pPr>
        <w:pStyle w:val="12"/>
        <w:ind w:firstLine="480"/>
        <w:rPr>
          <w:rFonts w:hint="eastAsia"/>
          <w:color w:val="auto"/>
        </w:rPr>
      </w:pPr>
      <w:r>
        <w:rPr>
          <w:color w:val="auto"/>
        </w:rPr>
        <w:t>8</w:t>
      </w:r>
      <w:r>
        <w:rPr>
          <w:rFonts w:hint="eastAsia"/>
          <w:color w:val="auto"/>
        </w:rPr>
        <w:t>.第</w:t>
      </w:r>
      <w:r>
        <w:rPr>
          <w:color w:val="auto"/>
        </w:rPr>
        <w:t>8</w:t>
      </w:r>
      <w:r>
        <w:rPr>
          <w:rFonts w:hint="eastAsia"/>
          <w:color w:val="auto"/>
        </w:rPr>
        <w:t>行“其他”：填报纳税人按照国家统一会计制度核算</w:t>
      </w:r>
      <w:r>
        <w:rPr>
          <w:rFonts w:hint="eastAsia"/>
          <w:color w:val="auto"/>
          <w:lang w:eastAsia="zh-CN"/>
        </w:rPr>
        <w:t>，</w:t>
      </w:r>
      <w:r>
        <w:rPr>
          <w:rFonts w:hint="eastAsia"/>
          <w:color w:val="auto"/>
        </w:rPr>
        <w:t>上述未列举的其他主营业务成本。</w:t>
      </w:r>
    </w:p>
    <w:p>
      <w:pPr>
        <w:pStyle w:val="12"/>
        <w:ind w:firstLine="480"/>
        <w:rPr>
          <w:rFonts w:hint="eastAsia"/>
          <w:color w:val="auto"/>
        </w:rPr>
      </w:pPr>
      <w:r>
        <w:rPr>
          <w:color w:val="auto"/>
        </w:rPr>
        <w:t>9.</w:t>
      </w:r>
      <w:r>
        <w:rPr>
          <w:rFonts w:hint="eastAsia"/>
          <w:color w:val="auto"/>
        </w:rPr>
        <w:t>第9行“其他业务成本”：根据不同行业的业务性质分别填报纳税人按照国家统一会计制度核算的其他业务成本。</w:t>
      </w:r>
    </w:p>
    <w:p>
      <w:pPr>
        <w:pStyle w:val="12"/>
        <w:ind w:firstLine="480"/>
        <w:rPr>
          <w:rFonts w:hint="eastAsia"/>
          <w:color w:val="auto"/>
        </w:rPr>
      </w:pPr>
      <w:r>
        <w:rPr>
          <w:color w:val="auto"/>
        </w:rPr>
        <w:t>10.</w:t>
      </w:r>
      <w:r>
        <w:rPr>
          <w:rFonts w:hint="eastAsia"/>
          <w:color w:val="auto"/>
        </w:rPr>
        <w:t>第</w:t>
      </w:r>
      <w:r>
        <w:rPr>
          <w:color w:val="auto"/>
        </w:rPr>
        <w:t>10</w:t>
      </w:r>
      <w:r>
        <w:rPr>
          <w:rFonts w:hint="eastAsia"/>
          <w:color w:val="auto"/>
        </w:rPr>
        <w:t>行“销售材料成本”：填报纳税人销售材料、下脚料、废料、废旧物资等发生的成本。</w:t>
      </w:r>
    </w:p>
    <w:p>
      <w:pPr>
        <w:pStyle w:val="12"/>
        <w:ind w:firstLine="480"/>
        <w:rPr>
          <w:rFonts w:hint="eastAsia"/>
          <w:color w:val="auto"/>
        </w:rPr>
      </w:pPr>
      <w:r>
        <w:rPr>
          <w:color w:val="auto"/>
        </w:rPr>
        <w:t>11</w:t>
      </w:r>
      <w:r>
        <w:rPr>
          <w:rFonts w:hint="eastAsia"/>
          <w:color w:val="auto"/>
        </w:rPr>
        <w:t>.第</w:t>
      </w:r>
      <w:r>
        <w:rPr>
          <w:color w:val="auto"/>
        </w:rPr>
        <w:t>11</w:t>
      </w:r>
      <w:r>
        <w:rPr>
          <w:rFonts w:hint="eastAsia"/>
          <w:color w:val="auto"/>
        </w:rPr>
        <w:t>行“其中：非货币性资产交换成本”：填报纳税人发生的非货币性资产交换按照国家统一会计制度应确认的材料销售成本。</w:t>
      </w:r>
    </w:p>
    <w:p>
      <w:pPr>
        <w:pStyle w:val="12"/>
        <w:ind w:firstLine="480"/>
        <w:rPr>
          <w:rFonts w:hint="eastAsia"/>
          <w:color w:val="auto"/>
        </w:rPr>
      </w:pPr>
      <w:r>
        <w:rPr>
          <w:color w:val="auto"/>
        </w:rPr>
        <w:t>12.</w:t>
      </w:r>
      <w:r>
        <w:rPr>
          <w:rFonts w:hint="eastAsia"/>
          <w:color w:val="auto"/>
        </w:rPr>
        <w:t>第</w:t>
      </w:r>
      <w:r>
        <w:rPr>
          <w:color w:val="auto"/>
        </w:rPr>
        <w:t>12</w:t>
      </w:r>
      <w:r>
        <w:rPr>
          <w:rFonts w:hint="eastAsia"/>
          <w:color w:val="auto"/>
        </w:rPr>
        <w:t>行“出租固定资产成本”：填报纳税人将固定资产使用权让与承租人形成的出租固定资产成本。</w:t>
      </w:r>
    </w:p>
    <w:p>
      <w:pPr>
        <w:pStyle w:val="12"/>
        <w:ind w:firstLine="480"/>
        <w:rPr>
          <w:rFonts w:hint="eastAsia"/>
          <w:color w:val="auto"/>
        </w:rPr>
      </w:pPr>
      <w:r>
        <w:rPr>
          <w:color w:val="auto"/>
        </w:rPr>
        <w:t>13.</w:t>
      </w:r>
      <w:r>
        <w:rPr>
          <w:rFonts w:hint="eastAsia"/>
          <w:color w:val="auto"/>
        </w:rPr>
        <w:t>第</w:t>
      </w:r>
      <w:r>
        <w:rPr>
          <w:color w:val="auto"/>
        </w:rPr>
        <w:t>13</w:t>
      </w:r>
      <w:r>
        <w:rPr>
          <w:rFonts w:hint="eastAsia"/>
          <w:color w:val="auto"/>
        </w:rPr>
        <w:t>行“出租无形资产成本”：填报纳税人让渡无形资产使用权形成的出租无形资产成本。</w:t>
      </w:r>
    </w:p>
    <w:p>
      <w:pPr>
        <w:pStyle w:val="12"/>
        <w:ind w:firstLine="480"/>
        <w:rPr>
          <w:rFonts w:hint="eastAsia"/>
          <w:color w:val="auto"/>
        </w:rPr>
      </w:pPr>
      <w:r>
        <w:rPr>
          <w:color w:val="auto"/>
        </w:rPr>
        <w:t>14.</w:t>
      </w:r>
      <w:r>
        <w:rPr>
          <w:rFonts w:hint="eastAsia"/>
          <w:color w:val="auto"/>
        </w:rPr>
        <w:t>第</w:t>
      </w:r>
      <w:r>
        <w:rPr>
          <w:color w:val="auto"/>
        </w:rPr>
        <w:t>14</w:t>
      </w:r>
      <w:r>
        <w:rPr>
          <w:rFonts w:hint="eastAsia"/>
          <w:color w:val="auto"/>
        </w:rPr>
        <w:t>行“包装物出租成本”：填报纳税人出租、出借包装物形成的包装物出租成本。</w:t>
      </w:r>
    </w:p>
    <w:p>
      <w:pPr>
        <w:pStyle w:val="12"/>
        <w:ind w:firstLine="480"/>
        <w:rPr>
          <w:rFonts w:hint="eastAsia"/>
          <w:color w:val="auto"/>
        </w:rPr>
      </w:pPr>
      <w:r>
        <w:rPr>
          <w:color w:val="auto"/>
        </w:rPr>
        <w:t>15.</w:t>
      </w:r>
      <w:r>
        <w:rPr>
          <w:rFonts w:hint="eastAsia"/>
          <w:color w:val="auto"/>
        </w:rPr>
        <w:t>第</w:t>
      </w:r>
      <w:r>
        <w:rPr>
          <w:color w:val="auto"/>
        </w:rPr>
        <w:t>15</w:t>
      </w:r>
      <w:r>
        <w:rPr>
          <w:rFonts w:hint="eastAsia"/>
          <w:color w:val="auto"/>
        </w:rPr>
        <w:t>行“其他”：填报纳税人按照国家统一会计制度核算，上述未列举的其他业务成本。</w:t>
      </w:r>
    </w:p>
    <w:p>
      <w:pPr>
        <w:pStyle w:val="12"/>
        <w:ind w:firstLine="480"/>
        <w:rPr>
          <w:color w:val="auto"/>
          <w:highlight w:val="none"/>
        </w:rPr>
      </w:pPr>
      <w:r>
        <w:rPr>
          <w:color w:val="auto"/>
        </w:rPr>
        <w:t>16.</w:t>
      </w:r>
      <w:r>
        <w:rPr>
          <w:rFonts w:hint="eastAsia"/>
          <w:color w:val="auto"/>
        </w:rPr>
        <w:t>第</w:t>
      </w:r>
      <w:r>
        <w:rPr>
          <w:color w:val="auto"/>
        </w:rPr>
        <w:t>16</w:t>
      </w:r>
      <w:r>
        <w:rPr>
          <w:rFonts w:hint="eastAsia"/>
          <w:color w:val="auto"/>
        </w:rPr>
        <w:t>行“营业外支出”：</w:t>
      </w:r>
      <w:r>
        <w:rPr>
          <w:rFonts w:hint="eastAsia"/>
          <w:color w:val="auto"/>
          <w:highlight w:val="none"/>
        </w:rPr>
        <w:t>填报纳税人发生的除营业利润以外的支出</w:t>
      </w:r>
      <w:r>
        <w:rPr>
          <w:rFonts w:hint="eastAsia"/>
          <w:color w:val="auto"/>
          <w:highlight w:val="none"/>
          <w:lang w:eastAsia="zh-CN"/>
        </w:rPr>
        <w:t>。</w:t>
      </w:r>
    </w:p>
    <w:p>
      <w:pPr>
        <w:pStyle w:val="12"/>
        <w:ind w:firstLine="480"/>
        <w:rPr>
          <w:rFonts w:hint="eastAsia"/>
          <w:color w:val="auto"/>
        </w:rPr>
      </w:pPr>
      <w:r>
        <w:rPr>
          <w:color w:val="auto"/>
        </w:rPr>
        <w:t>17.</w:t>
      </w:r>
      <w:r>
        <w:rPr>
          <w:rFonts w:hint="eastAsia"/>
          <w:color w:val="auto"/>
        </w:rPr>
        <w:t>第</w:t>
      </w:r>
      <w:r>
        <w:rPr>
          <w:color w:val="auto"/>
        </w:rPr>
        <w:t>17</w:t>
      </w:r>
      <w:r>
        <w:rPr>
          <w:rFonts w:hint="eastAsia"/>
          <w:color w:val="auto"/>
        </w:rPr>
        <w:t>行“非流动资产处置损失”：填报纳税人处置非流动资产形成的净损失。</w:t>
      </w:r>
    </w:p>
    <w:p>
      <w:pPr>
        <w:pStyle w:val="12"/>
        <w:ind w:firstLine="480"/>
        <w:rPr>
          <w:rFonts w:hint="eastAsia"/>
          <w:color w:val="auto"/>
        </w:rPr>
      </w:pPr>
      <w:r>
        <w:rPr>
          <w:color w:val="auto"/>
        </w:rPr>
        <w:t>18.</w:t>
      </w:r>
      <w:r>
        <w:rPr>
          <w:rFonts w:hint="eastAsia"/>
          <w:color w:val="auto"/>
        </w:rPr>
        <w:t>第</w:t>
      </w:r>
      <w:r>
        <w:rPr>
          <w:color w:val="auto"/>
        </w:rPr>
        <w:t>18</w:t>
      </w:r>
      <w:r>
        <w:rPr>
          <w:rFonts w:hint="eastAsia"/>
          <w:color w:val="auto"/>
        </w:rPr>
        <w:t>行“非货币性资产交换损失”：填报纳税人发生非货币性资产交换应确认的净损失。</w:t>
      </w:r>
    </w:p>
    <w:p>
      <w:pPr>
        <w:pStyle w:val="12"/>
        <w:ind w:firstLine="480"/>
        <w:rPr>
          <w:rFonts w:hint="eastAsia"/>
          <w:color w:val="auto"/>
        </w:rPr>
      </w:pPr>
      <w:r>
        <w:rPr>
          <w:color w:val="auto"/>
        </w:rPr>
        <w:t>19.</w:t>
      </w:r>
      <w:r>
        <w:rPr>
          <w:rFonts w:hint="eastAsia"/>
          <w:color w:val="auto"/>
        </w:rPr>
        <w:t>第</w:t>
      </w:r>
      <w:r>
        <w:rPr>
          <w:color w:val="auto"/>
        </w:rPr>
        <w:t>19</w:t>
      </w:r>
      <w:r>
        <w:rPr>
          <w:rFonts w:hint="eastAsia"/>
          <w:color w:val="auto"/>
        </w:rPr>
        <w:t>行“债务重组损失”：填报纳税人进行债务重组应确认的净损失。</w:t>
      </w:r>
    </w:p>
    <w:p>
      <w:pPr>
        <w:pStyle w:val="12"/>
        <w:ind w:firstLine="480"/>
        <w:rPr>
          <w:rFonts w:hint="eastAsia"/>
          <w:color w:val="auto"/>
        </w:rPr>
      </w:pPr>
      <w:r>
        <w:rPr>
          <w:color w:val="auto"/>
        </w:rPr>
        <w:t>20.</w:t>
      </w:r>
      <w:r>
        <w:rPr>
          <w:rFonts w:hint="eastAsia"/>
          <w:color w:val="auto"/>
        </w:rPr>
        <w:t>第</w:t>
      </w:r>
      <w:r>
        <w:rPr>
          <w:color w:val="auto"/>
        </w:rPr>
        <w:t>20</w:t>
      </w:r>
      <w:r>
        <w:rPr>
          <w:rFonts w:hint="eastAsia"/>
          <w:color w:val="auto"/>
        </w:rPr>
        <w:t>行“非常损失”：填报纳税人在营业外支出中核算的各项非正常的财产损失。</w:t>
      </w:r>
    </w:p>
    <w:p>
      <w:pPr>
        <w:pStyle w:val="12"/>
        <w:ind w:firstLine="480"/>
        <w:rPr>
          <w:rFonts w:hint="eastAsia"/>
          <w:color w:val="auto"/>
        </w:rPr>
      </w:pPr>
      <w:r>
        <w:rPr>
          <w:color w:val="auto"/>
        </w:rPr>
        <w:t>21.</w:t>
      </w:r>
      <w:r>
        <w:rPr>
          <w:rFonts w:hint="eastAsia"/>
          <w:color w:val="auto"/>
        </w:rPr>
        <w:t>第</w:t>
      </w:r>
      <w:r>
        <w:rPr>
          <w:color w:val="auto"/>
        </w:rPr>
        <w:t>21</w:t>
      </w:r>
      <w:r>
        <w:rPr>
          <w:rFonts w:hint="eastAsia"/>
          <w:color w:val="auto"/>
        </w:rPr>
        <w:t>行“捐赠支出”：填报纳税人无偿给予其他企业、组织或个人的货币性资产、非货币性资产的捐赠支出。</w:t>
      </w:r>
    </w:p>
    <w:p>
      <w:pPr>
        <w:pStyle w:val="12"/>
        <w:ind w:firstLine="480"/>
        <w:rPr>
          <w:rFonts w:hint="eastAsia"/>
          <w:color w:val="auto"/>
        </w:rPr>
      </w:pPr>
      <w:r>
        <w:rPr>
          <w:color w:val="auto"/>
        </w:rPr>
        <w:t>22.</w:t>
      </w:r>
      <w:r>
        <w:rPr>
          <w:rFonts w:hint="eastAsia"/>
          <w:color w:val="auto"/>
        </w:rPr>
        <w:t>第</w:t>
      </w:r>
      <w:r>
        <w:rPr>
          <w:color w:val="auto"/>
        </w:rPr>
        <w:t>22</w:t>
      </w:r>
      <w:r>
        <w:rPr>
          <w:rFonts w:hint="eastAsia"/>
          <w:color w:val="auto"/>
        </w:rPr>
        <w:t>行“赞助支出”：填报纳税人发生的货币性资产、非货币性资产赞助支出。</w:t>
      </w:r>
    </w:p>
    <w:p>
      <w:pPr>
        <w:pStyle w:val="12"/>
        <w:ind w:firstLine="480"/>
        <w:rPr>
          <w:rFonts w:hint="eastAsia"/>
          <w:color w:val="auto"/>
        </w:rPr>
      </w:pPr>
      <w:r>
        <w:rPr>
          <w:color w:val="auto"/>
        </w:rPr>
        <w:t>23</w:t>
      </w:r>
      <w:r>
        <w:rPr>
          <w:rFonts w:hint="eastAsia"/>
          <w:color w:val="auto"/>
        </w:rPr>
        <w:t>.第</w:t>
      </w:r>
      <w:r>
        <w:rPr>
          <w:color w:val="auto"/>
        </w:rPr>
        <w:t>23</w:t>
      </w:r>
      <w:r>
        <w:rPr>
          <w:rFonts w:hint="eastAsia"/>
          <w:color w:val="auto"/>
        </w:rPr>
        <w:t>行“罚没支出”：填报纳税人在日常经营管理活动中对外支付的各项罚款、没收收入的支出。</w:t>
      </w:r>
    </w:p>
    <w:p>
      <w:pPr>
        <w:pStyle w:val="12"/>
        <w:ind w:firstLine="480"/>
        <w:rPr>
          <w:rFonts w:hint="eastAsia"/>
          <w:color w:val="auto"/>
        </w:rPr>
      </w:pPr>
      <w:r>
        <w:rPr>
          <w:color w:val="auto"/>
        </w:rPr>
        <w:t>24</w:t>
      </w:r>
      <w:r>
        <w:rPr>
          <w:rFonts w:hint="eastAsia"/>
          <w:color w:val="auto"/>
        </w:rPr>
        <w:t>.第</w:t>
      </w:r>
      <w:r>
        <w:rPr>
          <w:color w:val="auto"/>
        </w:rPr>
        <w:t>24</w:t>
      </w:r>
      <w:r>
        <w:rPr>
          <w:rFonts w:hint="eastAsia"/>
          <w:color w:val="auto"/>
        </w:rPr>
        <w:t>行“坏</w:t>
      </w:r>
      <w:r>
        <w:rPr>
          <w:rFonts w:hint="eastAsia"/>
          <w:color w:val="auto"/>
          <w:lang w:eastAsia="zh-CN"/>
        </w:rPr>
        <w:t>账</w:t>
      </w:r>
      <w:r>
        <w:rPr>
          <w:rFonts w:hint="eastAsia"/>
          <w:color w:val="auto"/>
        </w:rPr>
        <w:t>损失”：填报纳税人发生的各项坏</w:t>
      </w:r>
      <w:r>
        <w:rPr>
          <w:rFonts w:hint="eastAsia"/>
          <w:color w:val="auto"/>
          <w:lang w:eastAsia="zh-CN"/>
        </w:rPr>
        <w:t>账</w:t>
      </w:r>
      <w:r>
        <w:rPr>
          <w:rFonts w:hint="eastAsia"/>
          <w:color w:val="auto"/>
        </w:rPr>
        <w:t>损失。（该项目为使用小企业会计准则企业填报）</w:t>
      </w:r>
    </w:p>
    <w:p>
      <w:pPr>
        <w:pStyle w:val="12"/>
        <w:ind w:firstLine="480"/>
        <w:rPr>
          <w:rFonts w:hint="eastAsia"/>
          <w:color w:val="auto"/>
        </w:rPr>
      </w:pPr>
      <w:r>
        <w:rPr>
          <w:color w:val="auto"/>
        </w:rPr>
        <w:t>25</w:t>
      </w:r>
      <w:r>
        <w:rPr>
          <w:rFonts w:hint="eastAsia"/>
          <w:color w:val="auto"/>
        </w:rPr>
        <w:t>.第</w:t>
      </w:r>
      <w:r>
        <w:rPr>
          <w:color w:val="auto"/>
        </w:rPr>
        <w:t>25</w:t>
      </w:r>
      <w:r>
        <w:rPr>
          <w:rFonts w:hint="eastAsia"/>
          <w:color w:val="auto"/>
        </w:rPr>
        <w:t>行“无法收回的债券股权投资损失”：填报纳税人各项无法收回的债券股权投资损失。（该项目为使用小企业会计准则企业填报）</w:t>
      </w:r>
    </w:p>
    <w:p>
      <w:pPr>
        <w:pStyle w:val="12"/>
        <w:ind w:firstLine="480"/>
        <w:rPr>
          <w:rFonts w:hint="eastAsia"/>
          <w:color w:val="auto"/>
        </w:rPr>
      </w:pPr>
      <w:r>
        <w:rPr>
          <w:color w:val="auto"/>
        </w:rPr>
        <w:t>26.</w:t>
      </w:r>
      <w:r>
        <w:rPr>
          <w:rFonts w:hint="eastAsia"/>
          <w:color w:val="auto"/>
        </w:rPr>
        <w:t>第</w:t>
      </w:r>
      <w:r>
        <w:rPr>
          <w:color w:val="auto"/>
        </w:rPr>
        <w:t>26</w:t>
      </w:r>
      <w:r>
        <w:rPr>
          <w:rFonts w:hint="eastAsia"/>
          <w:color w:val="auto"/>
        </w:rPr>
        <w:t>行“其他”：填报纳税人本期实际发生的在营业外支出核算的其他损失及支出。</w:t>
      </w:r>
    </w:p>
    <w:p>
      <w:pPr>
        <w:pStyle w:val="23"/>
        <w:ind w:firstLine="482"/>
        <w:rPr>
          <w:rFonts w:hint="eastAsia"/>
          <w:color w:val="auto"/>
        </w:rPr>
      </w:pPr>
      <w:bookmarkStart w:id="91" w:name="_Toc393480202"/>
      <w:r>
        <w:rPr>
          <w:rFonts w:hint="eastAsia"/>
          <w:color w:val="auto"/>
        </w:rPr>
        <w:t>二、表内、表间关系</w:t>
      </w:r>
      <w:bookmarkEnd w:id="91"/>
    </w:p>
    <w:p>
      <w:pPr>
        <w:pStyle w:val="22"/>
        <w:rPr>
          <w:rFonts w:hint="eastAsia"/>
          <w:color w:val="auto"/>
        </w:rPr>
      </w:pPr>
      <w:r>
        <w:rPr>
          <w:rFonts w:hint="eastAsia"/>
          <w:color w:val="auto"/>
        </w:rPr>
        <w:t>（一）表内关系</w:t>
      </w:r>
    </w:p>
    <w:p>
      <w:pPr>
        <w:pStyle w:val="12"/>
        <w:ind w:firstLine="480"/>
        <w:rPr>
          <w:rFonts w:hint="eastAsia"/>
          <w:color w:val="auto"/>
        </w:rPr>
      </w:pPr>
      <w:r>
        <w:rPr>
          <w:color w:val="auto"/>
        </w:rPr>
        <w:t>1.</w:t>
      </w:r>
      <w:r>
        <w:rPr>
          <w:rFonts w:hint="eastAsia"/>
          <w:color w:val="auto"/>
        </w:rPr>
        <w:t>第</w:t>
      </w:r>
      <w:r>
        <w:rPr>
          <w:color w:val="auto"/>
        </w:rPr>
        <w:t>1</w:t>
      </w:r>
      <w:r>
        <w:rPr>
          <w:rFonts w:hint="eastAsia"/>
          <w:color w:val="auto"/>
        </w:rPr>
        <w:t>行</w:t>
      </w:r>
      <w:r>
        <w:rPr>
          <w:color w:val="auto"/>
        </w:rPr>
        <w:t>＝</w:t>
      </w:r>
      <w:r>
        <w:rPr>
          <w:rFonts w:hint="eastAsia"/>
          <w:color w:val="auto"/>
        </w:rPr>
        <w:t>第</w:t>
      </w:r>
      <w:r>
        <w:rPr>
          <w:color w:val="auto"/>
        </w:rPr>
        <w:t>2＋</w:t>
      </w:r>
      <w:r>
        <w:rPr>
          <w:rFonts w:hint="eastAsia"/>
          <w:color w:val="auto"/>
        </w:rPr>
        <w:t>9行。</w:t>
      </w:r>
    </w:p>
    <w:p>
      <w:pPr>
        <w:pStyle w:val="12"/>
        <w:ind w:firstLine="480"/>
        <w:rPr>
          <w:rFonts w:hint="eastAsia"/>
          <w:color w:val="auto"/>
        </w:rPr>
      </w:pPr>
      <w:r>
        <w:rPr>
          <w:color w:val="auto"/>
        </w:rPr>
        <w:t>2.</w:t>
      </w:r>
      <w:r>
        <w:rPr>
          <w:rFonts w:hint="eastAsia"/>
          <w:color w:val="auto"/>
        </w:rPr>
        <w:t>第</w:t>
      </w:r>
      <w:r>
        <w:rPr>
          <w:color w:val="auto"/>
        </w:rPr>
        <w:t>2</w:t>
      </w:r>
      <w:r>
        <w:rPr>
          <w:rFonts w:hint="eastAsia"/>
          <w:color w:val="auto"/>
        </w:rPr>
        <w:t>行</w:t>
      </w:r>
      <w:r>
        <w:rPr>
          <w:color w:val="auto"/>
        </w:rPr>
        <w:t>＝</w:t>
      </w:r>
      <w:r>
        <w:rPr>
          <w:rFonts w:hint="eastAsia"/>
          <w:color w:val="auto"/>
        </w:rPr>
        <w:t>第</w:t>
      </w:r>
      <w:r>
        <w:rPr>
          <w:color w:val="auto"/>
        </w:rPr>
        <w:t>3＋5＋6＋7＋8</w:t>
      </w:r>
      <w:r>
        <w:rPr>
          <w:rFonts w:hint="eastAsia"/>
          <w:color w:val="auto"/>
        </w:rPr>
        <w:t>行。</w:t>
      </w:r>
    </w:p>
    <w:p>
      <w:pPr>
        <w:pStyle w:val="12"/>
        <w:ind w:firstLine="480"/>
        <w:rPr>
          <w:rFonts w:hint="eastAsia"/>
          <w:color w:val="auto"/>
        </w:rPr>
      </w:pPr>
      <w:r>
        <w:rPr>
          <w:color w:val="auto"/>
        </w:rPr>
        <w:t>3.</w:t>
      </w:r>
      <w:r>
        <w:rPr>
          <w:rFonts w:hint="eastAsia"/>
          <w:color w:val="auto"/>
        </w:rPr>
        <w:t>第</w:t>
      </w:r>
      <w:r>
        <w:rPr>
          <w:color w:val="auto"/>
        </w:rPr>
        <w:t>9</w:t>
      </w:r>
      <w:r>
        <w:rPr>
          <w:rFonts w:hint="eastAsia"/>
          <w:color w:val="auto"/>
        </w:rPr>
        <w:t>行</w:t>
      </w:r>
      <w:r>
        <w:rPr>
          <w:color w:val="auto"/>
        </w:rPr>
        <w:t>＝</w:t>
      </w:r>
      <w:r>
        <w:rPr>
          <w:rFonts w:hint="eastAsia"/>
          <w:color w:val="auto"/>
        </w:rPr>
        <w:t>第</w:t>
      </w:r>
      <w:r>
        <w:rPr>
          <w:color w:val="auto"/>
        </w:rPr>
        <w:t>10＋12＋13＋14＋15</w:t>
      </w:r>
      <w:r>
        <w:rPr>
          <w:rFonts w:hint="eastAsia"/>
          <w:color w:val="auto"/>
        </w:rPr>
        <w:t>行。</w:t>
      </w:r>
    </w:p>
    <w:p>
      <w:pPr>
        <w:pStyle w:val="12"/>
        <w:ind w:firstLine="480"/>
        <w:rPr>
          <w:rFonts w:hint="eastAsia"/>
          <w:color w:val="auto"/>
        </w:rPr>
      </w:pPr>
      <w:r>
        <w:rPr>
          <w:color w:val="auto"/>
        </w:rPr>
        <w:t>4.</w:t>
      </w:r>
      <w:r>
        <w:rPr>
          <w:rFonts w:hint="eastAsia"/>
          <w:color w:val="auto"/>
        </w:rPr>
        <w:t>第</w:t>
      </w:r>
      <w:r>
        <w:rPr>
          <w:color w:val="auto"/>
        </w:rPr>
        <w:t>16</w:t>
      </w:r>
      <w:r>
        <w:rPr>
          <w:rFonts w:hint="eastAsia"/>
          <w:color w:val="auto"/>
        </w:rPr>
        <w:t>行</w:t>
      </w:r>
      <w:r>
        <w:rPr>
          <w:color w:val="auto"/>
        </w:rPr>
        <w:t>＝</w:t>
      </w:r>
      <w:r>
        <w:rPr>
          <w:rFonts w:hint="eastAsia"/>
          <w:color w:val="auto"/>
        </w:rPr>
        <w:t>第</w:t>
      </w:r>
      <w:r>
        <w:rPr>
          <w:color w:val="auto"/>
        </w:rPr>
        <w:t>17＋18＋…</w:t>
      </w:r>
      <w:r>
        <w:rPr>
          <w:rFonts w:hint="eastAsia"/>
          <w:color w:val="auto"/>
        </w:rPr>
        <w:t>＋</w:t>
      </w:r>
      <w:r>
        <w:rPr>
          <w:color w:val="auto"/>
        </w:rPr>
        <w:t>26</w:t>
      </w:r>
      <w:r>
        <w:rPr>
          <w:rFonts w:hint="eastAsia"/>
          <w:color w:val="auto"/>
        </w:rPr>
        <w:t>行。</w:t>
      </w:r>
    </w:p>
    <w:p>
      <w:pPr>
        <w:pStyle w:val="22"/>
        <w:rPr>
          <w:rFonts w:hint="eastAsia"/>
          <w:color w:val="auto"/>
        </w:rPr>
      </w:pPr>
      <w:r>
        <w:rPr>
          <w:rFonts w:hint="eastAsia"/>
          <w:color w:val="auto"/>
        </w:rPr>
        <w:t>（二）表间关系</w:t>
      </w:r>
    </w:p>
    <w:p>
      <w:pPr>
        <w:pStyle w:val="12"/>
        <w:ind w:firstLine="480"/>
        <w:rPr>
          <w:rFonts w:hint="eastAsia"/>
          <w:color w:val="auto"/>
        </w:rPr>
      </w:pPr>
      <w:r>
        <w:rPr>
          <w:color w:val="auto"/>
        </w:rPr>
        <w:t>1</w:t>
      </w:r>
      <w:r>
        <w:rPr>
          <w:rFonts w:hint="eastAsia"/>
          <w:color w:val="auto"/>
        </w:rPr>
        <w:t>.第</w:t>
      </w:r>
      <w:r>
        <w:rPr>
          <w:color w:val="auto"/>
        </w:rPr>
        <w:t>1</w:t>
      </w:r>
      <w:r>
        <w:rPr>
          <w:rFonts w:hint="eastAsia"/>
          <w:color w:val="auto"/>
        </w:rPr>
        <w:t>行</w:t>
      </w:r>
      <w:r>
        <w:rPr>
          <w:color w:val="auto"/>
        </w:rPr>
        <w:t>＝</w:t>
      </w:r>
      <w:r>
        <w:rPr>
          <w:rFonts w:hint="eastAsia"/>
          <w:color w:val="auto"/>
        </w:rPr>
        <w:t>表</w:t>
      </w:r>
      <w:r>
        <w:rPr>
          <w:color w:val="auto"/>
        </w:rPr>
        <w:t>A10000</w:t>
      </w:r>
      <w:r>
        <w:rPr>
          <w:rFonts w:hint="eastAsia"/>
          <w:color w:val="auto"/>
        </w:rPr>
        <w:t>0第</w:t>
      </w:r>
      <w:r>
        <w:rPr>
          <w:color w:val="auto"/>
        </w:rPr>
        <w:t>2</w:t>
      </w:r>
      <w:r>
        <w:rPr>
          <w:rFonts w:hint="eastAsia"/>
          <w:color w:val="auto"/>
        </w:rPr>
        <w:t>行。</w:t>
      </w:r>
    </w:p>
    <w:p>
      <w:pPr>
        <w:pStyle w:val="12"/>
        <w:ind w:firstLine="480"/>
        <w:rPr>
          <w:rFonts w:hint="eastAsia"/>
          <w:color w:val="auto"/>
          <w:highlight w:val="none"/>
        </w:rPr>
        <w:sectPr>
          <w:pgSz w:w="11906" w:h="16838"/>
          <w:pgMar w:top="1440" w:right="1800" w:bottom="1440" w:left="1800" w:header="851" w:footer="992" w:gutter="113"/>
          <w:pgNumType w:fmt="decimal"/>
          <w:cols w:space="720" w:num="1"/>
          <w:docGrid w:linePitch="312" w:charSpace="0"/>
        </w:sectPr>
      </w:pPr>
      <w:r>
        <w:rPr>
          <w:color w:val="auto"/>
        </w:rPr>
        <w:t>2</w:t>
      </w:r>
      <w:r>
        <w:rPr>
          <w:rFonts w:hint="eastAsia"/>
          <w:color w:val="auto"/>
        </w:rPr>
        <w:t>.第</w:t>
      </w:r>
      <w:r>
        <w:rPr>
          <w:color w:val="auto"/>
        </w:rPr>
        <w:t>16</w:t>
      </w:r>
      <w:r>
        <w:rPr>
          <w:rFonts w:hint="eastAsia"/>
          <w:color w:val="auto"/>
        </w:rPr>
        <w:t>行</w:t>
      </w:r>
      <w:r>
        <w:rPr>
          <w:color w:val="auto"/>
        </w:rPr>
        <w:t>＝</w:t>
      </w:r>
      <w:r>
        <w:rPr>
          <w:rFonts w:hint="eastAsia"/>
          <w:color w:val="auto"/>
        </w:rPr>
        <w:t>表</w:t>
      </w:r>
      <w:r>
        <w:rPr>
          <w:color w:val="auto"/>
        </w:rPr>
        <w:t>A10000</w:t>
      </w:r>
      <w:r>
        <w:rPr>
          <w:rFonts w:hint="eastAsia"/>
          <w:color w:val="auto"/>
          <w:highlight w:val="none"/>
        </w:rPr>
        <w:t>0第</w:t>
      </w:r>
      <w:r>
        <w:rPr>
          <w:color w:val="auto"/>
          <w:highlight w:val="none"/>
        </w:rPr>
        <w:t>1</w:t>
      </w:r>
      <w:r>
        <w:rPr>
          <w:rFonts w:hint="eastAsia"/>
          <w:color w:val="auto"/>
          <w:highlight w:val="none"/>
        </w:rPr>
        <w:t>7行。</w:t>
      </w:r>
    </w:p>
    <w:p>
      <w:pPr>
        <w:pStyle w:val="24"/>
        <w:tabs>
          <w:tab w:val="clear" w:pos="4200"/>
        </w:tabs>
        <w:spacing w:before="120" w:after="120"/>
        <w:rPr>
          <w:rFonts w:hint="eastAsia" w:ascii="宋体" w:hAnsi="宋体" w:eastAsia="宋体" w:cs="宋体"/>
          <w:color w:val="auto"/>
        </w:rPr>
      </w:pPr>
      <w:bookmarkStart w:id="92" w:name="_Toc311081238"/>
      <w:bookmarkStart w:id="93" w:name="_Toc2038201456"/>
      <w:bookmarkStart w:id="94" w:name="_Toc176972049"/>
      <w:r>
        <w:rPr>
          <w:rFonts w:hint="eastAsia" w:ascii="宋体" w:hAnsi="宋体" w:eastAsia="宋体" w:cs="宋体"/>
          <w:color w:val="auto"/>
        </w:rPr>
        <w:t>A102020</w:t>
      </w:r>
      <w:r>
        <w:rPr>
          <w:rFonts w:hint="eastAsia" w:ascii="宋体" w:hAnsi="宋体" w:eastAsia="宋体" w:cs="宋体"/>
          <w:color w:val="auto"/>
        </w:rPr>
        <w:tab/>
      </w:r>
      <w:r>
        <w:rPr>
          <w:rFonts w:hint="eastAsia" w:ascii="宋体" w:hAnsi="宋体" w:eastAsia="宋体" w:cs="宋体"/>
          <w:color w:val="auto"/>
        </w:rPr>
        <w:t>《金融企业支出明细表》填报说明</w:t>
      </w:r>
      <w:bookmarkEnd w:id="92"/>
      <w:bookmarkEnd w:id="93"/>
      <w:bookmarkEnd w:id="94"/>
    </w:p>
    <w:p>
      <w:pPr>
        <w:spacing w:line="360" w:lineRule="auto"/>
        <w:ind w:firstLine="480" w:firstLineChars="200"/>
        <w:rPr>
          <w:rFonts w:hint="eastAsia" w:ascii="宋体" w:hAnsi="宋体"/>
          <w:color w:val="auto"/>
          <w:sz w:val="24"/>
        </w:rPr>
      </w:pPr>
      <w:r>
        <w:rPr>
          <w:rFonts w:hint="eastAsia" w:ascii="宋体" w:hAnsi="宋体"/>
          <w:color w:val="auto"/>
          <w:sz w:val="24"/>
        </w:rPr>
        <w:t>本表适用于执行企业会计准则的金融企业纳税人填报，包括银行（信用社）、保险公司、证券公司等金融企业。纳税人根据企业会计准则的规定填报“营业支出”“营业外支出”。金融企业发生的业务及管理费填报《期间费用明细表》</w:t>
      </w:r>
      <w:r>
        <w:rPr>
          <w:rFonts w:hint="eastAsia" w:ascii="宋体" w:hAnsi="宋体"/>
          <w:color w:val="auto"/>
          <w:sz w:val="24"/>
          <w:lang w:eastAsia="zh-CN"/>
        </w:rPr>
        <w:t>（A104000）</w:t>
      </w:r>
      <w:r>
        <w:rPr>
          <w:rFonts w:hint="eastAsia" w:ascii="宋体" w:hAnsi="宋体"/>
          <w:color w:val="auto"/>
          <w:sz w:val="24"/>
        </w:rPr>
        <w:t>第1列“销售费用”相应的行次。</w:t>
      </w:r>
    </w:p>
    <w:p>
      <w:pPr>
        <w:pStyle w:val="23"/>
        <w:ind w:firstLine="482"/>
        <w:rPr>
          <w:rFonts w:hint="eastAsia"/>
          <w:color w:val="auto"/>
        </w:rPr>
      </w:pPr>
      <w:r>
        <w:rPr>
          <w:rFonts w:hint="eastAsia"/>
          <w:color w:val="auto"/>
        </w:rPr>
        <w:t>一、有关项目填报说明</w:t>
      </w:r>
    </w:p>
    <w:p>
      <w:pPr>
        <w:pStyle w:val="12"/>
        <w:ind w:firstLine="480"/>
        <w:rPr>
          <w:rFonts w:hint="eastAsia"/>
          <w:color w:val="auto"/>
        </w:rPr>
      </w:pPr>
      <w:r>
        <w:rPr>
          <w:rFonts w:hint="eastAsia"/>
          <w:color w:val="auto"/>
        </w:rPr>
        <w:t>1.第1行“营业支出”：填报金融企业提供金融商品服务发生的支出。</w:t>
      </w:r>
    </w:p>
    <w:p>
      <w:pPr>
        <w:pStyle w:val="12"/>
        <w:ind w:firstLine="480"/>
        <w:rPr>
          <w:rFonts w:hint="eastAsia"/>
          <w:color w:val="auto"/>
        </w:rPr>
      </w:pPr>
      <w:r>
        <w:rPr>
          <w:rFonts w:hint="eastAsia"/>
          <w:color w:val="auto"/>
        </w:rPr>
        <w:t>2.第2行“银行业务支出”：填报纳税人从事银行业务发生的支出。</w:t>
      </w:r>
    </w:p>
    <w:p>
      <w:pPr>
        <w:pStyle w:val="12"/>
        <w:ind w:firstLine="480"/>
        <w:rPr>
          <w:rFonts w:hint="eastAsia"/>
          <w:color w:val="auto"/>
        </w:rPr>
      </w:pPr>
      <w:r>
        <w:rPr>
          <w:rFonts w:hint="eastAsia"/>
          <w:color w:val="auto"/>
        </w:rPr>
        <w:t>3.第3行“银行利息支出”：填报纳税人经营存贷款业务等发生的利息支出，包括同业存放、向中央银行借款、拆入资金、吸收存款、卖出回购金融资产、发行债券和其他业务利息支出。</w:t>
      </w:r>
    </w:p>
    <w:p>
      <w:pPr>
        <w:pStyle w:val="12"/>
        <w:ind w:firstLine="480"/>
        <w:rPr>
          <w:rFonts w:hint="eastAsia"/>
          <w:color w:val="auto"/>
        </w:rPr>
      </w:pPr>
      <w:r>
        <w:rPr>
          <w:rFonts w:hint="eastAsia"/>
          <w:color w:val="auto"/>
        </w:rPr>
        <w:t>4.第11行“银行手续费及佣金支出”：填报纳税人发生的与银行业务活动相关的各项手续费、佣金等支出。</w:t>
      </w:r>
    </w:p>
    <w:p>
      <w:pPr>
        <w:pStyle w:val="12"/>
        <w:ind w:firstLine="480"/>
        <w:rPr>
          <w:rFonts w:hint="eastAsia"/>
          <w:color w:val="auto"/>
        </w:rPr>
      </w:pPr>
      <w:r>
        <w:rPr>
          <w:rFonts w:hint="eastAsia"/>
          <w:color w:val="auto"/>
        </w:rPr>
        <w:t>5.第15行“保险业务支出”：填报保险企业发生的与保险业务相关的费用支出。</w:t>
      </w:r>
    </w:p>
    <w:p>
      <w:pPr>
        <w:pStyle w:val="12"/>
        <w:ind w:firstLine="480"/>
        <w:rPr>
          <w:rFonts w:hint="eastAsia"/>
          <w:color w:val="auto"/>
        </w:rPr>
      </w:pPr>
      <w:r>
        <w:rPr>
          <w:rFonts w:hint="eastAsia"/>
          <w:color w:val="auto"/>
        </w:rPr>
        <w:t>6.第16行“退保金”：填报保险企业寿险原保险合同提前解除时按照约定应当退还投保人的保单现金价值。</w:t>
      </w:r>
    </w:p>
    <w:p>
      <w:pPr>
        <w:pStyle w:val="12"/>
        <w:ind w:firstLine="480"/>
        <w:rPr>
          <w:rFonts w:hint="eastAsia"/>
          <w:color w:val="auto"/>
        </w:rPr>
      </w:pPr>
      <w:r>
        <w:rPr>
          <w:rFonts w:hint="eastAsia"/>
          <w:color w:val="auto"/>
        </w:rPr>
        <w:t>7.第17行“赔付支出”：填报保险企业支付的原保险合同赔付款项和再保险合同赔付款项。</w:t>
      </w:r>
    </w:p>
    <w:p>
      <w:pPr>
        <w:pStyle w:val="12"/>
        <w:ind w:firstLine="480"/>
        <w:rPr>
          <w:rFonts w:hint="eastAsia"/>
          <w:color w:val="auto"/>
        </w:rPr>
      </w:pPr>
      <w:r>
        <w:rPr>
          <w:rFonts w:hint="eastAsia"/>
          <w:color w:val="auto"/>
        </w:rPr>
        <w:t>8.第18行“减：摊回赔付支出”：填报保险企业（再保险分出人）向再保险接受人摊回的赔付成本。</w:t>
      </w:r>
    </w:p>
    <w:p>
      <w:pPr>
        <w:pStyle w:val="12"/>
        <w:ind w:firstLine="480"/>
        <w:rPr>
          <w:rFonts w:hint="eastAsia"/>
          <w:color w:val="auto"/>
        </w:rPr>
      </w:pPr>
      <w:r>
        <w:rPr>
          <w:rFonts w:hint="eastAsia"/>
          <w:color w:val="auto"/>
        </w:rPr>
        <w:t>9.第19行“提取保险责任准备金”：填报保险企业提取的原保险合同保险责任准备金，包括提取的未决赔款准备金、提取的寿险责任准备金、提取的长期健康责任准备金。</w:t>
      </w:r>
    </w:p>
    <w:p>
      <w:pPr>
        <w:pStyle w:val="12"/>
        <w:ind w:firstLine="480"/>
        <w:rPr>
          <w:rFonts w:hint="eastAsia"/>
          <w:color w:val="auto"/>
        </w:rPr>
      </w:pPr>
      <w:r>
        <w:rPr>
          <w:rFonts w:hint="eastAsia"/>
          <w:color w:val="auto"/>
        </w:rPr>
        <w:t>10.第20行“减：摊回保险责任准备金”：填报保险企业（再保险分出人）从事再保险业务应向再保险接受人摊回的保险责任准备金，包括未决赔款准备金、寿险责任准备金、长期健康险责任准备金。</w:t>
      </w:r>
    </w:p>
    <w:p>
      <w:pPr>
        <w:pStyle w:val="12"/>
        <w:ind w:firstLine="480"/>
        <w:rPr>
          <w:rFonts w:hint="eastAsia"/>
          <w:color w:val="auto"/>
        </w:rPr>
      </w:pPr>
      <w:r>
        <w:rPr>
          <w:rFonts w:hint="eastAsia"/>
          <w:color w:val="auto"/>
        </w:rPr>
        <w:t>11.第21行“保单红利支出”：填报保险企业按原保险合同约定支付给投保人的红利。</w:t>
      </w:r>
    </w:p>
    <w:p>
      <w:pPr>
        <w:pStyle w:val="12"/>
        <w:ind w:firstLine="480"/>
        <w:rPr>
          <w:rFonts w:hint="eastAsia"/>
          <w:color w:val="auto"/>
        </w:rPr>
      </w:pPr>
      <w:r>
        <w:rPr>
          <w:rFonts w:hint="eastAsia"/>
          <w:color w:val="auto"/>
        </w:rPr>
        <w:t>12.第22行“分保费用”：填报保险企业（再保险接受人）向再保险分出人支付的分保费用。</w:t>
      </w:r>
    </w:p>
    <w:p>
      <w:pPr>
        <w:pStyle w:val="12"/>
        <w:ind w:firstLine="480"/>
        <w:rPr>
          <w:rFonts w:hint="eastAsia"/>
          <w:color w:val="auto"/>
        </w:rPr>
      </w:pPr>
      <w:r>
        <w:rPr>
          <w:rFonts w:hint="eastAsia"/>
          <w:color w:val="auto"/>
        </w:rPr>
        <w:t>13.第23行“减：摊回分保费用”：填报保险企业（再保险分出人）向再保险接受人摊回的分保费用。</w:t>
      </w:r>
    </w:p>
    <w:p>
      <w:pPr>
        <w:pStyle w:val="12"/>
        <w:ind w:firstLine="480"/>
        <w:rPr>
          <w:rFonts w:hint="eastAsia"/>
          <w:color w:val="auto"/>
        </w:rPr>
      </w:pPr>
      <w:r>
        <w:rPr>
          <w:rFonts w:hint="eastAsia"/>
          <w:color w:val="auto"/>
        </w:rPr>
        <w:t>14.第24行“保险业务手续费及佣金支出”：填报保险企业发生的与其保险业务活动相关的各项手续费、佣金支出。</w:t>
      </w:r>
    </w:p>
    <w:p>
      <w:pPr>
        <w:pStyle w:val="12"/>
        <w:ind w:firstLine="480"/>
        <w:rPr>
          <w:rFonts w:hint="eastAsia"/>
          <w:color w:val="auto"/>
        </w:rPr>
      </w:pPr>
      <w:r>
        <w:rPr>
          <w:rFonts w:hint="eastAsia"/>
          <w:color w:val="auto"/>
        </w:rPr>
        <w:t>15.第25行“证券业务支出”：填报纳税人从事证券业务发生的证券手续费支出和其他证券业务支出。</w:t>
      </w:r>
    </w:p>
    <w:p>
      <w:pPr>
        <w:pStyle w:val="12"/>
        <w:ind w:firstLine="480"/>
        <w:rPr>
          <w:rFonts w:hint="eastAsia"/>
          <w:color w:val="auto"/>
        </w:rPr>
      </w:pPr>
      <w:r>
        <w:rPr>
          <w:rFonts w:hint="eastAsia"/>
          <w:color w:val="auto"/>
        </w:rPr>
        <w:t>16.第26行“证券业务手续费及佣金支出”：填报纳税人代理承销、兑付和买卖证券等业务发生的各项手续费、风险结算金、承销业务直接相关的各项费用及佣金支出。</w:t>
      </w:r>
    </w:p>
    <w:p>
      <w:pPr>
        <w:pStyle w:val="12"/>
        <w:ind w:firstLine="480"/>
        <w:rPr>
          <w:rFonts w:hint="eastAsia"/>
          <w:color w:val="auto"/>
        </w:rPr>
      </w:pPr>
      <w:r>
        <w:rPr>
          <w:rFonts w:hint="eastAsia"/>
          <w:color w:val="auto"/>
        </w:rPr>
        <w:t>17.第30行“其他证券业务支出”：填报纳税人从事除经纪、自营和承销业务以外的与证券有关的业务支出。</w:t>
      </w:r>
    </w:p>
    <w:p>
      <w:pPr>
        <w:pStyle w:val="12"/>
        <w:ind w:firstLine="480"/>
        <w:rPr>
          <w:rFonts w:hint="eastAsia"/>
          <w:color w:val="auto"/>
        </w:rPr>
      </w:pPr>
      <w:r>
        <w:rPr>
          <w:rFonts w:hint="eastAsia"/>
          <w:color w:val="auto"/>
        </w:rPr>
        <w:t>18.第31行“其他金融业务支出”：填报纳税人提供除银行业、保险业、证券业以外的金融商品服务发生的相关业务支出。</w:t>
      </w:r>
    </w:p>
    <w:p>
      <w:pPr>
        <w:pStyle w:val="12"/>
        <w:ind w:firstLine="480"/>
        <w:rPr>
          <w:rFonts w:hint="eastAsia"/>
          <w:color w:val="auto"/>
        </w:rPr>
      </w:pPr>
      <w:r>
        <w:rPr>
          <w:rFonts w:hint="eastAsia"/>
          <w:color w:val="auto"/>
        </w:rPr>
        <w:t>19.第32行“其他业务成本”：填报纳税人发生的除主营业务活动以外的其他经营活动发生的支出。</w:t>
      </w:r>
    </w:p>
    <w:p>
      <w:pPr>
        <w:pStyle w:val="12"/>
        <w:ind w:firstLine="480"/>
        <w:rPr>
          <w:rFonts w:hint="eastAsia"/>
          <w:color w:val="auto"/>
        </w:rPr>
      </w:pPr>
      <w:r>
        <w:rPr>
          <w:rFonts w:hint="eastAsia"/>
          <w:color w:val="auto"/>
        </w:rPr>
        <w:t>20.第33行“营业外支出”：</w:t>
      </w:r>
      <w:r>
        <w:rPr>
          <w:rFonts w:hint="eastAsia" w:ascii="宋体" w:hAnsi="宋体" w:eastAsia="宋体" w:cs="宋体"/>
          <w:color w:val="auto"/>
        </w:rPr>
        <w:t>填报</w:t>
      </w:r>
      <w:r>
        <w:rPr>
          <w:rFonts w:hint="eastAsia" w:ascii="宋体" w:hAnsi="宋体" w:eastAsia="宋体" w:cs="宋体"/>
          <w:color w:val="auto"/>
          <w:lang w:eastAsia="zh-CN"/>
        </w:rPr>
        <w:t>纳税人</w:t>
      </w:r>
      <w:r>
        <w:rPr>
          <w:rFonts w:hint="eastAsia" w:ascii="宋体" w:hAnsi="宋体" w:eastAsia="宋体" w:cs="宋体"/>
          <w:color w:val="auto"/>
        </w:rPr>
        <w:t>发生的除营业利润以外的支出，主要包括公益性捐赠支出、非常损失、盘亏损失、非流动资产毁损报废损失等。</w:t>
      </w:r>
    </w:p>
    <w:p>
      <w:pPr>
        <w:pStyle w:val="12"/>
        <w:ind w:firstLine="480"/>
        <w:rPr>
          <w:rFonts w:hint="eastAsia"/>
          <w:color w:val="auto"/>
        </w:rPr>
      </w:pPr>
      <w:r>
        <w:rPr>
          <w:rFonts w:hint="eastAsia"/>
          <w:color w:val="auto"/>
        </w:rPr>
        <w:t>21.第34行“非流动资产处置损失”：填报纳税人处置非流动资产形成的净损失。</w:t>
      </w:r>
    </w:p>
    <w:p>
      <w:pPr>
        <w:pStyle w:val="12"/>
        <w:ind w:firstLine="480"/>
        <w:rPr>
          <w:rFonts w:hint="eastAsia"/>
          <w:color w:val="auto"/>
        </w:rPr>
      </w:pPr>
      <w:r>
        <w:rPr>
          <w:rFonts w:hint="eastAsia" w:cs="宋体"/>
          <w:color w:val="auto"/>
        </w:rPr>
        <w:t>22.第35行“非货币性资产交换损失”：填报纳税人发生非货币性资产交换应确认的净损失。</w:t>
      </w:r>
    </w:p>
    <w:p>
      <w:pPr>
        <w:pStyle w:val="12"/>
        <w:ind w:firstLine="480"/>
        <w:rPr>
          <w:rFonts w:hint="eastAsia"/>
          <w:color w:val="auto"/>
        </w:rPr>
      </w:pPr>
      <w:r>
        <w:rPr>
          <w:rFonts w:hint="eastAsia" w:cs="宋体"/>
          <w:color w:val="auto"/>
        </w:rPr>
        <w:t>23.第36行“债务重组损失”：填报纳税人进行债务重组应确认的净损失。</w:t>
      </w:r>
    </w:p>
    <w:p>
      <w:pPr>
        <w:pStyle w:val="12"/>
        <w:ind w:firstLine="480"/>
        <w:rPr>
          <w:rFonts w:hint="eastAsia" w:cs="宋体"/>
          <w:color w:val="auto"/>
        </w:rPr>
      </w:pPr>
      <w:r>
        <w:rPr>
          <w:rFonts w:hint="eastAsia" w:cs="宋体"/>
          <w:color w:val="auto"/>
        </w:rPr>
        <w:t>24.第37行“捐赠支出”：填报纳税人无偿给予其他企业、组织或个人的货币性资产、非货币性资产的捐赠支出。</w:t>
      </w:r>
    </w:p>
    <w:p>
      <w:pPr>
        <w:pStyle w:val="12"/>
        <w:ind w:firstLine="480"/>
        <w:rPr>
          <w:rFonts w:hint="eastAsia" w:cs="宋体"/>
          <w:color w:val="auto"/>
        </w:rPr>
      </w:pPr>
      <w:r>
        <w:rPr>
          <w:rFonts w:hint="eastAsia" w:cs="宋体"/>
          <w:color w:val="auto"/>
        </w:rPr>
        <w:t>25.第38行“非常损失”：填报纳税人在营业外支出中核算的各项非正常的财产损失。</w:t>
      </w:r>
    </w:p>
    <w:p>
      <w:pPr>
        <w:pStyle w:val="12"/>
        <w:ind w:firstLine="480"/>
        <w:rPr>
          <w:rFonts w:hint="eastAsia"/>
          <w:color w:val="auto"/>
        </w:rPr>
      </w:pPr>
      <w:r>
        <w:rPr>
          <w:rFonts w:hint="eastAsia" w:cs="宋体"/>
          <w:color w:val="auto"/>
        </w:rPr>
        <w:t>26.第39行“其他”：填报纳税人本期实际发生的在营业外支出核算的其他损失及支出。</w:t>
      </w:r>
    </w:p>
    <w:p>
      <w:pPr>
        <w:pStyle w:val="23"/>
        <w:ind w:firstLine="482"/>
        <w:rPr>
          <w:rFonts w:hint="eastAsia"/>
          <w:color w:val="auto"/>
        </w:rPr>
      </w:pPr>
      <w:r>
        <w:rPr>
          <w:rFonts w:hint="eastAsia"/>
          <w:color w:val="auto"/>
        </w:rPr>
        <w:t>二、表内、表间关系</w:t>
      </w:r>
    </w:p>
    <w:p>
      <w:pPr>
        <w:pStyle w:val="22"/>
        <w:rPr>
          <w:rFonts w:hint="eastAsia"/>
          <w:color w:val="auto"/>
        </w:rPr>
      </w:pPr>
      <w:r>
        <w:rPr>
          <w:rFonts w:hint="eastAsia"/>
          <w:color w:val="auto"/>
        </w:rPr>
        <w:t>（一）表内关系</w:t>
      </w:r>
    </w:p>
    <w:p>
      <w:pPr>
        <w:pStyle w:val="12"/>
        <w:ind w:firstLine="480"/>
        <w:rPr>
          <w:rFonts w:hint="eastAsia"/>
          <w:color w:val="auto"/>
        </w:rPr>
      </w:pPr>
      <w:r>
        <w:rPr>
          <w:rFonts w:hint="eastAsia"/>
          <w:color w:val="auto"/>
        </w:rPr>
        <w:t>1.第1行＝第2＋15＋25＋31＋32行。</w:t>
      </w:r>
    </w:p>
    <w:p>
      <w:pPr>
        <w:pStyle w:val="12"/>
        <w:ind w:firstLine="480"/>
        <w:rPr>
          <w:rFonts w:hint="eastAsia"/>
          <w:color w:val="auto"/>
        </w:rPr>
      </w:pPr>
      <w:r>
        <w:rPr>
          <w:rFonts w:hint="eastAsia"/>
          <w:color w:val="auto"/>
        </w:rPr>
        <w:t>2.第2行＝第3＋11行。</w:t>
      </w:r>
    </w:p>
    <w:p>
      <w:pPr>
        <w:pStyle w:val="12"/>
        <w:ind w:firstLine="480"/>
        <w:rPr>
          <w:rFonts w:hint="eastAsia"/>
          <w:color w:val="auto"/>
        </w:rPr>
      </w:pPr>
      <w:r>
        <w:rPr>
          <w:rFonts w:hint="eastAsia"/>
          <w:color w:val="auto"/>
        </w:rPr>
        <w:t>3.第3行＝第4＋5＋</w:t>
      </w:r>
      <w:r>
        <w:rPr>
          <w:color w:val="auto"/>
        </w:rPr>
        <w:t>…</w:t>
      </w:r>
      <w:r>
        <w:rPr>
          <w:rFonts w:hint="eastAsia"/>
          <w:color w:val="auto"/>
        </w:rPr>
        <w:t>＋10行。</w:t>
      </w:r>
    </w:p>
    <w:p>
      <w:pPr>
        <w:pStyle w:val="12"/>
        <w:ind w:firstLine="480"/>
        <w:rPr>
          <w:rFonts w:hint="eastAsia"/>
          <w:color w:val="auto"/>
        </w:rPr>
      </w:pPr>
      <w:r>
        <w:rPr>
          <w:rFonts w:hint="eastAsia"/>
          <w:color w:val="auto"/>
        </w:rPr>
        <w:t>4.第11行＝第12＋13＋14行。</w:t>
      </w:r>
    </w:p>
    <w:p>
      <w:pPr>
        <w:pStyle w:val="12"/>
        <w:ind w:firstLine="480"/>
        <w:rPr>
          <w:rFonts w:hint="eastAsia"/>
          <w:color w:val="auto"/>
        </w:rPr>
      </w:pPr>
      <w:r>
        <w:rPr>
          <w:rFonts w:hint="eastAsia"/>
          <w:color w:val="auto"/>
        </w:rPr>
        <w:t>5.第15行＝第16＋17－18＋19－20＋21＋22－23＋24行。</w:t>
      </w:r>
    </w:p>
    <w:p>
      <w:pPr>
        <w:pStyle w:val="12"/>
        <w:ind w:firstLine="480"/>
        <w:rPr>
          <w:rFonts w:hint="eastAsia"/>
          <w:color w:val="auto"/>
        </w:rPr>
      </w:pPr>
      <w:r>
        <w:rPr>
          <w:rFonts w:hint="eastAsia"/>
          <w:color w:val="auto"/>
        </w:rPr>
        <w:t>6.第25行＝第26＋30行。</w:t>
      </w:r>
    </w:p>
    <w:p>
      <w:pPr>
        <w:pStyle w:val="12"/>
        <w:ind w:firstLine="480"/>
        <w:rPr>
          <w:rFonts w:hint="eastAsia"/>
          <w:color w:val="auto"/>
        </w:rPr>
      </w:pPr>
      <w:r>
        <w:rPr>
          <w:rFonts w:hint="eastAsia"/>
          <w:color w:val="auto"/>
        </w:rPr>
        <w:t>7.第26行＝第27＋28＋29行。</w:t>
      </w:r>
    </w:p>
    <w:p>
      <w:pPr>
        <w:pStyle w:val="12"/>
        <w:ind w:firstLine="480"/>
        <w:rPr>
          <w:rFonts w:hint="eastAsia"/>
          <w:color w:val="auto"/>
        </w:rPr>
      </w:pPr>
      <w:r>
        <w:rPr>
          <w:rFonts w:hint="eastAsia"/>
          <w:color w:val="auto"/>
        </w:rPr>
        <w:t>8.第33行＝第34＋35＋</w:t>
      </w:r>
      <w:r>
        <w:rPr>
          <w:color w:val="auto"/>
        </w:rPr>
        <w:t>…</w:t>
      </w:r>
      <w:r>
        <w:rPr>
          <w:rFonts w:hint="eastAsia"/>
          <w:color w:val="auto"/>
        </w:rPr>
        <w:t>39行。</w:t>
      </w:r>
    </w:p>
    <w:p>
      <w:pPr>
        <w:pStyle w:val="22"/>
        <w:rPr>
          <w:rFonts w:hint="eastAsia"/>
          <w:color w:val="auto"/>
        </w:rPr>
      </w:pPr>
      <w:r>
        <w:rPr>
          <w:rFonts w:hint="eastAsia"/>
          <w:color w:val="auto"/>
        </w:rPr>
        <w:t>（二）表间关系</w:t>
      </w:r>
    </w:p>
    <w:p>
      <w:pPr>
        <w:pStyle w:val="12"/>
        <w:ind w:firstLine="480"/>
        <w:rPr>
          <w:rFonts w:hint="eastAsia"/>
          <w:color w:val="auto"/>
        </w:rPr>
      </w:pPr>
      <w:r>
        <w:rPr>
          <w:rFonts w:hint="eastAsia"/>
          <w:color w:val="auto"/>
        </w:rPr>
        <w:t>1.第1行＝表A100000第2行。</w:t>
      </w:r>
    </w:p>
    <w:p>
      <w:pPr>
        <w:pStyle w:val="12"/>
        <w:ind w:firstLine="480"/>
        <w:rPr>
          <w:rFonts w:hint="eastAsia"/>
          <w:color w:val="auto"/>
          <w:highlight w:val="none"/>
        </w:rPr>
        <w:sectPr>
          <w:pgSz w:w="11906" w:h="16838"/>
          <w:pgMar w:top="1440" w:right="1800" w:bottom="1440" w:left="1800" w:header="851" w:footer="992" w:gutter="113"/>
          <w:pgNumType w:fmt="decimal"/>
          <w:cols w:space="720" w:num="1"/>
          <w:docGrid w:linePitch="312" w:charSpace="0"/>
        </w:sectPr>
      </w:pPr>
      <w:r>
        <w:rPr>
          <w:rFonts w:hint="eastAsia"/>
          <w:color w:val="auto"/>
        </w:rPr>
        <w:t>2.第33行＝表A100000</w:t>
      </w:r>
      <w:r>
        <w:rPr>
          <w:rFonts w:hint="eastAsia"/>
          <w:color w:val="auto"/>
          <w:highlight w:val="none"/>
        </w:rPr>
        <w:t>第17行</w:t>
      </w:r>
    </w:p>
    <w:p>
      <w:pPr>
        <w:pStyle w:val="24"/>
        <w:tabs>
          <w:tab w:val="clear" w:pos="4200"/>
        </w:tabs>
        <w:spacing w:before="120" w:after="120"/>
        <w:rPr>
          <w:rFonts w:hint="eastAsia" w:ascii="宋体" w:hAnsi="宋体" w:eastAsia="宋体" w:cs="宋体"/>
          <w:color w:val="auto"/>
        </w:rPr>
      </w:pPr>
      <w:bookmarkStart w:id="95" w:name="_Toc1090346832"/>
      <w:bookmarkStart w:id="96" w:name="_Toc1210697552"/>
      <w:bookmarkStart w:id="97" w:name="_Toc176972050"/>
      <w:r>
        <w:rPr>
          <w:rFonts w:hint="eastAsia" w:ascii="宋体" w:hAnsi="宋体" w:eastAsia="宋体" w:cs="宋体"/>
          <w:color w:val="auto"/>
        </w:rPr>
        <w:t>A103000</w:t>
      </w:r>
      <w:r>
        <w:rPr>
          <w:rFonts w:hint="eastAsia" w:ascii="宋体" w:hAnsi="宋体" w:eastAsia="宋体" w:cs="宋体"/>
          <w:color w:val="auto"/>
        </w:rPr>
        <w:tab/>
      </w:r>
      <w:r>
        <w:rPr>
          <w:rFonts w:hint="eastAsia" w:ascii="宋体" w:hAnsi="宋体" w:eastAsia="宋体" w:cs="宋体"/>
          <w:color w:val="auto"/>
        </w:rPr>
        <w:t>《事业单位、民间非营利组织收入、支出明细表》填报</w:t>
      </w:r>
    </w:p>
    <w:p>
      <w:pPr>
        <w:pStyle w:val="24"/>
        <w:tabs>
          <w:tab w:val="clear" w:pos="4200"/>
        </w:tabs>
        <w:spacing w:before="120" w:after="120"/>
        <w:rPr>
          <w:rFonts w:hint="eastAsia" w:ascii="宋体" w:hAnsi="宋体" w:eastAsia="宋体" w:cs="宋体"/>
          <w:color w:val="auto"/>
        </w:rPr>
      </w:pPr>
      <w:r>
        <w:rPr>
          <w:rFonts w:hint="eastAsia" w:ascii="宋体" w:hAnsi="宋体" w:eastAsia="宋体" w:cs="宋体"/>
          <w:color w:val="auto"/>
        </w:rPr>
        <w:t>说明</w:t>
      </w:r>
      <w:bookmarkEnd w:id="95"/>
      <w:bookmarkEnd w:id="96"/>
      <w:bookmarkEnd w:id="97"/>
    </w:p>
    <w:p>
      <w:pPr>
        <w:pStyle w:val="12"/>
        <w:ind w:firstLine="480"/>
        <w:rPr>
          <w:rFonts w:hint="eastAsia"/>
          <w:color w:val="auto"/>
        </w:rPr>
      </w:pPr>
      <w:r>
        <w:rPr>
          <w:rFonts w:hint="eastAsia"/>
          <w:color w:val="auto"/>
        </w:rPr>
        <w:t>本表适用于实行事业单位会计准则的事业单位以及执行民间非营利组织会计制度的社会团体、民办非企业单位、非营利性组织等查账征收居民纳税人填报。纳税人应根据事业单位会计准则、民间非营利组织会计制度的规定，填报“事业单位收入”“民间非营利组织收入”“事业单位支出”“民间非营利组织支出”等。</w:t>
      </w:r>
    </w:p>
    <w:p>
      <w:pPr>
        <w:pStyle w:val="23"/>
        <w:ind w:firstLine="482"/>
        <w:rPr>
          <w:rFonts w:hint="eastAsia"/>
          <w:color w:val="auto"/>
        </w:rPr>
      </w:pPr>
      <w:r>
        <w:rPr>
          <w:rFonts w:hint="eastAsia"/>
          <w:color w:val="auto"/>
        </w:rPr>
        <w:t>一、有关项目填报说明</w:t>
      </w:r>
    </w:p>
    <w:p>
      <w:pPr>
        <w:pStyle w:val="22"/>
        <w:rPr>
          <w:rFonts w:hint="eastAsia"/>
          <w:color w:val="auto"/>
        </w:rPr>
      </w:pPr>
      <w:r>
        <w:rPr>
          <w:rFonts w:hint="eastAsia"/>
          <w:color w:val="auto"/>
        </w:rPr>
        <w:t>（一）事业单位填报说明</w:t>
      </w:r>
    </w:p>
    <w:p>
      <w:pPr>
        <w:pStyle w:val="12"/>
        <w:ind w:firstLine="480"/>
        <w:rPr>
          <w:rFonts w:hint="eastAsia"/>
          <w:color w:val="auto"/>
        </w:rPr>
      </w:pPr>
      <w:r>
        <w:rPr>
          <w:rFonts w:hint="eastAsia"/>
          <w:color w:val="auto"/>
        </w:rPr>
        <w:t>第1行至第9行由执行事业单位会计准则的纳税人填报。</w:t>
      </w:r>
    </w:p>
    <w:p>
      <w:pPr>
        <w:pStyle w:val="12"/>
        <w:ind w:firstLine="480"/>
        <w:rPr>
          <w:rFonts w:hint="eastAsia"/>
          <w:color w:val="auto"/>
        </w:rPr>
      </w:pPr>
      <w:r>
        <w:rPr>
          <w:rFonts w:hint="eastAsia"/>
          <w:color w:val="auto"/>
        </w:rPr>
        <w:t>1.第1行“事业单位收入”：填报纳税人取得的所有收入的金额（包括不征税收入和免税收入），按照会计核算口径填报。</w:t>
      </w:r>
    </w:p>
    <w:p>
      <w:pPr>
        <w:pStyle w:val="12"/>
        <w:ind w:firstLine="480"/>
        <w:rPr>
          <w:rFonts w:hint="eastAsia"/>
          <w:color w:val="auto"/>
        </w:rPr>
      </w:pPr>
      <w:r>
        <w:rPr>
          <w:rFonts w:hint="eastAsia"/>
          <w:color w:val="auto"/>
        </w:rPr>
        <w:t>2.第2行“财政补助收入”：填报纳税人直接从同级财政部门取得的各类财政拨款，包括基本支出补助和项目支出补助。</w:t>
      </w:r>
    </w:p>
    <w:p>
      <w:pPr>
        <w:pStyle w:val="12"/>
        <w:ind w:firstLine="480"/>
        <w:rPr>
          <w:rFonts w:hint="eastAsia"/>
          <w:color w:val="auto"/>
        </w:rPr>
      </w:pPr>
      <w:r>
        <w:rPr>
          <w:rFonts w:hint="eastAsia"/>
          <w:color w:val="auto"/>
        </w:rPr>
        <w:t>3.第3行“事业收入”：填报纳税人通过开展专业业务活动及辅助活动所取得的收入。</w:t>
      </w:r>
    </w:p>
    <w:p>
      <w:pPr>
        <w:pStyle w:val="12"/>
        <w:ind w:firstLine="480"/>
        <w:rPr>
          <w:rFonts w:hint="eastAsia"/>
          <w:color w:val="auto"/>
        </w:rPr>
      </w:pPr>
      <w:r>
        <w:rPr>
          <w:rFonts w:hint="eastAsia"/>
          <w:color w:val="auto"/>
        </w:rPr>
        <w:t>4.第4行“上级补助收入”：填报纳税人从主管部门和上级单位取得的非财政补助收入。</w:t>
      </w:r>
    </w:p>
    <w:p>
      <w:pPr>
        <w:pStyle w:val="12"/>
        <w:ind w:firstLine="480"/>
        <w:rPr>
          <w:rFonts w:hint="eastAsia"/>
          <w:color w:val="auto"/>
        </w:rPr>
      </w:pPr>
      <w:r>
        <w:rPr>
          <w:rFonts w:hint="eastAsia"/>
          <w:color w:val="auto"/>
        </w:rPr>
        <w:t>5.第5行“附属单位上缴收入”：填报纳税人附属独立核算单位按有关规定上缴的收入。包括附属事业单位上缴的收入和附属企业上缴的利润等。</w:t>
      </w:r>
    </w:p>
    <w:p>
      <w:pPr>
        <w:pStyle w:val="12"/>
        <w:ind w:firstLine="480"/>
        <w:rPr>
          <w:rFonts w:hint="eastAsia"/>
          <w:color w:val="auto"/>
        </w:rPr>
      </w:pPr>
      <w:r>
        <w:rPr>
          <w:rFonts w:hint="eastAsia"/>
          <w:color w:val="auto"/>
        </w:rPr>
        <w:t>6.第6行“经营收入”：填报纳税人开展专业业务活动及其辅助活动之外开展非独立核算经营活动取得的收入。</w:t>
      </w:r>
    </w:p>
    <w:p>
      <w:pPr>
        <w:pStyle w:val="12"/>
        <w:ind w:firstLine="480"/>
        <w:rPr>
          <w:rFonts w:hint="eastAsia" w:eastAsia="宋体"/>
          <w:color w:val="auto"/>
          <w:lang w:val="en-US" w:eastAsia="zh-CN"/>
        </w:rPr>
      </w:pPr>
      <w:r>
        <w:rPr>
          <w:rFonts w:hint="eastAsia"/>
          <w:color w:val="auto"/>
        </w:rPr>
        <w:t>7.第7行“其他收入”：填报纳税人取得的除本表第2行至第6行项目以外的收入，包括投资收益、银行存款利息收入、租金收入、捐赠收入、现金盘盈收入、存货盘盈收入、收回已核销应收及预付款项、无法偿付的应付及预收款项等。</w:t>
      </w:r>
    </w:p>
    <w:p>
      <w:pPr>
        <w:pStyle w:val="12"/>
        <w:ind w:firstLine="480"/>
        <w:rPr>
          <w:rFonts w:hint="eastAsia"/>
          <w:color w:val="auto"/>
        </w:rPr>
      </w:pPr>
      <w:r>
        <w:rPr>
          <w:rFonts w:hint="eastAsia"/>
          <w:color w:val="auto"/>
        </w:rPr>
        <w:t>8.第8行“其中：投资收益”：填报在“其他收入”科目中核算的各项短期投资、长期债券投资、长期股权投资取得的投资收益。</w:t>
      </w:r>
    </w:p>
    <w:p>
      <w:pPr>
        <w:pStyle w:val="12"/>
        <w:ind w:firstLine="480"/>
        <w:rPr>
          <w:rFonts w:hint="eastAsia"/>
          <w:color w:val="auto"/>
        </w:rPr>
      </w:pPr>
      <w:r>
        <w:rPr>
          <w:rFonts w:hint="eastAsia"/>
          <w:color w:val="auto"/>
        </w:rPr>
        <w:t>9.第9行“其他”：填报在“其他收入”科目中核算的除投资收益以外的收入。</w:t>
      </w:r>
    </w:p>
    <w:p>
      <w:pPr>
        <w:pStyle w:val="22"/>
        <w:rPr>
          <w:rFonts w:hint="eastAsia"/>
          <w:color w:val="auto"/>
        </w:rPr>
      </w:pPr>
      <w:r>
        <w:rPr>
          <w:rFonts w:hint="eastAsia"/>
          <w:color w:val="auto"/>
        </w:rPr>
        <w:t>（二）民间非营利组织填报说明</w:t>
      </w:r>
    </w:p>
    <w:p>
      <w:pPr>
        <w:pStyle w:val="12"/>
        <w:ind w:firstLine="480"/>
        <w:rPr>
          <w:rFonts w:hint="eastAsia"/>
          <w:color w:val="auto"/>
        </w:rPr>
      </w:pPr>
      <w:r>
        <w:rPr>
          <w:rFonts w:hint="eastAsia"/>
          <w:color w:val="auto"/>
        </w:rPr>
        <w:t>第10行至第17行由执行民间非营利组织会计制度的纳税人填报。</w:t>
      </w:r>
    </w:p>
    <w:p>
      <w:pPr>
        <w:pStyle w:val="12"/>
        <w:ind w:firstLine="480"/>
        <w:rPr>
          <w:rFonts w:hint="eastAsia"/>
          <w:color w:val="auto"/>
        </w:rPr>
      </w:pPr>
      <w:r>
        <w:rPr>
          <w:rFonts w:hint="eastAsia"/>
          <w:color w:val="auto"/>
        </w:rPr>
        <w:t>10.第10行“民间非营利组织收入”：填报纳税人开展业务活动取得的收入，应当包括接受捐赠收入、会费收入、提供劳务收入、政府补助收入、投资收益、商品销售收入等主要业务活动收入和其他收入等。</w:t>
      </w:r>
    </w:p>
    <w:p>
      <w:pPr>
        <w:pStyle w:val="12"/>
        <w:ind w:firstLine="480"/>
        <w:rPr>
          <w:rFonts w:hint="eastAsia"/>
          <w:color w:val="auto"/>
        </w:rPr>
      </w:pPr>
      <w:r>
        <w:rPr>
          <w:rFonts w:hint="eastAsia"/>
          <w:color w:val="auto"/>
        </w:rPr>
        <w:t>11.第11行“接受捐赠收入”：填报纳税人接受其他单位或者个人捐赠所取得的收入。</w:t>
      </w:r>
    </w:p>
    <w:p>
      <w:pPr>
        <w:pStyle w:val="12"/>
        <w:ind w:firstLine="480"/>
        <w:rPr>
          <w:rFonts w:hint="eastAsia"/>
          <w:color w:val="auto"/>
        </w:rPr>
      </w:pPr>
      <w:r>
        <w:rPr>
          <w:rFonts w:hint="eastAsia"/>
          <w:color w:val="auto"/>
        </w:rPr>
        <w:t>12.第12行“会费收入”：填报纳税人根据章程等规定向会员收取的会费收入。</w:t>
      </w:r>
    </w:p>
    <w:p>
      <w:pPr>
        <w:pStyle w:val="12"/>
        <w:ind w:firstLine="480"/>
        <w:rPr>
          <w:rFonts w:hint="eastAsia"/>
          <w:color w:val="auto"/>
        </w:rPr>
      </w:pPr>
      <w:r>
        <w:rPr>
          <w:rFonts w:hint="eastAsia"/>
          <w:color w:val="auto"/>
        </w:rPr>
        <w:t>13.第13行“提供劳务收入”：填报纳税人根据章程等规定向其服务对象提供服务取得的收入，包括学费收入、医疗费收入、培训收入等。</w:t>
      </w:r>
    </w:p>
    <w:p>
      <w:pPr>
        <w:pStyle w:val="12"/>
        <w:ind w:firstLine="480"/>
        <w:rPr>
          <w:rFonts w:hint="eastAsia"/>
          <w:color w:val="auto"/>
        </w:rPr>
      </w:pPr>
      <w:r>
        <w:rPr>
          <w:rFonts w:hint="eastAsia"/>
          <w:color w:val="auto"/>
        </w:rPr>
        <w:t>14.第14行“商品销售收入”：填报纳税人销售商品（如出版物、药品等）所形成的收入。</w:t>
      </w:r>
    </w:p>
    <w:p>
      <w:pPr>
        <w:pStyle w:val="12"/>
        <w:ind w:firstLine="480"/>
        <w:rPr>
          <w:rFonts w:hint="eastAsia"/>
          <w:color w:val="auto"/>
        </w:rPr>
      </w:pPr>
      <w:r>
        <w:rPr>
          <w:rFonts w:hint="eastAsia"/>
          <w:color w:val="auto"/>
        </w:rPr>
        <w:t>15.第15行“政府补助收入”：填报纳税人接受政府拨款或者政府机构给予的补助而取得的收入。</w:t>
      </w:r>
    </w:p>
    <w:p>
      <w:pPr>
        <w:pStyle w:val="12"/>
        <w:ind w:firstLine="480"/>
        <w:rPr>
          <w:rFonts w:hint="eastAsia"/>
          <w:color w:val="auto"/>
        </w:rPr>
      </w:pPr>
      <w:r>
        <w:rPr>
          <w:rFonts w:hint="eastAsia"/>
          <w:color w:val="auto"/>
        </w:rPr>
        <w:t>16.第16行“投资收益”：填报纳税人因对外投资取得的投资净收益。</w:t>
      </w:r>
    </w:p>
    <w:p>
      <w:pPr>
        <w:pStyle w:val="12"/>
        <w:ind w:firstLine="480"/>
        <w:rPr>
          <w:rFonts w:hint="eastAsia"/>
          <w:color w:val="auto"/>
        </w:rPr>
      </w:pPr>
      <w:r>
        <w:rPr>
          <w:rFonts w:hint="eastAsia"/>
          <w:color w:val="auto"/>
        </w:rPr>
        <w:t>17.第17行“其他收入”：填报纳税人除上述主要业务活动收入以外的其他收入，如固定资产处置净收入、无形资产处置净收入等。</w:t>
      </w:r>
    </w:p>
    <w:p>
      <w:pPr>
        <w:pStyle w:val="12"/>
        <w:ind w:firstLine="480"/>
        <w:rPr>
          <w:rFonts w:hint="eastAsia"/>
          <w:color w:val="auto"/>
        </w:rPr>
      </w:pPr>
      <w:r>
        <w:rPr>
          <w:rFonts w:hint="eastAsia"/>
          <w:color w:val="auto"/>
        </w:rPr>
        <w:t>第18行至第23行由执行事业单位会计准则的纳税人填报。</w:t>
      </w:r>
    </w:p>
    <w:p>
      <w:pPr>
        <w:pStyle w:val="12"/>
        <w:ind w:firstLine="480"/>
        <w:rPr>
          <w:rFonts w:hint="eastAsia"/>
          <w:color w:val="auto"/>
        </w:rPr>
      </w:pPr>
      <w:r>
        <w:rPr>
          <w:rFonts w:hint="eastAsia"/>
          <w:color w:val="auto"/>
        </w:rPr>
        <w:t>18.第18行“事业单位支出”：填报纳税人发生的所有支出总额（含不征税收入形成的支出），按照会计核算口径填报。</w:t>
      </w:r>
    </w:p>
    <w:p>
      <w:pPr>
        <w:pStyle w:val="12"/>
        <w:ind w:firstLine="480"/>
        <w:rPr>
          <w:rFonts w:hint="eastAsia"/>
          <w:color w:val="auto"/>
        </w:rPr>
      </w:pPr>
      <w:r>
        <w:rPr>
          <w:rFonts w:hint="eastAsia"/>
          <w:color w:val="auto"/>
        </w:rPr>
        <w:t>19.第19行“事业支出”：填报纳税人开展专业业务活动及其辅助活动发生的支出，包括工资、补助工资、职工福利费、社会保障费、助学金，公务费、业务费、设备购置费、修缮费和其他费用。</w:t>
      </w:r>
    </w:p>
    <w:p>
      <w:pPr>
        <w:pStyle w:val="12"/>
        <w:ind w:firstLine="480"/>
        <w:rPr>
          <w:rFonts w:hint="eastAsia"/>
          <w:color w:val="auto"/>
        </w:rPr>
      </w:pPr>
      <w:r>
        <w:rPr>
          <w:rFonts w:hint="eastAsia"/>
          <w:color w:val="auto"/>
        </w:rPr>
        <w:t>20.第20行“上缴上级支出”：填报纳税人按照财政部门和主管部门的规定上缴上级单位的支出。</w:t>
      </w:r>
    </w:p>
    <w:p>
      <w:pPr>
        <w:pStyle w:val="12"/>
        <w:ind w:firstLine="480"/>
        <w:rPr>
          <w:rFonts w:hint="eastAsia"/>
          <w:color w:val="auto"/>
        </w:rPr>
      </w:pPr>
      <w:r>
        <w:rPr>
          <w:rFonts w:hint="eastAsia"/>
          <w:color w:val="auto"/>
        </w:rPr>
        <w:t>21.第21行“对附属单位补助支出”：填报纳税人用财政补助收入之外的收入对附属单位补助发生的支出。</w:t>
      </w:r>
    </w:p>
    <w:p>
      <w:pPr>
        <w:pStyle w:val="12"/>
        <w:ind w:firstLine="480"/>
        <w:rPr>
          <w:rFonts w:hint="eastAsia"/>
          <w:color w:val="auto"/>
        </w:rPr>
      </w:pPr>
      <w:r>
        <w:rPr>
          <w:rFonts w:hint="eastAsia"/>
          <w:color w:val="auto"/>
        </w:rPr>
        <w:t>22.第22行“经营支出”：填报纳税人在专业业务活动及其辅助活动之外开展非独立核算经营活动发生的支出。</w:t>
      </w:r>
    </w:p>
    <w:p>
      <w:pPr>
        <w:pStyle w:val="12"/>
        <w:ind w:firstLine="480"/>
        <w:rPr>
          <w:rFonts w:hint="eastAsia"/>
          <w:color w:val="auto"/>
        </w:rPr>
      </w:pPr>
      <w:r>
        <w:rPr>
          <w:rFonts w:hint="eastAsia"/>
          <w:color w:val="auto"/>
        </w:rPr>
        <w:t>23.第23行“其他支出”：填报纳税人除本表第19行至第22行项目以外的支出，包括利息支出、捐赠支出、现金盘亏损失、资产处置损失、接受捐赠（调入）非流动资产发生的税费支出等。</w:t>
      </w:r>
    </w:p>
    <w:p>
      <w:pPr>
        <w:pStyle w:val="12"/>
        <w:ind w:firstLine="480"/>
        <w:rPr>
          <w:rFonts w:hint="eastAsia"/>
          <w:color w:val="auto"/>
        </w:rPr>
      </w:pPr>
      <w:r>
        <w:rPr>
          <w:rFonts w:hint="eastAsia"/>
          <w:color w:val="auto"/>
        </w:rPr>
        <w:t>第24行至第28行由执行民间非营利组织会计制度的纳税人填报。</w:t>
      </w:r>
    </w:p>
    <w:p>
      <w:pPr>
        <w:pStyle w:val="12"/>
        <w:ind w:firstLine="480"/>
        <w:rPr>
          <w:rFonts w:hint="eastAsia"/>
          <w:color w:val="auto"/>
        </w:rPr>
      </w:pPr>
      <w:r>
        <w:rPr>
          <w:rFonts w:hint="eastAsia"/>
          <w:color w:val="auto"/>
        </w:rPr>
        <w:t>24.第24行“民间非营利组织支出”：填报纳税人发生的所有支出总额。按照会计核算口径填报。</w:t>
      </w:r>
    </w:p>
    <w:p>
      <w:pPr>
        <w:pStyle w:val="12"/>
        <w:ind w:firstLine="480"/>
        <w:rPr>
          <w:rFonts w:hint="eastAsia"/>
          <w:color w:val="auto"/>
        </w:rPr>
      </w:pPr>
      <w:r>
        <w:rPr>
          <w:rFonts w:hint="eastAsia"/>
          <w:color w:val="auto"/>
        </w:rPr>
        <w:t>25.第25行“业务活动成本”：填报民间非营利组织为了实现其业务活动目标、开展某项目活动或者提供劳务所发生的费用。</w:t>
      </w:r>
    </w:p>
    <w:p>
      <w:pPr>
        <w:pStyle w:val="12"/>
        <w:ind w:firstLine="480"/>
        <w:rPr>
          <w:rFonts w:hint="eastAsia"/>
          <w:color w:val="auto"/>
        </w:rPr>
      </w:pPr>
      <w:r>
        <w:rPr>
          <w:rFonts w:hint="eastAsia"/>
          <w:color w:val="auto"/>
        </w:rPr>
        <w:t>26.第26行“管理费用”：填报民间非营利组织为组织和管理其业务活动所发生的各项费用，包括民间非营利组织董事会（或者理事会或者类似权力机构）经费和行政管理人员的工资、奖金、津贴、福利费、住房公积金、住房补贴、社会保障费、离退休人员工资与补助，以及办公费、水电费、邮电费、物业管理费、差旅费、折旧费、修理费、无形资产摊销费、存货盘亏损失、资产减值损失、因预计负债所产生的损失、聘请中介机构费和应偿还的受赠资产等。</w:t>
      </w:r>
    </w:p>
    <w:p>
      <w:pPr>
        <w:pStyle w:val="12"/>
        <w:ind w:firstLine="480"/>
        <w:rPr>
          <w:rFonts w:hint="eastAsia"/>
          <w:color w:val="auto"/>
        </w:rPr>
      </w:pPr>
      <w:r>
        <w:rPr>
          <w:rFonts w:hint="eastAsia"/>
          <w:color w:val="auto"/>
        </w:rPr>
        <w:t>27.第27行“筹资费用”：填报民间非营利组织为筹集业务活动所需资金而发生的费用，包括民间非营利组织获得捐赠资产而发生的费用以及应当计入当期费用的借款费用、汇兑损失（减汇兑收益）等。民间非营利组织为了获得捐赠资产而发生的费用包括举办募款活动费，准备、印刷和发放募款宣传资料费以及其他与募款或者争取捐赠有关的费用。</w:t>
      </w:r>
    </w:p>
    <w:p>
      <w:pPr>
        <w:pStyle w:val="12"/>
        <w:ind w:firstLine="480"/>
        <w:rPr>
          <w:rFonts w:hint="eastAsia"/>
          <w:b/>
          <w:color w:val="auto"/>
        </w:rPr>
      </w:pPr>
      <w:r>
        <w:rPr>
          <w:rFonts w:hint="eastAsia"/>
          <w:color w:val="auto"/>
        </w:rPr>
        <w:t>28.第28行“其他费用”：填报民间非营利组织发生的、无法归属到上述业务活动成本、管理费用或者筹资费用中的费用，包括固定资产处置净损失、无形资产处置净损失等。</w:t>
      </w:r>
    </w:p>
    <w:p>
      <w:pPr>
        <w:pStyle w:val="23"/>
        <w:ind w:firstLine="482"/>
        <w:rPr>
          <w:rFonts w:hint="eastAsia"/>
          <w:color w:val="auto"/>
        </w:rPr>
      </w:pPr>
      <w:r>
        <w:rPr>
          <w:rFonts w:hint="eastAsia"/>
          <w:color w:val="auto"/>
        </w:rPr>
        <w:t>二、表内、表间关系</w:t>
      </w:r>
    </w:p>
    <w:p>
      <w:pPr>
        <w:pStyle w:val="22"/>
        <w:rPr>
          <w:rFonts w:hint="eastAsia"/>
          <w:color w:val="auto"/>
        </w:rPr>
      </w:pPr>
      <w:r>
        <w:rPr>
          <w:rFonts w:hint="eastAsia"/>
          <w:color w:val="auto"/>
        </w:rPr>
        <w:t>（一）表内关系</w:t>
      </w:r>
    </w:p>
    <w:p>
      <w:pPr>
        <w:pStyle w:val="12"/>
        <w:ind w:firstLine="480"/>
        <w:rPr>
          <w:rFonts w:hint="eastAsia"/>
          <w:color w:val="auto"/>
        </w:rPr>
      </w:pPr>
      <w:r>
        <w:rPr>
          <w:rFonts w:hint="eastAsia"/>
          <w:color w:val="auto"/>
        </w:rPr>
        <w:t>1.第1行＝第2＋3＋…＋7行。</w:t>
      </w:r>
    </w:p>
    <w:p>
      <w:pPr>
        <w:pStyle w:val="12"/>
        <w:ind w:firstLine="480"/>
        <w:rPr>
          <w:rFonts w:hint="eastAsia"/>
          <w:color w:val="auto"/>
        </w:rPr>
      </w:pPr>
      <w:r>
        <w:rPr>
          <w:rFonts w:hint="eastAsia"/>
          <w:color w:val="auto"/>
        </w:rPr>
        <w:t>2.第7行＝第8＋9行。</w:t>
      </w:r>
    </w:p>
    <w:p>
      <w:pPr>
        <w:pStyle w:val="12"/>
        <w:ind w:firstLine="480"/>
        <w:rPr>
          <w:rFonts w:hint="eastAsia"/>
          <w:color w:val="auto"/>
        </w:rPr>
      </w:pPr>
      <w:r>
        <w:rPr>
          <w:rFonts w:hint="eastAsia"/>
          <w:color w:val="auto"/>
        </w:rPr>
        <w:t>3.第10行＝第11＋12＋…＋17行。</w:t>
      </w:r>
    </w:p>
    <w:p>
      <w:pPr>
        <w:pStyle w:val="12"/>
        <w:ind w:firstLine="480"/>
        <w:rPr>
          <w:rFonts w:hint="eastAsia"/>
          <w:color w:val="auto"/>
        </w:rPr>
      </w:pPr>
      <w:r>
        <w:rPr>
          <w:rFonts w:hint="eastAsia"/>
          <w:color w:val="auto"/>
        </w:rPr>
        <w:t>4.第18行＝第19＋20＋21＋22＋23行。</w:t>
      </w:r>
    </w:p>
    <w:p>
      <w:pPr>
        <w:pStyle w:val="12"/>
        <w:ind w:firstLine="480"/>
        <w:rPr>
          <w:rFonts w:hint="eastAsia"/>
          <w:color w:val="auto"/>
        </w:rPr>
      </w:pPr>
      <w:r>
        <w:rPr>
          <w:rFonts w:hint="eastAsia"/>
          <w:color w:val="auto"/>
        </w:rPr>
        <w:t>5.第24行＝第25＋26＋27＋28行。</w:t>
      </w:r>
    </w:p>
    <w:p>
      <w:pPr>
        <w:pStyle w:val="22"/>
        <w:rPr>
          <w:rFonts w:hint="eastAsia"/>
          <w:color w:val="auto"/>
        </w:rPr>
      </w:pPr>
      <w:r>
        <w:rPr>
          <w:rFonts w:hint="eastAsia"/>
          <w:color w:val="auto"/>
        </w:rPr>
        <w:t>（二）表间关系</w:t>
      </w:r>
    </w:p>
    <w:p>
      <w:pPr>
        <w:pStyle w:val="12"/>
        <w:ind w:firstLine="480"/>
        <w:rPr>
          <w:rFonts w:hint="eastAsia"/>
          <w:color w:val="auto"/>
        </w:rPr>
      </w:pPr>
      <w:r>
        <w:rPr>
          <w:rFonts w:hint="eastAsia"/>
          <w:color w:val="auto"/>
        </w:rPr>
        <w:t>1.第2＋3＋4＋5＋6行或第11＋12＋13＋14＋15行＝表A100000第1行。</w:t>
      </w:r>
    </w:p>
    <w:p>
      <w:pPr>
        <w:pStyle w:val="12"/>
        <w:ind w:firstLine="480"/>
        <w:rPr>
          <w:rFonts w:hint="eastAsia"/>
          <w:color w:val="auto"/>
        </w:rPr>
      </w:pPr>
      <w:r>
        <w:rPr>
          <w:rFonts w:hint="eastAsia"/>
          <w:color w:val="auto"/>
        </w:rPr>
        <w:t>2.第8行或第16行＝表A100000第9行。</w:t>
      </w:r>
    </w:p>
    <w:p>
      <w:pPr>
        <w:pStyle w:val="12"/>
        <w:ind w:firstLine="480"/>
        <w:rPr>
          <w:rFonts w:hint="eastAsia"/>
          <w:color w:val="auto"/>
          <w:highlight w:val="none"/>
        </w:rPr>
      </w:pPr>
      <w:r>
        <w:rPr>
          <w:rFonts w:hint="eastAsia"/>
          <w:color w:val="auto"/>
        </w:rPr>
        <w:t>3.第9行或第17行＝表A100000</w:t>
      </w:r>
      <w:r>
        <w:rPr>
          <w:rFonts w:hint="eastAsia"/>
          <w:color w:val="auto"/>
          <w:highlight w:val="none"/>
        </w:rPr>
        <w:t>第16行。</w:t>
      </w:r>
    </w:p>
    <w:p>
      <w:pPr>
        <w:pStyle w:val="12"/>
        <w:ind w:firstLine="480"/>
        <w:rPr>
          <w:rFonts w:hint="eastAsia"/>
          <w:color w:val="auto"/>
          <w:highlight w:val="none"/>
        </w:rPr>
      </w:pPr>
      <w:r>
        <w:rPr>
          <w:rFonts w:hint="eastAsia"/>
          <w:color w:val="auto"/>
          <w:highlight w:val="none"/>
        </w:rPr>
        <w:t>4.第19＋20＋21＋22行或第25＋26＋27行＝表A100000第2行。</w:t>
      </w:r>
    </w:p>
    <w:p>
      <w:pPr>
        <w:pStyle w:val="12"/>
        <w:ind w:firstLine="480"/>
        <w:rPr>
          <w:rFonts w:hint="eastAsia"/>
          <w:color w:val="auto"/>
          <w:highlight w:val="none"/>
        </w:rPr>
        <w:sectPr>
          <w:footerReference r:id="rId10" w:type="first"/>
          <w:footerReference r:id="rId9" w:type="default"/>
          <w:pgSz w:w="11906" w:h="16838"/>
          <w:pgMar w:top="1440" w:right="1800" w:bottom="1440" w:left="1800" w:header="851" w:footer="992" w:gutter="113"/>
          <w:pgNumType w:fmt="decimal" w:start="30"/>
          <w:cols w:space="720" w:num="1"/>
          <w:titlePg/>
          <w:docGrid w:linePitch="312" w:charSpace="0"/>
        </w:sectPr>
      </w:pPr>
      <w:r>
        <w:rPr>
          <w:rFonts w:hint="eastAsia"/>
          <w:color w:val="auto"/>
          <w:highlight w:val="none"/>
        </w:rPr>
        <w:t>5.第23行或第28行＝表A100000第17行。</w:t>
      </w:r>
    </w:p>
    <w:p>
      <w:pPr>
        <w:pStyle w:val="24"/>
        <w:tabs>
          <w:tab w:val="clear" w:pos="4200"/>
        </w:tabs>
        <w:spacing w:before="120" w:after="120"/>
        <w:rPr>
          <w:rFonts w:hint="eastAsia" w:ascii="宋体" w:hAnsi="宋体" w:eastAsia="宋体" w:cs="宋体"/>
          <w:color w:val="auto"/>
        </w:rPr>
      </w:pPr>
      <w:bookmarkStart w:id="98" w:name="_Toc1042834139"/>
      <w:bookmarkStart w:id="99" w:name="_Toc176972051"/>
      <w:bookmarkStart w:id="100" w:name="_Toc611462976"/>
      <w:r>
        <w:rPr>
          <w:rFonts w:hint="eastAsia" w:ascii="宋体" w:hAnsi="宋体" w:eastAsia="宋体" w:cs="宋体"/>
          <w:color w:val="auto"/>
        </w:rPr>
        <w:t>A104000</w:t>
      </w:r>
      <w:r>
        <w:rPr>
          <w:rFonts w:hint="eastAsia" w:ascii="宋体" w:hAnsi="宋体" w:eastAsia="宋体" w:cs="宋体"/>
          <w:color w:val="auto"/>
        </w:rPr>
        <w:tab/>
      </w:r>
      <w:r>
        <w:rPr>
          <w:rFonts w:hint="eastAsia" w:ascii="宋体" w:hAnsi="宋体" w:eastAsia="宋体" w:cs="宋体"/>
          <w:color w:val="auto"/>
        </w:rPr>
        <w:t>《期间费用明细表》填报说明</w:t>
      </w:r>
      <w:bookmarkEnd w:id="98"/>
      <w:bookmarkEnd w:id="99"/>
      <w:bookmarkEnd w:id="100"/>
    </w:p>
    <w:p>
      <w:pPr>
        <w:pStyle w:val="12"/>
        <w:ind w:firstLine="480"/>
        <w:rPr>
          <w:rFonts w:hint="eastAsia"/>
          <w:color w:val="auto"/>
        </w:rPr>
      </w:pPr>
      <w:r>
        <w:rPr>
          <w:rFonts w:hint="eastAsia"/>
          <w:color w:val="auto"/>
        </w:rPr>
        <w:t>本表适用于执行企业会计准则、小企业会计准则、企业会计制度、分行业会计制度的查账征收居民纳税人填报。纳税人应根据企业会计准则、小企业会计准则、企业会计、分行业会计制度规定，填报“销售费用”“管理费用”和“财务费用”等项目。</w:t>
      </w:r>
    </w:p>
    <w:p>
      <w:pPr>
        <w:pStyle w:val="23"/>
        <w:ind w:firstLine="482"/>
        <w:rPr>
          <w:rFonts w:hint="eastAsia"/>
          <w:color w:val="auto"/>
        </w:rPr>
      </w:pPr>
      <w:r>
        <w:rPr>
          <w:rFonts w:hint="eastAsia"/>
          <w:color w:val="auto"/>
        </w:rPr>
        <w:t>一、有关项目填报说明</w:t>
      </w:r>
    </w:p>
    <w:p>
      <w:pPr>
        <w:pStyle w:val="12"/>
        <w:ind w:firstLine="480"/>
        <w:rPr>
          <w:rFonts w:hint="eastAsia"/>
          <w:color w:val="auto"/>
        </w:rPr>
      </w:pPr>
      <w:r>
        <w:rPr>
          <w:color w:val="auto"/>
        </w:rPr>
        <w:t>1.</w:t>
      </w:r>
      <w:r>
        <w:rPr>
          <w:rFonts w:hint="eastAsia"/>
          <w:color w:val="auto"/>
        </w:rPr>
        <w:t>第</w:t>
      </w:r>
      <w:r>
        <w:rPr>
          <w:color w:val="auto"/>
        </w:rPr>
        <w:t>1</w:t>
      </w:r>
      <w:r>
        <w:rPr>
          <w:rFonts w:hint="eastAsia"/>
          <w:color w:val="auto"/>
        </w:rPr>
        <w:t>列“销售费用”：填报在销售费用科目进行核算的相关明细项目的金额，其中金融企业填报在业务及管理费科目进行核算的相关明细项目的金额。</w:t>
      </w:r>
    </w:p>
    <w:p>
      <w:pPr>
        <w:pStyle w:val="12"/>
        <w:ind w:firstLine="480"/>
        <w:rPr>
          <w:rFonts w:hint="eastAsia"/>
          <w:color w:val="auto"/>
        </w:rPr>
      </w:pPr>
      <w:r>
        <w:rPr>
          <w:color w:val="auto"/>
        </w:rPr>
        <w:t>2.</w:t>
      </w:r>
      <w:r>
        <w:rPr>
          <w:rFonts w:hint="eastAsia"/>
          <w:color w:val="auto"/>
        </w:rPr>
        <w:t>第</w:t>
      </w:r>
      <w:r>
        <w:rPr>
          <w:color w:val="auto"/>
        </w:rPr>
        <w:t>2</w:t>
      </w:r>
      <w:r>
        <w:rPr>
          <w:rFonts w:hint="eastAsia"/>
          <w:color w:val="auto"/>
        </w:rPr>
        <w:t>列“其中：境外支付”：填报在销售费用科目进行核算的向境外支付的相关明细项目的金额，其中金融企业填报在业务及管理费科目进行核算的相关明细项目的金额。</w:t>
      </w:r>
    </w:p>
    <w:p>
      <w:pPr>
        <w:pStyle w:val="12"/>
        <w:ind w:firstLine="480"/>
        <w:rPr>
          <w:rFonts w:hint="eastAsia"/>
          <w:color w:val="auto"/>
        </w:rPr>
      </w:pPr>
      <w:r>
        <w:rPr>
          <w:color w:val="auto"/>
        </w:rPr>
        <w:t>3.</w:t>
      </w:r>
      <w:r>
        <w:rPr>
          <w:rFonts w:hint="eastAsia"/>
          <w:color w:val="auto"/>
        </w:rPr>
        <w:t>第</w:t>
      </w:r>
      <w:r>
        <w:rPr>
          <w:color w:val="auto"/>
        </w:rPr>
        <w:t>3</w:t>
      </w:r>
      <w:r>
        <w:rPr>
          <w:rFonts w:hint="eastAsia"/>
          <w:color w:val="auto"/>
        </w:rPr>
        <w:t>列“管理费用”：填报在管理费用科目进行核算的相关明细项目的金额。</w:t>
      </w:r>
    </w:p>
    <w:p>
      <w:pPr>
        <w:pStyle w:val="12"/>
        <w:ind w:firstLine="480"/>
        <w:rPr>
          <w:rFonts w:hint="eastAsia"/>
          <w:color w:val="auto"/>
        </w:rPr>
      </w:pPr>
      <w:r>
        <w:rPr>
          <w:color w:val="auto"/>
        </w:rPr>
        <w:t>4.</w:t>
      </w:r>
      <w:r>
        <w:rPr>
          <w:rFonts w:hint="eastAsia"/>
          <w:color w:val="auto"/>
        </w:rPr>
        <w:t>第</w:t>
      </w:r>
      <w:r>
        <w:rPr>
          <w:color w:val="auto"/>
        </w:rPr>
        <w:t>4</w:t>
      </w:r>
      <w:r>
        <w:rPr>
          <w:rFonts w:hint="eastAsia"/>
          <w:color w:val="auto"/>
        </w:rPr>
        <w:t>列“其中：境外支付”：填报在管理费用科目进行核算的向境外支付的相关明细项目的金额。</w:t>
      </w:r>
    </w:p>
    <w:p>
      <w:pPr>
        <w:pStyle w:val="12"/>
        <w:ind w:firstLine="480"/>
        <w:rPr>
          <w:rFonts w:hint="eastAsia"/>
          <w:color w:val="auto"/>
        </w:rPr>
      </w:pPr>
      <w:r>
        <w:rPr>
          <w:color w:val="auto"/>
        </w:rPr>
        <w:t>5.</w:t>
      </w:r>
      <w:r>
        <w:rPr>
          <w:rFonts w:hint="eastAsia"/>
          <w:color w:val="auto"/>
        </w:rPr>
        <w:t>第</w:t>
      </w:r>
      <w:r>
        <w:rPr>
          <w:color w:val="auto"/>
        </w:rPr>
        <w:t>5</w:t>
      </w:r>
      <w:r>
        <w:rPr>
          <w:rFonts w:hint="eastAsia"/>
          <w:color w:val="auto"/>
        </w:rPr>
        <w:t>列“财务费用”：填报在财务费用科目进行核算的有关明细项目的金额。</w:t>
      </w:r>
    </w:p>
    <w:p>
      <w:pPr>
        <w:pStyle w:val="12"/>
        <w:ind w:firstLine="480"/>
        <w:rPr>
          <w:rFonts w:hint="eastAsia"/>
          <w:color w:val="auto"/>
        </w:rPr>
      </w:pPr>
      <w:r>
        <w:rPr>
          <w:color w:val="auto"/>
        </w:rPr>
        <w:t>6.</w:t>
      </w:r>
      <w:r>
        <w:rPr>
          <w:rFonts w:hint="eastAsia"/>
          <w:color w:val="auto"/>
        </w:rPr>
        <w:t>第</w:t>
      </w:r>
      <w:r>
        <w:rPr>
          <w:color w:val="auto"/>
        </w:rPr>
        <w:t>6</w:t>
      </w:r>
      <w:r>
        <w:rPr>
          <w:rFonts w:hint="eastAsia"/>
          <w:color w:val="auto"/>
        </w:rPr>
        <w:t>列“其中：境外支付”：填报在财务费用科目进行核算的向境外支付的有关明细项目的金额。</w:t>
      </w:r>
    </w:p>
    <w:p>
      <w:pPr>
        <w:pStyle w:val="12"/>
        <w:ind w:firstLine="480"/>
        <w:rPr>
          <w:rFonts w:hint="eastAsia"/>
          <w:color w:val="auto"/>
        </w:rPr>
      </w:pPr>
      <w:r>
        <w:rPr>
          <w:color w:val="auto"/>
        </w:rPr>
        <w:t>7.</w:t>
      </w:r>
      <w:r>
        <w:rPr>
          <w:rFonts w:hint="eastAsia"/>
          <w:color w:val="auto"/>
        </w:rPr>
        <w:t>第</w:t>
      </w:r>
      <w:r>
        <w:rPr>
          <w:color w:val="auto"/>
        </w:rPr>
        <w:t>1</w:t>
      </w:r>
      <w:r>
        <w:rPr>
          <w:rFonts w:hint="eastAsia"/>
          <w:color w:val="auto"/>
        </w:rPr>
        <w:t>行至第</w:t>
      </w:r>
      <w:r>
        <w:rPr>
          <w:color w:val="auto"/>
        </w:rPr>
        <w:t>2</w:t>
      </w:r>
      <w:r>
        <w:rPr>
          <w:rFonts w:hint="eastAsia"/>
          <w:color w:val="auto"/>
        </w:rPr>
        <w:t>5行：根据费用科目核算的具体项目金额进行填报，如果贷方发生额大于借方发生额，应填报负数。</w:t>
      </w:r>
    </w:p>
    <w:p>
      <w:pPr>
        <w:pStyle w:val="12"/>
        <w:ind w:firstLine="480"/>
        <w:rPr>
          <w:rFonts w:hint="eastAsia"/>
          <w:color w:val="auto"/>
        </w:rPr>
      </w:pPr>
      <w:r>
        <w:rPr>
          <w:color w:val="auto"/>
        </w:rPr>
        <w:t>8.</w:t>
      </w:r>
      <w:r>
        <w:rPr>
          <w:rFonts w:hint="eastAsia"/>
          <w:color w:val="auto"/>
        </w:rPr>
        <w:t>第</w:t>
      </w:r>
      <w:r>
        <w:rPr>
          <w:color w:val="auto"/>
        </w:rPr>
        <w:t>2</w:t>
      </w:r>
      <w:r>
        <w:rPr>
          <w:rFonts w:hint="eastAsia"/>
          <w:color w:val="auto"/>
        </w:rPr>
        <w:t>6行第</w:t>
      </w:r>
      <w:r>
        <w:rPr>
          <w:color w:val="auto"/>
        </w:rPr>
        <w:t>1</w:t>
      </w:r>
      <w:r>
        <w:rPr>
          <w:rFonts w:hint="eastAsia"/>
          <w:color w:val="auto"/>
        </w:rPr>
        <w:t>列：填报第</w:t>
      </w:r>
      <w:r>
        <w:rPr>
          <w:color w:val="auto"/>
        </w:rPr>
        <w:t>1</w:t>
      </w:r>
      <w:r>
        <w:rPr>
          <w:rFonts w:hint="eastAsia"/>
          <w:color w:val="auto"/>
        </w:rPr>
        <w:t>行至第</w:t>
      </w:r>
      <w:r>
        <w:rPr>
          <w:color w:val="auto"/>
        </w:rPr>
        <w:t>2</w:t>
      </w:r>
      <w:r>
        <w:rPr>
          <w:rFonts w:hint="eastAsia"/>
          <w:color w:val="auto"/>
        </w:rPr>
        <w:t>5行第</w:t>
      </w:r>
      <w:r>
        <w:rPr>
          <w:color w:val="auto"/>
        </w:rPr>
        <w:t>1</w:t>
      </w:r>
      <w:r>
        <w:rPr>
          <w:rFonts w:hint="eastAsia"/>
          <w:color w:val="auto"/>
        </w:rPr>
        <w:t>列的合计金额。</w:t>
      </w:r>
    </w:p>
    <w:p>
      <w:pPr>
        <w:pStyle w:val="12"/>
        <w:ind w:firstLine="480"/>
        <w:rPr>
          <w:rFonts w:hint="eastAsia"/>
          <w:color w:val="auto"/>
        </w:rPr>
      </w:pPr>
      <w:r>
        <w:rPr>
          <w:color w:val="auto"/>
        </w:rPr>
        <w:t>9.</w:t>
      </w:r>
      <w:r>
        <w:rPr>
          <w:rFonts w:hint="eastAsia"/>
          <w:color w:val="auto"/>
        </w:rPr>
        <w:t>第</w:t>
      </w:r>
      <w:r>
        <w:rPr>
          <w:color w:val="auto"/>
        </w:rPr>
        <w:t>2</w:t>
      </w:r>
      <w:r>
        <w:rPr>
          <w:rFonts w:hint="eastAsia"/>
          <w:color w:val="auto"/>
        </w:rPr>
        <w:t>6行第</w:t>
      </w:r>
      <w:r>
        <w:rPr>
          <w:color w:val="auto"/>
        </w:rPr>
        <w:t>2</w:t>
      </w:r>
      <w:r>
        <w:rPr>
          <w:rFonts w:hint="eastAsia"/>
          <w:color w:val="auto"/>
        </w:rPr>
        <w:t>列：填报第</w:t>
      </w:r>
      <w:r>
        <w:rPr>
          <w:color w:val="auto"/>
        </w:rPr>
        <w:t>1</w:t>
      </w:r>
      <w:r>
        <w:rPr>
          <w:rFonts w:hint="eastAsia"/>
          <w:color w:val="auto"/>
        </w:rPr>
        <w:t>行至第</w:t>
      </w:r>
      <w:r>
        <w:rPr>
          <w:color w:val="auto"/>
        </w:rPr>
        <w:t>2</w:t>
      </w:r>
      <w:r>
        <w:rPr>
          <w:rFonts w:hint="eastAsia"/>
          <w:color w:val="auto"/>
        </w:rPr>
        <w:t>5行第</w:t>
      </w:r>
      <w:r>
        <w:rPr>
          <w:color w:val="auto"/>
        </w:rPr>
        <w:t>2</w:t>
      </w:r>
      <w:r>
        <w:rPr>
          <w:rFonts w:hint="eastAsia"/>
          <w:color w:val="auto"/>
        </w:rPr>
        <w:t>列的合计金额。</w:t>
      </w:r>
    </w:p>
    <w:p>
      <w:pPr>
        <w:pStyle w:val="12"/>
        <w:ind w:firstLine="480"/>
        <w:rPr>
          <w:rFonts w:hint="eastAsia"/>
          <w:color w:val="auto"/>
        </w:rPr>
      </w:pPr>
      <w:r>
        <w:rPr>
          <w:color w:val="auto"/>
        </w:rPr>
        <w:t>10.</w:t>
      </w:r>
      <w:r>
        <w:rPr>
          <w:rFonts w:hint="eastAsia"/>
          <w:color w:val="auto"/>
        </w:rPr>
        <w:t>第</w:t>
      </w:r>
      <w:r>
        <w:rPr>
          <w:color w:val="auto"/>
        </w:rPr>
        <w:t>2</w:t>
      </w:r>
      <w:r>
        <w:rPr>
          <w:rFonts w:hint="eastAsia"/>
          <w:color w:val="auto"/>
        </w:rPr>
        <w:t>6行第</w:t>
      </w:r>
      <w:r>
        <w:rPr>
          <w:color w:val="auto"/>
        </w:rPr>
        <w:t>3</w:t>
      </w:r>
      <w:r>
        <w:rPr>
          <w:rFonts w:hint="eastAsia"/>
          <w:color w:val="auto"/>
        </w:rPr>
        <w:t>列：填报第</w:t>
      </w:r>
      <w:r>
        <w:rPr>
          <w:color w:val="auto"/>
        </w:rPr>
        <w:t>1</w:t>
      </w:r>
      <w:r>
        <w:rPr>
          <w:rFonts w:hint="eastAsia"/>
          <w:color w:val="auto"/>
        </w:rPr>
        <w:t>行至第</w:t>
      </w:r>
      <w:r>
        <w:rPr>
          <w:color w:val="auto"/>
        </w:rPr>
        <w:t>2</w:t>
      </w:r>
      <w:r>
        <w:rPr>
          <w:rFonts w:hint="eastAsia"/>
          <w:color w:val="auto"/>
        </w:rPr>
        <w:t>5行第</w:t>
      </w:r>
      <w:r>
        <w:rPr>
          <w:color w:val="auto"/>
        </w:rPr>
        <w:t>3</w:t>
      </w:r>
      <w:r>
        <w:rPr>
          <w:rFonts w:hint="eastAsia"/>
          <w:color w:val="auto"/>
        </w:rPr>
        <w:t>列的合计金额。</w:t>
      </w:r>
    </w:p>
    <w:p>
      <w:pPr>
        <w:pStyle w:val="12"/>
        <w:ind w:firstLine="480"/>
        <w:rPr>
          <w:rFonts w:hint="eastAsia"/>
          <w:color w:val="auto"/>
        </w:rPr>
      </w:pPr>
      <w:r>
        <w:rPr>
          <w:color w:val="auto"/>
        </w:rPr>
        <w:t>11.</w:t>
      </w:r>
      <w:r>
        <w:rPr>
          <w:rFonts w:hint="eastAsia"/>
          <w:color w:val="auto"/>
        </w:rPr>
        <w:t>第</w:t>
      </w:r>
      <w:r>
        <w:rPr>
          <w:color w:val="auto"/>
        </w:rPr>
        <w:t>2</w:t>
      </w:r>
      <w:r>
        <w:rPr>
          <w:rFonts w:hint="eastAsia"/>
          <w:color w:val="auto"/>
        </w:rPr>
        <w:t>6行第</w:t>
      </w:r>
      <w:r>
        <w:rPr>
          <w:color w:val="auto"/>
        </w:rPr>
        <w:t>4</w:t>
      </w:r>
      <w:r>
        <w:rPr>
          <w:rFonts w:hint="eastAsia"/>
          <w:color w:val="auto"/>
        </w:rPr>
        <w:t>列：填报第</w:t>
      </w:r>
      <w:r>
        <w:rPr>
          <w:color w:val="auto"/>
        </w:rPr>
        <w:t>1</w:t>
      </w:r>
      <w:r>
        <w:rPr>
          <w:rFonts w:hint="eastAsia"/>
          <w:color w:val="auto"/>
        </w:rPr>
        <w:t>行至第</w:t>
      </w:r>
      <w:r>
        <w:rPr>
          <w:color w:val="auto"/>
        </w:rPr>
        <w:t>2</w:t>
      </w:r>
      <w:r>
        <w:rPr>
          <w:rFonts w:hint="eastAsia"/>
          <w:color w:val="auto"/>
        </w:rPr>
        <w:t>5行第</w:t>
      </w:r>
      <w:r>
        <w:rPr>
          <w:color w:val="auto"/>
        </w:rPr>
        <w:t>4</w:t>
      </w:r>
      <w:r>
        <w:rPr>
          <w:rFonts w:hint="eastAsia"/>
          <w:color w:val="auto"/>
        </w:rPr>
        <w:t>列的合计金额。</w:t>
      </w:r>
    </w:p>
    <w:p>
      <w:pPr>
        <w:pStyle w:val="12"/>
        <w:ind w:firstLine="480"/>
        <w:rPr>
          <w:rFonts w:hint="eastAsia"/>
          <w:color w:val="auto"/>
        </w:rPr>
      </w:pPr>
      <w:r>
        <w:rPr>
          <w:color w:val="auto"/>
        </w:rPr>
        <w:t>12.</w:t>
      </w:r>
      <w:r>
        <w:rPr>
          <w:rFonts w:hint="eastAsia"/>
          <w:color w:val="auto"/>
        </w:rPr>
        <w:t>第</w:t>
      </w:r>
      <w:r>
        <w:rPr>
          <w:color w:val="auto"/>
        </w:rPr>
        <w:t>2</w:t>
      </w:r>
      <w:r>
        <w:rPr>
          <w:rFonts w:hint="eastAsia"/>
          <w:color w:val="auto"/>
        </w:rPr>
        <w:t>6行第</w:t>
      </w:r>
      <w:r>
        <w:rPr>
          <w:color w:val="auto"/>
        </w:rPr>
        <w:t>5</w:t>
      </w:r>
      <w:r>
        <w:rPr>
          <w:rFonts w:hint="eastAsia"/>
          <w:color w:val="auto"/>
        </w:rPr>
        <w:t>列：填报第</w:t>
      </w:r>
      <w:r>
        <w:rPr>
          <w:color w:val="auto"/>
        </w:rPr>
        <w:t>1</w:t>
      </w:r>
      <w:r>
        <w:rPr>
          <w:rFonts w:hint="eastAsia"/>
          <w:color w:val="auto"/>
        </w:rPr>
        <w:t>行至第</w:t>
      </w:r>
      <w:r>
        <w:rPr>
          <w:color w:val="auto"/>
        </w:rPr>
        <w:t>2</w:t>
      </w:r>
      <w:r>
        <w:rPr>
          <w:rFonts w:hint="eastAsia"/>
          <w:color w:val="auto"/>
        </w:rPr>
        <w:t>5行第</w:t>
      </w:r>
      <w:r>
        <w:rPr>
          <w:color w:val="auto"/>
        </w:rPr>
        <w:t>5</w:t>
      </w:r>
      <w:r>
        <w:rPr>
          <w:rFonts w:hint="eastAsia"/>
          <w:color w:val="auto"/>
        </w:rPr>
        <w:t>列的合计金额。</w:t>
      </w:r>
    </w:p>
    <w:p>
      <w:pPr>
        <w:pStyle w:val="12"/>
        <w:ind w:firstLine="480"/>
        <w:rPr>
          <w:rFonts w:hint="eastAsia"/>
          <w:color w:val="auto"/>
        </w:rPr>
      </w:pPr>
      <w:r>
        <w:rPr>
          <w:color w:val="auto"/>
        </w:rPr>
        <w:t>13.</w:t>
      </w:r>
      <w:r>
        <w:rPr>
          <w:rFonts w:hint="eastAsia"/>
          <w:color w:val="auto"/>
        </w:rPr>
        <w:t>第</w:t>
      </w:r>
      <w:r>
        <w:rPr>
          <w:color w:val="auto"/>
        </w:rPr>
        <w:t>2</w:t>
      </w:r>
      <w:r>
        <w:rPr>
          <w:rFonts w:hint="eastAsia"/>
          <w:color w:val="auto"/>
        </w:rPr>
        <w:t>6行第</w:t>
      </w:r>
      <w:r>
        <w:rPr>
          <w:color w:val="auto"/>
        </w:rPr>
        <w:t>6</w:t>
      </w:r>
      <w:r>
        <w:rPr>
          <w:rFonts w:hint="eastAsia"/>
          <w:color w:val="auto"/>
        </w:rPr>
        <w:t>列：填报第</w:t>
      </w:r>
      <w:r>
        <w:rPr>
          <w:color w:val="auto"/>
        </w:rPr>
        <w:t>1</w:t>
      </w:r>
      <w:r>
        <w:rPr>
          <w:rFonts w:hint="eastAsia"/>
          <w:color w:val="auto"/>
        </w:rPr>
        <w:t>行至第</w:t>
      </w:r>
      <w:r>
        <w:rPr>
          <w:color w:val="auto"/>
        </w:rPr>
        <w:t>2</w:t>
      </w:r>
      <w:r>
        <w:rPr>
          <w:rFonts w:hint="eastAsia"/>
          <w:color w:val="auto"/>
        </w:rPr>
        <w:t>5行第</w:t>
      </w:r>
      <w:r>
        <w:rPr>
          <w:color w:val="auto"/>
        </w:rPr>
        <w:t>6</w:t>
      </w:r>
      <w:r>
        <w:rPr>
          <w:rFonts w:hint="eastAsia"/>
          <w:color w:val="auto"/>
        </w:rPr>
        <w:t>列的合计金额。</w:t>
      </w:r>
    </w:p>
    <w:p>
      <w:pPr>
        <w:pStyle w:val="23"/>
        <w:ind w:firstLine="482"/>
        <w:rPr>
          <w:rFonts w:hint="eastAsia"/>
          <w:color w:val="auto"/>
        </w:rPr>
      </w:pPr>
      <w:r>
        <w:rPr>
          <w:rFonts w:hint="eastAsia"/>
          <w:color w:val="auto"/>
        </w:rPr>
        <w:t>二、表内、表间关系</w:t>
      </w:r>
    </w:p>
    <w:p>
      <w:pPr>
        <w:pStyle w:val="22"/>
        <w:rPr>
          <w:rFonts w:hint="eastAsia"/>
          <w:color w:val="auto"/>
        </w:rPr>
      </w:pPr>
      <w:r>
        <w:rPr>
          <w:rFonts w:hint="eastAsia"/>
          <w:color w:val="auto"/>
        </w:rPr>
        <w:t>（一）表内关系</w:t>
      </w:r>
    </w:p>
    <w:p>
      <w:pPr>
        <w:pStyle w:val="12"/>
        <w:ind w:firstLine="480"/>
        <w:rPr>
          <w:rFonts w:hint="eastAsia"/>
          <w:color w:val="auto"/>
        </w:rPr>
      </w:pPr>
      <w:r>
        <w:rPr>
          <w:color w:val="auto"/>
        </w:rPr>
        <w:t>1.</w:t>
      </w:r>
      <w:r>
        <w:rPr>
          <w:rFonts w:hint="eastAsia"/>
          <w:color w:val="auto"/>
        </w:rPr>
        <w:t>第</w:t>
      </w:r>
      <w:r>
        <w:rPr>
          <w:color w:val="auto"/>
        </w:rPr>
        <w:t>2</w:t>
      </w:r>
      <w:r>
        <w:rPr>
          <w:rFonts w:hint="eastAsia"/>
          <w:color w:val="auto"/>
        </w:rPr>
        <w:t>6行第</w:t>
      </w:r>
      <w:r>
        <w:rPr>
          <w:color w:val="auto"/>
        </w:rPr>
        <w:t>1</w:t>
      </w:r>
      <w:r>
        <w:rPr>
          <w:rFonts w:hint="eastAsia"/>
          <w:color w:val="auto"/>
        </w:rPr>
        <w:t>列＝第</w:t>
      </w:r>
      <w:r>
        <w:rPr>
          <w:color w:val="auto"/>
        </w:rPr>
        <w:t>1</w:t>
      </w:r>
      <w:r>
        <w:rPr>
          <w:rFonts w:hint="eastAsia"/>
          <w:color w:val="auto"/>
        </w:rPr>
        <w:t>列第</w:t>
      </w:r>
      <w:r>
        <w:rPr>
          <w:color w:val="auto"/>
        </w:rPr>
        <w:t>1＋2＋</w:t>
      </w:r>
      <w:r>
        <w:rPr>
          <w:rFonts w:hint="eastAsia"/>
          <w:color w:val="auto"/>
        </w:rPr>
        <w:t>…</w:t>
      </w:r>
      <w:r>
        <w:rPr>
          <w:color w:val="auto"/>
        </w:rPr>
        <w:t>＋20＋</w:t>
      </w:r>
      <w:r>
        <w:rPr>
          <w:rFonts w:hint="eastAsia"/>
          <w:color w:val="auto"/>
        </w:rPr>
        <w:t>25行。</w:t>
      </w:r>
    </w:p>
    <w:p>
      <w:pPr>
        <w:pStyle w:val="12"/>
        <w:ind w:firstLine="480"/>
        <w:rPr>
          <w:rFonts w:hint="eastAsia"/>
          <w:color w:val="auto"/>
        </w:rPr>
      </w:pPr>
      <w:r>
        <w:rPr>
          <w:color w:val="auto"/>
        </w:rPr>
        <w:t>2.</w:t>
      </w:r>
      <w:r>
        <w:rPr>
          <w:rFonts w:hint="eastAsia"/>
          <w:color w:val="auto"/>
        </w:rPr>
        <w:t>第</w:t>
      </w:r>
      <w:r>
        <w:rPr>
          <w:color w:val="auto"/>
        </w:rPr>
        <w:t>2</w:t>
      </w:r>
      <w:r>
        <w:rPr>
          <w:rFonts w:hint="eastAsia"/>
          <w:color w:val="auto"/>
        </w:rPr>
        <w:t>6行第</w:t>
      </w:r>
      <w:r>
        <w:rPr>
          <w:color w:val="auto"/>
        </w:rPr>
        <w:t>2</w:t>
      </w:r>
      <w:r>
        <w:rPr>
          <w:rFonts w:hint="eastAsia"/>
          <w:color w:val="auto"/>
        </w:rPr>
        <w:t>列＝第</w:t>
      </w:r>
      <w:r>
        <w:rPr>
          <w:color w:val="auto"/>
        </w:rPr>
        <w:t>2</w:t>
      </w:r>
      <w:r>
        <w:rPr>
          <w:rFonts w:hint="eastAsia"/>
          <w:color w:val="auto"/>
        </w:rPr>
        <w:t>列第</w:t>
      </w:r>
      <w:r>
        <w:rPr>
          <w:color w:val="auto"/>
        </w:rPr>
        <w:t>2＋3＋6＋11＋15＋16＋18＋19＋</w:t>
      </w:r>
      <w:r>
        <w:rPr>
          <w:rFonts w:hint="eastAsia"/>
          <w:color w:val="auto"/>
        </w:rPr>
        <w:t>25行。</w:t>
      </w:r>
    </w:p>
    <w:p>
      <w:pPr>
        <w:pStyle w:val="12"/>
        <w:ind w:firstLine="480"/>
        <w:rPr>
          <w:rFonts w:hint="eastAsia"/>
          <w:color w:val="auto"/>
        </w:rPr>
      </w:pPr>
      <w:r>
        <w:rPr>
          <w:color w:val="auto"/>
        </w:rPr>
        <w:t>3.</w:t>
      </w:r>
      <w:r>
        <w:rPr>
          <w:rFonts w:hint="eastAsia"/>
          <w:color w:val="auto"/>
        </w:rPr>
        <w:t>第</w:t>
      </w:r>
      <w:r>
        <w:rPr>
          <w:color w:val="auto"/>
        </w:rPr>
        <w:t>2</w:t>
      </w:r>
      <w:r>
        <w:rPr>
          <w:rFonts w:hint="eastAsia"/>
          <w:color w:val="auto"/>
        </w:rPr>
        <w:t>6行第</w:t>
      </w:r>
      <w:r>
        <w:rPr>
          <w:color w:val="auto"/>
        </w:rPr>
        <w:t>3</w:t>
      </w:r>
      <w:r>
        <w:rPr>
          <w:rFonts w:hint="eastAsia"/>
          <w:color w:val="auto"/>
        </w:rPr>
        <w:t>列＝第</w:t>
      </w:r>
      <w:r>
        <w:rPr>
          <w:color w:val="auto"/>
        </w:rPr>
        <w:t>3</w:t>
      </w:r>
      <w:r>
        <w:rPr>
          <w:rFonts w:hint="eastAsia"/>
          <w:color w:val="auto"/>
        </w:rPr>
        <w:t>列第</w:t>
      </w:r>
      <w:r>
        <w:rPr>
          <w:color w:val="auto"/>
        </w:rPr>
        <w:t>1＋2＋</w:t>
      </w:r>
      <w:r>
        <w:rPr>
          <w:rFonts w:hint="eastAsia"/>
          <w:color w:val="auto"/>
        </w:rPr>
        <w:t>…</w:t>
      </w:r>
      <w:r>
        <w:rPr>
          <w:color w:val="auto"/>
        </w:rPr>
        <w:t>＋20＋24</w:t>
      </w:r>
      <w:r>
        <w:rPr>
          <w:rFonts w:hint="eastAsia"/>
          <w:color w:val="auto"/>
        </w:rPr>
        <w:t>＋25行。</w:t>
      </w:r>
    </w:p>
    <w:p>
      <w:pPr>
        <w:pStyle w:val="12"/>
        <w:ind w:firstLine="480"/>
        <w:rPr>
          <w:rFonts w:hint="eastAsia"/>
          <w:color w:val="auto"/>
        </w:rPr>
      </w:pPr>
      <w:r>
        <w:rPr>
          <w:color w:val="auto"/>
        </w:rPr>
        <w:t>4.</w:t>
      </w:r>
      <w:r>
        <w:rPr>
          <w:rFonts w:hint="eastAsia"/>
          <w:color w:val="auto"/>
        </w:rPr>
        <w:t>第</w:t>
      </w:r>
      <w:r>
        <w:rPr>
          <w:color w:val="auto"/>
        </w:rPr>
        <w:t>2</w:t>
      </w:r>
      <w:r>
        <w:rPr>
          <w:rFonts w:hint="eastAsia"/>
          <w:color w:val="auto"/>
        </w:rPr>
        <w:t>6行第</w:t>
      </w:r>
      <w:r>
        <w:rPr>
          <w:color w:val="auto"/>
        </w:rPr>
        <w:t>4</w:t>
      </w:r>
      <w:r>
        <w:rPr>
          <w:rFonts w:hint="eastAsia"/>
          <w:color w:val="auto"/>
        </w:rPr>
        <w:t>列＝第</w:t>
      </w:r>
      <w:r>
        <w:rPr>
          <w:color w:val="auto"/>
        </w:rPr>
        <w:t>4</w:t>
      </w:r>
      <w:r>
        <w:rPr>
          <w:rFonts w:hint="eastAsia"/>
          <w:color w:val="auto"/>
        </w:rPr>
        <w:t>列第</w:t>
      </w:r>
      <w:r>
        <w:rPr>
          <w:color w:val="auto"/>
        </w:rPr>
        <w:t>2＋3＋6＋11＋15＋16＋18＋19</w:t>
      </w:r>
      <w:r>
        <w:rPr>
          <w:rFonts w:hint="eastAsia"/>
          <w:color w:val="auto"/>
        </w:rPr>
        <w:t>＋25行。</w:t>
      </w:r>
    </w:p>
    <w:p>
      <w:pPr>
        <w:pStyle w:val="12"/>
        <w:ind w:firstLine="480"/>
        <w:rPr>
          <w:rFonts w:hint="eastAsia"/>
          <w:color w:val="auto"/>
        </w:rPr>
      </w:pPr>
      <w:r>
        <w:rPr>
          <w:color w:val="auto"/>
        </w:rPr>
        <w:t>5.</w:t>
      </w:r>
      <w:r>
        <w:rPr>
          <w:rFonts w:hint="eastAsia"/>
          <w:color w:val="auto"/>
        </w:rPr>
        <w:t>第</w:t>
      </w:r>
      <w:r>
        <w:rPr>
          <w:color w:val="auto"/>
        </w:rPr>
        <w:t>2</w:t>
      </w:r>
      <w:r>
        <w:rPr>
          <w:rFonts w:hint="eastAsia"/>
          <w:color w:val="auto"/>
        </w:rPr>
        <w:t>6行第</w:t>
      </w:r>
      <w:r>
        <w:rPr>
          <w:color w:val="auto"/>
        </w:rPr>
        <w:t>5</w:t>
      </w:r>
      <w:r>
        <w:rPr>
          <w:rFonts w:hint="eastAsia"/>
          <w:color w:val="auto"/>
        </w:rPr>
        <w:t>列＝第</w:t>
      </w:r>
      <w:r>
        <w:rPr>
          <w:color w:val="auto"/>
        </w:rPr>
        <w:t>5</w:t>
      </w:r>
      <w:r>
        <w:rPr>
          <w:rFonts w:hint="eastAsia"/>
          <w:color w:val="auto"/>
        </w:rPr>
        <w:t>列第6</w:t>
      </w:r>
      <w:r>
        <w:rPr>
          <w:color w:val="auto"/>
        </w:rPr>
        <w:t>＋21＋22＋23</w:t>
      </w:r>
      <w:r>
        <w:rPr>
          <w:rFonts w:hint="eastAsia"/>
          <w:color w:val="auto"/>
        </w:rPr>
        <w:t>＋25行。</w:t>
      </w:r>
    </w:p>
    <w:p>
      <w:pPr>
        <w:pStyle w:val="12"/>
        <w:ind w:firstLine="480"/>
        <w:rPr>
          <w:rFonts w:hint="eastAsia"/>
          <w:color w:val="auto"/>
        </w:rPr>
      </w:pPr>
      <w:r>
        <w:rPr>
          <w:color w:val="auto"/>
        </w:rPr>
        <w:t>6.</w:t>
      </w:r>
      <w:r>
        <w:rPr>
          <w:rFonts w:hint="eastAsia"/>
          <w:color w:val="auto"/>
        </w:rPr>
        <w:t>第</w:t>
      </w:r>
      <w:r>
        <w:rPr>
          <w:color w:val="auto"/>
        </w:rPr>
        <w:t>2</w:t>
      </w:r>
      <w:r>
        <w:rPr>
          <w:rFonts w:hint="eastAsia"/>
          <w:color w:val="auto"/>
        </w:rPr>
        <w:t>6行第</w:t>
      </w:r>
      <w:r>
        <w:rPr>
          <w:color w:val="auto"/>
        </w:rPr>
        <w:t>6</w:t>
      </w:r>
      <w:r>
        <w:rPr>
          <w:rFonts w:hint="eastAsia"/>
          <w:color w:val="auto"/>
        </w:rPr>
        <w:t>列＝第</w:t>
      </w:r>
      <w:r>
        <w:rPr>
          <w:color w:val="auto"/>
        </w:rPr>
        <w:t>6</w:t>
      </w:r>
      <w:r>
        <w:rPr>
          <w:rFonts w:hint="eastAsia"/>
          <w:color w:val="auto"/>
        </w:rPr>
        <w:t>列第6</w:t>
      </w:r>
      <w:r>
        <w:rPr>
          <w:color w:val="auto"/>
        </w:rPr>
        <w:t>＋21＋22</w:t>
      </w:r>
      <w:r>
        <w:rPr>
          <w:rFonts w:hint="eastAsia"/>
          <w:color w:val="auto"/>
        </w:rPr>
        <w:t>＋25行。</w:t>
      </w:r>
    </w:p>
    <w:p>
      <w:pPr>
        <w:pStyle w:val="22"/>
        <w:rPr>
          <w:rFonts w:hint="eastAsia"/>
          <w:color w:val="auto"/>
        </w:rPr>
      </w:pPr>
      <w:r>
        <w:rPr>
          <w:rFonts w:hint="eastAsia"/>
          <w:color w:val="auto"/>
        </w:rPr>
        <w:t>（二）表间关系</w:t>
      </w:r>
    </w:p>
    <w:p>
      <w:pPr>
        <w:pStyle w:val="12"/>
        <w:ind w:firstLine="480"/>
        <w:rPr>
          <w:rFonts w:hint="eastAsia"/>
          <w:color w:val="auto"/>
        </w:rPr>
      </w:pPr>
      <w:r>
        <w:rPr>
          <w:color w:val="auto"/>
        </w:rPr>
        <w:t>1.</w:t>
      </w:r>
      <w:r>
        <w:rPr>
          <w:rFonts w:hint="eastAsia"/>
          <w:color w:val="auto"/>
        </w:rPr>
        <w:t>第</w:t>
      </w:r>
      <w:r>
        <w:rPr>
          <w:color w:val="auto"/>
        </w:rPr>
        <w:t>2</w:t>
      </w:r>
      <w:r>
        <w:rPr>
          <w:rFonts w:hint="eastAsia"/>
          <w:color w:val="auto"/>
        </w:rPr>
        <w:t>6行第</w:t>
      </w:r>
      <w:r>
        <w:rPr>
          <w:color w:val="auto"/>
        </w:rPr>
        <w:t>1</w:t>
      </w:r>
      <w:r>
        <w:rPr>
          <w:rFonts w:hint="eastAsia"/>
          <w:color w:val="auto"/>
        </w:rPr>
        <w:t>列＝表</w:t>
      </w:r>
      <w:r>
        <w:rPr>
          <w:color w:val="auto"/>
        </w:rPr>
        <w:t>A100000</w:t>
      </w:r>
      <w:r>
        <w:rPr>
          <w:rFonts w:hint="eastAsia"/>
          <w:color w:val="auto"/>
        </w:rPr>
        <w:t>第</w:t>
      </w:r>
      <w:r>
        <w:rPr>
          <w:color w:val="auto"/>
        </w:rPr>
        <w:t>4</w:t>
      </w:r>
      <w:r>
        <w:rPr>
          <w:rFonts w:hint="eastAsia"/>
          <w:color w:val="auto"/>
        </w:rPr>
        <w:t>行。</w:t>
      </w:r>
    </w:p>
    <w:p>
      <w:pPr>
        <w:pStyle w:val="12"/>
        <w:ind w:firstLine="480"/>
        <w:rPr>
          <w:rFonts w:hint="eastAsia"/>
          <w:color w:val="auto"/>
        </w:rPr>
      </w:pPr>
      <w:r>
        <w:rPr>
          <w:color w:val="auto"/>
        </w:rPr>
        <w:t>2.</w:t>
      </w:r>
      <w:r>
        <w:rPr>
          <w:rFonts w:hint="eastAsia"/>
          <w:color w:val="auto"/>
        </w:rPr>
        <w:t>第26行第3列＝表</w:t>
      </w:r>
      <w:r>
        <w:rPr>
          <w:color w:val="auto"/>
        </w:rPr>
        <w:t>A10</w:t>
      </w:r>
      <w:r>
        <w:rPr>
          <w:rFonts w:hint="eastAsia"/>
          <w:color w:val="auto"/>
        </w:rPr>
        <w:t>0</w:t>
      </w:r>
      <w:r>
        <w:rPr>
          <w:color w:val="auto"/>
        </w:rPr>
        <w:t>000</w:t>
      </w:r>
      <w:r>
        <w:rPr>
          <w:rFonts w:hint="eastAsia"/>
          <w:color w:val="auto"/>
        </w:rPr>
        <w:t>第5行＋第6行。</w:t>
      </w:r>
    </w:p>
    <w:p>
      <w:pPr>
        <w:pStyle w:val="12"/>
        <w:ind w:firstLine="480"/>
        <w:rPr>
          <w:rFonts w:hint="default" w:eastAsia="宋体"/>
          <w:color w:val="auto"/>
          <w:highlight w:val="none"/>
          <w:lang w:val="en-US" w:eastAsia="zh-CN"/>
        </w:rPr>
        <w:sectPr>
          <w:pgSz w:w="11906" w:h="16838"/>
          <w:pgMar w:top="1440" w:right="1800" w:bottom="1440" w:left="1800" w:header="851" w:footer="992" w:gutter="113"/>
          <w:pgNumType w:fmt="decimal"/>
          <w:cols w:space="720" w:num="1"/>
          <w:titlePg/>
          <w:docGrid w:linePitch="312" w:charSpace="0"/>
        </w:sectPr>
      </w:pPr>
      <w:r>
        <w:rPr>
          <w:rFonts w:hint="eastAsia"/>
          <w:color w:val="auto"/>
          <w:highlight w:val="none"/>
          <w:lang w:val="en-US" w:eastAsia="zh-CN"/>
        </w:rPr>
        <w:t>3.第26行第5列</w:t>
      </w:r>
      <w:r>
        <w:rPr>
          <w:rFonts w:hint="eastAsia"/>
          <w:color w:val="auto"/>
          <w:highlight w:val="none"/>
        </w:rPr>
        <w:t>＝表A100000第</w:t>
      </w:r>
      <w:r>
        <w:rPr>
          <w:rFonts w:hint="eastAsia"/>
          <w:color w:val="auto"/>
          <w:highlight w:val="none"/>
          <w:lang w:val="en-US" w:eastAsia="zh-CN"/>
        </w:rPr>
        <w:t>7行</w:t>
      </w:r>
      <w:r>
        <w:rPr>
          <w:rFonts w:hint="eastAsia"/>
          <w:color w:val="auto"/>
          <w:highlight w:val="none"/>
        </w:rPr>
        <w:t>。</w:t>
      </w:r>
    </w:p>
    <w:p>
      <w:pPr>
        <w:pStyle w:val="24"/>
        <w:tabs>
          <w:tab w:val="clear" w:pos="4200"/>
        </w:tabs>
        <w:spacing w:before="156" w:after="156"/>
        <w:rPr>
          <w:rFonts w:hint="eastAsia" w:ascii="宋体" w:hAnsi="宋体" w:eastAsia="宋体" w:cs="宋体"/>
          <w:color w:val="auto"/>
          <w:lang w:val="zh-CN"/>
        </w:rPr>
      </w:pPr>
      <w:bookmarkStart w:id="101" w:name="_Toc176972052"/>
      <w:bookmarkStart w:id="102" w:name="_Toc1343709835"/>
      <w:r>
        <w:rPr>
          <w:rFonts w:hint="eastAsia" w:ascii="宋体" w:hAnsi="宋体" w:eastAsia="宋体" w:cs="宋体"/>
          <w:color w:val="auto"/>
          <w:lang w:val="zh-CN"/>
        </w:rPr>
        <w:t>A105000 《纳税调整项目明细表》填报说明</w:t>
      </w:r>
      <w:bookmarkEnd w:id="79"/>
      <w:bookmarkEnd w:id="80"/>
      <w:bookmarkEnd w:id="81"/>
      <w:bookmarkEnd w:id="101"/>
      <w:bookmarkEnd w:id="102"/>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本表由纳税人根据税法、相关税收规定以及国家统一会计制度的规定，填报企业所得税涉税事项的会计处理、税务处理以及纳税调整情况。</w:t>
      </w:r>
    </w:p>
    <w:p>
      <w:pPr>
        <w:spacing w:line="360" w:lineRule="auto"/>
        <w:ind w:firstLine="480" w:firstLineChars="200"/>
        <w:jc w:val="left"/>
        <w:outlineLvl w:val="1"/>
        <w:rPr>
          <w:rFonts w:hint="eastAsia" w:ascii="宋体" w:hAnsi="宋体" w:cs="宋体"/>
          <w:b/>
          <w:color w:val="auto"/>
          <w:sz w:val="24"/>
        </w:rPr>
      </w:pPr>
      <w:bookmarkStart w:id="103" w:name="_Toc852415621_WPSOffice_Level1"/>
      <w:bookmarkStart w:id="104" w:name="_Toc54267535"/>
      <w:bookmarkStart w:id="105" w:name="_Toc128983867_WPSOffice_Level1"/>
      <w:bookmarkStart w:id="106" w:name="_Toc54267902"/>
      <w:bookmarkStart w:id="107" w:name="_Toc1582564389_WPSOffice_Level1"/>
      <w:r>
        <w:rPr>
          <w:rFonts w:hint="eastAsia" w:ascii="宋体" w:hAnsi="宋体" w:cs="宋体"/>
          <w:b/>
          <w:color w:val="auto"/>
          <w:sz w:val="24"/>
        </w:rPr>
        <w:t>一、有关项目填报说明</w:t>
      </w:r>
      <w:bookmarkEnd w:id="103"/>
      <w:bookmarkEnd w:id="104"/>
      <w:bookmarkEnd w:id="105"/>
      <w:bookmarkEnd w:id="106"/>
      <w:bookmarkEnd w:id="107"/>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纳税人按照“收入类调整项目”“扣除类调整项目”“资产类调整项目”“特殊事项调整项目”“特别纳税调整应税所得”“其他”六类分项填报，汇总计算出纳税“调增金额”和“调减金额”的合计金额。</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数据栏分别设置“账载金额”“税收金额”“调增金额”“调减金额”四个栏次。“账载金额”是指纳税人按照国家统一会计制度规定核算的项目金额。“税收金额”是指纳税人按照税收规定计算的项目金额。</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对需填报下级明细表的纳税调整项目，其“账载金额”“税收金额”“调增金额”“调减金额”根据相应附表进行计算填报。</w:t>
      </w:r>
    </w:p>
    <w:p>
      <w:pPr>
        <w:pStyle w:val="22"/>
        <w:rPr>
          <w:rFonts w:hint="eastAsia"/>
          <w:color w:val="auto"/>
        </w:rPr>
      </w:pPr>
      <w:bookmarkStart w:id="108" w:name="_Toc54267536"/>
      <w:bookmarkStart w:id="109" w:name="_Toc54267903"/>
      <w:r>
        <w:rPr>
          <w:rFonts w:hint="eastAsia"/>
          <w:color w:val="auto"/>
        </w:rPr>
        <w:t>（一）收入类调整项目</w:t>
      </w:r>
      <w:bookmarkEnd w:id="108"/>
      <w:bookmarkEnd w:id="109"/>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1.第1行“收入类调整项目”：根据第2行至第11行（不含第9行）进行填报。</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2.第2行“视同销售收入”：根据《视同销售和房地产开发企业特定业务纳税调整明细表》（A105010）填报。第2列“税收金额”填报表A105010第1行第1列金额。第3列“调增金额”填报表A105010第1行第2列金额。</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3.第3行“未按权责发生制原则确认的收入”：根据《未按权责发生制确认收入纳税调整明细表》（A105020）填报。第1列“账载金额”填报表A105020第14行第2列金额。第2列“税收金额”填报表A105020第14行第4列金额。若表A105020第14行第6列≥0，第3列“调增金额”填报表A105020第14行第6列金额。若表A105020第14行第6列＜0，第4列“调减金额”填报表A105020第14行第6列金额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4.第4行“投资收益”：根据《投资收益纳税调整明细表》（A105030）填报。第1列“账载金额”填报表A105030第10行第1＋8列的合计金额。第2列“税收金额”填报表A105030第10行第2＋9列的合计金额。若表A105030第10行第11列≥0，第3列“调增金额”填报表A105030第10行第11列金额。若表A105030第10行第11列＜0，第4列“调减金额”填报表A105030第10行第11列金额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5.第5行“按权益法核算长期股权投资对初始投资成本调整确认收益”：第4列“调减金额”填报纳税人采取权益法核算，初始投资成本小于取得投资时应享有被投资单位可</w:t>
      </w:r>
      <w:r>
        <w:rPr>
          <w:rFonts w:hint="eastAsia" w:ascii="宋体" w:hAnsi="宋体" w:cs="宋体"/>
          <w:color w:val="auto"/>
          <w:sz w:val="24"/>
          <w:lang w:eastAsia="zh-CN"/>
        </w:rPr>
        <w:t>辨认</w:t>
      </w:r>
      <w:r>
        <w:rPr>
          <w:rFonts w:hint="eastAsia" w:ascii="宋体" w:hAnsi="宋体" w:cs="宋体"/>
          <w:color w:val="auto"/>
          <w:sz w:val="24"/>
        </w:rPr>
        <w:t>净资产公允价值份额的差额计入取得投资当期营业外收入的金额。</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6.第6行“交易性金融资产初始投资调整”：第3列“调增金额”填报纳税人根据税收规定确认交易性金融资产初始投资金额与会计核算的交易性金融资产初始投资账面价值的差额。</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7.第7行“公允价值变动净损益”：第1列“账载金额”填报纳税人会计核算的以公允价值计量的金融资产、金融负债以及投资性房地产类项目，计入当期损益的公允价值变动金额。若第1列≤0，第3列“调增金额”填报第1列金额的绝对值。若第1列＞0，第4列“调减金额”填报第1列金额。</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8.第8行“不征税收入”：填报纳税人计入收入总额但属于税收规定不征税的财政拨款、依法收取并纳入财政管理的行政事业性收费以及政府性基金和国务院规定的其他不征税收入。第3列“调增金额”填报纳税人以前年度取得财政性资金且已作为不征税收入处理，在5年（60个月）内未发生支出且未缴回财政部门或其他拨付资金的政府部门，应计入应税收入额的金额。第4列“调减金额”填报符合税收规定不征税收入条件并作为不征税收入处理，且已计入当期损益的金额。</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9.第9行“专项用途财政性资金”：根据《专项用途财政性资金纳税调整明细表》（A105040）填报。第3列“调增金额”填报表A105040第7行第14列金额。第4列“调减金额”填报表A105040第7行第4列金额。</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10.第10行“销售折扣、折让和退回”：填报不符合税收规定的销售折扣、折让应进行纳税调整的金额和发生的销售退回因会计处理与税收规定有差异需纳税调整的金额。第1列“账载金额”填报纳税人会计核算的销售折扣、折让金额和销货退回的追溯处理的净调整额。第2列“税收金额”填报根据税收规定可以税前扣除的折扣、折让的金额和销货退回业务影响当期损益的金额。若第1列≥第2列，第3列“调增金额”填报第1－2列金额。若第1列＜第2列，第4列“调减金额”填报第1－2列金额的绝对值，第4列仅为销货退回影响损益的跨期时间性差异。</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11.第11行“其他”：填报其他因会计处理与税收规定有差异需纳税调整的收入类项目金额。若第2列≥第1列，第3列“调增金额”填报第2－1列金额。若第2列＜第1列，第4列“调减金额”填报第2－1列金额的绝对值。</w:t>
      </w:r>
    </w:p>
    <w:p>
      <w:pPr>
        <w:pStyle w:val="22"/>
        <w:rPr>
          <w:rFonts w:hint="eastAsia"/>
          <w:color w:val="auto"/>
        </w:rPr>
      </w:pPr>
      <w:bookmarkStart w:id="110" w:name="_Toc54267904"/>
      <w:bookmarkStart w:id="111" w:name="_Toc54267537"/>
      <w:r>
        <w:rPr>
          <w:rFonts w:hint="eastAsia"/>
          <w:color w:val="auto"/>
        </w:rPr>
        <w:t>（二）扣除类调整项目</w:t>
      </w:r>
      <w:bookmarkEnd w:id="110"/>
      <w:bookmarkEnd w:id="111"/>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12.第12行“扣除类调整项目”：根据第13行至第30行（不含第25行）填报。</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13.第13行“视同销售成本”：根据《视同销售和房地产开发企业特定业务纳税调整明细表》（A105010）填报。第2列“税收金额”填报表A105010第11行第1列金额。第4列“调减金额”填报表A105010第11行第2列的绝对值。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14.第14行“职工薪酬”：根据《职工薪酬支出及纳税调整明细表》（A105050）填报。第1列“账载金额”填报表A105050第13行第1列金额。第2列“税收金额”填报表A105050第13行第5列金额。若表A105050第13行第6列≥0，第3列“调增金额”填报表A105050第13行第6列金额。若表A105050第13行第6列＜0，第4列“调减金额”填报表A105050第13行第6列金额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15.第15行“业务招待费支出”：第1列“账载金额”填报纳税人会计核算计入当期损益的业务招待费金额。第2列“税收金额”填报按照税收规定允许税前扣除的业务招待费支出的金额。第3列“调增金额”填报第1－2列金额。</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16.第16行“广告费和业务宣传费支出”：根据《广告费和业务宣传费等跨年度纳税调整明细表》（A105060）填报。若表A105060第12行第1列≥0，第3列“调增金额”填报表A105060第12行第1列金额。若表A105060第12行第1列＜0，第4列“调减金额”填报表A105060第12行第1列金额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17.第17行“捐赠支出”：根据《捐赠支出及纳税调整明细表》（A105070）填报。第1列“账载金额”填报表A105070合计行第1列金额。第2列“税收金额”填报表A105070合计行第4列金额。第3列“调增金额”填报表A105070合计行第5列金额。第4列“调减金额”填报表A105070合计行第6列金额。</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18.第18行“利息支出”：第1列“账载金额”填报纳税人向非金融企业借款，会计核算计入当期损益的利息支出的金额。发行永续债的利息支出不在本行填报。第2列“税收金额”填报按照税收规定允许税前扣除的利息支出的金额。若第1列≥第2列，第3列“调增金额”填报第1－2列金额。若第1列＜第2列，第4列“调减金额”填报第1－2列金额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19.第19行“罚金、罚款和被没收财物的损失”：第1列“账载金额”填报纳税人会计核算计入当期损益的罚金、罚款和被没收财物的损失，不包括纳税人按照经济合同规定支付的违约金（包括银行罚息）、罚款和诉讼费。第3列“调增金额”填报第1列金额。</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20.第20行“税收滞纳金、加收利息”：第1列“账载金额”填报纳税人会计核算计入当期损益的税收滞纳金、加收利息。第3列“调增金额”填报第1列金额。</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21.第21行“赞助支出”：第1列“账载金额”填报纳税人会计核算计入当期损益的不符合税收规定的公益性捐赠的赞助支出的金额，包括直接向受赠人的捐赠、赞助支出等（不含广告性的赞助支出，广告性的赞助支出在表A105060中填报）。第3列“调增金额”填报第1列金额。</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22.第22行“与未实现融资收益相关在当期确认的财务费用”：第1列“账载金额”填报纳税人会计核算的与未实现融资收益相关并在当期确认的财务费用的金额。第2列“税收金额”填报按照税收规定允许税前扣除的金额。若第1列≥第2列，第3列“调增金额”填报第1－2列金额。若第1列＜第2列，第4列“调减金额”填报第1－2列金额的绝对值。</w:t>
      </w:r>
    </w:p>
    <w:p>
      <w:pPr>
        <w:spacing w:line="360" w:lineRule="auto"/>
        <w:ind w:firstLine="480" w:firstLineChars="200"/>
        <w:rPr>
          <w:rFonts w:hint="eastAsia" w:ascii="宋体" w:hAnsi="宋体" w:cs="宋体"/>
          <w:b/>
          <w:bCs/>
          <w:color w:val="auto"/>
          <w:sz w:val="24"/>
        </w:rPr>
      </w:pPr>
      <w:r>
        <w:rPr>
          <w:rFonts w:hint="eastAsia" w:ascii="宋体" w:hAnsi="宋体" w:cs="宋体"/>
          <w:color w:val="auto"/>
          <w:sz w:val="24"/>
        </w:rPr>
        <w:t>23.第23行“佣金和手续费支出”：除保险企业之外的其他企业直接填报本行，第1列“账载金额”填报纳税人会计核算计入当期损益的佣金和手续费金额，第2列“税收金额”填报按照税收规定允许税前扣除的佣金和手续费支出金额，第3列“调增金额”填报第1－2列金额，第4列“调减金额”不可填报。保险企业根据《广告费和业务宣传费等跨年度纳税调整明细表》（A105060）填报，第1列“账载金额”填报表A105060第1行第2列。若表A105060第3行第2列≥第6行第2列，第2列“税收金额”填报A105060第6行第2列的金额；若表A105060第3行第2列＜第6行第2列，第2列“税收金额”填报A105060第3行第2列＋第9行第2列的金额。若表A105060第12行第2列≥0，第3列“调增金额”填报表A105060第12行第2列金额。若表A105060第12行第2列＜0，第4列“调减金额”填报表A105060第12行第2列金额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24.第24行“不征税收入用于支出所形成的费用”：第3列“调增金额”填报符合条件的不征税收入</w:t>
      </w:r>
      <w:r>
        <w:rPr>
          <w:rFonts w:hint="eastAsia" w:ascii="宋体" w:hAnsi="宋体" w:cs="宋体"/>
          <w:color w:val="auto"/>
          <w:sz w:val="24"/>
          <w:lang w:eastAsia="zh-CN"/>
        </w:rPr>
        <w:t>用</w:t>
      </w:r>
      <w:r>
        <w:rPr>
          <w:rFonts w:hint="eastAsia" w:ascii="宋体" w:hAnsi="宋体" w:cs="宋体"/>
          <w:color w:val="auto"/>
          <w:sz w:val="24"/>
        </w:rPr>
        <w:t>于支出所形成的计入当期损益的费用化支出金额。</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25.第25行“专项用途财政性资金用于支出所形成的费用”：根据《专项用途财政性资金纳税调整明细表》（A105040）填报。第3列“调增金额”填报表A105040第7行第11列金额。</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26.第26行“跨期扣除项目”：填报维简费、安全生产费用、预提费用、预计负债等跨期扣除项目调整情况。第1列“账载金额”填报纳税人会计核算计入当期损益的跨期扣除项目金额。第2列“税收金额”填报按照税收规定允许税前扣除的金额。若第1列≥第2列，第3列“调增金额”填报第1－2列金额。若第1列＜第2列，第4列“调减金额”填报第1－2列金额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27.第27行“与取得收入无关的支出”：第1列“账载金额”填报纳税人会计核算计入当期损益的与取得收入无关的支出的金额。第3列“调增金额”填报第1列金额。</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28.第28行“境外所得分摊的共同支出”：根据《境外所得纳税调整后所得明细表》（A108010）填报。第3列“调增金额”填报表A108010合计行第16＋17列金额。</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29.第29行“党组织工作经费”：填报纳税人根据有关文件规定，为创新基层党建工作、建立稳定的经费保障制度发生的党组织工作经费及纳税调整情况。</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30.第30行“其他”：填报其他因会计处理与税收规定有差异需纳税调整的扣除类项目金额，企业将货物、资产、劳务用于捐赠、广告等用途时，进行视同销售纳税调整后，对应支出的会计处理与税收规定有差异需纳税调整的金额填报在本行。若第1列≥第2列，第3列“调增金额”填报第1－2列金额。若第1列＜第2列，第4列“调减金额”填报第1－2列金额的绝对值。</w:t>
      </w:r>
    </w:p>
    <w:p>
      <w:pPr>
        <w:pStyle w:val="22"/>
        <w:rPr>
          <w:rFonts w:hint="eastAsia"/>
          <w:color w:val="auto"/>
        </w:rPr>
      </w:pPr>
      <w:bookmarkStart w:id="112" w:name="_Toc54267538"/>
      <w:bookmarkStart w:id="113" w:name="_Toc54267905"/>
      <w:r>
        <w:rPr>
          <w:rFonts w:hint="eastAsia"/>
          <w:color w:val="auto"/>
        </w:rPr>
        <w:t>（三）资产类调整项目</w:t>
      </w:r>
      <w:bookmarkEnd w:id="112"/>
      <w:bookmarkEnd w:id="113"/>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31.第31行“资产类调整项目”：填报资产类调整项目第32行至第35行的合计金额。</w:t>
      </w:r>
    </w:p>
    <w:p>
      <w:pPr>
        <w:spacing w:line="360" w:lineRule="auto"/>
        <w:ind w:firstLine="480" w:firstLineChars="200"/>
        <w:rPr>
          <w:rFonts w:hint="eastAsia" w:ascii="宋体" w:hAnsi="宋体" w:cs="宋体"/>
          <w:color w:val="auto"/>
          <w:sz w:val="24"/>
          <w:highlight w:val="none"/>
        </w:rPr>
      </w:pPr>
      <w:r>
        <w:rPr>
          <w:rFonts w:hint="eastAsia" w:ascii="宋体" w:hAnsi="宋体" w:cs="宋体"/>
          <w:color w:val="auto"/>
          <w:sz w:val="24"/>
          <w:highlight w:val="none"/>
        </w:rPr>
        <w:t>32.第32行“资产折旧、摊销”：根据《资产折旧、摊销及纳税调整明细表》（A105080）填报。第1列“账载金额”填报表A105080第30行第2列金额。第2列“税收金额”填报表A105080第30行第5列金额。若表A105080第30行第9列≥0，第3列“调增金额”填报表A105080第30行第9列金额。若表A105080第30行第9列＜0，第4列“调减金额”填报表A105080第30行第9列金额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33.第33行“资产减值准备金”：填报坏账准备、存货跌价准备、理赔费用准备金等不允许税前扣除的各类资产减值准备金纳税调整情况。第1列“账载金额”填报纳税人会计核算计入当期损益的资产减值准备金金额（因价值恢复等原因转回的资产减值准备金应予以冲回）。若第1列≥0，第3列“调增金额”填报第1列金额。若第1列＜0，第4列“调减金额”填报第1列金额的绝对值。</w:t>
      </w:r>
    </w:p>
    <w:p>
      <w:pPr>
        <w:pStyle w:val="12"/>
        <w:ind w:firstLine="480"/>
        <w:rPr>
          <w:rFonts w:hint="eastAsia"/>
          <w:color w:val="auto"/>
        </w:rPr>
      </w:pPr>
      <w:r>
        <w:rPr>
          <w:rFonts w:hint="eastAsia"/>
          <w:color w:val="auto"/>
        </w:rPr>
        <w:t>34.第34行“资产损失”：根据《资产损失税前扣除及纳税调整明细表》（A105090）填报。若表A105090第29行第7列≥0，第3列“调增金额”填报表A105090第29行第7列金额。若表A105090第29行第7列＜0，第4列“调减金额”填报表A105090第29行第7列金额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35.第35行“其他”：填报其他因会计处理与税收规定有差异需纳税调整的资产类项目金额。若第1列≥第2列，第3列“调增金额”填报第1－2列金额。若第1列＜第2列，第4列“调减金额”填报第1－2列金额的绝对值。</w:t>
      </w:r>
    </w:p>
    <w:p>
      <w:pPr>
        <w:pStyle w:val="22"/>
        <w:rPr>
          <w:rFonts w:hint="eastAsia"/>
          <w:color w:val="auto"/>
        </w:rPr>
      </w:pPr>
      <w:bookmarkStart w:id="114" w:name="_Toc54267539"/>
      <w:bookmarkStart w:id="115" w:name="_Toc54267906"/>
      <w:r>
        <w:rPr>
          <w:rFonts w:hint="eastAsia"/>
          <w:color w:val="auto"/>
        </w:rPr>
        <w:t>（四）特殊事项调整项目</w:t>
      </w:r>
      <w:bookmarkEnd w:id="114"/>
      <w:bookmarkEnd w:id="115"/>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36.第36行“特殊事项调整项目”：填报特殊事项调整项目第37行至第43行的合计金额。</w:t>
      </w:r>
    </w:p>
    <w:p>
      <w:pPr>
        <w:spacing w:line="360" w:lineRule="auto"/>
        <w:ind w:firstLine="480" w:firstLineChars="200"/>
        <w:rPr>
          <w:rFonts w:hint="eastAsia" w:ascii="宋体" w:hAnsi="宋体" w:cs="宋体"/>
          <w:color w:val="auto"/>
          <w:kern w:val="0"/>
          <w:sz w:val="24"/>
        </w:rPr>
      </w:pPr>
      <w:r>
        <w:rPr>
          <w:rFonts w:hint="eastAsia" w:ascii="宋体" w:hAnsi="宋体" w:cs="宋体"/>
          <w:color w:val="auto"/>
          <w:sz w:val="24"/>
        </w:rPr>
        <w:t>37.第37行“企业重组及递延纳税事项”：根据《企业重组及递延纳税事项纳税调整明细表》（A105100）填报。第1列“账载金额”填报表A105100第17行第1＋4列金额。第2列“税收金额”填报表A105100第17行第2＋5列金额。若表A105100第17行第7列≥0，第3列“调增金额”填报表A105100第17行第7列金额。若表A105100第17行第7列＜0，第4列“调减金额”填报表A105100第17行第7列金额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38.第38行“政策性搬迁”：根据《政策性搬迁纳税调整明细表》（A105110）填报。若表A105110第24行≥0，第3列“调增金额”填报表A105110第24行金额。若表A105110第24行＜0，第4列“调减金额”填报表A105110第24行金额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39.第39行“特殊行业准备金”：填报特殊行业准备金调整项目第39.1行至第39.7行（不包含第39.3行）的合计金额。</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40.第39.1行“保险公司保险保障基金”：第1列“账载金额”填报纳税人会计核算的保险公司保险保障基金的金额。第2列“税收金额”填报按照税收规定允许税前扣除的金额。若第1列≥第2列，第3列“调增金额”填报第1－2列金额。若第1列＜第2列，第4列“调减金额”填报第1－2列金额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41.第39.2行“保险公司准备金”：第1列“账载金额”填报纳税人会计核算的保险公司准备金的金额。第2列“税收金额”填报按照税收规定允许税前扣除的金额。若第1列≥第2列，第3列“调增金额”填报第1－2列金额。若第1列＜第2列，第4列“调减金额”填报第1－2列金额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42.第39.3行“其中：已发生未报案未决赔款准备金”：第1列“账载金额”填报纳税人会计核算的保险公司未决赔款准备金中已发生未报案准备金的金额。第2列“税收金额”填报按照税收规定允许税前扣除的金额。若第1列≥第2列，第3列“调增金额”填报第1－2列金额。若第1列＜第2列，第4列“调减金额”填报第1－2列金额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43.第39.4行“证券行业准备金”：第1列“账载金额”填报纳税人会计核算的证券行业准备金的金额。第2列“税收金额”填报按照税收规定允许税前扣除的金额。若第1列≥第2列，第3列“调增金额”填报第1－2列金额。若第1列＜第2列，第4列“调减金额”填报第1－2列金额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44.第39.5行“期货行业准备金”：第1列“账载金额”填报纳税人会计核算的期货行业准备金的金额。第2列“税收金额”填报按照税收规定允许税前扣除的金额。若第1列≥第2列，第3列“调增金额”填报第1－2列金额。若第1列＜第2列，第4列“调减金额”填报第1－2列金额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45.第39.6行“中小企业融资（信用）担保机构准备金”：第1列“账载金额”填报纳税人会计核算的中小企业融资（信用）担保机构准备金的金额。第2列“税收金额”填报按照税收规定允许税前扣除的金额。若第1列≥第2列，第3列“调增金额”填报第1－2列金额。若第1列＜第2列，第4列“调减金额”填报第1－2列金额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46.第39.7行“金融企业、小额贷款公司准备金”：根据《贷款损失准备金及纳税调整明细表》（A105120）填报。若表A105120第10行第11列≥0，第3列“调增金额”填报表A105120第10行第11列金额。若表A105120第10行第11列＜0，第4列“调减金额”填报表A105120第10行第11列金额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47.第40行“房地产开发企业特定业务计算的纳税调整额”：根据《视同销售和房地产开发企业特定业务纳税调整明细表》（A105010）填报。第2列“税收金额”填报表A105010第21行第1列金额。若表A105010第21行第2列≥0，第3列“调增金额”填报表A105010第21行第2列金额。若表A105010第21行第2列＜0，第4列“调减金额”填报表A105010第21行第2列金额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48.第41行“合伙企业法人合伙人分得的应纳税所得额”：第1列“账载金额”填报合伙企业法人合伙人本年会计核算上确认的对合伙企业的投资所得。第2列“税收金额”填报纳税人按照“先分后税”原则和《财政部 国家税务总局关于合伙企业合伙人所得税问题的通知》（财税〔2008〕159号）文件第四条规定计算的从合伙企业分得的法人合伙人应纳税所得额。若第1列≤第2列，第3列“调增金额”填报第2－1列金额。若第1列＞第2列，第4列“调减金额”填报第2－1列金额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49.第42行“发行永续债利息支出”：本行填报企业发行永续债采取的税收处理办法与会计核算方式不一致时的纳税调整情况。当永续债发行方会计上按照债务核算，税收上适用股息、红利企业所得税政策时，第1列“账载金额”填报支付的永续债利息支出计入当期损益的金额；第2列“税收金额”填报0。永续债发行方会计上按照权益核算，税收上按照债券利息适用企业所得税政策时，第1列“账载金额”填报0；第2列“税收金额”填报永续债发行方支付的永续债利息支出准予在企业所得税税前扣除的金额。若第2列≤第1列，第3列“调增金额”填报第1－2列金额。若第2列＞第1列，第4列“调减金额”填报第1－2列金额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50.第43行“其他”：填报其他因会计处理与税收规定有差异需纳税调整的特殊事项金额。</w:t>
      </w:r>
    </w:p>
    <w:p>
      <w:pPr>
        <w:pStyle w:val="22"/>
        <w:rPr>
          <w:rFonts w:hint="eastAsia"/>
          <w:color w:val="auto"/>
        </w:rPr>
      </w:pPr>
      <w:bookmarkStart w:id="116" w:name="_Toc54267907"/>
      <w:bookmarkStart w:id="117" w:name="_Toc54267540"/>
      <w:r>
        <w:rPr>
          <w:rFonts w:hint="eastAsia"/>
          <w:color w:val="auto"/>
        </w:rPr>
        <w:t>（五）特殊纳税调整所得项目</w:t>
      </w:r>
      <w:bookmarkEnd w:id="116"/>
      <w:bookmarkEnd w:id="117"/>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51.第44行“特别纳税调整应税所得”：第3列“调增金额”填报纳税人按特别纳税调整规定自行调增的当年应税所得。第4列“调减金额”填报纳税人依据双边预约定价安排或者转让定价相应调整磋商结果的通知，需要调减的当年应税所得。</w:t>
      </w:r>
    </w:p>
    <w:p>
      <w:pPr>
        <w:pStyle w:val="22"/>
        <w:rPr>
          <w:rFonts w:hint="eastAsia"/>
          <w:color w:val="auto"/>
        </w:rPr>
      </w:pPr>
      <w:bookmarkStart w:id="118" w:name="_Toc54267908"/>
      <w:bookmarkStart w:id="119" w:name="_Toc54267541"/>
      <w:r>
        <w:rPr>
          <w:rFonts w:hint="eastAsia"/>
          <w:color w:val="auto"/>
        </w:rPr>
        <w:t>（六）其他</w:t>
      </w:r>
      <w:bookmarkEnd w:id="118"/>
      <w:bookmarkEnd w:id="119"/>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52.第45行“其他”：填报其他会计处理与税收规定存在差异需纳税调整的项目金额，包括企业执行《企业会计准则第14号——收入》（财会〔2017〕22号发布）产生的税会差异纳税调整金额。</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53.第46行“合计”：填报第1＋12＋31＋36＋44＋45行的合计金额。</w:t>
      </w:r>
    </w:p>
    <w:p>
      <w:pPr>
        <w:spacing w:line="360" w:lineRule="auto"/>
        <w:ind w:firstLine="480" w:firstLineChars="200"/>
        <w:jc w:val="left"/>
        <w:outlineLvl w:val="1"/>
        <w:rPr>
          <w:rFonts w:hint="eastAsia" w:ascii="宋体" w:hAnsi="宋体" w:cs="宋体"/>
          <w:b/>
          <w:color w:val="auto"/>
          <w:sz w:val="24"/>
        </w:rPr>
      </w:pPr>
      <w:bookmarkStart w:id="120" w:name="_Toc171458073_WPSOffice_Level1"/>
      <w:bookmarkStart w:id="121" w:name="_Toc54267542"/>
      <w:bookmarkStart w:id="122" w:name="_Toc120793308_WPSOffice_Level1"/>
      <w:bookmarkStart w:id="123" w:name="_Toc1375175227_WPSOffice_Level1"/>
      <w:bookmarkStart w:id="124" w:name="_Toc54267909"/>
      <w:r>
        <w:rPr>
          <w:rFonts w:hint="eastAsia" w:ascii="宋体" w:hAnsi="宋体" w:cs="宋体"/>
          <w:b/>
          <w:color w:val="auto"/>
          <w:sz w:val="24"/>
        </w:rPr>
        <w:t>二、表内、表间关系</w:t>
      </w:r>
      <w:bookmarkEnd w:id="120"/>
      <w:bookmarkEnd w:id="121"/>
      <w:bookmarkEnd w:id="122"/>
      <w:bookmarkEnd w:id="123"/>
      <w:bookmarkEnd w:id="124"/>
    </w:p>
    <w:p>
      <w:pPr>
        <w:pStyle w:val="22"/>
        <w:rPr>
          <w:rFonts w:hint="eastAsia"/>
          <w:color w:val="auto"/>
        </w:rPr>
      </w:pPr>
      <w:bookmarkStart w:id="125" w:name="_Toc54267910"/>
      <w:bookmarkStart w:id="126" w:name="_Toc54267543"/>
      <w:r>
        <w:rPr>
          <w:rFonts w:hint="eastAsia"/>
          <w:color w:val="auto"/>
        </w:rPr>
        <w:t>（一）表内关系</w:t>
      </w:r>
      <w:bookmarkEnd w:id="125"/>
      <w:bookmarkEnd w:id="126"/>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1.第1行＝第2＋3＋4＋5＋6＋7＋8＋10＋11行。</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2.第12行＝第13＋14＋…＋23＋24＋26＋27＋28＋29＋30行。</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3.第31行＝第32＋33＋34＋35行。</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4.第36行＝第37＋38＋39＋40＋41＋42＋43行。</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5.第39行＝第39.1＋39.2＋39.4＋39.5＋39.6＋39.7行。</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6.第46行＝第1＋12＋31＋36＋44＋45行。</w:t>
      </w:r>
    </w:p>
    <w:p>
      <w:pPr>
        <w:pStyle w:val="22"/>
        <w:rPr>
          <w:rFonts w:hint="eastAsia"/>
          <w:color w:val="auto"/>
        </w:rPr>
      </w:pPr>
      <w:bookmarkStart w:id="127" w:name="_Toc54267911"/>
      <w:bookmarkStart w:id="128" w:name="_Toc54267544"/>
      <w:r>
        <w:rPr>
          <w:rFonts w:hint="eastAsia"/>
          <w:color w:val="auto"/>
        </w:rPr>
        <w:t>（二）表间关系</w:t>
      </w:r>
      <w:bookmarkEnd w:id="127"/>
      <w:bookmarkEnd w:id="128"/>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1.第2行第2列＝表A105010第1行第1列；第2行第3列＝表A105010第1行第2列。</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2.第3行第1列＝表A105020第14行第2列；第3行第2列＝表A105020第14行第4列；若表A105020第14行第6列≥0，第3行第3列＝表A105020第14行第6列；若表A105020第14行第6列＜0，第3行第4列＝表A105020第14行第6列的绝对值。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3.第4行第1列＝表A105030第10行第1＋8列；第4行第2列＝表A105030第10行第2＋9列；若表A105030第10行第11列≥0，第4行第3列＝表A105030第10行第11列；若表A105030第10行第11列＜0，第4行第4列＝表A105030第10行第11列的绝对值。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4.第9行第3列＝表A105040第7行第14列；第9行第4列＝表A105040第7行第4列。</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5.第13行第2列＝表A105010第11行第1列；第13行第4列＝表A105010第11行第2列的绝对值。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6.第14行第1列＝表A105050第13行第1列；第14行第2列＝表A105050第13行第5列；若表A105050第13行第6列≥0，第14行第3列＝表A105050第13行第6列；若表A105050第13行第6列＜0，第14行第4列＝表A105050第13行第6列的绝对值。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7.若表A105060第12行第1列≥0，第16行第3列＝表A105060第12行第1列，若表A105060第12行第1列＜0，第16行第4列＝表A105060第12行第1列的绝对值。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8.第17行第1列＝表A105070合计行第1列；第17行第2列＝表A105070合计行第4列；第17行第3列＝表A105070合计行第5列；第17行第4列＝表A105070合计行第6列。</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9.保险企业：第23行第1列=表A105060第1行第2列。若表A105060第3行第2列≥第6行第2列，</w:t>
      </w:r>
      <w:bookmarkStart w:id="129" w:name="_Hlk123225671"/>
      <w:r>
        <w:rPr>
          <w:rFonts w:hint="eastAsia" w:ascii="宋体" w:hAnsi="宋体" w:cs="宋体"/>
          <w:color w:val="auto"/>
          <w:sz w:val="24"/>
        </w:rPr>
        <w:t>第2</w:t>
      </w:r>
      <w:r>
        <w:rPr>
          <w:rFonts w:ascii="宋体" w:hAnsi="宋体" w:cs="宋体"/>
          <w:color w:val="auto"/>
          <w:sz w:val="24"/>
        </w:rPr>
        <w:t>3</w:t>
      </w:r>
      <w:r>
        <w:rPr>
          <w:rFonts w:hint="eastAsia" w:ascii="宋体" w:hAnsi="宋体" w:cs="宋体"/>
          <w:color w:val="auto"/>
          <w:sz w:val="24"/>
        </w:rPr>
        <w:t>行</w:t>
      </w:r>
      <w:bookmarkEnd w:id="129"/>
      <w:r>
        <w:rPr>
          <w:rFonts w:hint="eastAsia" w:ascii="宋体" w:hAnsi="宋体" w:cs="宋体"/>
          <w:color w:val="auto"/>
          <w:sz w:val="24"/>
        </w:rPr>
        <w:t>第2列=表A105060第6行第2列；若表A105060第3行第2列＜第6行第2列，第2</w:t>
      </w:r>
      <w:r>
        <w:rPr>
          <w:rFonts w:ascii="宋体" w:hAnsi="宋体" w:cs="宋体"/>
          <w:color w:val="auto"/>
          <w:sz w:val="24"/>
        </w:rPr>
        <w:t>3</w:t>
      </w:r>
      <w:r>
        <w:rPr>
          <w:rFonts w:hint="eastAsia" w:ascii="宋体" w:hAnsi="宋体" w:cs="宋体"/>
          <w:color w:val="auto"/>
          <w:sz w:val="24"/>
        </w:rPr>
        <w:t>行第2列=表A105060第3行第2列＋第9行第2列。若表A105060第12行第2列≥0，第23行第3列=表A105060第12行第2列。若表A105060第12行第2列＜0，第2</w:t>
      </w:r>
      <w:r>
        <w:rPr>
          <w:rFonts w:ascii="宋体" w:hAnsi="宋体" w:cs="宋体"/>
          <w:color w:val="auto"/>
          <w:sz w:val="24"/>
        </w:rPr>
        <w:t>3</w:t>
      </w:r>
      <w:r>
        <w:rPr>
          <w:rFonts w:hint="eastAsia" w:ascii="宋体" w:hAnsi="宋体" w:cs="宋体"/>
          <w:color w:val="auto"/>
          <w:sz w:val="24"/>
        </w:rPr>
        <w:t>行第4列=表A105060第12行第2列的绝对值。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10.第25行第3列＝表A105040第7行第11列。</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11.第28行第3列＝表A108010第10行第16＋17列。</w:t>
      </w:r>
    </w:p>
    <w:p>
      <w:pPr>
        <w:spacing w:line="360" w:lineRule="auto"/>
        <w:ind w:firstLine="480" w:firstLineChars="200"/>
        <w:rPr>
          <w:rFonts w:hint="eastAsia" w:ascii="宋体" w:hAnsi="宋体" w:cs="宋体"/>
          <w:color w:val="auto"/>
          <w:sz w:val="24"/>
          <w:highlight w:val="none"/>
        </w:rPr>
      </w:pPr>
      <w:r>
        <w:rPr>
          <w:rFonts w:hint="eastAsia" w:ascii="宋体" w:hAnsi="宋体" w:cs="宋体"/>
          <w:color w:val="auto"/>
          <w:sz w:val="24"/>
          <w:highlight w:val="none"/>
        </w:rPr>
        <w:t>12.第32行第1列＝表A105080第30行第2列；第32行第2列＝表A105080第30行第5列；若表A105080第30行第9列≥0，第32行第3列＝表A105080第30行第9列；若表A105080第30行第9列＜0，第32行第4列＝表A105080第30行第9列的绝对值。</w:t>
      </w:r>
    </w:p>
    <w:p>
      <w:pPr>
        <w:pStyle w:val="12"/>
        <w:ind w:firstLine="480"/>
        <w:rPr>
          <w:rFonts w:hint="eastAsia"/>
          <w:color w:val="auto"/>
        </w:rPr>
      </w:pPr>
      <w:r>
        <w:rPr>
          <w:rFonts w:hint="eastAsia"/>
          <w:color w:val="auto"/>
        </w:rPr>
        <w:t>13.若表A105090第29行第7列≥0，第34行第3列＝表A105090第29行第7列；若表A105090第29行第7列＜0，第34行第4列＝表A105090第29行第7列的绝对值。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14.第37行第1列＝表A105100第17行第1＋4列；第37行第2列＝表A105100第17行第2＋5列；若表A105100第17行第7列≥0，第37行第3列＝表A105100第17行第7列；若表A105100第17行第7列＜0，第37行第4列＝表A105100第17行第7列的绝对值。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15.若表A105110第24行≥0，第38行第3列＝表A105110第24行；若表A105110第24行＜0，第38行第4列＝表A105110第24行的绝对值。</w:t>
      </w:r>
    </w:p>
    <w:p>
      <w:pPr>
        <w:pStyle w:val="12"/>
        <w:ind w:firstLine="480"/>
        <w:rPr>
          <w:rFonts w:hint="eastAsia"/>
          <w:color w:val="auto"/>
        </w:rPr>
      </w:pPr>
      <w:r>
        <w:rPr>
          <w:rFonts w:hint="eastAsia"/>
          <w:color w:val="auto"/>
        </w:rPr>
        <w:t>16.若表A105120第10行第11列≥0，第39.7行第3列＝表A105120第10行第11列；若表A105120第10行第11列＜0，第39.7行第4列＝表A105120第10行第11列的绝对值。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17.第40行第2列＝表A105010第21行第1列；若表A105010第21行第2列≥0，第40行第3列＝表A105010第21行第2列；若表A105010第21行第2列＜0，第40行第4列＝表A105010第21行第2列的绝对值。</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18.第46行第3列＝表A100000第20行；第46行第4列＝表A100000第21行。</w:t>
      </w:r>
    </w:p>
    <w:p>
      <w:pPr>
        <w:widowControl/>
        <w:jc w:val="left"/>
        <w:rPr>
          <w:rFonts w:hint="eastAsia" w:ascii="方正小标宋_GBK" w:hAnsi="方正小标宋_GBK" w:eastAsia="方正小标宋_GBK" w:cs="方正小标宋_GBK"/>
          <w:color w:val="auto"/>
        </w:rPr>
        <w:sectPr>
          <w:headerReference r:id="rId11" w:type="default"/>
          <w:pgSz w:w="11906" w:h="16838"/>
          <w:pgMar w:top="1440" w:right="1800" w:bottom="1440" w:left="1800" w:header="851" w:footer="992" w:gutter="0"/>
          <w:pgNumType w:fmt="decimal"/>
          <w:cols w:space="720" w:num="1"/>
          <w:docGrid w:type="linesAndChars" w:linePitch="312" w:charSpace="0"/>
        </w:sectPr>
      </w:pPr>
    </w:p>
    <w:p>
      <w:pPr>
        <w:pStyle w:val="13"/>
        <w:tabs>
          <w:tab w:val="center" w:pos="6520"/>
          <w:tab w:val="clear" w:pos="4678"/>
        </w:tabs>
        <w:jc w:val="both"/>
        <w:rPr>
          <w:rFonts w:hint="eastAsia" w:ascii="方正小标宋_GBK" w:hAnsi="方正小标宋_GBK" w:eastAsia="方正小标宋_GBK" w:cs="方正小标宋_GBK"/>
          <w:color w:val="auto"/>
        </w:rPr>
      </w:pPr>
      <w:bookmarkStart w:id="130" w:name="_Toc176972053"/>
      <w:bookmarkStart w:id="131" w:name="_Toc428108329"/>
      <w:r>
        <w:rPr>
          <w:rFonts w:hint="eastAsia" w:ascii="方正小标宋_GBK" w:hAnsi="方正小标宋_GBK" w:eastAsia="方正小标宋_GBK" w:cs="方正小标宋_GBK"/>
          <w:color w:val="auto"/>
        </w:rPr>
        <w:t>A105080</w:t>
      </w:r>
      <w:r>
        <w:rPr>
          <w:color w:val="auto"/>
        </w:rPr>
        <w:tab/>
      </w:r>
      <w:r>
        <w:rPr>
          <w:rFonts w:hint="eastAsia" w:ascii="方正小标宋_GBK" w:hAnsi="方正小标宋_GBK" w:eastAsia="方正小标宋_GBK" w:cs="方正小标宋_GBK"/>
          <w:color w:val="auto"/>
        </w:rPr>
        <w:t>资产折旧、摊销及纳税调整明细表</w:t>
      </w:r>
      <w:bookmarkEnd w:id="27"/>
      <w:bookmarkEnd w:id="28"/>
      <w:bookmarkEnd w:id="29"/>
      <w:bookmarkEnd w:id="30"/>
      <w:bookmarkEnd w:id="31"/>
      <w:bookmarkEnd w:id="32"/>
      <w:bookmarkEnd w:id="130"/>
      <w:bookmarkEnd w:id="131"/>
    </w:p>
    <w:tbl>
      <w:tblPr>
        <w:tblStyle w:val="7"/>
        <w:tblW w:w="15451" w:type="dxa"/>
        <w:tblInd w:w="-601"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709"/>
        <w:gridCol w:w="1843"/>
        <w:gridCol w:w="2693"/>
        <w:gridCol w:w="709"/>
        <w:gridCol w:w="1134"/>
        <w:gridCol w:w="1134"/>
        <w:gridCol w:w="992"/>
        <w:gridCol w:w="1134"/>
        <w:gridCol w:w="2127"/>
        <w:gridCol w:w="1296"/>
        <w:gridCol w:w="830"/>
        <w:gridCol w:w="850"/>
      </w:tblGrid>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vMerge w:val="restart"/>
            <w:tcBorders>
              <w:tl2br w:val="nil"/>
              <w:tr2bl w:val="nil"/>
            </w:tcBorders>
            <w:noWrap w:val="0"/>
            <w:vAlign w:val="center"/>
          </w:tcPr>
          <w:p>
            <w:pPr>
              <w:widowControl/>
              <w:jc w:val="center"/>
              <w:textAlignment w:val="center"/>
              <w:rPr>
                <w:rFonts w:hint="eastAsia" w:ascii="宋体" w:hAnsi="宋体"/>
                <w:b/>
                <w:bCs/>
                <w:color w:val="auto"/>
                <w:sz w:val="20"/>
                <w:szCs w:val="20"/>
              </w:rPr>
            </w:pPr>
            <w:r>
              <w:rPr>
                <w:rFonts w:hint="eastAsia" w:ascii="宋体" w:hAnsi="宋体"/>
                <w:b/>
                <w:bCs/>
                <w:color w:val="auto"/>
                <w:kern w:val="0"/>
                <w:sz w:val="20"/>
                <w:szCs w:val="20"/>
              </w:rPr>
              <w:t>行次</w:t>
            </w:r>
          </w:p>
        </w:tc>
        <w:tc>
          <w:tcPr>
            <w:tcW w:w="4536" w:type="dxa"/>
            <w:gridSpan w:val="2"/>
            <w:vMerge w:val="restart"/>
            <w:tcBorders>
              <w:tl2br w:val="nil"/>
              <w:tr2bl w:val="nil"/>
            </w:tcBorders>
            <w:noWrap w:val="0"/>
            <w:vAlign w:val="center"/>
          </w:tcPr>
          <w:p>
            <w:pPr>
              <w:widowControl/>
              <w:jc w:val="center"/>
              <w:textAlignment w:val="center"/>
              <w:rPr>
                <w:rFonts w:hint="eastAsia" w:ascii="宋体" w:hAnsi="宋体" w:eastAsia="宋体"/>
                <w:b/>
                <w:bCs/>
                <w:color w:val="auto"/>
                <w:sz w:val="20"/>
                <w:szCs w:val="20"/>
              </w:rPr>
            </w:pPr>
            <w:r>
              <w:rPr>
                <w:rFonts w:hint="eastAsia" w:ascii="宋体" w:hAnsi="宋体"/>
                <w:b/>
                <w:bCs/>
                <w:color w:val="auto"/>
                <w:sz w:val="20"/>
                <w:szCs w:val="20"/>
              </w:rPr>
              <w:t>项     目</w:t>
            </w:r>
          </w:p>
        </w:tc>
        <w:tc>
          <w:tcPr>
            <w:tcW w:w="2977" w:type="dxa"/>
            <w:gridSpan w:val="3"/>
            <w:tcBorders>
              <w:tl2br w:val="nil"/>
              <w:tr2bl w:val="nil"/>
            </w:tcBorders>
            <w:noWrap w:val="0"/>
            <w:vAlign w:val="center"/>
          </w:tcPr>
          <w:p>
            <w:pPr>
              <w:widowControl/>
              <w:jc w:val="center"/>
              <w:textAlignment w:val="center"/>
              <w:rPr>
                <w:rFonts w:hint="eastAsia" w:ascii="宋体" w:hAnsi="宋体"/>
                <w:b/>
                <w:bCs/>
                <w:color w:val="auto"/>
                <w:sz w:val="20"/>
                <w:szCs w:val="20"/>
              </w:rPr>
            </w:pPr>
            <w:r>
              <w:rPr>
                <w:rFonts w:hint="eastAsia" w:ascii="宋体" w:hAnsi="宋体"/>
                <w:b/>
                <w:bCs/>
                <w:color w:val="auto"/>
                <w:kern w:val="0"/>
                <w:sz w:val="20"/>
                <w:szCs w:val="20"/>
              </w:rPr>
              <w:t>账载金额</w:t>
            </w:r>
          </w:p>
        </w:tc>
        <w:tc>
          <w:tcPr>
            <w:tcW w:w="6379" w:type="dxa"/>
            <w:gridSpan w:val="5"/>
            <w:tcBorders>
              <w:tl2br w:val="nil"/>
              <w:tr2bl w:val="nil"/>
            </w:tcBorders>
            <w:noWrap w:val="0"/>
            <w:vAlign w:val="center"/>
          </w:tcPr>
          <w:p>
            <w:pPr>
              <w:pStyle w:val="6"/>
              <w:widowControl/>
              <w:jc w:val="center"/>
              <w:textAlignment w:val="center"/>
              <w:rPr>
                <w:rFonts w:hint="eastAsia"/>
                <w:color w:val="auto"/>
              </w:rPr>
            </w:pPr>
            <w:r>
              <w:rPr>
                <w:rFonts w:hint="eastAsia" w:ascii="宋体" w:hAnsi="宋体" w:eastAsia="宋体" w:cs="Times New Roman"/>
                <w:b/>
                <w:bCs/>
                <w:color w:val="auto"/>
                <w:kern w:val="0"/>
                <w:sz w:val="20"/>
                <w:szCs w:val="20"/>
                <w:lang w:val="en-US" w:eastAsia="zh-CN" w:bidi="ar-SA"/>
              </w:rPr>
              <w:t>税收金额</w:t>
            </w:r>
          </w:p>
        </w:tc>
        <w:tc>
          <w:tcPr>
            <w:tcW w:w="850" w:type="dxa"/>
            <w:vMerge w:val="restart"/>
            <w:tcBorders>
              <w:tl2br w:val="nil"/>
              <w:tr2bl w:val="nil"/>
            </w:tcBorders>
            <w:noWrap w:val="0"/>
            <w:vAlign w:val="center"/>
          </w:tcPr>
          <w:p>
            <w:pPr>
              <w:widowControl/>
              <w:jc w:val="center"/>
              <w:textAlignment w:val="center"/>
              <w:rPr>
                <w:rFonts w:hint="eastAsia" w:ascii="宋体" w:hAnsi="宋体"/>
                <w:b/>
                <w:bCs/>
                <w:color w:val="auto"/>
                <w:sz w:val="20"/>
                <w:szCs w:val="20"/>
              </w:rPr>
            </w:pPr>
            <w:r>
              <w:rPr>
                <w:rFonts w:hint="eastAsia" w:ascii="宋体" w:hAnsi="宋体"/>
                <w:b/>
                <w:bCs/>
                <w:color w:val="auto"/>
                <w:kern w:val="0"/>
                <w:sz w:val="20"/>
                <w:szCs w:val="20"/>
              </w:rPr>
              <w:t>纳税调整金额</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vMerge w:val="continue"/>
            <w:tcBorders>
              <w:tl2br w:val="nil"/>
              <w:tr2bl w:val="nil"/>
            </w:tcBorders>
            <w:noWrap w:val="0"/>
            <w:vAlign w:val="center"/>
          </w:tcPr>
          <w:p>
            <w:pPr>
              <w:widowControl/>
              <w:jc w:val="left"/>
              <w:rPr>
                <w:rFonts w:hint="eastAsia" w:ascii="宋体" w:hAnsi="宋体"/>
                <w:b/>
                <w:bCs/>
                <w:color w:val="auto"/>
                <w:sz w:val="20"/>
                <w:szCs w:val="20"/>
              </w:rPr>
            </w:pPr>
          </w:p>
        </w:tc>
        <w:tc>
          <w:tcPr>
            <w:tcW w:w="4536" w:type="dxa"/>
            <w:gridSpan w:val="2"/>
            <w:vMerge w:val="continue"/>
            <w:tcBorders>
              <w:tl2br w:val="nil"/>
              <w:tr2bl w:val="nil"/>
            </w:tcBorders>
            <w:noWrap w:val="0"/>
            <w:vAlign w:val="center"/>
          </w:tcPr>
          <w:p>
            <w:pPr>
              <w:widowControl/>
              <w:jc w:val="left"/>
              <w:rPr>
                <w:rFonts w:hint="eastAsia" w:ascii="宋体" w:hAnsi="宋体"/>
                <w:b/>
                <w:bCs/>
                <w:color w:val="auto"/>
                <w:sz w:val="20"/>
                <w:szCs w:val="20"/>
              </w:rPr>
            </w:pPr>
          </w:p>
        </w:tc>
        <w:tc>
          <w:tcPr>
            <w:tcW w:w="709" w:type="dxa"/>
            <w:tcBorders>
              <w:tl2br w:val="nil"/>
              <w:tr2bl w:val="nil"/>
            </w:tcBorders>
            <w:noWrap w:val="0"/>
            <w:vAlign w:val="center"/>
          </w:tcPr>
          <w:p>
            <w:pPr>
              <w:widowControl/>
              <w:jc w:val="center"/>
              <w:textAlignment w:val="center"/>
              <w:rPr>
                <w:rFonts w:hint="eastAsia" w:ascii="宋体" w:hAnsi="宋体"/>
                <w:b/>
                <w:bCs/>
                <w:color w:val="auto"/>
                <w:sz w:val="20"/>
                <w:szCs w:val="20"/>
              </w:rPr>
            </w:pPr>
            <w:r>
              <w:rPr>
                <w:rFonts w:hint="eastAsia" w:ascii="宋体" w:hAnsi="宋体"/>
                <w:b/>
                <w:bCs/>
                <w:color w:val="auto"/>
                <w:kern w:val="0"/>
                <w:sz w:val="20"/>
                <w:szCs w:val="20"/>
              </w:rPr>
              <w:t>资产原值</w:t>
            </w:r>
          </w:p>
        </w:tc>
        <w:tc>
          <w:tcPr>
            <w:tcW w:w="1134" w:type="dxa"/>
            <w:tcBorders>
              <w:tl2br w:val="nil"/>
              <w:tr2bl w:val="nil"/>
            </w:tcBorders>
            <w:noWrap w:val="0"/>
            <w:vAlign w:val="center"/>
          </w:tcPr>
          <w:p>
            <w:pPr>
              <w:widowControl/>
              <w:jc w:val="center"/>
              <w:textAlignment w:val="center"/>
              <w:rPr>
                <w:rFonts w:hint="eastAsia" w:ascii="宋体" w:hAnsi="宋体"/>
                <w:b/>
                <w:bCs/>
                <w:color w:val="auto"/>
                <w:sz w:val="20"/>
                <w:szCs w:val="20"/>
              </w:rPr>
            </w:pPr>
            <w:r>
              <w:rPr>
                <w:rFonts w:hint="eastAsia" w:ascii="宋体" w:hAnsi="宋体"/>
                <w:b/>
                <w:bCs/>
                <w:color w:val="auto"/>
                <w:kern w:val="0"/>
                <w:sz w:val="20"/>
                <w:szCs w:val="20"/>
              </w:rPr>
              <w:t>本年折旧、摊销额</w:t>
            </w:r>
          </w:p>
        </w:tc>
        <w:tc>
          <w:tcPr>
            <w:tcW w:w="1134" w:type="dxa"/>
            <w:tcBorders>
              <w:tl2br w:val="nil"/>
              <w:tr2bl w:val="nil"/>
            </w:tcBorders>
            <w:noWrap w:val="0"/>
            <w:vAlign w:val="center"/>
          </w:tcPr>
          <w:p>
            <w:pPr>
              <w:widowControl/>
              <w:jc w:val="center"/>
              <w:textAlignment w:val="center"/>
              <w:rPr>
                <w:rFonts w:hint="eastAsia" w:ascii="宋体" w:hAnsi="宋体"/>
                <w:b/>
                <w:bCs/>
                <w:color w:val="auto"/>
                <w:sz w:val="20"/>
                <w:szCs w:val="20"/>
              </w:rPr>
            </w:pPr>
            <w:r>
              <w:rPr>
                <w:rFonts w:hint="eastAsia" w:ascii="宋体" w:hAnsi="宋体"/>
                <w:b/>
                <w:bCs/>
                <w:color w:val="auto"/>
                <w:kern w:val="0"/>
                <w:sz w:val="20"/>
                <w:szCs w:val="20"/>
              </w:rPr>
              <w:t>累计折旧、摊销额</w:t>
            </w:r>
          </w:p>
        </w:tc>
        <w:tc>
          <w:tcPr>
            <w:tcW w:w="992" w:type="dxa"/>
            <w:tcBorders>
              <w:tl2br w:val="nil"/>
              <w:tr2bl w:val="nil"/>
            </w:tcBorders>
            <w:noWrap w:val="0"/>
            <w:vAlign w:val="center"/>
          </w:tcPr>
          <w:p>
            <w:pPr>
              <w:widowControl/>
              <w:jc w:val="center"/>
              <w:textAlignment w:val="center"/>
              <w:rPr>
                <w:rFonts w:hint="eastAsia" w:ascii="宋体" w:hAnsi="宋体"/>
                <w:b/>
                <w:bCs/>
                <w:color w:val="auto"/>
                <w:sz w:val="20"/>
                <w:szCs w:val="20"/>
              </w:rPr>
            </w:pPr>
            <w:r>
              <w:rPr>
                <w:rFonts w:hint="eastAsia" w:ascii="宋体" w:hAnsi="宋体"/>
                <w:b/>
                <w:bCs/>
                <w:color w:val="auto"/>
                <w:kern w:val="0"/>
                <w:sz w:val="20"/>
                <w:szCs w:val="20"/>
              </w:rPr>
              <w:t>资产计税基础</w:t>
            </w:r>
          </w:p>
        </w:tc>
        <w:tc>
          <w:tcPr>
            <w:tcW w:w="1134" w:type="dxa"/>
            <w:tcBorders>
              <w:tl2br w:val="nil"/>
              <w:tr2bl w:val="nil"/>
            </w:tcBorders>
            <w:noWrap w:val="0"/>
            <w:vAlign w:val="center"/>
          </w:tcPr>
          <w:p>
            <w:pPr>
              <w:widowControl/>
              <w:jc w:val="center"/>
              <w:textAlignment w:val="center"/>
              <w:rPr>
                <w:rFonts w:hint="eastAsia" w:ascii="宋体" w:hAnsi="宋体"/>
                <w:b/>
                <w:bCs/>
                <w:color w:val="auto"/>
                <w:sz w:val="20"/>
                <w:szCs w:val="20"/>
              </w:rPr>
            </w:pPr>
            <w:r>
              <w:rPr>
                <w:rFonts w:hint="eastAsia" w:ascii="宋体" w:hAnsi="宋体"/>
                <w:b/>
                <w:bCs/>
                <w:color w:val="auto"/>
                <w:kern w:val="0"/>
                <w:sz w:val="20"/>
                <w:szCs w:val="20"/>
              </w:rPr>
              <w:t>税收折旧、摊销额</w:t>
            </w:r>
          </w:p>
        </w:tc>
        <w:tc>
          <w:tcPr>
            <w:tcW w:w="2127" w:type="dxa"/>
            <w:tcBorders>
              <w:tl2br w:val="nil"/>
              <w:tr2bl w:val="nil"/>
            </w:tcBorders>
            <w:noWrap w:val="0"/>
            <w:vAlign w:val="center"/>
          </w:tcPr>
          <w:p>
            <w:pPr>
              <w:widowControl/>
              <w:jc w:val="center"/>
              <w:textAlignment w:val="center"/>
              <w:rPr>
                <w:rFonts w:hint="eastAsia" w:ascii="宋体" w:hAnsi="宋体"/>
                <w:b/>
                <w:bCs/>
                <w:color w:val="auto"/>
                <w:sz w:val="20"/>
                <w:szCs w:val="20"/>
              </w:rPr>
            </w:pPr>
            <w:r>
              <w:rPr>
                <w:rFonts w:hint="eastAsia" w:ascii="宋体" w:hAnsi="宋体"/>
                <w:b/>
                <w:bCs/>
                <w:color w:val="auto"/>
                <w:kern w:val="0"/>
                <w:sz w:val="20"/>
                <w:szCs w:val="20"/>
              </w:rPr>
              <w:t>享受加速折旧政策的资产按税收一般规定计算的折旧、摊销额</w:t>
            </w:r>
          </w:p>
        </w:tc>
        <w:tc>
          <w:tcPr>
            <w:tcW w:w="1296" w:type="dxa"/>
            <w:tcBorders>
              <w:tl2br w:val="nil"/>
              <w:tr2bl w:val="nil"/>
            </w:tcBorders>
            <w:noWrap w:val="0"/>
            <w:vAlign w:val="center"/>
          </w:tcPr>
          <w:p>
            <w:pPr>
              <w:widowControl/>
              <w:jc w:val="center"/>
              <w:textAlignment w:val="center"/>
              <w:rPr>
                <w:rFonts w:hint="eastAsia" w:ascii="宋体" w:hAnsi="宋体"/>
                <w:b/>
                <w:bCs/>
                <w:color w:val="auto"/>
                <w:sz w:val="20"/>
                <w:szCs w:val="20"/>
              </w:rPr>
            </w:pPr>
            <w:r>
              <w:rPr>
                <w:rFonts w:hint="eastAsia" w:ascii="宋体" w:hAnsi="宋体"/>
                <w:b/>
                <w:bCs/>
                <w:color w:val="auto"/>
                <w:kern w:val="0"/>
                <w:sz w:val="20"/>
                <w:szCs w:val="20"/>
              </w:rPr>
              <w:t>加速折旧、摊销统计额</w:t>
            </w:r>
          </w:p>
        </w:tc>
        <w:tc>
          <w:tcPr>
            <w:tcW w:w="830" w:type="dxa"/>
            <w:tcBorders>
              <w:tl2br w:val="nil"/>
              <w:tr2bl w:val="nil"/>
            </w:tcBorders>
            <w:noWrap w:val="0"/>
            <w:vAlign w:val="center"/>
          </w:tcPr>
          <w:p>
            <w:pPr>
              <w:widowControl/>
              <w:jc w:val="center"/>
              <w:textAlignment w:val="center"/>
              <w:rPr>
                <w:rFonts w:hint="eastAsia" w:ascii="宋体" w:hAnsi="宋体"/>
                <w:b/>
                <w:bCs/>
                <w:color w:val="auto"/>
                <w:sz w:val="20"/>
                <w:szCs w:val="20"/>
              </w:rPr>
            </w:pPr>
            <w:r>
              <w:rPr>
                <w:rFonts w:hint="eastAsia" w:ascii="宋体" w:hAnsi="宋体"/>
                <w:b/>
                <w:bCs/>
                <w:color w:val="auto"/>
                <w:kern w:val="0"/>
                <w:sz w:val="20"/>
                <w:szCs w:val="20"/>
              </w:rPr>
              <w:t>累计折旧、摊销额</w:t>
            </w:r>
          </w:p>
        </w:tc>
        <w:tc>
          <w:tcPr>
            <w:tcW w:w="850" w:type="dxa"/>
            <w:vMerge w:val="continue"/>
            <w:tcBorders>
              <w:tl2br w:val="nil"/>
              <w:tr2bl w:val="nil"/>
            </w:tcBorders>
            <w:noWrap w:val="0"/>
            <w:vAlign w:val="center"/>
          </w:tcPr>
          <w:p>
            <w:pPr>
              <w:widowControl/>
              <w:jc w:val="left"/>
              <w:rPr>
                <w:rFonts w:hint="eastAsia" w:ascii="宋体" w:hAnsi="宋体"/>
                <w:b/>
                <w:bCs/>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vMerge w:val="continue"/>
            <w:tcBorders>
              <w:tl2br w:val="nil"/>
              <w:tr2bl w:val="nil"/>
            </w:tcBorders>
            <w:noWrap w:val="0"/>
            <w:vAlign w:val="center"/>
          </w:tcPr>
          <w:p>
            <w:pPr>
              <w:widowControl/>
              <w:jc w:val="left"/>
              <w:rPr>
                <w:rFonts w:hint="eastAsia" w:ascii="宋体" w:hAnsi="宋体"/>
                <w:b/>
                <w:bCs/>
                <w:color w:val="auto"/>
                <w:sz w:val="20"/>
                <w:szCs w:val="20"/>
              </w:rPr>
            </w:pPr>
          </w:p>
        </w:tc>
        <w:tc>
          <w:tcPr>
            <w:tcW w:w="4536" w:type="dxa"/>
            <w:gridSpan w:val="2"/>
            <w:vMerge w:val="continue"/>
            <w:tcBorders>
              <w:tl2br w:val="nil"/>
              <w:tr2bl w:val="nil"/>
            </w:tcBorders>
            <w:noWrap w:val="0"/>
            <w:vAlign w:val="center"/>
          </w:tcPr>
          <w:p>
            <w:pPr>
              <w:widowControl/>
              <w:jc w:val="left"/>
              <w:rPr>
                <w:rFonts w:hint="eastAsia" w:ascii="宋体" w:hAnsi="宋体"/>
                <w:b/>
                <w:bCs/>
                <w:color w:val="auto"/>
                <w:sz w:val="20"/>
                <w:szCs w:val="20"/>
              </w:rPr>
            </w:pPr>
          </w:p>
        </w:tc>
        <w:tc>
          <w:tcPr>
            <w:tcW w:w="709" w:type="dxa"/>
            <w:tcBorders>
              <w:tl2br w:val="nil"/>
              <w:tr2bl w:val="nil"/>
            </w:tcBorders>
            <w:noWrap w:val="0"/>
            <w:vAlign w:val="center"/>
          </w:tcPr>
          <w:p>
            <w:pPr>
              <w:widowControl/>
              <w:jc w:val="center"/>
              <w:textAlignment w:val="center"/>
              <w:rPr>
                <w:rFonts w:hint="eastAsia" w:ascii="宋体" w:hAnsi="宋体"/>
                <w:b/>
                <w:bCs/>
                <w:color w:val="auto"/>
                <w:sz w:val="20"/>
                <w:szCs w:val="20"/>
              </w:rPr>
            </w:pPr>
            <w:r>
              <w:rPr>
                <w:rFonts w:ascii="宋体" w:hAnsi="宋体"/>
                <w:b/>
                <w:bCs/>
                <w:color w:val="auto"/>
                <w:kern w:val="0"/>
                <w:sz w:val="20"/>
                <w:szCs w:val="20"/>
              </w:rPr>
              <w:t>1</w:t>
            </w:r>
          </w:p>
        </w:tc>
        <w:tc>
          <w:tcPr>
            <w:tcW w:w="1134" w:type="dxa"/>
            <w:tcBorders>
              <w:tl2br w:val="nil"/>
              <w:tr2bl w:val="nil"/>
            </w:tcBorders>
            <w:noWrap w:val="0"/>
            <w:vAlign w:val="center"/>
          </w:tcPr>
          <w:p>
            <w:pPr>
              <w:widowControl/>
              <w:jc w:val="center"/>
              <w:textAlignment w:val="center"/>
              <w:rPr>
                <w:rFonts w:hint="eastAsia" w:ascii="宋体" w:hAnsi="宋体"/>
                <w:b/>
                <w:bCs/>
                <w:color w:val="auto"/>
                <w:sz w:val="20"/>
                <w:szCs w:val="20"/>
              </w:rPr>
            </w:pPr>
            <w:r>
              <w:rPr>
                <w:rFonts w:ascii="宋体" w:hAnsi="宋体"/>
                <w:b/>
                <w:bCs/>
                <w:color w:val="auto"/>
                <w:kern w:val="0"/>
                <w:sz w:val="20"/>
                <w:szCs w:val="20"/>
              </w:rPr>
              <w:t>2</w:t>
            </w:r>
          </w:p>
        </w:tc>
        <w:tc>
          <w:tcPr>
            <w:tcW w:w="1134" w:type="dxa"/>
            <w:tcBorders>
              <w:tl2br w:val="nil"/>
              <w:tr2bl w:val="nil"/>
            </w:tcBorders>
            <w:noWrap w:val="0"/>
            <w:vAlign w:val="center"/>
          </w:tcPr>
          <w:p>
            <w:pPr>
              <w:widowControl/>
              <w:jc w:val="center"/>
              <w:textAlignment w:val="center"/>
              <w:rPr>
                <w:rFonts w:hint="eastAsia" w:ascii="宋体" w:hAnsi="宋体"/>
                <w:b/>
                <w:bCs/>
                <w:color w:val="auto"/>
                <w:sz w:val="20"/>
                <w:szCs w:val="20"/>
              </w:rPr>
            </w:pPr>
            <w:r>
              <w:rPr>
                <w:rFonts w:ascii="宋体" w:hAnsi="宋体"/>
                <w:b/>
                <w:bCs/>
                <w:color w:val="auto"/>
                <w:kern w:val="0"/>
                <w:sz w:val="20"/>
                <w:szCs w:val="20"/>
              </w:rPr>
              <w:t>3</w:t>
            </w:r>
          </w:p>
        </w:tc>
        <w:tc>
          <w:tcPr>
            <w:tcW w:w="992" w:type="dxa"/>
            <w:tcBorders>
              <w:tl2br w:val="nil"/>
              <w:tr2bl w:val="nil"/>
            </w:tcBorders>
            <w:noWrap w:val="0"/>
            <w:vAlign w:val="center"/>
          </w:tcPr>
          <w:p>
            <w:pPr>
              <w:widowControl/>
              <w:jc w:val="center"/>
              <w:textAlignment w:val="center"/>
              <w:rPr>
                <w:rFonts w:hint="eastAsia" w:ascii="宋体" w:hAnsi="宋体"/>
                <w:b/>
                <w:bCs/>
                <w:color w:val="auto"/>
                <w:sz w:val="20"/>
                <w:szCs w:val="20"/>
              </w:rPr>
            </w:pPr>
            <w:r>
              <w:rPr>
                <w:rFonts w:ascii="宋体" w:hAnsi="宋体"/>
                <w:b/>
                <w:bCs/>
                <w:color w:val="auto"/>
                <w:kern w:val="0"/>
                <w:sz w:val="20"/>
                <w:szCs w:val="20"/>
              </w:rPr>
              <w:t>4</w:t>
            </w:r>
          </w:p>
        </w:tc>
        <w:tc>
          <w:tcPr>
            <w:tcW w:w="1134" w:type="dxa"/>
            <w:tcBorders>
              <w:tl2br w:val="nil"/>
              <w:tr2bl w:val="nil"/>
            </w:tcBorders>
            <w:noWrap w:val="0"/>
            <w:vAlign w:val="center"/>
          </w:tcPr>
          <w:p>
            <w:pPr>
              <w:widowControl/>
              <w:jc w:val="center"/>
              <w:textAlignment w:val="center"/>
              <w:rPr>
                <w:rFonts w:hint="eastAsia" w:ascii="宋体" w:hAnsi="宋体"/>
                <w:b/>
                <w:bCs/>
                <w:color w:val="auto"/>
                <w:sz w:val="20"/>
                <w:szCs w:val="20"/>
              </w:rPr>
            </w:pPr>
            <w:r>
              <w:rPr>
                <w:rFonts w:ascii="宋体" w:hAnsi="宋体"/>
                <w:b/>
                <w:bCs/>
                <w:color w:val="auto"/>
                <w:kern w:val="0"/>
                <w:sz w:val="20"/>
                <w:szCs w:val="20"/>
              </w:rPr>
              <w:t>5</w:t>
            </w:r>
          </w:p>
        </w:tc>
        <w:tc>
          <w:tcPr>
            <w:tcW w:w="2127" w:type="dxa"/>
            <w:tcBorders>
              <w:tl2br w:val="nil"/>
              <w:tr2bl w:val="nil"/>
            </w:tcBorders>
            <w:noWrap w:val="0"/>
            <w:vAlign w:val="center"/>
          </w:tcPr>
          <w:p>
            <w:pPr>
              <w:widowControl/>
              <w:jc w:val="center"/>
              <w:textAlignment w:val="center"/>
              <w:rPr>
                <w:rFonts w:hint="eastAsia" w:ascii="宋体" w:hAnsi="宋体"/>
                <w:b/>
                <w:bCs/>
                <w:color w:val="auto"/>
                <w:sz w:val="20"/>
                <w:szCs w:val="20"/>
              </w:rPr>
            </w:pPr>
            <w:r>
              <w:rPr>
                <w:rFonts w:ascii="宋体" w:hAnsi="宋体"/>
                <w:b/>
                <w:bCs/>
                <w:color w:val="auto"/>
                <w:kern w:val="0"/>
                <w:sz w:val="20"/>
                <w:szCs w:val="20"/>
              </w:rPr>
              <w:t>6</w:t>
            </w:r>
          </w:p>
        </w:tc>
        <w:tc>
          <w:tcPr>
            <w:tcW w:w="1296" w:type="dxa"/>
            <w:tcBorders>
              <w:tl2br w:val="nil"/>
              <w:tr2bl w:val="nil"/>
            </w:tcBorders>
            <w:noWrap w:val="0"/>
            <w:vAlign w:val="center"/>
          </w:tcPr>
          <w:p>
            <w:pPr>
              <w:widowControl/>
              <w:jc w:val="center"/>
              <w:textAlignment w:val="center"/>
              <w:rPr>
                <w:rFonts w:hint="eastAsia" w:ascii="宋体" w:hAnsi="宋体" w:eastAsia="宋体"/>
                <w:b/>
                <w:bCs/>
                <w:color w:val="auto"/>
                <w:sz w:val="20"/>
                <w:szCs w:val="20"/>
              </w:rPr>
            </w:pPr>
            <w:r>
              <w:rPr>
                <w:rFonts w:ascii="宋体" w:hAnsi="宋体"/>
                <w:b/>
                <w:bCs/>
                <w:color w:val="auto"/>
                <w:kern w:val="0"/>
                <w:sz w:val="20"/>
                <w:szCs w:val="20"/>
              </w:rPr>
              <w:t>7（5－6</w:t>
            </w:r>
            <w:r>
              <w:rPr>
                <w:rFonts w:hint="eastAsia" w:ascii="宋体" w:hAnsi="宋体"/>
                <w:b/>
                <w:bCs/>
                <w:color w:val="auto"/>
                <w:kern w:val="0"/>
                <w:sz w:val="20"/>
                <w:szCs w:val="20"/>
              </w:rPr>
              <w:t>）</w:t>
            </w:r>
          </w:p>
        </w:tc>
        <w:tc>
          <w:tcPr>
            <w:tcW w:w="830" w:type="dxa"/>
            <w:tcBorders>
              <w:tl2br w:val="nil"/>
              <w:tr2bl w:val="nil"/>
            </w:tcBorders>
            <w:noWrap w:val="0"/>
            <w:vAlign w:val="center"/>
          </w:tcPr>
          <w:p>
            <w:pPr>
              <w:widowControl/>
              <w:jc w:val="center"/>
              <w:textAlignment w:val="center"/>
              <w:rPr>
                <w:rFonts w:hint="eastAsia" w:ascii="宋体" w:hAnsi="宋体"/>
                <w:b/>
                <w:bCs/>
                <w:color w:val="auto"/>
                <w:sz w:val="20"/>
                <w:szCs w:val="20"/>
              </w:rPr>
            </w:pPr>
            <w:r>
              <w:rPr>
                <w:rFonts w:ascii="宋体" w:hAnsi="宋体"/>
                <w:b/>
                <w:bCs/>
                <w:color w:val="auto"/>
                <w:kern w:val="0"/>
                <w:sz w:val="20"/>
                <w:szCs w:val="20"/>
              </w:rPr>
              <w:t>8</w:t>
            </w:r>
          </w:p>
        </w:tc>
        <w:tc>
          <w:tcPr>
            <w:tcW w:w="850" w:type="dxa"/>
            <w:tcBorders>
              <w:tl2br w:val="nil"/>
              <w:tr2bl w:val="nil"/>
            </w:tcBorders>
            <w:noWrap w:val="0"/>
            <w:vAlign w:val="center"/>
          </w:tcPr>
          <w:p>
            <w:pPr>
              <w:widowControl/>
              <w:jc w:val="center"/>
              <w:textAlignment w:val="center"/>
              <w:rPr>
                <w:rFonts w:hint="eastAsia" w:ascii="宋体" w:hAnsi="宋体" w:eastAsia="宋体"/>
                <w:b/>
                <w:bCs/>
                <w:color w:val="auto"/>
                <w:sz w:val="20"/>
                <w:szCs w:val="20"/>
              </w:rPr>
            </w:pPr>
            <w:r>
              <w:rPr>
                <w:rFonts w:ascii="宋体" w:hAnsi="宋体"/>
                <w:b/>
                <w:bCs/>
                <w:color w:val="auto"/>
                <w:kern w:val="0"/>
                <w:sz w:val="20"/>
                <w:szCs w:val="20"/>
              </w:rPr>
              <w:t>9</w:t>
            </w:r>
            <w:r>
              <w:rPr>
                <w:rFonts w:hint="eastAsia" w:ascii="宋体" w:hAnsi="宋体"/>
                <w:b/>
                <w:bCs/>
                <w:color w:val="auto"/>
                <w:kern w:val="0"/>
                <w:sz w:val="20"/>
                <w:szCs w:val="20"/>
              </w:rPr>
              <w:t>（</w:t>
            </w:r>
            <w:r>
              <w:rPr>
                <w:rFonts w:ascii="宋体" w:hAnsi="宋体"/>
                <w:b/>
                <w:bCs/>
                <w:color w:val="auto"/>
                <w:kern w:val="0"/>
                <w:sz w:val="20"/>
                <w:szCs w:val="20"/>
              </w:rPr>
              <w:t>2－5</w:t>
            </w:r>
            <w:r>
              <w:rPr>
                <w:rFonts w:hint="eastAsia" w:ascii="宋体" w:hAnsi="宋体"/>
                <w:b/>
                <w:bCs/>
                <w:color w:val="auto"/>
                <w:kern w:val="0"/>
                <w:sz w:val="20"/>
                <w:szCs w:val="20"/>
              </w:rPr>
              <w:t>）</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1</w:t>
            </w:r>
          </w:p>
        </w:tc>
        <w:tc>
          <w:tcPr>
            <w:tcW w:w="4536" w:type="dxa"/>
            <w:gridSpan w:val="2"/>
            <w:tcBorders>
              <w:tl2br w:val="nil"/>
              <w:tr2bl w:val="nil"/>
            </w:tcBorders>
            <w:noWrap w:val="0"/>
            <w:vAlign w:val="center"/>
          </w:tcPr>
          <w:p>
            <w:pPr>
              <w:widowControl/>
              <w:jc w:val="left"/>
              <w:textAlignment w:val="center"/>
              <w:rPr>
                <w:rFonts w:hint="eastAsia" w:ascii="宋体" w:hAnsi="宋体" w:eastAsia="宋体"/>
                <w:color w:val="auto"/>
                <w:sz w:val="20"/>
                <w:szCs w:val="20"/>
              </w:rPr>
            </w:pPr>
            <w:r>
              <w:rPr>
                <w:rFonts w:hint="eastAsia" w:ascii="宋体" w:hAnsi="宋体"/>
                <w:color w:val="auto"/>
                <w:kern w:val="0"/>
                <w:sz w:val="20"/>
                <w:szCs w:val="20"/>
              </w:rPr>
              <w:t>一、固定资产（</w:t>
            </w:r>
            <w:r>
              <w:rPr>
                <w:rFonts w:ascii="宋体" w:hAnsi="宋体"/>
                <w:color w:val="auto"/>
                <w:kern w:val="0"/>
                <w:sz w:val="20"/>
                <w:szCs w:val="20"/>
              </w:rPr>
              <w:t>2＋3＋4＋5＋6＋7</w:t>
            </w:r>
            <w:r>
              <w:rPr>
                <w:rFonts w:hint="eastAsia" w:ascii="宋体" w:hAnsi="宋体"/>
                <w:color w:val="auto"/>
                <w:kern w:val="0"/>
                <w:sz w:val="20"/>
                <w:szCs w:val="20"/>
              </w:rPr>
              <w:t>）</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2</w:t>
            </w:r>
          </w:p>
        </w:tc>
        <w:tc>
          <w:tcPr>
            <w:tcW w:w="4536" w:type="dxa"/>
            <w:gridSpan w:val="2"/>
            <w:tcBorders>
              <w:tl2br w:val="nil"/>
              <w:tr2bl w:val="nil"/>
            </w:tcBorders>
            <w:noWrap w:val="0"/>
            <w:vAlign w:val="center"/>
          </w:tcPr>
          <w:p>
            <w:pPr>
              <w:widowControl/>
              <w:ind w:firstLine="200" w:firstLineChars="100"/>
              <w:jc w:val="left"/>
              <w:textAlignment w:val="center"/>
              <w:rPr>
                <w:rFonts w:hint="eastAsia" w:ascii="宋体" w:hAnsi="宋体"/>
                <w:color w:val="auto"/>
                <w:sz w:val="20"/>
                <w:szCs w:val="20"/>
              </w:rPr>
            </w:pPr>
            <w:r>
              <w:rPr>
                <w:rFonts w:hint="eastAsia" w:ascii="宋体" w:hAnsi="宋体"/>
                <w:color w:val="auto"/>
                <w:kern w:val="0"/>
                <w:sz w:val="20"/>
                <w:szCs w:val="20"/>
              </w:rPr>
              <w:t>（一）房屋、建筑物</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3</w:t>
            </w:r>
          </w:p>
        </w:tc>
        <w:tc>
          <w:tcPr>
            <w:tcW w:w="4536" w:type="dxa"/>
            <w:gridSpan w:val="2"/>
            <w:tcBorders>
              <w:tl2br w:val="nil"/>
              <w:tr2bl w:val="nil"/>
            </w:tcBorders>
            <w:noWrap w:val="0"/>
            <w:vAlign w:val="center"/>
          </w:tcPr>
          <w:p>
            <w:pPr>
              <w:widowControl/>
              <w:ind w:firstLine="200" w:firstLineChars="100"/>
              <w:jc w:val="left"/>
              <w:textAlignment w:val="center"/>
              <w:rPr>
                <w:rFonts w:hint="eastAsia" w:ascii="宋体" w:hAnsi="宋体"/>
                <w:color w:val="auto"/>
                <w:kern w:val="0"/>
                <w:sz w:val="20"/>
                <w:szCs w:val="20"/>
              </w:rPr>
            </w:pPr>
            <w:r>
              <w:rPr>
                <w:rFonts w:hint="eastAsia" w:ascii="宋体" w:hAnsi="宋体"/>
                <w:color w:val="auto"/>
                <w:kern w:val="0"/>
                <w:sz w:val="20"/>
                <w:szCs w:val="20"/>
              </w:rPr>
              <w:t>（二）飞机、火车、轮船、机器、机械和其他生产设备</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4</w:t>
            </w:r>
          </w:p>
        </w:tc>
        <w:tc>
          <w:tcPr>
            <w:tcW w:w="4536" w:type="dxa"/>
            <w:gridSpan w:val="2"/>
            <w:tcBorders>
              <w:tl2br w:val="nil"/>
              <w:tr2bl w:val="nil"/>
            </w:tcBorders>
            <w:noWrap w:val="0"/>
            <w:vAlign w:val="center"/>
          </w:tcPr>
          <w:p>
            <w:pPr>
              <w:widowControl/>
              <w:ind w:firstLine="200" w:firstLineChars="100"/>
              <w:jc w:val="left"/>
              <w:textAlignment w:val="center"/>
              <w:rPr>
                <w:rFonts w:hint="eastAsia" w:ascii="宋体" w:hAnsi="宋体"/>
                <w:color w:val="auto"/>
                <w:kern w:val="0"/>
                <w:sz w:val="20"/>
                <w:szCs w:val="20"/>
              </w:rPr>
            </w:pPr>
            <w:r>
              <w:rPr>
                <w:rFonts w:hint="eastAsia" w:ascii="宋体" w:hAnsi="宋体"/>
                <w:color w:val="auto"/>
                <w:kern w:val="0"/>
                <w:sz w:val="20"/>
                <w:szCs w:val="20"/>
              </w:rPr>
              <w:t>（三）与生产经营活动有关的器具、工具、家具等</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5</w:t>
            </w:r>
          </w:p>
        </w:tc>
        <w:tc>
          <w:tcPr>
            <w:tcW w:w="4536" w:type="dxa"/>
            <w:gridSpan w:val="2"/>
            <w:tcBorders>
              <w:tl2br w:val="nil"/>
              <w:tr2bl w:val="nil"/>
            </w:tcBorders>
            <w:noWrap w:val="0"/>
            <w:vAlign w:val="center"/>
          </w:tcPr>
          <w:p>
            <w:pPr>
              <w:widowControl/>
              <w:ind w:firstLine="200" w:firstLineChars="100"/>
              <w:jc w:val="left"/>
              <w:textAlignment w:val="center"/>
              <w:rPr>
                <w:rFonts w:hint="eastAsia" w:ascii="宋体" w:hAnsi="宋体"/>
                <w:color w:val="auto"/>
                <w:kern w:val="0"/>
                <w:sz w:val="20"/>
                <w:szCs w:val="20"/>
              </w:rPr>
            </w:pPr>
            <w:r>
              <w:rPr>
                <w:rFonts w:hint="eastAsia" w:ascii="宋体" w:hAnsi="宋体"/>
                <w:color w:val="auto"/>
                <w:kern w:val="0"/>
                <w:sz w:val="20"/>
                <w:szCs w:val="20"/>
              </w:rPr>
              <w:t>（四）飞机、火车、轮船以外的运输工具</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6</w:t>
            </w:r>
          </w:p>
        </w:tc>
        <w:tc>
          <w:tcPr>
            <w:tcW w:w="4536" w:type="dxa"/>
            <w:gridSpan w:val="2"/>
            <w:tcBorders>
              <w:tl2br w:val="nil"/>
              <w:tr2bl w:val="nil"/>
            </w:tcBorders>
            <w:noWrap w:val="0"/>
            <w:vAlign w:val="center"/>
          </w:tcPr>
          <w:p>
            <w:pPr>
              <w:widowControl/>
              <w:ind w:firstLine="200" w:firstLineChars="100"/>
              <w:jc w:val="left"/>
              <w:textAlignment w:val="center"/>
              <w:rPr>
                <w:rFonts w:hint="eastAsia" w:ascii="宋体" w:hAnsi="宋体"/>
                <w:color w:val="auto"/>
                <w:kern w:val="0"/>
                <w:sz w:val="20"/>
                <w:szCs w:val="20"/>
              </w:rPr>
            </w:pPr>
            <w:r>
              <w:rPr>
                <w:rFonts w:hint="eastAsia" w:ascii="宋体" w:hAnsi="宋体"/>
                <w:color w:val="auto"/>
                <w:kern w:val="0"/>
                <w:sz w:val="20"/>
                <w:szCs w:val="20"/>
              </w:rPr>
              <w:t>（五）电子设备</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7</w:t>
            </w:r>
          </w:p>
        </w:tc>
        <w:tc>
          <w:tcPr>
            <w:tcW w:w="4536" w:type="dxa"/>
            <w:gridSpan w:val="2"/>
            <w:tcBorders>
              <w:tl2br w:val="nil"/>
              <w:tr2bl w:val="nil"/>
            </w:tcBorders>
            <w:noWrap w:val="0"/>
            <w:vAlign w:val="center"/>
          </w:tcPr>
          <w:p>
            <w:pPr>
              <w:widowControl/>
              <w:ind w:firstLine="200" w:firstLineChars="100"/>
              <w:jc w:val="left"/>
              <w:textAlignment w:val="center"/>
              <w:rPr>
                <w:rFonts w:hint="eastAsia" w:ascii="宋体" w:hAnsi="宋体"/>
                <w:color w:val="auto"/>
                <w:kern w:val="0"/>
                <w:sz w:val="20"/>
                <w:szCs w:val="20"/>
              </w:rPr>
            </w:pPr>
            <w:r>
              <w:rPr>
                <w:rFonts w:hint="eastAsia" w:ascii="宋体" w:hAnsi="宋体"/>
                <w:color w:val="auto"/>
                <w:kern w:val="0"/>
                <w:sz w:val="20"/>
                <w:szCs w:val="20"/>
              </w:rPr>
              <w:t>（六）其他</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8</w:t>
            </w:r>
          </w:p>
        </w:tc>
        <w:tc>
          <w:tcPr>
            <w:tcW w:w="4536" w:type="dxa"/>
            <w:gridSpan w:val="2"/>
            <w:tcBorders>
              <w:tl2br w:val="nil"/>
              <w:tr2bl w:val="nil"/>
            </w:tcBorders>
            <w:noWrap w:val="0"/>
            <w:vAlign w:val="center"/>
          </w:tcPr>
          <w:p>
            <w:pPr>
              <w:widowControl/>
              <w:jc w:val="left"/>
              <w:textAlignment w:val="center"/>
              <w:rPr>
                <w:rFonts w:hint="eastAsia" w:ascii="宋体" w:hAnsi="宋体" w:eastAsia="宋体"/>
                <w:color w:val="auto"/>
                <w:sz w:val="20"/>
                <w:szCs w:val="20"/>
              </w:rPr>
            </w:pPr>
            <w:r>
              <w:rPr>
                <w:rFonts w:hint="eastAsia" w:ascii="宋体" w:hAnsi="宋体"/>
                <w:color w:val="auto"/>
                <w:kern w:val="0"/>
                <w:sz w:val="20"/>
                <w:szCs w:val="20"/>
              </w:rPr>
              <w:t>二、生产性生物资产（9＋10）</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9</w:t>
            </w:r>
          </w:p>
        </w:tc>
        <w:tc>
          <w:tcPr>
            <w:tcW w:w="4536" w:type="dxa"/>
            <w:gridSpan w:val="2"/>
            <w:tcBorders>
              <w:tl2br w:val="nil"/>
              <w:tr2bl w:val="nil"/>
            </w:tcBorders>
            <w:noWrap w:val="0"/>
            <w:vAlign w:val="center"/>
          </w:tcPr>
          <w:p>
            <w:pPr>
              <w:widowControl/>
              <w:ind w:firstLine="200" w:firstLineChars="100"/>
              <w:jc w:val="left"/>
              <w:textAlignment w:val="center"/>
              <w:rPr>
                <w:rFonts w:hint="eastAsia" w:ascii="宋体" w:hAnsi="宋体"/>
                <w:color w:val="auto"/>
                <w:sz w:val="20"/>
                <w:szCs w:val="20"/>
              </w:rPr>
            </w:pPr>
            <w:r>
              <w:rPr>
                <w:rFonts w:hint="eastAsia" w:ascii="宋体" w:hAnsi="宋体"/>
                <w:color w:val="auto"/>
                <w:kern w:val="0"/>
                <w:sz w:val="20"/>
                <w:szCs w:val="20"/>
              </w:rPr>
              <w:t>（一）林木类</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10</w:t>
            </w:r>
          </w:p>
        </w:tc>
        <w:tc>
          <w:tcPr>
            <w:tcW w:w="4536" w:type="dxa"/>
            <w:gridSpan w:val="2"/>
            <w:tcBorders>
              <w:tl2br w:val="nil"/>
              <w:tr2bl w:val="nil"/>
            </w:tcBorders>
            <w:noWrap w:val="0"/>
            <w:vAlign w:val="center"/>
          </w:tcPr>
          <w:p>
            <w:pPr>
              <w:widowControl/>
              <w:ind w:firstLine="200" w:firstLineChars="100"/>
              <w:jc w:val="left"/>
              <w:textAlignment w:val="center"/>
              <w:rPr>
                <w:rFonts w:hint="eastAsia" w:ascii="宋体" w:hAnsi="宋体"/>
                <w:color w:val="auto"/>
                <w:sz w:val="20"/>
                <w:szCs w:val="20"/>
              </w:rPr>
            </w:pPr>
            <w:r>
              <w:rPr>
                <w:rFonts w:hint="eastAsia" w:ascii="宋体" w:hAnsi="宋体"/>
                <w:color w:val="auto"/>
                <w:kern w:val="0"/>
                <w:sz w:val="20"/>
                <w:szCs w:val="20"/>
              </w:rPr>
              <w:t>（二）畜类</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11</w:t>
            </w:r>
          </w:p>
        </w:tc>
        <w:tc>
          <w:tcPr>
            <w:tcW w:w="4536" w:type="dxa"/>
            <w:gridSpan w:val="2"/>
            <w:tcBorders>
              <w:tl2br w:val="nil"/>
              <w:tr2bl w:val="nil"/>
            </w:tcBorders>
            <w:noWrap w:val="0"/>
            <w:vAlign w:val="center"/>
          </w:tcPr>
          <w:p>
            <w:pPr>
              <w:widowControl/>
              <w:jc w:val="left"/>
              <w:textAlignment w:val="center"/>
              <w:rPr>
                <w:rFonts w:hint="eastAsia" w:ascii="宋体" w:hAnsi="宋体" w:eastAsia="宋体"/>
                <w:color w:val="auto"/>
                <w:sz w:val="20"/>
                <w:szCs w:val="20"/>
              </w:rPr>
            </w:pPr>
            <w:r>
              <w:rPr>
                <w:rFonts w:hint="eastAsia" w:ascii="宋体" w:hAnsi="宋体"/>
                <w:color w:val="auto"/>
                <w:kern w:val="0"/>
                <w:sz w:val="20"/>
                <w:szCs w:val="20"/>
              </w:rPr>
              <w:t>三、无形资产（1</w:t>
            </w:r>
            <w:r>
              <w:rPr>
                <w:rFonts w:ascii="宋体" w:hAnsi="宋体"/>
                <w:color w:val="auto"/>
                <w:kern w:val="0"/>
                <w:sz w:val="20"/>
                <w:szCs w:val="20"/>
              </w:rPr>
              <w:t>2＋</w:t>
            </w:r>
            <w:r>
              <w:rPr>
                <w:rFonts w:hint="eastAsia" w:ascii="宋体" w:hAnsi="宋体"/>
                <w:color w:val="auto"/>
                <w:kern w:val="0"/>
                <w:sz w:val="20"/>
                <w:szCs w:val="20"/>
              </w:rPr>
              <w:t>1</w:t>
            </w:r>
            <w:r>
              <w:rPr>
                <w:rFonts w:ascii="宋体" w:hAnsi="宋体"/>
                <w:color w:val="auto"/>
                <w:kern w:val="0"/>
                <w:sz w:val="20"/>
                <w:szCs w:val="20"/>
              </w:rPr>
              <w:t>3＋</w:t>
            </w:r>
            <w:r>
              <w:rPr>
                <w:rFonts w:hint="eastAsia" w:ascii="宋体" w:hAnsi="宋体"/>
                <w:color w:val="auto"/>
                <w:kern w:val="0"/>
                <w:sz w:val="20"/>
                <w:szCs w:val="20"/>
              </w:rPr>
              <w:t>1</w:t>
            </w:r>
            <w:r>
              <w:rPr>
                <w:rFonts w:ascii="宋体" w:hAnsi="宋体"/>
                <w:color w:val="auto"/>
                <w:kern w:val="0"/>
                <w:sz w:val="20"/>
                <w:szCs w:val="20"/>
              </w:rPr>
              <w:t>4＋</w:t>
            </w:r>
            <w:r>
              <w:rPr>
                <w:rFonts w:hint="eastAsia" w:ascii="宋体" w:hAnsi="宋体"/>
                <w:color w:val="auto"/>
                <w:kern w:val="0"/>
                <w:sz w:val="20"/>
                <w:szCs w:val="20"/>
              </w:rPr>
              <w:t>1</w:t>
            </w:r>
            <w:r>
              <w:rPr>
                <w:rFonts w:ascii="宋体" w:hAnsi="宋体"/>
                <w:color w:val="auto"/>
                <w:kern w:val="0"/>
                <w:sz w:val="20"/>
                <w:szCs w:val="20"/>
              </w:rPr>
              <w:t>5＋</w:t>
            </w:r>
            <w:r>
              <w:rPr>
                <w:rFonts w:hint="eastAsia" w:ascii="宋体" w:hAnsi="宋体"/>
                <w:color w:val="auto"/>
                <w:kern w:val="0"/>
                <w:sz w:val="20"/>
                <w:szCs w:val="20"/>
              </w:rPr>
              <w:t>1</w:t>
            </w:r>
            <w:r>
              <w:rPr>
                <w:rFonts w:ascii="宋体" w:hAnsi="宋体"/>
                <w:color w:val="auto"/>
                <w:kern w:val="0"/>
                <w:sz w:val="20"/>
                <w:szCs w:val="20"/>
              </w:rPr>
              <w:t>6＋</w:t>
            </w:r>
            <w:r>
              <w:rPr>
                <w:rFonts w:hint="eastAsia" w:ascii="宋体" w:hAnsi="宋体"/>
                <w:color w:val="auto"/>
                <w:kern w:val="0"/>
                <w:sz w:val="20"/>
                <w:szCs w:val="20"/>
              </w:rPr>
              <w:t>1</w:t>
            </w:r>
            <w:r>
              <w:rPr>
                <w:rFonts w:ascii="宋体" w:hAnsi="宋体"/>
                <w:color w:val="auto"/>
                <w:kern w:val="0"/>
                <w:sz w:val="20"/>
                <w:szCs w:val="20"/>
              </w:rPr>
              <w:t>7＋</w:t>
            </w:r>
            <w:r>
              <w:rPr>
                <w:rFonts w:hint="eastAsia" w:ascii="宋体" w:hAnsi="宋体"/>
                <w:color w:val="auto"/>
                <w:kern w:val="0"/>
                <w:sz w:val="20"/>
                <w:szCs w:val="20"/>
              </w:rPr>
              <w:t>1</w:t>
            </w:r>
            <w:r>
              <w:rPr>
                <w:rFonts w:ascii="宋体" w:hAnsi="宋体"/>
                <w:color w:val="auto"/>
                <w:kern w:val="0"/>
                <w:sz w:val="20"/>
                <w:szCs w:val="20"/>
              </w:rPr>
              <w:t>8＋</w:t>
            </w:r>
            <w:r>
              <w:rPr>
                <w:rFonts w:hint="eastAsia" w:ascii="宋体" w:hAnsi="宋体"/>
                <w:color w:val="auto"/>
                <w:kern w:val="0"/>
                <w:sz w:val="20"/>
                <w:szCs w:val="20"/>
              </w:rPr>
              <w:t>1</w:t>
            </w:r>
            <w:r>
              <w:rPr>
                <w:rFonts w:ascii="宋体" w:hAnsi="宋体"/>
                <w:color w:val="auto"/>
                <w:kern w:val="0"/>
                <w:sz w:val="20"/>
                <w:szCs w:val="20"/>
              </w:rPr>
              <w:t>9</w:t>
            </w:r>
            <w:r>
              <w:rPr>
                <w:rFonts w:hint="eastAsia" w:ascii="宋体" w:hAnsi="宋体"/>
                <w:color w:val="auto"/>
                <w:kern w:val="0"/>
                <w:sz w:val="20"/>
                <w:szCs w:val="20"/>
              </w:rPr>
              <w:t>）</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12</w:t>
            </w:r>
          </w:p>
        </w:tc>
        <w:tc>
          <w:tcPr>
            <w:tcW w:w="4536" w:type="dxa"/>
            <w:gridSpan w:val="2"/>
            <w:tcBorders>
              <w:tl2br w:val="nil"/>
              <w:tr2bl w:val="nil"/>
            </w:tcBorders>
            <w:noWrap w:val="0"/>
            <w:vAlign w:val="center"/>
          </w:tcPr>
          <w:p>
            <w:pPr>
              <w:widowControl/>
              <w:ind w:firstLine="200" w:firstLineChars="100"/>
              <w:jc w:val="left"/>
              <w:textAlignment w:val="center"/>
              <w:rPr>
                <w:rFonts w:hint="eastAsia" w:ascii="宋体" w:hAnsi="宋体"/>
                <w:color w:val="auto"/>
                <w:sz w:val="20"/>
                <w:szCs w:val="20"/>
              </w:rPr>
            </w:pPr>
            <w:r>
              <w:rPr>
                <w:rFonts w:hint="eastAsia" w:ascii="宋体" w:hAnsi="宋体"/>
                <w:color w:val="auto"/>
                <w:kern w:val="0"/>
                <w:sz w:val="20"/>
                <w:szCs w:val="20"/>
              </w:rPr>
              <w:t>（一）专利权</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13</w:t>
            </w:r>
          </w:p>
        </w:tc>
        <w:tc>
          <w:tcPr>
            <w:tcW w:w="4536" w:type="dxa"/>
            <w:gridSpan w:val="2"/>
            <w:tcBorders>
              <w:tl2br w:val="nil"/>
              <w:tr2bl w:val="nil"/>
            </w:tcBorders>
            <w:noWrap w:val="0"/>
            <w:vAlign w:val="center"/>
          </w:tcPr>
          <w:p>
            <w:pPr>
              <w:widowControl/>
              <w:ind w:firstLine="200" w:firstLineChars="100"/>
              <w:jc w:val="left"/>
              <w:textAlignment w:val="center"/>
              <w:rPr>
                <w:rFonts w:hint="eastAsia" w:ascii="宋体" w:hAnsi="宋体"/>
                <w:color w:val="auto"/>
                <w:sz w:val="20"/>
                <w:szCs w:val="20"/>
              </w:rPr>
            </w:pPr>
            <w:r>
              <w:rPr>
                <w:rFonts w:hint="eastAsia" w:ascii="宋体" w:hAnsi="宋体"/>
                <w:color w:val="auto"/>
                <w:kern w:val="0"/>
                <w:sz w:val="20"/>
                <w:szCs w:val="20"/>
              </w:rPr>
              <w:t>（二）商标权</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14</w:t>
            </w:r>
          </w:p>
        </w:tc>
        <w:tc>
          <w:tcPr>
            <w:tcW w:w="4536" w:type="dxa"/>
            <w:gridSpan w:val="2"/>
            <w:tcBorders>
              <w:tl2br w:val="nil"/>
              <w:tr2bl w:val="nil"/>
            </w:tcBorders>
            <w:noWrap w:val="0"/>
            <w:vAlign w:val="center"/>
          </w:tcPr>
          <w:p>
            <w:pPr>
              <w:widowControl/>
              <w:ind w:firstLine="200" w:firstLineChars="100"/>
              <w:jc w:val="left"/>
              <w:textAlignment w:val="center"/>
              <w:rPr>
                <w:rFonts w:hint="eastAsia" w:ascii="宋体" w:hAnsi="宋体"/>
                <w:color w:val="auto"/>
                <w:sz w:val="20"/>
                <w:szCs w:val="20"/>
              </w:rPr>
            </w:pPr>
            <w:r>
              <w:rPr>
                <w:rFonts w:hint="eastAsia" w:ascii="宋体" w:hAnsi="宋体"/>
                <w:color w:val="auto"/>
                <w:kern w:val="0"/>
                <w:sz w:val="20"/>
                <w:szCs w:val="20"/>
              </w:rPr>
              <w:t>（三）著作权</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15</w:t>
            </w:r>
          </w:p>
        </w:tc>
        <w:tc>
          <w:tcPr>
            <w:tcW w:w="4536" w:type="dxa"/>
            <w:gridSpan w:val="2"/>
            <w:tcBorders>
              <w:tl2br w:val="nil"/>
              <w:tr2bl w:val="nil"/>
            </w:tcBorders>
            <w:noWrap w:val="0"/>
            <w:vAlign w:val="center"/>
          </w:tcPr>
          <w:p>
            <w:pPr>
              <w:widowControl/>
              <w:ind w:firstLine="200" w:firstLineChars="100"/>
              <w:jc w:val="left"/>
              <w:textAlignment w:val="center"/>
              <w:rPr>
                <w:rFonts w:hint="eastAsia" w:ascii="宋体" w:hAnsi="宋体"/>
                <w:color w:val="auto"/>
                <w:sz w:val="20"/>
                <w:szCs w:val="20"/>
              </w:rPr>
            </w:pPr>
            <w:r>
              <w:rPr>
                <w:rFonts w:hint="eastAsia" w:ascii="宋体" w:hAnsi="宋体"/>
                <w:color w:val="auto"/>
                <w:kern w:val="0"/>
                <w:sz w:val="20"/>
                <w:szCs w:val="20"/>
              </w:rPr>
              <w:t>（四）土地使用权</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16</w:t>
            </w:r>
          </w:p>
        </w:tc>
        <w:tc>
          <w:tcPr>
            <w:tcW w:w="4536" w:type="dxa"/>
            <w:gridSpan w:val="2"/>
            <w:tcBorders>
              <w:tl2br w:val="nil"/>
              <w:tr2bl w:val="nil"/>
            </w:tcBorders>
            <w:noWrap w:val="0"/>
            <w:vAlign w:val="center"/>
          </w:tcPr>
          <w:p>
            <w:pPr>
              <w:widowControl/>
              <w:ind w:firstLine="200" w:firstLineChars="100"/>
              <w:jc w:val="left"/>
              <w:textAlignment w:val="center"/>
              <w:rPr>
                <w:rFonts w:hint="eastAsia" w:ascii="宋体" w:hAnsi="宋体"/>
                <w:color w:val="auto"/>
                <w:sz w:val="20"/>
                <w:szCs w:val="20"/>
              </w:rPr>
            </w:pPr>
            <w:r>
              <w:rPr>
                <w:rFonts w:hint="eastAsia" w:ascii="宋体" w:hAnsi="宋体"/>
                <w:color w:val="auto"/>
                <w:kern w:val="0"/>
                <w:sz w:val="20"/>
                <w:szCs w:val="20"/>
              </w:rPr>
              <w:t>（五）非专利技术</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17</w:t>
            </w:r>
          </w:p>
        </w:tc>
        <w:tc>
          <w:tcPr>
            <w:tcW w:w="4536" w:type="dxa"/>
            <w:gridSpan w:val="2"/>
            <w:tcBorders>
              <w:tl2br w:val="nil"/>
              <w:tr2bl w:val="nil"/>
            </w:tcBorders>
            <w:noWrap w:val="0"/>
            <w:vAlign w:val="center"/>
          </w:tcPr>
          <w:p>
            <w:pPr>
              <w:widowControl/>
              <w:ind w:firstLine="200" w:firstLineChars="100"/>
              <w:jc w:val="left"/>
              <w:textAlignment w:val="center"/>
              <w:rPr>
                <w:rFonts w:hint="eastAsia" w:ascii="宋体" w:hAnsi="宋体"/>
                <w:color w:val="auto"/>
                <w:sz w:val="20"/>
                <w:szCs w:val="20"/>
              </w:rPr>
            </w:pPr>
            <w:r>
              <w:rPr>
                <w:rFonts w:hint="eastAsia" w:ascii="宋体" w:hAnsi="宋体"/>
                <w:color w:val="auto"/>
                <w:kern w:val="0"/>
                <w:sz w:val="20"/>
                <w:szCs w:val="20"/>
              </w:rPr>
              <w:t>（六）特许权使用费</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18</w:t>
            </w:r>
          </w:p>
        </w:tc>
        <w:tc>
          <w:tcPr>
            <w:tcW w:w="4536" w:type="dxa"/>
            <w:gridSpan w:val="2"/>
            <w:tcBorders>
              <w:tl2br w:val="nil"/>
              <w:tr2bl w:val="nil"/>
            </w:tcBorders>
            <w:noWrap w:val="0"/>
            <w:vAlign w:val="center"/>
          </w:tcPr>
          <w:p>
            <w:pPr>
              <w:widowControl/>
              <w:ind w:firstLine="200" w:firstLineChars="100"/>
              <w:jc w:val="left"/>
              <w:textAlignment w:val="center"/>
              <w:rPr>
                <w:rFonts w:hint="eastAsia" w:ascii="宋体" w:hAnsi="宋体"/>
                <w:color w:val="auto"/>
                <w:sz w:val="20"/>
                <w:szCs w:val="20"/>
              </w:rPr>
            </w:pPr>
            <w:r>
              <w:rPr>
                <w:rFonts w:hint="eastAsia" w:ascii="宋体" w:hAnsi="宋体"/>
                <w:color w:val="auto"/>
                <w:kern w:val="0"/>
                <w:sz w:val="20"/>
                <w:szCs w:val="20"/>
              </w:rPr>
              <w:t>（七）软件</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19</w:t>
            </w:r>
          </w:p>
        </w:tc>
        <w:tc>
          <w:tcPr>
            <w:tcW w:w="4536" w:type="dxa"/>
            <w:gridSpan w:val="2"/>
            <w:tcBorders>
              <w:tl2br w:val="nil"/>
              <w:tr2bl w:val="nil"/>
            </w:tcBorders>
            <w:noWrap w:val="0"/>
            <w:vAlign w:val="center"/>
          </w:tcPr>
          <w:p>
            <w:pPr>
              <w:widowControl/>
              <w:ind w:firstLine="200" w:firstLineChars="100"/>
              <w:jc w:val="left"/>
              <w:textAlignment w:val="center"/>
              <w:rPr>
                <w:rFonts w:hint="eastAsia" w:ascii="宋体" w:hAnsi="宋体"/>
                <w:color w:val="auto"/>
                <w:sz w:val="20"/>
                <w:szCs w:val="20"/>
              </w:rPr>
            </w:pPr>
            <w:r>
              <w:rPr>
                <w:rFonts w:hint="eastAsia" w:ascii="宋体" w:hAnsi="宋体"/>
                <w:color w:val="auto"/>
                <w:kern w:val="0"/>
                <w:sz w:val="20"/>
                <w:szCs w:val="20"/>
              </w:rPr>
              <w:t>（八）其他</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20</w:t>
            </w:r>
          </w:p>
        </w:tc>
        <w:tc>
          <w:tcPr>
            <w:tcW w:w="4536" w:type="dxa"/>
            <w:gridSpan w:val="2"/>
            <w:tcBorders>
              <w:tl2br w:val="nil"/>
              <w:tr2bl w:val="nil"/>
            </w:tcBorders>
            <w:noWrap w:val="0"/>
            <w:vAlign w:val="center"/>
          </w:tcPr>
          <w:p>
            <w:pPr>
              <w:widowControl/>
              <w:jc w:val="left"/>
              <w:textAlignment w:val="center"/>
              <w:rPr>
                <w:rFonts w:hint="eastAsia" w:ascii="宋体" w:hAnsi="宋体" w:eastAsia="宋体"/>
                <w:color w:val="auto"/>
                <w:sz w:val="20"/>
                <w:szCs w:val="20"/>
              </w:rPr>
            </w:pPr>
            <w:r>
              <w:rPr>
                <w:rFonts w:hint="eastAsia" w:ascii="宋体" w:hAnsi="宋体"/>
                <w:color w:val="auto"/>
                <w:kern w:val="0"/>
                <w:sz w:val="20"/>
                <w:szCs w:val="20"/>
              </w:rPr>
              <w:t>四、长期待摊费用（21</w:t>
            </w:r>
            <w:r>
              <w:rPr>
                <w:rFonts w:ascii="宋体" w:hAnsi="宋体"/>
                <w:color w:val="auto"/>
                <w:kern w:val="0"/>
                <w:sz w:val="20"/>
                <w:szCs w:val="20"/>
              </w:rPr>
              <w:t>＋</w:t>
            </w:r>
            <w:r>
              <w:rPr>
                <w:rFonts w:hint="eastAsia" w:ascii="宋体" w:hAnsi="宋体"/>
                <w:color w:val="auto"/>
                <w:kern w:val="0"/>
                <w:sz w:val="20"/>
                <w:szCs w:val="20"/>
              </w:rPr>
              <w:t>22</w:t>
            </w:r>
            <w:r>
              <w:rPr>
                <w:rFonts w:ascii="宋体" w:hAnsi="宋体"/>
                <w:color w:val="auto"/>
                <w:kern w:val="0"/>
                <w:sz w:val="20"/>
                <w:szCs w:val="20"/>
              </w:rPr>
              <w:t>＋</w:t>
            </w:r>
            <w:r>
              <w:rPr>
                <w:rFonts w:hint="eastAsia" w:ascii="宋体" w:hAnsi="宋体"/>
                <w:color w:val="auto"/>
                <w:kern w:val="0"/>
                <w:sz w:val="20"/>
                <w:szCs w:val="20"/>
              </w:rPr>
              <w:t>23</w:t>
            </w:r>
            <w:r>
              <w:rPr>
                <w:rFonts w:ascii="宋体" w:hAnsi="宋体"/>
                <w:color w:val="auto"/>
                <w:kern w:val="0"/>
                <w:sz w:val="20"/>
                <w:szCs w:val="20"/>
              </w:rPr>
              <w:t>＋</w:t>
            </w:r>
            <w:r>
              <w:rPr>
                <w:rFonts w:hint="eastAsia" w:ascii="宋体" w:hAnsi="宋体"/>
                <w:color w:val="auto"/>
                <w:kern w:val="0"/>
                <w:sz w:val="20"/>
                <w:szCs w:val="20"/>
              </w:rPr>
              <w:t>24</w:t>
            </w:r>
            <w:r>
              <w:rPr>
                <w:rFonts w:ascii="宋体" w:hAnsi="宋体"/>
                <w:color w:val="auto"/>
                <w:kern w:val="0"/>
                <w:sz w:val="20"/>
                <w:szCs w:val="20"/>
              </w:rPr>
              <w:t>＋</w:t>
            </w:r>
            <w:r>
              <w:rPr>
                <w:rFonts w:hint="eastAsia" w:ascii="宋体" w:hAnsi="宋体"/>
                <w:color w:val="auto"/>
                <w:kern w:val="0"/>
                <w:sz w:val="20"/>
                <w:szCs w:val="20"/>
              </w:rPr>
              <w:t>25）</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21</w:t>
            </w:r>
          </w:p>
        </w:tc>
        <w:tc>
          <w:tcPr>
            <w:tcW w:w="4536" w:type="dxa"/>
            <w:gridSpan w:val="2"/>
            <w:tcBorders>
              <w:tl2br w:val="nil"/>
              <w:tr2bl w:val="nil"/>
            </w:tcBorders>
            <w:noWrap w:val="0"/>
            <w:vAlign w:val="center"/>
          </w:tcPr>
          <w:p>
            <w:pPr>
              <w:widowControl/>
              <w:ind w:firstLine="200" w:firstLineChars="100"/>
              <w:jc w:val="left"/>
              <w:textAlignment w:val="center"/>
              <w:rPr>
                <w:rFonts w:hint="eastAsia" w:ascii="宋体" w:hAnsi="宋体"/>
                <w:color w:val="auto"/>
                <w:sz w:val="20"/>
                <w:szCs w:val="20"/>
              </w:rPr>
            </w:pPr>
            <w:r>
              <w:rPr>
                <w:rFonts w:hint="eastAsia" w:ascii="宋体" w:hAnsi="宋体"/>
                <w:color w:val="auto"/>
                <w:kern w:val="0"/>
                <w:sz w:val="20"/>
                <w:szCs w:val="20"/>
              </w:rPr>
              <w:t>（一）已足额提取折旧的固定资产的改建支出</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22</w:t>
            </w:r>
          </w:p>
        </w:tc>
        <w:tc>
          <w:tcPr>
            <w:tcW w:w="4536" w:type="dxa"/>
            <w:gridSpan w:val="2"/>
            <w:tcBorders>
              <w:tl2br w:val="nil"/>
              <w:tr2bl w:val="nil"/>
            </w:tcBorders>
            <w:noWrap w:val="0"/>
            <w:vAlign w:val="center"/>
          </w:tcPr>
          <w:p>
            <w:pPr>
              <w:widowControl/>
              <w:ind w:firstLine="200" w:firstLineChars="100"/>
              <w:jc w:val="left"/>
              <w:textAlignment w:val="center"/>
              <w:rPr>
                <w:rFonts w:hint="eastAsia" w:ascii="宋体" w:hAnsi="宋体"/>
                <w:color w:val="auto"/>
                <w:sz w:val="20"/>
                <w:szCs w:val="20"/>
              </w:rPr>
            </w:pPr>
            <w:r>
              <w:rPr>
                <w:rFonts w:hint="eastAsia" w:ascii="宋体" w:hAnsi="宋体"/>
                <w:color w:val="auto"/>
                <w:kern w:val="0"/>
                <w:sz w:val="20"/>
                <w:szCs w:val="20"/>
              </w:rPr>
              <w:t>（二）租入固定资产的改建支出</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23</w:t>
            </w:r>
          </w:p>
        </w:tc>
        <w:tc>
          <w:tcPr>
            <w:tcW w:w="4536" w:type="dxa"/>
            <w:gridSpan w:val="2"/>
            <w:tcBorders>
              <w:tl2br w:val="nil"/>
              <w:tr2bl w:val="nil"/>
            </w:tcBorders>
            <w:noWrap w:val="0"/>
            <w:vAlign w:val="center"/>
          </w:tcPr>
          <w:p>
            <w:pPr>
              <w:widowControl/>
              <w:ind w:firstLine="200" w:firstLineChars="100"/>
              <w:jc w:val="left"/>
              <w:textAlignment w:val="center"/>
              <w:rPr>
                <w:rFonts w:hint="eastAsia" w:ascii="宋体" w:hAnsi="宋体"/>
                <w:color w:val="auto"/>
                <w:sz w:val="20"/>
                <w:szCs w:val="20"/>
              </w:rPr>
            </w:pPr>
            <w:r>
              <w:rPr>
                <w:rFonts w:hint="eastAsia" w:ascii="宋体" w:hAnsi="宋体"/>
                <w:color w:val="auto"/>
                <w:kern w:val="0"/>
                <w:sz w:val="20"/>
                <w:szCs w:val="20"/>
              </w:rPr>
              <w:t>（三）固定资产的大修理支出</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24</w:t>
            </w:r>
          </w:p>
        </w:tc>
        <w:tc>
          <w:tcPr>
            <w:tcW w:w="4536" w:type="dxa"/>
            <w:gridSpan w:val="2"/>
            <w:tcBorders>
              <w:tl2br w:val="nil"/>
              <w:tr2bl w:val="nil"/>
            </w:tcBorders>
            <w:noWrap w:val="0"/>
            <w:vAlign w:val="center"/>
          </w:tcPr>
          <w:p>
            <w:pPr>
              <w:widowControl/>
              <w:ind w:firstLine="200" w:firstLineChars="100"/>
              <w:jc w:val="left"/>
              <w:textAlignment w:val="center"/>
              <w:rPr>
                <w:rFonts w:hint="eastAsia" w:ascii="宋体" w:hAnsi="宋体"/>
                <w:color w:val="auto"/>
                <w:sz w:val="20"/>
                <w:szCs w:val="20"/>
              </w:rPr>
            </w:pPr>
            <w:r>
              <w:rPr>
                <w:rFonts w:hint="eastAsia" w:ascii="宋体" w:hAnsi="宋体"/>
                <w:color w:val="auto"/>
                <w:kern w:val="0"/>
                <w:sz w:val="20"/>
                <w:szCs w:val="20"/>
              </w:rPr>
              <w:t>（四）开办费</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top"/>
          </w:tcPr>
          <w:p>
            <w:pPr>
              <w:widowControl/>
              <w:jc w:val="center"/>
              <w:textAlignment w:val="center"/>
              <w:rPr>
                <w:rFonts w:hint="eastAsia" w:ascii="宋体" w:hAnsi="宋体"/>
                <w:color w:val="auto"/>
                <w:sz w:val="20"/>
                <w:szCs w:val="20"/>
              </w:rPr>
            </w:pPr>
            <w:r>
              <w:rPr>
                <w:rFonts w:ascii="宋体" w:hAnsi="宋体"/>
                <w:color w:val="auto"/>
              </w:rPr>
              <w:t>25</w:t>
            </w:r>
          </w:p>
        </w:tc>
        <w:tc>
          <w:tcPr>
            <w:tcW w:w="4536" w:type="dxa"/>
            <w:gridSpan w:val="2"/>
            <w:tcBorders>
              <w:tl2br w:val="nil"/>
              <w:tr2bl w:val="nil"/>
            </w:tcBorders>
            <w:noWrap w:val="0"/>
            <w:vAlign w:val="center"/>
          </w:tcPr>
          <w:p>
            <w:pPr>
              <w:widowControl/>
              <w:ind w:firstLine="200" w:firstLineChars="100"/>
              <w:jc w:val="left"/>
              <w:textAlignment w:val="center"/>
              <w:rPr>
                <w:rFonts w:hint="eastAsia" w:ascii="宋体" w:hAnsi="宋体"/>
                <w:color w:val="auto"/>
                <w:sz w:val="20"/>
                <w:szCs w:val="20"/>
              </w:rPr>
            </w:pPr>
            <w:r>
              <w:rPr>
                <w:rFonts w:hint="eastAsia" w:ascii="宋体" w:hAnsi="宋体"/>
                <w:color w:val="auto"/>
                <w:kern w:val="0"/>
                <w:sz w:val="20"/>
                <w:szCs w:val="20"/>
              </w:rPr>
              <w:t>（五）其他</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sz w:val="20"/>
                <w:szCs w:val="20"/>
              </w:rPr>
              <w:t>26</w:t>
            </w:r>
          </w:p>
        </w:tc>
        <w:tc>
          <w:tcPr>
            <w:tcW w:w="4536" w:type="dxa"/>
            <w:gridSpan w:val="2"/>
            <w:tcBorders>
              <w:tl2br w:val="nil"/>
              <w:tr2bl w:val="nil"/>
            </w:tcBorders>
            <w:noWrap w:val="0"/>
            <w:vAlign w:val="center"/>
          </w:tcPr>
          <w:p>
            <w:pPr>
              <w:widowControl/>
              <w:jc w:val="left"/>
              <w:textAlignment w:val="center"/>
              <w:rPr>
                <w:rFonts w:hint="eastAsia" w:ascii="宋体" w:hAnsi="宋体"/>
                <w:color w:val="auto"/>
                <w:sz w:val="20"/>
                <w:szCs w:val="20"/>
              </w:rPr>
            </w:pPr>
            <w:r>
              <w:rPr>
                <w:rFonts w:hint="eastAsia" w:ascii="宋体" w:hAnsi="宋体"/>
                <w:color w:val="auto"/>
                <w:kern w:val="0"/>
                <w:sz w:val="20"/>
                <w:szCs w:val="20"/>
              </w:rPr>
              <w:t>五、油气勘探投资</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sz w:val="20"/>
                <w:szCs w:val="20"/>
              </w:rPr>
              <w:t>27</w:t>
            </w:r>
          </w:p>
        </w:tc>
        <w:tc>
          <w:tcPr>
            <w:tcW w:w="4536" w:type="dxa"/>
            <w:gridSpan w:val="2"/>
            <w:tcBorders>
              <w:tl2br w:val="nil"/>
              <w:tr2bl w:val="nil"/>
            </w:tcBorders>
            <w:noWrap w:val="0"/>
            <w:vAlign w:val="center"/>
          </w:tcPr>
          <w:p>
            <w:pPr>
              <w:widowControl/>
              <w:jc w:val="left"/>
              <w:textAlignment w:val="center"/>
              <w:rPr>
                <w:rFonts w:hint="eastAsia" w:ascii="宋体" w:hAnsi="宋体"/>
                <w:color w:val="auto"/>
                <w:sz w:val="20"/>
                <w:szCs w:val="20"/>
              </w:rPr>
            </w:pPr>
            <w:r>
              <w:rPr>
                <w:rFonts w:hint="eastAsia" w:ascii="宋体" w:hAnsi="宋体"/>
                <w:color w:val="auto"/>
                <w:kern w:val="0"/>
                <w:sz w:val="20"/>
                <w:szCs w:val="20"/>
              </w:rPr>
              <w:t>六、油气开发投资</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hint="eastAsia" w:ascii="宋体" w:hAnsi="宋体"/>
                <w:color w:val="auto"/>
                <w:sz w:val="20"/>
                <w:szCs w:val="20"/>
              </w:rPr>
              <w:t>28</w:t>
            </w:r>
          </w:p>
        </w:tc>
        <w:tc>
          <w:tcPr>
            <w:tcW w:w="1843" w:type="dxa"/>
            <w:vMerge w:val="restart"/>
            <w:tcBorders>
              <w:tl2br w:val="nil"/>
              <w:tr2bl w:val="nil"/>
            </w:tcBorders>
            <w:noWrap w:val="0"/>
            <w:vAlign w:val="center"/>
          </w:tcPr>
          <w:p>
            <w:pPr>
              <w:widowControl/>
              <w:autoSpaceDE w:val="0"/>
              <w:spacing w:line="240" w:lineRule="exact"/>
              <w:textAlignment w:val="center"/>
              <w:rPr>
                <w:rFonts w:hint="eastAsia" w:ascii="宋体" w:hAnsi="宋体"/>
                <w:color w:val="auto"/>
                <w:sz w:val="20"/>
                <w:szCs w:val="20"/>
              </w:rPr>
            </w:pPr>
            <w:r>
              <w:rPr>
                <w:rFonts w:hint="eastAsia" w:ascii="宋体" w:hAnsi="宋体"/>
                <w:color w:val="auto"/>
                <w:kern w:val="0"/>
                <w:sz w:val="20"/>
                <w:szCs w:val="20"/>
              </w:rPr>
              <w:t>享受资产加速折旧（摊销）及一次性扣除（摊销）政策的资产加速折旧（摊销）额大于一般折旧（摊销）额的部分</w:t>
            </w:r>
          </w:p>
        </w:tc>
        <w:tc>
          <w:tcPr>
            <w:tcW w:w="2693" w:type="dxa"/>
            <w:tcBorders>
              <w:tl2br w:val="nil"/>
              <w:tr2bl w:val="nil"/>
            </w:tcBorders>
            <w:noWrap w:val="0"/>
            <w:vAlign w:val="center"/>
          </w:tcPr>
          <w:p>
            <w:pPr>
              <w:widowControl/>
              <w:jc w:val="left"/>
              <w:textAlignment w:val="center"/>
              <w:rPr>
                <w:rFonts w:hint="eastAsia" w:ascii="宋体" w:hAnsi="宋体" w:eastAsia="宋体"/>
                <w:color w:val="auto"/>
                <w:sz w:val="20"/>
                <w:szCs w:val="20"/>
              </w:rPr>
            </w:pPr>
            <w:r>
              <w:rPr>
                <w:rFonts w:hint="eastAsia" w:ascii="宋体" w:hAnsi="宋体"/>
                <w:color w:val="auto"/>
                <w:kern w:val="0"/>
                <w:sz w:val="20"/>
                <w:szCs w:val="20"/>
              </w:rPr>
              <w:t>（一）加速折旧（摊销）</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jc w:val="center"/>
              <w:rPr>
                <w:rFonts w:hint="eastAsia" w:ascii="宋体" w:hAnsi="宋体"/>
                <w:color w:val="auto"/>
                <w:sz w:val="20"/>
                <w:szCs w:val="20"/>
              </w:rPr>
            </w:pPr>
          </w:p>
        </w:tc>
        <w:tc>
          <w:tcPr>
            <w:tcW w:w="1296" w:type="dxa"/>
            <w:tcBorders>
              <w:tl2br w:val="nil"/>
              <w:tr2bl w:val="nil"/>
            </w:tcBorders>
            <w:noWrap w:val="0"/>
            <w:vAlign w:val="center"/>
          </w:tcPr>
          <w:p>
            <w:pPr>
              <w:jc w:val="center"/>
              <w:rPr>
                <w:rFonts w:hint="eastAsia" w:ascii="宋体" w:hAnsi="宋体"/>
                <w:color w:val="auto"/>
                <w:sz w:val="20"/>
                <w:szCs w:val="20"/>
              </w:rPr>
            </w:pP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2</w:t>
            </w:r>
            <w:r>
              <w:rPr>
                <w:rFonts w:hint="eastAsia" w:ascii="宋体" w:hAnsi="宋体"/>
                <w:color w:val="auto"/>
                <w:kern w:val="0"/>
                <w:sz w:val="20"/>
                <w:szCs w:val="20"/>
              </w:rPr>
              <w:t>8</w:t>
            </w:r>
            <w:r>
              <w:rPr>
                <w:rFonts w:ascii="宋体" w:hAnsi="宋体"/>
                <w:color w:val="auto"/>
                <w:kern w:val="0"/>
                <w:sz w:val="20"/>
                <w:szCs w:val="20"/>
              </w:rPr>
              <w:t>.1</w:t>
            </w:r>
          </w:p>
        </w:tc>
        <w:tc>
          <w:tcPr>
            <w:tcW w:w="1843" w:type="dxa"/>
            <w:vMerge w:val="continue"/>
            <w:tcBorders>
              <w:tl2br w:val="nil"/>
              <w:tr2bl w:val="nil"/>
            </w:tcBorders>
            <w:noWrap w:val="0"/>
            <w:vAlign w:val="center"/>
          </w:tcPr>
          <w:p>
            <w:pPr>
              <w:widowControl/>
              <w:jc w:val="left"/>
              <w:rPr>
                <w:rFonts w:hint="eastAsia" w:ascii="宋体" w:hAnsi="宋体"/>
                <w:color w:val="auto"/>
                <w:sz w:val="20"/>
                <w:szCs w:val="20"/>
              </w:rPr>
            </w:pPr>
          </w:p>
        </w:tc>
        <w:tc>
          <w:tcPr>
            <w:tcW w:w="2693" w:type="dxa"/>
            <w:tcBorders>
              <w:tl2br w:val="nil"/>
              <w:tr2bl w:val="nil"/>
            </w:tcBorders>
            <w:noWrap w:val="0"/>
            <w:vAlign w:val="center"/>
          </w:tcPr>
          <w:p>
            <w:pPr>
              <w:widowControl/>
              <w:jc w:val="left"/>
              <w:textAlignment w:val="center"/>
              <w:rPr>
                <w:rFonts w:hint="eastAsia" w:ascii="宋体" w:hAnsi="宋体" w:eastAsia="宋体"/>
                <w:color w:val="auto"/>
                <w:sz w:val="20"/>
                <w:szCs w:val="20"/>
              </w:rPr>
            </w:pPr>
            <w:r>
              <w:rPr>
                <w:rFonts w:hint="eastAsia" w:ascii="宋体" w:hAnsi="宋体"/>
                <w:color w:val="auto"/>
                <w:sz w:val="20"/>
                <w:szCs w:val="20"/>
              </w:rPr>
              <w:t>（填写优惠事项名称）</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jc w:val="center"/>
              <w:rPr>
                <w:rFonts w:hint="eastAsia" w:ascii="宋体" w:hAnsi="宋体"/>
                <w:color w:val="auto"/>
                <w:sz w:val="20"/>
                <w:szCs w:val="20"/>
              </w:rPr>
            </w:pPr>
          </w:p>
        </w:tc>
        <w:tc>
          <w:tcPr>
            <w:tcW w:w="1296" w:type="dxa"/>
            <w:tcBorders>
              <w:tl2br w:val="nil"/>
              <w:tr2bl w:val="nil"/>
            </w:tcBorders>
            <w:noWrap w:val="0"/>
            <w:vAlign w:val="center"/>
          </w:tcPr>
          <w:p>
            <w:pPr>
              <w:jc w:val="center"/>
              <w:rPr>
                <w:rFonts w:hint="eastAsia" w:ascii="宋体" w:hAnsi="宋体"/>
                <w:color w:val="auto"/>
                <w:sz w:val="20"/>
                <w:szCs w:val="20"/>
              </w:rPr>
            </w:pP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center"/>
          </w:tcPr>
          <w:p>
            <w:pPr>
              <w:widowControl/>
              <w:jc w:val="center"/>
              <w:textAlignment w:val="center"/>
              <w:rPr>
                <w:rFonts w:hint="eastAsia" w:ascii="宋体" w:hAnsi="宋体"/>
                <w:color w:val="auto"/>
                <w:kern w:val="0"/>
                <w:sz w:val="20"/>
                <w:szCs w:val="20"/>
              </w:rPr>
            </w:pPr>
            <w:r>
              <w:rPr>
                <w:rFonts w:hint="eastAsia" w:ascii="宋体" w:hAnsi="宋体"/>
                <w:color w:val="auto"/>
                <w:kern w:val="0"/>
                <w:sz w:val="20"/>
                <w:szCs w:val="20"/>
              </w:rPr>
              <w:t>28.2</w:t>
            </w:r>
          </w:p>
        </w:tc>
        <w:tc>
          <w:tcPr>
            <w:tcW w:w="1843" w:type="dxa"/>
            <w:vMerge w:val="continue"/>
            <w:tcBorders>
              <w:tl2br w:val="nil"/>
              <w:tr2bl w:val="nil"/>
            </w:tcBorders>
            <w:noWrap w:val="0"/>
            <w:vAlign w:val="center"/>
          </w:tcPr>
          <w:p>
            <w:pPr>
              <w:widowControl/>
              <w:jc w:val="left"/>
              <w:rPr>
                <w:rFonts w:hint="eastAsia" w:ascii="宋体" w:hAnsi="宋体"/>
                <w:color w:val="auto"/>
                <w:sz w:val="20"/>
                <w:szCs w:val="20"/>
              </w:rPr>
            </w:pPr>
          </w:p>
        </w:tc>
        <w:tc>
          <w:tcPr>
            <w:tcW w:w="2693" w:type="dxa"/>
            <w:tcBorders>
              <w:tl2br w:val="nil"/>
              <w:tr2bl w:val="nil"/>
            </w:tcBorders>
            <w:noWrap w:val="0"/>
            <w:vAlign w:val="center"/>
          </w:tcPr>
          <w:p>
            <w:pPr>
              <w:widowControl/>
              <w:jc w:val="left"/>
              <w:textAlignment w:val="center"/>
              <w:rPr>
                <w:rFonts w:hint="eastAsia" w:ascii="宋体" w:hAnsi="宋体"/>
                <w:color w:val="auto"/>
                <w:sz w:val="20"/>
                <w:szCs w:val="20"/>
              </w:rPr>
            </w:pPr>
            <w:r>
              <w:rPr>
                <w:rFonts w:hint="eastAsia" w:ascii="宋体" w:hAnsi="宋体"/>
                <w:color w:val="auto"/>
                <w:sz w:val="20"/>
                <w:szCs w:val="20"/>
              </w:rPr>
              <w:t>（填写优惠事项名称）</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jc w:val="center"/>
              <w:rPr>
                <w:rFonts w:hint="eastAsia" w:ascii="宋体" w:hAnsi="宋体"/>
                <w:color w:val="auto"/>
                <w:sz w:val="20"/>
                <w:szCs w:val="20"/>
              </w:rPr>
            </w:pPr>
          </w:p>
        </w:tc>
        <w:tc>
          <w:tcPr>
            <w:tcW w:w="1296" w:type="dxa"/>
            <w:tcBorders>
              <w:tl2br w:val="nil"/>
              <w:tr2bl w:val="nil"/>
            </w:tcBorders>
            <w:noWrap w:val="0"/>
            <w:vAlign w:val="center"/>
          </w:tcPr>
          <w:p>
            <w:pPr>
              <w:jc w:val="center"/>
              <w:rPr>
                <w:rFonts w:hint="eastAsia" w:ascii="宋体" w:hAnsi="宋体"/>
                <w:color w:val="auto"/>
                <w:sz w:val="20"/>
                <w:szCs w:val="20"/>
              </w:rPr>
            </w:pP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widowControl/>
              <w:jc w:val="center"/>
              <w:textAlignment w:val="center"/>
              <w:rPr>
                <w:rFonts w:hint="eastAsia" w:ascii="宋体" w:hAnsi="宋体"/>
                <w:color w:val="auto"/>
                <w:kern w:val="0"/>
                <w:sz w:val="20"/>
                <w:szCs w:val="20"/>
              </w:rPr>
            </w:pPr>
            <w:r>
              <w:rPr>
                <w:rFonts w:ascii="宋体" w:hAnsi="宋体"/>
                <w:color w:val="auto"/>
                <w:kern w:val="0"/>
                <w:sz w:val="20"/>
                <w:szCs w:val="20"/>
              </w:rPr>
              <w:t>*</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hint="eastAsia" w:ascii="宋体" w:hAnsi="宋体"/>
                <w:color w:val="auto"/>
                <w:sz w:val="20"/>
                <w:szCs w:val="20"/>
              </w:rPr>
              <w:t>29</w:t>
            </w:r>
          </w:p>
        </w:tc>
        <w:tc>
          <w:tcPr>
            <w:tcW w:w="1843" w:type="dxa"/>
            <w:vMerge w:val="continue"/>
            <w:tcBorders>
              <w:tl2br w:val="nil"/>
              <w:tr2bl w:val="nil"/>
            </w:tcBorders>
            <w:noWrap w:val="0"/>
            <w:vAlign w:val="center"/>
          </w:tcPr>
          <w:p>
            <w:pPr>
              <w:widowControl/>
              <w:jc w:val="left"/>
              <w:rPr>
                <w:rFonts w:hint="eastAsia" w:ascii="宋体" w:hAnsi="宋体"/>
                <w:color w:val="auto"/>
                <w:sz w:val="20"/>
                <w:szCs w:val="20"/>
              </w:rPr>
            </w:pPr>
          </w:p>
        </w:tc>
        <w:tc>
          <w:tcPr>
            <w:tcW w:w="2693" w:type="dxa"/>
            <w:tcBorders>
              <w:tl2br w:val="nil"/>
              <w:tr2bl w:val="nil"/>
            </w:tcBorders>
            <w:noWrap w:val="0"/>
            <w:vAlign w:val="center"/>
          </w:tcPr>
          <w:p>
            <w:pPr>
              <w:widowControl/>
              <w:jc w:val="left"/>
              <w:textAlignment w:val="center"/>
              <w:rPr>
                <w:rFonts w:hint="eastAsia" w:ascii="宋体" w:hAnsi="宋体" w:eastAsia="宋体"/>
                <w:color w:val="auto"/>
                <w:sz w:val="20"/>
                <w:szCs w:val="20"/>
              </w:rPr>
            </w:pPr>
            <w:r>
              <w:rPr>
                <w:rFonts w:hint="eastAsia" w:ascii="宋体" w:hAnsi="宋体"/>
                <w:color w:val="auto"/>
                <w:kern w:val="0"/>
                <w:sz w:val="20"/>
                <w:szCs w:val="20"/>
              </w:rPr>
              <w:t>（二）一次性扣除（摊销）</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jc w:val="center"/>
              <w:rPr>
                <w:rFonts w:hint="eastAsia" w:ascii="宋体" w:hAnsi="宋体"/>
                <w:color w:val="auto"/>
                <w:sz w:val="20"/>
                <w:szCs w:val="20"/>
              </w:rPr>
            </w:pPr>
          </w:p>
        </w:tc>
        <w:tc>
          <w:tcPr>
            <w:tcW w:w="1296" w:type="dxa"/>
            <w:tcBorders>
              <w:tl2br w:val="nil"/>
              <w:tr2bl w:val="nil"/>
            </w:tcBorders>
            <w:noWrap w:val="0"/>
            <w:vAlign w:val="center"/>
          </w:tcPr>
          <w:p>
            <w:pPr>
              <w:jc w:val="center"/>
              <w:rPr>
                <w:rFonts w:hint="eastAsia" w:ascii="宋体" w:hAnsi="宋体"/>
                <w:color w:val="auto"/>
                <w:sz w:val="20"/>
                <w:szCs w:val="20"/>
              </w:rPr>
            </w:pP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r>
              <w:rPr>
                <w:rFonts w:ascii="宋体" w:hAnsi="宋体"/>
                <w:color w:val="auto"/>
                <w:kern w:val="0"/>
                <w:sz w:val="20"/>
                <w:szCs w:val="20"/>
              </w:rPr>
              <w:t>*</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hint="eastAsia" w:ascii="宋体" w:hAnsi="宋体"/>
                <w:color w:val="auto"/>
                <w:sz w:val="20"/>
                <w:szCs w:val="20"/>
              </w:rPr>
              <w:t>29.1</w:t>
            </w:r>
          </w:p>
        </w:tc>
        <w:tc>
          <w:tcPr>
            <w:tcW w:w="1843" w:type="dxa"/>
            <w:vMerge w:val="continue"/>
            <w:tcBorders>
              <w:tl2br w:val="nil"/>
              <w:tr2bl w:val="nil"/>
            </w:tcBorders>
            <w:noWrap w:val="0"/>
            <w:vAlign w:val="center"/>
          </w:tcPr>
          <w:p>
            <w:pPr>
              <w:widowControl/>
              <w:jc w:val="left"/>
              <w:rPr>
                <w:rFonts w:hint="eastAsia" w:ascii="宋体" w:hAnsi="宋体"/>
                <w:color w:val="auto"/>
                <w:sz w:val="20"/>
                <w:szCs w:val="20"/>
              </w:rPr>
            </w:pPr>
          </w:p>
        </w:tc>
        <w:tc>
          <w:tcPr>
            <w:tcW w:w="2693" w:type="dxa"/>
            <w:tcBorders>
              <w:tl2br w:val="nil"/>
              <w:tr2bl w:val="nil"/>
            </w:tcBorders>
            <w:noWrap w:val="0"/>
            <w:vAlign w:val="center"/>
          </w:tcPr>
          <w:p>
            <w:pPr>
              <w:widowControl/>
              <w:jc w:val="left"/>
              <w:textAlignment w:val="center"/>
              <w:rPr>
                <w:rFonts w:hint="eastAsia" w:ascii="宋体" w:hAnsi="宋体"/>
                <w:color w:val="auto"/>
                <w:kern w:val="0"/>
                <w:sz w:val="20"/>
                <w:szCs w:val="20"/>
              </w:rPr>
            </w:pPr>
            <w:r>
              <w:rPr>
                <w:rFonts w:hint="eastAsia" w:ascii="宋体" w:hAnsi="宋体"/>
                <w:color w:val="auto"/>
                <w:sz w:val="20"/>
                <w:szCs w:val="20"/>
              </w:rPr>
              <w:t>（填写优惠事项名称）</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jc w:val="center"/>
              <w:rPr>
                <w:rFonts w:hint="eastAsia" w:ascii="宋体" w:hAnsi="宋体"/>
                <w:color w:val="auto"/>
                <w:sz w:val="20"/>
                <w:szCs w:val="20"/>
              </w:rPr>
            </w:pPr>
          </w:p>
        </w:tc>
        <w:tc>
          <w:tcPr>
            <w:tcW w:w="1296" w:type="dxa"/>
            <w:tcBorders>
              <w:tl2br w:val="nil"/>
              <w:tr2bl w:val="nil"/>
            </w:tcBorders>
            <w:noWrap w:val="0"/>
            <w:vAlign w:val="center"/>
          </w:tcPr>
          <w:p>
            <w:pPr>
              <w:jc w:val="center"/>
              <w:rPr>
                <w:rFonts w:hint="eastAsia" w:ascii="宋体" w:hAnsi="宋体"/>
                <w:color w:val="auto"/>
                <w:sz w:val="20"/>
                <w:szCs w:val="20"/>
              </w:rPr>
            </w:pP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kern w:val="0"/>
                <w:sz w:val="20"/>
                <w:szCs w:val="20"/>
              </w:rPr>
            </w:pPr>
            <w:r>
              <w:rPr>
                <w:rFonts w:ascii="宋体" w:hAnsi="宋体"/>
                <w:color w:val="auto"/>
                <w:kern w:val="0"/>
                <w:sz w:val="20"/>
                <w:szCs w:val="20"/>
              </w:rPr>
              <w:t>*</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hint="eastAsia" w:ascii="宋体" w:hAnsi="宋体"/>
                <w:color w:val="auto"/>
                <w:kern w:val="0"/>
                <w:sz w:val="20"/>
                <w:szCs w:val="20"/>
              </w:rPr>
              <w:t>29</w:t>
            </w:r>
            <w:r>
              <w:rPr>
                <w:rFonts w:ascii="宋体" w:hAnsi="宋体"/>
                <w:color w:val="auto"/>
                <w:kern w:val="0"/>
                <w:sz w:val="20"/>
                <w:szCs w:val="20"/>
              </w:rPr>
              <w:t>.</w:t>
            </w:r>
            <w:r>
              <w:rPr>
                <w:rFonts w:hint="eastAsia" w:ascii="宋体" w:hAnsi="宋体"/>
                <w:color w:val="auto"/>
                <w:kern w:val="0"/>
                <w:sz w:val="20"/>
                <w:szCs w:val="20"/>
              </w:rPr>
              <w:t>2</w:t>
            </w:r>
          </w:p>
        </w:tc>
        <w:tc>
          <w:tcPr>
            <w:tcW w:w="1843" w:type="dxa"/>
            <w:vMerge w:val="continue"/>
            <w:tcBorders>
              <w:tl2br w:val="nil"/>
              <w:tr2bl w:val="nil"/>
            </w:tcBorders>
            <w:noWrap w:val="0"/>
            <w:vAlign w:val="center"/>
          </w:tcPr>
          <w:p>
            <w:pPr>
              <w:widowControl/>
              <w:jc w:val="left"/>
              <w:rPr>
                <w:rFonts w:hint="eastAsia" w:ascii="宋体" w:hAnsi="宋体"/>
                <w:color w:val="auto"/>
                <w:sz w:val="20"/>
                <w:szCs w:val="20"/>
              </w:rPr>
            </w:pPr>
          </w:p>
        </w:tc>
        <w:tc>
          <w:tcPr>
            <w:tcW w:w="2693" w:type="dxa"/>
            <w:tcBorders>
              <w:tl2br w:val="nil"/>
              <w:tr2bl w:val="nil"/>
            </w:tcBorders>
            <w:noWrap w:val="0"/>
            <w:vAlign w:val="center"/>
          </w:tcPr>
          <w:p>
            <w:pPr>
              <w:widowControl/>
              <w:jc w:val="left"/>
              <w:textAlignment w:val="center"/>
              <w:rPr>
                <w:rFonts w:hint="eastAsia" w:ascii="宋体" w:hAnsi="宋体" w:eastAsia="宋体"/>
                <w:color w:val="auto"/>
                <w:sz w:val="20"/>
                <w:szCs w:val="20"/>
              </w:rPr>
            </w:pPr>
            <w:r>
              <w:rPr>
                <w:rFonts w:hint="eastAsia" w:ascii="宋体" w:hAnsi="宋体"/>
                <w:color w:val="auto"/>
                <w:sz w:val="20"/>
                <w:szCs w:val="20"/>
              </w:rPr>
              <w:t>（填写优惠事项名称）</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jc w:val="center"/>
              <w:rPr>
                <w:rFonts w:hint="eastAsia" w:ascii="宋体" w:hAnsi="宋体"/>
                <w:color w:val="auto"/>
                <w:sz w:val="20"/>
                <w:szCs w:val="20"/>
              </w:rPr>
            </w:pPr>
          </w:p>
        </w:tc>
        <w:tc>
          <w:tcPr>
            <w:tcW w:w="1296" w:type="dxa"/>
            <w:tcBorders>
              <w:tl2br w:val="nil"/>
              <w:tr2bl w:val="nil"/>
            </w:tcBorders>
            <w:noWrap w:val="0"/>
            <w:vAlign w:val="center"/>
          </w:tcPr>
          <w:p>
            <w:pPr>
              <w:jc w:val="center"/>
              <w:rPr>
                <w:rFonts w:hint="eastAsia" w:ascii="宋体" w:hAnsi="宋体"/>
                <w:color w:val="auto"/>
                <w:sz w:val="20"/>
                <w:szCs w:val="20"/>
              </w:rPr>
            </w:pP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r>
              <w:rPr>
                <w:rFonts w:ascii="宋体" w:hAnsi="宋体"/>
                <w:color w:val="auto"/>
                <w:kern w:val="0"/>
                <w:sz w:val="20"/>
                <w:szCs w:val="20"/>
              </w:rPr>
              <w:t>*</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09" w:type="dxa"/>
            <w:tcBorders>
              <w:tl2br w:val="nil"/>
              <w:tr2bl w:val="nil"/>
            </w:tcBorders>
            <w:noWrap w:val="0"/>
            <w:vAlign w:val="center"/>
          </w:tcPr>
          <w:p>
            <w:pPr>
              <w:widowControl/>
              <w:jc w:val="center"/>
              <w:textAlignment w:val="center"/>
              <w:rPr>
                <w:rFonts w:hint="eastAsia" w:ascii="宋体" w:hAnsi="宋体"/>
                <w:color w:val="auto"/>
                <w:kern w:val="0"/>
                <w:sz w:val="20"/>
                <w:szCs w:val="20"/>
              </w:rPr>
            </w:pPr>
            <w:r>
              <w:rPr>
                <w:rFonts w:ascii="宋体" w:hAnsi="宋体"/>
                <w:color w:val="auto"/>
                <w:kern w:val="0"/>
                <w:sz w:val="20"/>
                <w:szCs w:val="20"/>
              </w:rPr>
              <w:t>3</w:t>
            </w:r>
            <w:r>
              <w:rPr>
                <w:rFonts w:hint="eastAsia" w:ascii="宋体" w:hAnsi="宋体"/>
                <w:color w:val="auto"/>
                <w:kern w:val="0"/>
                <w:sz w:val="20"/>
                <w:szCs w:val="20"/>
              </w:rPr>
              <w:t>0</w:t>
            </w:r>
          </w:p>
        </w:tc>
        <w:tc>
          <w:tcPr>
            <w:tcW w:w="4536" w:type="dxa"/>
            <w:gridSpan w:val="2"/>
            <w:tcBorders>
              <w:tl2br w:val="nil"/>
              <w:tr2bl w:val="nil"/>
            </w:tcBorders>
            <w:noWrap w:val="0"/>
            <w:vAlign w:val="center"/>
          </w:tcPr>
          <w:p>
            <w:pPr>
              <w:widowControl/>
              <w:jc w:val="center"/>
              <w:textAlignment w:val="center"/>
              <w:rPr>
                <w:rFonts w:hint="eastAsia" w:ascii="宋体" w:hAnsi="宋体"/>
                <w:color w:val="auto"/>
                <w:kern w:val="0"/>
                <w:sz w:val="20"/>
                <w:szCs w:val="20"/>
              </w:rPr>
            </w:pPr>
            <w:r>
              <w:rPr>
                <w:rFonts w:hint="eastAsia" w:ascii="宋体" w:hAnsi="宋体"/>
                <w:color w:val="auto"/>
                <w:kern w:val="0"/>
                <w:sz w:val="20"/>
                <w:szCs w:val="20"/>
              </w:rPr>
              <w:t>合计</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kern w:val="0"/>
                <w:sz w:val="20"/>
                <w:szCs w:val="20"/>
              </w:rPr>
            </w:pPr>
          </w:p>
        </w:tc>
        <w:tc>
          <w:tcPr>
            <w:tcW w:w="1296" w:type="dxa"/>
            <w:tcBorders>
              <w:tl2br w:val="nil"/>
              <w:tr2bl w:val="nil"/>
            </w:tcBorders>
            <w:noWrap w:val="0"/>
            <w:vAlign w:val="center"/>
          </w:tcPr>
          <w:p>
            <w:pPr>
              <w:widowControl/>
              <w:jc w:val="center"/>
              <w:textAlignment w:val="center"/>
              <w:rPr>
                <w:rFonts w:hint="eastAsia" w:ascii="宋体" w:hAnsi="宋体"/>
                <w:color w:val="auto"/>
                <w:kern w:val="0"/>
                <w:sz w:val="20"/>
                <w:szCs w:val="20"/>
              </w:rPr>
            </w:pP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9" w:hRule="atLeast"/>
        </w:trPr>
        <w:tc>
          <w:tcPr>
            <w:tcW w:w="2552" w:type="dxa"/>
            <w:gridSpan w:val="2"/>
            <w:tcBorders>
              <w:tl2br w:val="nil"/>
              <w:tr2bl w:val="nil"/>
            </w:tcBorders>
            <w:noWrap w:val="0"/>
            <w:vAlign w:val="center"/>
          </w:tcPr>
          <w:p>
            <w:pPr>
              <w:widowControl/>
              <w:jc w:val="left"/>
              <w:textAlignment w:val="center"/>
              <w:rPr>
                <w:rFonts w:hint="eastAsia" w:ascii="宋体" w:hAnsi="宋体"/>
                <w:color w:val="auto"/>
                <w:sz w:val="20"/>
                <w:szCs w:val="20"/>
              </w:rPr>
            </w:pPr>
            <w:r>
              <w:rPr>
                <w:rFonts w:hint="eastAsia" w:ascii="宋体" w:hAnsi="宋体"/>
                <w:color w:val="auto"/>
                <w:kern w:val="0"/>
                <w:sz w:val="20"/>
                <w:szCs w:val="20"/>
              </w:rPr>
              <w:t>附列资料</w:t>
            </w:r>
          </w:p>
        </w:tc>
        <w:tc>
          <w:tcPr>
            <w:tcW w:w="2693" w:type="dxa"/>
            <w:tcBorders>
              <w:tl2br w:val="nil"/>
              <w:tr2bl w:val="nil"/>
            </w:tcBorders>
            <w:noWrap w:val="0"/>
            <w:vAlign w:val="center"/>
          </w:tcPr>
          <w:p>
            <w:pPr>
              <w:widowControl/>
              <w:jc w:val="left"/>
              <w:textAlignment w:val="center"/>
              <w:rPr>
                <w:rFonts w:hint="eastAsia" w:ascii="宋体" w:hAnsi="宋体"/>
                <w:color w:val="auto"/>
                <w:sz w:val="20"/>
                <w:szCs w:val="20"/>
              </w:rPr>
            </w:pPr>
            <w:r>
              <w:rPr>
                <w:rFonts w:hint="eastAsia" w:ascii="宋体" w:hAnsi="宋体"/>
                <w:color w:val="auto"/>
                <w:kern w:val="0"/>
                <w:sz w:val="20"/>
                <w:szCs w:val="20"/>
              </w:rPr>
              <w:t>全民所有制企业公司制改制资产评估增值政策资产</w:t>
            </w:r>
          </w:p>
        </w:tc>
        <w:tc>
          <w:tcPr>
            <w:tcW w:w="709"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992" w:type="dxa"/>
            <w:tcBorders>
              <w:tl2br w:val="nil"/>
              <w:tr2bl w:val="nil"/>
            </w:tcBorders>
            <w:noWrap w:val="0"/>
            <w:vAlign w:val="center"/>
          </w:tcPr>
          <w:p>
            <w:pPr>
              <w:jc w:val="center"/>
              <w:rPr>
                <w:rFonts w:hint="eastAsia" w:ascii="宋体" w:hAnsi="宋体"/>
                <w:color w:val="auto"/>
                <w:sz w:val="20"/>
                <w:szCs w:val="20"/>
              </w:rPr>
            </w:pPr>
          </w:p>
        </w:tc>
        <w:tc>
          <w:tcPr>
            <w:tcW w:w="1134" w:type="dxa"/>
            <w:tcBorders>
              <w:tl2br w:val="nil"/>
              <w:tr2bl w:val="nil"/>
            </w:tcBorders>
            <w:noWrap w:val="0"/>
            <w:vAlign w:val="center"/>
          </w:tcPr>
          <w:p>
            <w:pPr>
              <w:jc w:val="center"/>
              <w:rPr>
                <w:rFonts w:hint="eastAsia" w:ascii="宋体" w:hAnsi="宋体"/>
                <w:color w:val="auto"/>
                <w:sz w:val="20"/>
                <w:szCs w:val="20"/>
              </w:rPr>
            </w:pPr>
          </w:p>
        </w:tc>
        <w:tc>
          <w:tcPr>
            <w:tcW w:w="2127"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1296" w:type="dxa"/>
            <w:tcBorders>
              <w:tl2br w:val="nil"/>
              <w:tr2bl w:val="nil"/>
            </w:tcBorders>
            <w:noWrap w:val="0"/>
            <w:vAlign w:val="center"/>
          </w:tcPr>
          <w:p>
            <w:pPr>
              <w:widowControl/>
              <w:jc w:val="center"/>
              <w:textAlignment w:val="center"/>
              <w:rPr>
                <w:rFonts w:hint="eastAsia" w:ascii="宋体" w:hAnsi="宋体"/>
                <w:color w:val="auto"/>
                <w:sz w:val="20"/>
                <w:szCs w:val="20"/>
              </w:rPr>
            </w:pPr>
            <w:r>
              <w:rPr>
                <w:rFonts w:ascii="宋体" w:hAnsi="宋体"/>
                <w:color w:val="auto"/>
                <w:kern w:val="0"/>
                <w:sz w:val="20"/>
                <w:szCs w:val="20"/>
              </w:rPr>
              <w:t>*</w:t>
            </w:r>
          </w:p>
        </w:tc>
        <w:tc>
          <w:tcPr>
            <w:tcW w:w="830" w:type="dxa"/>
            <w:tcBorders>
              <w:tl2br w:val="nil"/>
              <w:tr2bl w:val="nil"/>
            </w:tcBorders>
            <w:noWrap w:val="0"/>
            <w:vAlign w:val="center"/>
          </w:tcPr>
          <w:p>
            <w:pPr>
              <w:jc w:val="center"/>
              <w:rPr>
                <w:rFonts w:hint="eastAsia" w:ascii="宋体" w:hAnsi="宋体"/>
                <w:color w:val="auto"/>
                <w:sz w:val="20"/>
                <w:szCs w:val="20"/>
              </w:rPr>
            </w:pPr>
          </w:p>
        </w:tc>
        <w:tc>
          <w:tcPr>
            <w:tcW w:w="850" w:type="dxa"/>
            <w:tcBorders>
              <w:tl2br w:val="nil"/>
              <w:tr2bl w:val="nil"/>
            </w:tcBorders>
            <w:noWrap w:val="0"/>
            <w:vAlign w:val="center"/>
          </w:tcPr>
          <w:p>
            <w:pPr>
              <w:jc w:val="center"/>
              <w:rPr>
                <w:rFonts w:hint="eastAsia" w:ascii="宋体" w:hAnsi="宋体"/>
                <w:color w:val="auto"/>
                <w:sz w:val="20"/>
                <w:szCs w:val="20"/>
              </w:rPr>
            </w:pPr>
          </w:p>
        </w:tc>
      </w:tr>
      <w:bookmarkEnd w:id="33"/>
      <w:bookmarkEnd w:id="34"/>
      <w:bookmarkEnd w:id="35"/>
      <w:bookmarkEnd w:id="36"/>
    </w:tbl>
    <w:p>
      <w:pPr>
        <w:keepNext w:val="0"/>
        <w:keepLines w:val="0"/>
        <w:pageBreakBefore w:val="0"/>
        <w:widowControl w:val="0"/>
        <w:kinsoku/>
        <w:wordWrap/>
        <w:overflowPunct/>
        <w:topLinePunct w:val="0"/>
        <w:autoSpaceDE/>
        <w:autoSpaceDN/>
        <w:bidi w:val="0"/>
        <w:adjustRightInd/>
        <w:snapToGrid/>
        <w:spacing w:line="20" w:lineRule="exact"/>
        <w:jc w:val="both"/>
        <w:textAlignment w:val="auto"/>
        <w:rPr>
          <w:color w:val="auto"/>
        </w:rPr>
      </w:pPr>
    </w:p>
    <w:p>
      <w:pPr>
        <w:pStyle w:val="13"/>
        <w:keepNext w:val="0"/>
        <w:keepLines w:val="0"/>
        <w:pageBreakBefore w:val="0"/>
        <w:widowControl w:val="0"/>
        <w:kinsoku/>
        <w:wordWrap/>
        <w:overflowPunct/>
        <w:topLinePunct w:val="0"/>
        <w:autoSpaceDE/>
        <w:autoSpaceDN/>
        <w:bidi w:val="0"/>
        <w:adjustRightInd/>
        <w:snapToGrid/>
        <w:spacing w:line="20" w:lineRule="exact"/>
        <w:textAlignment w:val="auto"/>
        <w:rPr>
          <w:rFonts w:hint="eastAsia" w:ascii="方正小标宋_GBK" w:hAnsi="方正小标宋_GBK" w:eastAsia="方正小标宋_GBK" w:cs="方正小标宋_GBK"/>
          <w:color w:val="auto"/>
        </w:rPr>
      </w:pPr>
    </w:p>
    <w:p>
      <w:pPr>
        <w:pStyle w:val="13"/>
        <w:keepNext w:val="0"/>
        <w:keepLines w:val="0"/>
        <w:pageBreakBefore w:val="0"/>
        <w:widowControl w:val="0"/>
        <w:kinsoku/>
        <w:wordWrap/>
        <w:overflowPunct/>
        <w:topLinePunct w:val="0"/>
        <w:autoSpaceDE/>
        <w:autoSpaceDN/>
        <w:bidi w:val="0"/>
        <w:adjustRightInd/>
        <w:snapToGrid/>
        <w:spacing w:line="20" w:lineRule="exact"/>
        <w:textAlignment w:val="auto"/>
        <w:rPr>
          <w:rFonts w:hint="eastAsia" w:ascii="方正小标宋_GBK" w:hAnsi="方正小标宋_GBK" w:eastAsia="方正小标宋_GBK" w:cs="方正小标宋_GBK"/>
          <w:color w:val="auto"/>
        </w:rPr>
        <w:sectPr>
          <w:pgSz w:w="16838" w:h="11906" w:orient="landscape"/>
          <w:pgMar w:top="1021" w:right="1440" w:bottom="1021" w:left="1440" w:header="851" w:footer="992" w:gutter="0"/>
          <w:pgNumType w:fmt="decimal"/>
          <w:cols w:space="720" w:num="1"/>
          <w:docGrid w:type="lines" w:linePitch="312" w:charSpace="0"/>
        </w:sectPr>
      </w:pPr>
    </w:p>
    <w:p>
      <w:pPr>
        <w:pStyle w:val="13"/>
        <w:keepNext w:val="0"/>
        <w:keepLines w:val="0"/>
        <w:pageBreakBefore w:val="0"/>
        <w:widowControl w:val="0"/>
        <w:kinsoku/>
        <w:wordWrap/>
        <w:overflowPunct/>
        <w:topLinePunct w:val="0"/>
        <w:autoSpaceDE/>
        <w:autoSpaceDN/>
        <w:bidi w:val="0"/>
        <w:adjustRightInd/>
        <w:snapToGrid/>
        <w:textAlignment w:val="auto"/>
        <w:rPr>
          <w:rFonts w:hint="eastAsia" w:ascii="方正小标宋_GBK" w:hAnsi="方正小标宋_GBK" w:eastAsia="方正小标宋_GBK" w:cs="方正小标宋_GBK"/>
          <w:color w:val="auto"/>
        </w:rPr>
      </w:pPr>
      <w:bookmarkStart w:id="132" w:name="_Toc176972054"/>
      <w:bookmarkStart w:id="133" w:name="_Toc2030227982"/>
      <w:r>
        <w:rPr>
          <w:rFonts w:hint="eastAsia" w:ascii="方正小标宋_GBK" w:hAnsi="方正小标宋_GBK" w:eastAsia="方正小标宋_GBK" w:cs="方正小标宋_GBK"/>
          <w:color w:val="auto"/>
        </w:rPr>
        <w:t>A105080《资产折旧、摊销及纳税调整明细表》填报说明</w:t>
      </w:r>
      <w:bookmarkEnd w:id="132"/>
      <w:bookmarkEnd w:id="133"/>
    </w:p>
    <w:p>
      <w:pPr>
        <w:pStyle w:val="12"/>
        <w:ind w:firstLine="480"/>
        <w:rPr>
          <w:rFonts w:hint="eastAsia"/>
          <w:color w:val="auto"/>
        </w:rPr>
      </w:pPr>
      <w:r>
        <w:rPr>
          <w:rFonts w:hint="eastAsia"/>
          <w:color w:val="auto"/>
        </w:rPr>
        <w:t>纳税人在本表填报资产折旧、摊销的会计处理、税收处理、纳税调整的具体情况。纳税人只要发生相关事项，不论是否纳税调整，均需填报。</w:t>
      </w:r>
    </w:p>
    <w:p>
      <w:pPr>
        <w:pStyle w:val="17"/>
        <w:ind w:firstLine="480"/>
        <w:jc w:val="both"/>
        <w:outlineLvl w:val="1"/>
        <w:rPr>
          <w:rFonts w:hint="eastAsia"/>
          <w:color w:val="auto"/>
          <w:sz w:val="24"/>
          <w:szCs w:val="24"/>
        </w:rPr>
      </w:pPr>
      <w:bookmarkStart w:id="134" w:name="_Toc1483612704_WPSOffice_Level1"/>
      <w:bookmarkEnd w:id="134"/>
      <w:bookmarkStart w:id="135" w:name="_Toc2195"/>
      <w:bookmarkStart w:id="136" w:name="_Toc342791727"/>
      <w:bookmarkStart w:id="137" w:name="_Toc16552"/>
      <w:bookmarkStart w:id="138" w:name="_Toc163974793"/>
      <w:bookmarkStart w:id="139" w:name="_Toc164008848"/>
      <w:bookmarkStart w:id="140" w:name="_Toc463474984_WPSOffice_Level1"/>
      <w:bookmarkStart w:id="141" w:name="_Toc176972055"/>
      <w:bookmarkStart w:id="142" w:name="_Toc27319"/>
      <w:bookmarkStart w:id="143" w:name="_Toc5928"/>
      <w:bookmarkStart w:id="144" w:name="_Toc196972449_WPSOffice_Level1"/>
      <w:bookmarkStart w:id="145" w:name="_Toc8479"/>
      <w:bookmarkStart w:id="146" w:name="_Toc2387"/>
      <w:bookmarkStart w:id="147" w:name="_Toc5424"/>
      <w:bookmarkStart w:id="148" w:name="_Toc327713172_WPSOffice_Level1"/>
      <w:r>
        <w:rPr>
          <w:rFonts w:hint="eastAsia"/>
          <w:color w:val="auto"/>
          <w:sz w:val="24"/>
          <w:szCs w:val="24"/>
        </w:rPr>
        <w:t>一、有关项目填报说明</w:t>
      </w:r>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p>
    <w:p>
      <w:pPr>
        <w:pStyle w:val="21"/>
        <w:ind w:firstLine="480"/>
        <w:rPr>
          <w:rFonts w:hint="eastAsia"/>
          <w:color w:val="auto"/>
        </w:rPr>
      </w:pPr>
      <w:bookmarkStart w:id="149" w:name="_Toc77493887_WPSOffice_Level2"/>
      <w:bookmarkEnd w:id="149"/>
      <w:bookmarkStart w:id="150" w:name="_Toc650894371_WPSOffice_Level2"/>
      <w:r>
        <w:rPr>
          <w:rFonts w:hint="eastAsia"/>
          <w:color w:val="auto"/>
        </w:rPr>
        <w:t>（一）行次填报</w:t>
      </w:r>
      <w:bookmarkEnd w:id="150"/>
    </w:p>
    <w:p>
      <w:pPr>
        <w:pStyle w:val="12"/>
        <w:ind w:firstLine="480"/>
        <w:rPr>
          <w:rFonts w:hint="eastAsia"/>
          <w:color w:val="auto"/>
        </w:rPr>
      </w:pPr>
      <w:r>
        <w:rPr>
          <w:rFonts w:hint="eastAsia"/>
          <w:color w:val="auto"/>
        </w:rPr>
        <w:t>1.第1行至第</w:t>
      </w:r>
      <w:r>
        <w:rPr>
          <w:color w:val="auto"/>
        </w:rPr>
        <w:t>2</w:t>
      </w:r>
      <w:r>
        <w:rPr>
          <w:rFonts w:hint="eastAsia"/>
          <w:color w:val="auto"/>
        </w:rPr>
        <w:t>7行：填报各类资产有关情况。</w:t>
      </w:r>
    </w:p>
    <w:p>
      <w:pPr>
        <w:pStyle w:val="12"/>
        <w:ind w:firstLine="480"/>
        <w:rPr>
          <w:rFonts w:hint="eastAsia"/>
          <w:color w:val="auto"/>
        </w:rPr>
      </w:pPr>
      <w:r>
        <w:rPr>
          <w:rFonts w:hint="eastAsia"/>
          <w:color w:val="auto"/>
        </w:rPr>
        <w:t>2.第</w:t>
      </w:r>
      <w:r>
        <w:rPr>
          <w:color w:val="auto"/>
        </w:rPr>
        <w:t>2</w:t>
      </w:r>
      <w:r>
        <w:rPr>
          <w:rFonts w:hint="eastAsia"/>
          <w:color w:val="auto"/>
        </w:rPr>
        <w:t>8行至第29行：根据相关行次计算结果填报纳税人享受相关加速折旧、摊销优惠政策的资产有关情况及优惠统计情况。纳税人根据《企业所得税申报事项目录》在第</w:t>
      </w:r>
      <w:r>
        <w:rPr>
          <w:color w:val="auto"/>
        </w:rPr>
        <w:t>2</w:t>
      </w:r>
      <w:r>
        <w:rPr>
          <w:rFonts w:hint="eastAsia"/>
          <w:color w:val="auto"/>
        </w:rPr>
        <w:t>8.1行、第29</w:t>
      </w:r>
      <w:r>
        <w:rPr>
          <w:color w:val="auto"/>
        </w:rPr>
        <w:t>.1</w:t>
      </w:r>
      <w:r>
        <w:rPr>
          <w:rFonts w:hint="eastAsia"/>
          <w:color w:val="auto"/>
        </w:rPr>
        <w:t>行……填报税收规定的资产加速折旧、摊销以及一次性扣除优惠事项的具体信息。同时发生多个事项的可以增加行次，但每个事项仅能填报一次。一项资产仅可适用一项优惠事项，不得重复填报。若固定资产或无形资产同时适用多项政策，由纳税人自行选择一项优惠事项填报。</w:t>
      </w:r>
    </w:p>
    <w:p>
      <w:pPr>
        <w:pStyle w:val="12"/>
        <w:ind w:firstLine="480"/>
        <w:rPr>
          <w:rFonts w:hint="eastAsia"/>
          <w:color w:val="auto"/>
        </w:rPr>
      </w:pPr>
      <w:r>
        <w:rPr>
          <w:rFonts w:hint="eastAsia"/>
          <w:color w:val="auto"/>
        </w:rPr>
        <w:t>3.附列资料“全民所有制企业公司制改制资产评估增值政策资产”：填报企业按照“改制中资产评估增值不计入应纳税所得额，资产的计税基础按其原有计税基础确定，资产增值部分的折旧或者摊销不得在税前扣除”政策的有关情况。本行不参与计算，仅用于统计享受全民所有制企业公司制改制资产评估增值政策资产的有关情况，相关资产折旧、摊销情况及调整情况在第1行至第</w:t>
      </w:r>
      <w:r>
        <w:rPr>
          <w:color w:val="auto"/>
        </w:rPr>
        <w:t>2</w:t>
      </w:r>
      <w:r>
        <w:rPr>
          <w:rFonts w:hint="eastAsia"/>
          <w:color w:val="auto"/>
          <w:lang w:val="en-US" w:eastAsia="zh-CN"/>
        </w:rPr>
        <w:t>7</w:t>
      </w:r>
      <w:r>
        <w:rPr>
          <w:rFonts w:hint="eastAsia"/>
          <w:color w:val="auto"/>
        </w:rPr>
        <w:t>行填报。</w:t>
      </w:r>
    </w:p>
    <w:p>
      <w:pPr>
        <w:pStyle w:val="21"/>
        <w:ind w:firstLine="480"/>
        <w:rPr>
          <w:rFonts w:hint="eastAsia"/>
          <w:color w:val="auto"/>
        </w:rPr>
      </w:pPr>
      <w:bookmarkStart w:id="151" w:name="_Toc2143575215_WPSOffice_Level2"/>
      <w:bookmarkEnd w:id="151"/>
      <w:bookmarkStart w:id="152" w:name="_Toc2134285112_WPSOffice_Level2"/>
      <w:r>
        <w:rPr>
          <w:rFonts w:hint="eastAsia"/>
          <w:color w:val="auto"/>
        </w:rPr>
        <w:t>（二）列次填报</w:t>
      </w:r>
      <w:bookmarkEnd w:id="152"/>
    </w:p>
    <w:p>
      <w:pPr>
        <w:pStyle w:val="12"/>
        <w:ind w:firstLine="480"/>
        <w:rPr>
          <w:rFonts w:hint="eastAsia"/>
          <w:color w:val="auto"/>
        </w:rPr>
      </w:pPr>
      <w:r>
        <w:rPr>
          <w:rFonts w:hint="eastAsia"/>
          <w:color w:val="auto"/>
        </w:rPr>
        <w:t>对于不征税收入形成的资产，其折旧、摊销额不得税前扣除。第4列至第8列税收金额不包含不征税收入所形成资产的折旧、摊销额。</w:t>
      </w:r>
    </w:p>
    <w:p>
      <w:pPr>
        <w:pStyle w:val="12"/>
        <w:ind w:firstLine="480"/>
        <w:rPr>
          <w:rFonts w:hint="eastAsia"/>
          <w:color w:val="auto"/>
        </w:rPr>
      </w:pPr>
      <w:r>
        <w:rPr>
          <w:rFonts w:hint="eastAsia"/>
          <w:color w:val="auto"/>
        </w:rPr>
        <w:t>1.第1列“资产原值”：填报纳税人会计处理计提折旧、摊销的资产原值（或历史成本）的金额。</w:t>
      </w:r>
    </w:p>
    <w:p>
      <w:pPr>
        <w:pStyle w:val="12"/>
        <w:ind w:firstLine="480"/>
        <w:rPr>
          <w:rFonts w:hint="eastAsia"/>
          <w:color w:val="auto"/>
        </w:rPr>
      </w:pPr>
      <w:r>
        <w:rPr>
          <w:rFonts w:hint="eastAsia"/>
          <w:color w:val="auto"/>
        </w:rPr>
        <w:t>2.第2列“本年折旧、摊销额”：填报纳税人会计核算的本年资产折旧、摊销额。</w:t>
      </w:r>
    </w:p>
    <w:p>
      <w:pPr>
        <w:pStyle w:val="12"/>
        <w:ind w:firstLine="480"/>
        <w:rPr>
          <w:rFonts w:hint="eastAsia"/>
          <w:color w:val="auto"/>
        </w:rPr>
      </w:pPr>
      <w:r>
        <w:rPr>
          <w:rFonts w:hint="eastAsia"/>
          <w:color w:val="auto"/>
        </w:rPr>
        <w:t>3.第3列“累计折旧、摊销额”：填报纳税人会计核算的累计（含本年）资产折旧、摊销额。</w:t>
      </w:r>
    </w:p>
    <w:p>
      <w:pPr>
        <w:pStyle w:val="12"/>
        <w:ind w:firstLine="480"/>
        <w:rPr>
          <w:rFonts w:hint="eastAsia"/>
          <w:color w:val="auto"/>
        </w:rPr>
      </w:pPr>
      <w:r>
        <w:rPr>
          <w:rFonts w:hint="eastAsia"/>
          <w:color w:val="auto"/>
        </w:rPr>
        <w:t>4.第4列“资产计税基础”：填报纳税人按照税收规定据以计算折旧、摊销的资产原值（或历史成本）的金额。</w:t>
      </w:r>
    </w:p>
    <w:p>
      <w:pPr>
        <w:pStyle w:val="12"/>
        <w:ind w:firstLine="480"/>
        <w:rPr>
          <w:rFonts w:hint="eastAsia"/>
          <w:color w:val="auto"/>
        </w:rPr>
      </w:pPr>
      <w:r>
        <w:rPr>
          <w:rFonts w:hint="eastAsia"/>
          <w:color w:val="auto"/>
        </w:rPr>
        <w:t>5.第5列“税收折旧、摊销额”：填报纳税人按照税收规定计算的允许税前扣除的本年资产折旧、摊销额。</w:t>
      </w:r>
    </w:p>
    <w:p>
      <w:pPr>
        <w:pStyle w:val="12"/>
        <w:ind w:firstLine="480"/>
        <w:rPr>
          <w:rFonts w:hint="eastAsia"/>
          <w:color w:val="auto"/>
        </w:rPr>
      </w:pPr>
      <w:r>
        <w:rPr>
          <w:rFonts w:hint="eastAsia"/>
          <w:color w:val="auto"/>
        </w:rPr>
        <w:t>其中，“享受资产加速折旧（摊销）及一次性扣除（摊销）政策的资产加速折旧（摊销）额大于一般折旧（摊销）额的部分”第5列“税收折旧、摊销额”填报享受相关加速折旧、摊销优惠政策的资产，采取税收加速折旧、摊销或一次性扣除方式计算的税收折旧额合计金额、摊销额合计金额。本列仅填报“税收折旧、摊销额”大于“享受加速折旧政策的资产按税收一般规定计算的折旧、摊销额”月份的金额合计。如，享受加速折旧、摊销优惠政策的资产，发生本年度某些月份其“税收折旧、摊销额”大于“享受加速折旧政策的资产按税收一般规定计算的折旧、摊销额”，其余月份其“税收折旧、摊销额”小于“享受加速折旧政策的资产按税收一般规定计算的折旧、摊销额”的情形，仅填报“税收折旧、摊销额”大于“享受加速折旧政策的资产按税收一般规定计算的折旧、摊销额”月份的税收折旧额合计金额、摊销额合计金额。</w:t>
      </w:r>
    </w:p>
    <w:p>
      <w:pPr>
        <w:pStyle w:val="12"/>
        <w:ind w:firstLine="480"/>
        <w:rPr>
          <w:rFonts w:hint="eastAsia"/>
          <w:color w:val="auto"/>
        </w:rPr>
      </w:pPr>
      <w:r>
        <w:rPr>
          <w:rFonts w:hint="eastAsia"/>
          <w:color w:val="auto"/>
        </w:rPr>
        <w:t>6.第6列“享受加速折旧政策的资产按税收一般规定计算的折旧、摊销额”：仅适用于“享受资产加速折旧（摊销）及一次性扣除（摊销）政策的资产加速折旧（摊销）额大于一般折旧（摊销）额的部分”，填报纳税人享受加速折旧、摊销优惠政策的资产，按照税收一般规定计算的折旧额合计金额、摊销额合计金额。按照税收一般规定计算的折旧、摊销额，是指该资产在不享受加速折旧、摊销优惠政策情况下，按照税收规定的最低折旧年限以直线法计算的折旧额、摊销额。本列仅填报“税收折旧、摊销额”大于“享受加速折旧政策的资产按税收一般规定计算的折旧、摊销额”月份的按税收一般规定计算的折旧额合计金额、摊销额合计金额。</w:t>
      </w:r>
    </w:p>
    <w:p>
      <w:pPr>
        <w:pStyle w:val="12"/>
        <w:ind w:firstLine="480"/>
        <w:rPr>
          <w:rFonts w:hint="eastAsia"/>
          <w:color w:val="auto"/>
        </w:rPr>
      </w:pPr>
      <w:r>
        <w:rPr>
          <w:rFonts w:hint="eastAsia"/>
          <w:color w:val="auto"/>
        </w:rPr>
        <w:t>7.第7列“加速折旧、摊销统计额”：仅适用于“享受资产加速折旧（摊销）及一次性扣除（摊销）政策的资产加速折旧（摊销）额大于一般折旧（摊销）额的部分”，用于统计纳税人享受各类固定资产</w:t>
      </w:r>
      <w:r>
        <w:rPr>
          <w:rFonts w:hint="eastAsia"/>
          <w:color w:val="auto"/>
          <w:lang w:eastAsia="zh-CN"/>
        </w:rPr>
        <w:t>、无形资产</w:t>
      </w:r>
      <w:r>
        <w:rPr>
          <w:rFonts w:hint="eastAsia"/>
          <w:color w:val="auto"/>
        </w:rPr>
        <w:t>加速折旧摊销政策的优惠金额，按第5列－第6列金额填报。</w:t>
      </w:r>
    </w:p>
    <w:p>
      <w:pPr>
        <w:pStyle w:val="12"/>
        <w:ind w:firstLine="480"/>
        <w:rPr>
          <w:rFonts w:hint="eastAsia"/>
          <w:color w:val="auto"/>
        </w:rPr>
      </w:pPr>
      <w:r>
        <w:rPr>
          <w:rFonts w:hint="eastAsia"/>
          <w:color w:val="auto"/>
        </w:rPr>
        <w:t>8.第8列“累计折旧、摊销额”：填报纳税人按照税收规定计算的累计（含本年）资产折旧、摊销额。</w:t>
      </w:r>
    </w:p>
    <w:p>
      <w:pPr>
        <w:pStyle w:val="12"/>
        <w:ind w:firstLine="480"/>
        <w:rPr>
          <w:rFonts w:hint="eastAsia"/>
          <w:color w:val="auto"/>
        </w:rPr>
      </w:pPr>
      <w:r>
        <w:rPr>
          <w:rFonts w:hint="eastAsia"/>
          <w:color w:val="auto"/>
        </w:rPr>
        <w:t>9.第9列“纳税调整金额”：填报第2列－第5列金额。</w:t>
      </w:r>
    </w:p>
    <w:p>
      <w:pPr>
        <w:pStyle w:val="17"/>
        <w:ind w:firstLine="480"/>
        <w:jc w:val="both"/>
        <w:outlineLvl w:val="1"/>
        <w:rPr>
          <w:rFonts w:hint="eastAsia"/>
          <w:color w:val="auto"/>
          <w:sz w:val="24"/>
          <w:szCs w:val="24"/>
        </w:rPr>
      </w:pPr>
      <w:bookmarkStart w:id="153" w:name="_Toc1017687144_WPSOffice_Level1"/>
      <w:bookmarkEnd w:id="153"/>
      <w:bookmarkStart w:id="154" w:name="_Toc20841"/>
      <w:bookmarkStart w:id="155" w:name="_Toc176972056"/>
      <w:bookmarkStart w:id="156" w:name="_Toc23948"/>
      <w:bookmarkStart w:id="157" w:name="_Toc900686011"/>
      <w:bookmarkStart w:id="158" w:name="_Toc18370"/>
      <w:bookmarkStart w:id="159" w:name="_Toc1369110665_WPSOffice_Level1"/>
      <w:bookmarkStart w:id="160" w:name="_Toc163974794"/>
      <w:bookmarkStart w:id="161" w:name="_Toc1648477118_WPSOffice_Level1"/>
      <w:bookmarkStart w:id="162" w:name="_Toc729404382_WPSOffice_Level1"/>
      <w:bookmarkStart w:id="163" w:name="_Toc2696"/>
      <w:bookmarkStart w:id="164" w:name="_Toc164008849"/>
      <w:bookmarkStart w:id="165" w:name="_Toc24989"/>
      <w:bookmarkStart w:id="166" w:name="_Toc21991"/>
      <w:bookmarkStart w:id="167" w:name="_Toc27720"/>
      <w:r>
        <w:rPr>
          <w:rFonts w:hint="eastAsia"/>
          <w:color w:val="auto"/>
          <w:sz w:val="24"/>
          <w:szCs w:val="24"/>
        </w:rPr>
        <w:t>二、表内、表间关系</w:t>
      </w:r>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p>
      <w:pPr>
        <w:pStyle w:val="21"/>
        <w:ind w:firstLine="480"/>
        <w:rPr>
          <w:rFonts w:hint="eastAsia"/>
          <w:color w:val="auto"/>
        </w:rPr>
      </w:pPr>
      <w:bookmarkStart w:id="168" w:name="_Toc1322846752_WPSOffice_Level2"/>
      <w:bookmarkEnd w:id="168"/>
      <w:bookmarkStart w:id="169" w:name="_Toc303342233_WPSOffice_Level2"/>
      <w:r>
        <w:rPr>
          <w:rFonts w:hint="eastAsia"/>
          <w:color w:val="auto"/>
        </w:rPr>
        <w:t>（一）表内关系</w:t>
      </w:r>
      <w:bookmarkEnd w:id="169"/>
    </w:p>
    <w:p>
      <w:pPr>
        <w:pStyle w:val="12"/>
        <w:ind w:firstLine="480"/>
        <w:rPr>
          <w:rFonts w:hint="eastAsia"/>
          <w:color w:val="auto"/>
        </w:rPr>
      </w:pPr>
      <w:r>
        <w:rPr>
          <w:rFonts w:hint="eastAsia"/>
          <w:color w:val="auto"/>
        </w:rPr>
        <w:t>1.第1行＝第2＋3＋…＋7行。</w:t>
      </w:r>
    </w:p>
    <w:p>
      <w:pPr>
        <w:pStyle w:val="12"/>
        <w:ind w:firstLine="480"/>
        <w:rPr>
          <w:rFonts w:hint="eastAsia"/>
          <w:color w:val="auto"/>
        </w:rPr>
      </w:pPr>
      <w:r>
        <w:rPr>
          <w:color w:val="auto"/>
        </w:rPr>
        <w:t>2</w:t>
      </w:r>
      <w:r>
        <w:rPr>
          <w:rFonts w:hint="eastAsia"/>
          <w:color w:val="auto"/>
        </w:rPr>
        <w:t>.第</w:t>
      </w:r>
      <w:r>
        <w:rPr>
          <w:color w:val="auto"/>
        </w:rPr>
        <w:t>8</w:t>
      </w:r>
      <w:r>
        <w:rPr>
          <w:rFonts w:hint="eastAsia"/>
          <w:color w:val="auto"/>
        </w:rPr>
        <w:t>行＝第</w:t>
      </w:r>
      <w:r>
        <w:rPr>
          <w:color w:val="auto"/>
        </w:rPr>
        <w:t>9</w:t>
      </w:r>
      <w:r>
        <w:rPr>
          <w:rFonts w:hint="eastAsia"/>
          <w:color w:val="auto"/>
        </w:rPr>
        <w:t>＋</w:t>
      </w:r>
      <w:r>
        <w:rPr>
          <w:color w:val="auto"/>
        </w:rPr>
        <w:t>10</w:t>
      </w:r>
      <w:r>
        <w:rPr>
          <w:rFonts w:hint="eastAsia"/>
          <w:color w:val="auto"/>
        </w:rPr>
        <w:t>行。</w:t>
      </w:r>
    </w:p>
    <w:p>
      <w:pPr>
        <w:pStyle w:val="12"/>
        <w:ind w:firstLine="480"/>
        <w:rPr>
          <w:rFonts w:hint="eastAsia"/>
          <w:color w:val="auto"/>
        </w:rPr>
      </w:pPr>
      <w:r>
        <w:rPr>
          <w:color w:val="auto"/>
        </w:rPr>
        <w:t>3</w:t>
      </w:r>
      <w:r>
        <w:rPr>
          <w:rFonts w:hint="eastAsia"/>
          <w:color w:val="auto"/>
        </w:rPr>
        <w:t>.第</w:t>
      </w:r>
      <w:r>
        <w:rPr>
          <w:color w:val="auto"/>
        </w:rPr>
        <w:t>11</w:t>
      </w:r>
      <w:r>
        <w:rPr>
          <w:rFonts w:hint="eastAsia"/>
          <w:color w:val="auto"/>
        </w:rPr>
        <w:t>行＝第</w:t>
      </w:r>
      <w:r>
        <w:rPr>
          <w:color w:val="auto"/>
        </w:rPr>
        <w:t>12</w:t>
      </w:r>
      <w:r>
        <w:rPr>
          <w:rFonts w:hint="eastAsia"/>
          <w:color w:val="auto"/>
        </w:rPr>
        <w:t>＋</w:t>
      </w:r>
      <w:r>
        <w:rPr>
          <w:color w:val="auto"/>
        </w:rPr>
        <w:t>13</w:t>
      </w:r>
      <w:r>
        <w:rPr>
          <w:rFonts w:hint="eastAsia"/>
          <w:color w:val="auto"/>
        </w:rPr>
        <w:t>…＋</w:t>
      </w:r>
      <w:r>
        <w:rPr>
          <w:color w:val="auto"/>
        </w:rPr>
        <w:t>19</w:t>
      </w:r>
      <w:r>
        <w:rPr>
          <w:rFonts w:hint="eastAsia"/>
          <w:color w:val="auto"/>
        </w:rPr>
        <w:t>行。</w:t>
      </w:r>
    </w:p>
    <w:p>
      <w:pPr>
        <w:pStyle w:val="12"/>
        <w:ind w:firstLine="480"/>
        <w:rPr>
          <w:rFonts w:hint="eastAsia"/>
          <w:color w:val="auto"/>
        </w:rPr>
      </w:pPr>
      <w:r>
        <w:rPr>
          <w:color w:val="auto"/>
        </w:rPr>
        <w:t>4</w:t>
      </w:r>
      <w:r>
        <w:rPr>
          <w:rFonts w:hint="eastAsia"/>
          <w:color w:val="auto"/>
        </w:rPr>
        <w:t>.第</w:t>
      </w:r>
      <w:r>
        <w:rPr>
          <w:color w:val="auto"/>
        </w:rPr>
        <w:t>20</w:t>
      </w:r>
      <w:r>
        <w:rPr>
          <w:rFonts w:hint="eastAsia"/>
          <w:color w:val="auto"/>
        </w:rPr>
        <w:t>行＝第</w:t>
      </w:r>
      <w:r>
        <w:rPr>
          <w:color w:val="auto"/>
        </w:rPr>
        <w:t>21</w:t>
      </w:r>
      <w:r>
        <w:rPr>
          <w:rFonts w:hint="eastAsia"/>
          <w:color w:val="auto"/>
        </w:rPr>
        <w:t>＋</w:t>
      </w:r>
      <w:r>
        <w:rPr>
          <w:color w:val="auto"/>
        </w:rPr>
        <w:t>22</w:t>
      </w:r>
      <w:r>
        <w:rPr>
          <w:rFonts w:hint="eastAsia"/>
          <w:color w:val="auto"/>
        </w:rPr>
        <w:t>＋</w:t>
      </w:r>
      <w:r>
        <w:rPr>
          <w:color w:val="auto"/>
        </w:rPr>
        <w:t>23</w:t>
      </w:r>
      <w:r>
        <w:rPr>
          <w:rFonts w:hint="eastAsia"/>
          <w:color w:val="auto"/>
        </w:rPr>
        <w:t>＋</w:t>
      </w:r>
      <w:r>
        <w:rPr>
          <w:color w:val="auto"/>
        </w:rPr>
        <w:t>24</w:t>
      </w:r>
      <w:r>
        <w:rPr>
          <w:rFonts w:hint="eastAsia"/>
          <w:color w:val="auto"/>
        </w:rPr>
        <w:t>＋</w:t>
      </w:r>
      <w:r>
        <w:rPr>
          <w:color w:val="auto"/>
        </w:rPr>
        <w:t>25</w:t>
      </w:r>
      <w:r>
        <w:rPr>
          <w:rFonts w:hint="eastAsia"/>
          <w:color w:val="auto"/>
        </w:rPr>
        <w:t>行。</w:t>
      </w:r>
    </w:p>
    <w:p>
      <w:pPr>
        <w:pStyle w:val="12"/>
        <w:ind w:firstLine="480"/>
        <w:rPr>
          <w:rFonts w:hint="eastAsia"/>
          <w:color w:val="auto"/>
        </w:rPr>
      </w:pPr>
      <w:r>
        <w:rPr>
          <w:color w:val="auto"/>
        </w:rPr>
        <w:t>5</w:t>
      </w:r>
      <w:r>
        <w:rPr>
          <w:rFonts w:hint="eastAsia"/>
          <w:color w:val="auto"/>
        </w:rPr>
        <w:t>.第</w:t>
      </w:r>
      <w:r>
        <w:rPr>
          <w:color w:val="auto"/>
        </w:rPr>
        <w:t>2</w:t>
      </w:r>
      <w:r>
        <w:rPr>
          <w:rFonts w:hint="eastAsia"/>
          <w:color w:val="auto"/>
        </w:rPr>
        <w:t>8行＝第</w:t>
      </w:r>
      <w:r>
        <w:rPr>
          <w:color w:val="auto"/>
        </w:rPr>
        <w:t>2</w:t>
      </w:r>
      <w:r>
        <w:rPr>
          <w:rFonts w:hint="eastAsia"/>
          <w:color w:val="auto"/>
        </w:rPr>
        <w:t>8.1＋</w:t>
      </w:r>
      <w:r>
        <w:rPr>
          <w:color w:val="auto"/>
        </w:rPr>
        <w:t>2</w:t>
      </w:r>
      <w:r>
        <w:rPr>
          <w:rFonts w:hint="eastAsia"/>
          <w:color w:val="auto"/>
        </w:rPr>
        <w:t>8.2</w:t>
      </w:r>
      <w:r>
        <w:rPr>
          <w:color w:val="auto"/>
        </w:rPr>
        <w:t>＋</w:t>
      </w:r>
      <w:r>
        <w:rPr>
          <w:rFonts w:hint="eastAsia"/>
          <w:color w:val="auto"/>
        </w:rPr>
        <w:t>…行。</w:t>
      </w:r>
    </w:p>
    <w:p>
      <w:pPr>
        <w:pStyle w:val="12"/>
        <w:ind w:firstLine="480"/>
        <w:rPr>
          <w:rFonts w:hint="eastAsia"/>
          <w:color w:val="auto"/>
        </w:rPr>
      </w:pPr>
      <w:r>
        <w:rPr>
          <w:color w:val="auto"/>
        </w:rPr>
        <w:t>6.</w:t>
      </w:r>
      <w:r>
        <w:rPr>
          <w:rFonts w:hint="eastAsia"/>
          <w:color w:val="auto"/>
        </w:rPr>
        <w:t>第29行＝第29</w:t>
      </w:r>
      <w:r>
        <w:rPr>
          <w:color w:val="auto"/>
        </w:rPr>
        <w:t>.1</w:t>
      </w:r>
      <w:r>
        <w:rPr>
          <w:rFonts w:hint="eastAsia"/>
          <w:color w:val="auto"/>
        </w:rPr>
        <w:t>＋29</w:t>
      </w:r>
      <w:r>
        <w:rPr>
          <w:color w:val="auto"/>
        </w:rPr>
        <w:t>.2</w:t>
      </w:r>
      <w:r>
        <w:rPr>
          <w:rFonts w:hint="eastAsia"/>
          <w:color w:val="auto"/>
        </w:rPr>
        <w:t>＋…行。</w:t>
      </w:r>
    </w:p>
    <w:p>
      <w:pPr>
        <w:pStyle w:val="12"/>
        <w:ind w:firstLine="480"/>
        <w:rPr>
          <w:rFonts w:hint="eastAsia"/>
          <w:color w:val="auto"/>
        </w:rPr>
      </w:pPr>
      <w:r>
        <w:rPr>
          <w:rFonts w:hint="eastAsia"/>
          <w:color w:val="auto"/>
        </w:rPr>
        <w:t>7.第</w:t>
      </w:r>
      <w:r>
        <w:rPr>
          <w:color w:val="auto"/>
        </w:rPr>
        <w:t>3</w:t>
      </w:r>
      <w:r>
        <w:rPr>
          <w:rFonts w:hint="eastAsia"/>
          <w:color w:val="auto"/>
        </w:rPr>
        <w:t>0行＝第1＋</w:t>
      </w:r>
      <w:r>
        <w:rPr>
          <w:color w:val="auto"/>
        </w:rPr>
        <w:t>8</w:t>
      </w:r>
      <w:r>
        <w:rPr>
          <w:rFonts w:hint="eastAsia"/>
          <w:color w:val="auto"/>
        </w:rPr>
        <w:t>＋</w:t>
      </w:r>
      <w:r>
        <w:rPr>
          <w:color w:val="auto"/>
        </w:rPr>
        <w:t>11</w:t>
      </w:r>
      <w:r>
        <w:rPr>
          <w:rFonts w:hint="eastAsia"/>
          <w:color w:val="auto"/>
        </w:rPr>
        <w:t>＋</w:t>
      </w:r>
      <w:r>
        <w:rPr>
          <w:color w:val="auto"/>
        </w:rPr>
        <w:t>20</w:t>
      </w:r>
      <w:r>
        <w:rPr>
          <w:rFonts w:hint="eastAsia"/>
          <w:color w:val="auto"/>
        </w:rPr>
        <w:t>＋</w:t>
      </w:r>
      <w:r>
        <w:rPr>
          <w:color w:val="auto"/>
        </w:rPr>
        <w:t>26</w:t>
      </w:r>
      <w:r>
        <w:rPr>
          <w:rFonts w:hint="eastAsia"/>
          <w:color w:val="auto"/>
        </w:rPr>
        <w:t>＋</w:t>
      </w:r>
      <w:r>
        <w:rPr>
          <w:color w:val="auto"/>
        </w:rPr>
        <w:t>27</w:t>
      </w:r>
      <w:r>
        <w:rPr>
          <w:rFonts w:hint="eastAsia"/>
          <w:color w:val="auto"/>
        </w:rPr>
        <w:t>行（其中第</w:t>
      </w:r>
      <w:r>
        <w:rPr>
          <w:color w:val="auto"/>
        </w:rPr>
        <w:t>3</w:t>
      </w:r>
      <w:r>
        <w:rPr>
          <w:rFonts w:hint="eastAsia"/>
          <w:color w:val="auto"/>
        </w:rPr>
        <w:t>0行第6列＝第</w:t>
      </w:r>
      <w:r>
        <w:rPr>
          <w:color w:val="auto"/>
        </w:rPr>
        <w:t>2</w:t>
      </w:r>
      <w:r>
        <w:rPr>
          <w:rFonts w:hint="eastAsia"/>
          <w:color w:val="auto"/>
        </w:rPr>
        <w:t>8</w:t>
      </w:r>
      <w:r>
        <w:rPr>
          <w:color w:val="auto"/>
        </w:rPr>
        <w:t>＋</w:t>
      </w:r>
      <w:r>
        <w:rPr>
          <w:rFonts w:hint="eastAsia"/>
          <w:color w:val="auto"/>
        </w:rPr>
        <w:t>29行第6列；第</w:t>
      </w:r>
      <w:r>
        <w:rPr>
          <w:color w:val="auto"/>
        </w:rPr>
        <w:t>3</w:t>
      </w:r>
      <w:r>
        <w:rPr>
          <w:rFonts w:hint="eastAsia"/>
          <w:color w:val="auto"/>
        </w:rPr>
        <w:t>0行第7列＝第</w:t>
      </w:r>
      <w:r>
        <w:rPr>
          <w:color w:val="auto"/>
        </w:rPr>
        <w:t>2</w:t>
      </w:r>
      <w:r>
        <w:rPr>
          <w:rFonts w:hint="eastAsia"/>
          <w:color w:val="auto"/>
        </w:rPr>
        <w:t>8</w:t>
      </w:r>
      <w:r>
        <w:rPr>
          <w:color w:val="auto"/>
        </w:rPr>
        <w:t>＋</w:t>
      </w:r>
      <w:r>
        <w:rPr>
          <w:rFonts w:hint="eastAsia"/>
          <w:color w:val="auto"/>
        </w:rPr>
        <w:t>29行第7列）。</w:t>
      </w:r>
    </w:p>
    <w:p>
      <w:pPr>
        <w:pStyle w:val="12"/>
        <w:ind w:firstLine="480"/>
        <w:rPr>
          <w:rFonts w:hint="eastAsia"/>
          <w:color w:val="auto"/>
        </w:rPr>
      </w:pPr>
      <w:r>
        <w:rPr>
          <w:rFonts w:hint="eastAsia"/>
          <w:color w:val="auto"/>
        </w:rPr>
        <w:t>8.第7列＝第5－6列。</w:t>
      </w:r>
    </w:p>
    <w:p>
      <w:pPr>
        <w:pStyle w:val="12"/>
        <w:ind w:firstLine="480"/>
        <w:rPr>
          <w:rFonts w:hint="eastAsia"/>
          <w:color w:val="auto"/>
        </w:rPr>
      </w:pPr>
      <w:r>
        <w:rPr>
          <w:rFonts w:hint="eastAsia"/>
          <w:color w:val="auto"/>
        </w:rPr>
        <w:t>9.第9列＝第2－5列。</w:t>
      </w:r>
    </w:p>
    <w:p>
      <w:pPr>
        <w:pStyle w:val="21"/>
        <w:ind w:firstLine="480"/>
        <w:rPr>
          <w:rFonts w:hint="eastAsia"/>
          <w:color w:val="auto"/>
        </w:rPr>
      </w:pPr>
      <w:bookmarkStart w:id="170" w:name="_Toc752612628_WPSOffice_Level2"/>
      <w:bookmarkEnd w:id="170"/>
      <w:bookmarkStart w:id="171" w:name="_Toc1349526280_WPSOffice_Level2"/>
      <w:r>
        <w:rPr>
          <w:rFonts w:hint="eastAsia"/>
          <w:color w:val="auto"/>
        </w:rPr>
        <w:t>（二）表间关系</w:t>
      </w:r>
      <w:bookmarkEnd w:id="171"/>
    </w:p>
    <w:p>
      <w:pPr>
        <w:pStyle w:val="12"/>
        <w:ind w:firstLine="480"/>
        <w:rPr>
          <w:rFonts w:hint="eastAsia"/>
          <w:color w:val="auto"/>
        </w:rPr>
      </w:pPr>
      <w:r>
        <w:rPr>
          <w:rFonts w:hint="eastAsia"/>
          <w:color w:val="auto"/>
        </w:rPr>
        <w:t>1.第</w:t>
      </w:r>
      <w:r>
        <w:rPr>
          <w:color w:val="auto"/>
        </w:rPr>
        <w:t>3</w:t>
      </w:r>
      <w:r>
        <w:rPr>
          <w:rFonts w:hint="eastAsia"/>
          <w:color w:val="auto"/>
          <w:lang w:val="en-US" w:eastAsia="zh-CN"/>
        </w:rPr>
        <w:t>0</w:t>
      </w:r>
      <w:r>
        <w:rPr>
          <w:rFonts w:hint="eastAsia"/>
          <w:color w:val="auto"/>
        </w:rPr>
        <w:t>行第2列＝表A105000第32</w:t>
      </w:r>
      <w:r>
        <w:rPr>
          <w:color w:val="auto"/>
        </w:rPr>
        <w:t>行</w:t>
      </w:r>
      <w:r>
        <w:rPr>
          <w:rFonts w:hint="eastAsia"/>
          <w:color w:val="auto"/>
        </w:rPr>
        <w:t>第1列。</w:t>
      </w:r>
    </w:p>
    <w:p>
      <w:pPr>
        <w:pStyle w:val="12"/>
        <w:ind w:firstLine="480"/>
        <w:rPr>
          <w:rFonts w:hint="eastAsia"/>
          <w:color w:val="auto"/>
        </w:rPr>
      </w:pPr>
      <w:r>
        <w:rPr>
          <w:rFonts w:hint="eastAsia"/>
          <w:color w:val="auto"/>
        </w:rPr>
        <w:t>2.第</w:t>
      </w:r>
      <w:r>
        <w:rPr>
          <w:color w:val="auto"/>
        </w:rPr>
        <w:t>3</w:t>
      </w:r>
      <w:r>
        <w:rPr>
          <w:rFonts w:hint="eastAsia"/>
          <w:color w:val="auto"/>
          <w:lang w:val="en-US" w:eastAsia="zh-CN"/>
        </w:rPr>
        <w:t>0</w:t>
      </w:r>
      <w:r>
        <w:rPr>
          <w:rFonts w:hint="eastAsia"/>
          <w:color w:val="auto"/>
        </w:rPr>
        <w:t>行第5列＝表A105000第32</w:t>
      </w:r>
      <w:r>
        <w:rPr>
          <w:color w:val="auto"/>
        </w:rPr>
        <w:t>行</w:t>
      </w:r>
      <w:r>
        <w:rPr>
          <w:rFonts w:hint="eastAsia"/>
          <w:color w:val="auto"/>
        </w:rPr>
        <w:t>第2列。</w:t>
      </w:r>
    </w:p>
    <w:p>
      <w:pPr>
        <w:pStyle w:val="12"/>
        <w:ind w:firstLine="480"/>
        <w:rPr>
          <w:rFonts w:hint="eastAsia"/>
          <w:color w:val="auto"/>
        </w:rPr>
      </w:pPr>
      <w:r>
        <w:rPr>
          <w:rFonts w:hint="eastAsia"/>
          <w:color w:val="auto"/>
        </w:rPr>
        <w:t>3.若第30行第9列≥0，第30行第9列＝表A105000第32行第3列；若第30行第9列＜0，第30行第9列的绝对值＝表A105000第32行第4列。</w:t>
      </w:r>
    </w:p>
    <w:p>
      <w:pPr>
        <w:widowControl/>
        <w:jc w:val="left"/>
        <w:rPr>
          <w:rFonts w:hint="eastAsia" w:ascii="宋体" w:hAnsi="宋体"/>
          <w:color w:val="auto"/>
          <w:sz w:val="24"/>
        </w:rPr>
      </w:pPr>
      <w:r>
        <w:rPr>
          <w:rFonts w:hint="eastAsia"/>
          <w:color w:val="auto"/>
        </w:rPr>
        <w:br w:type="page"/>
      </w:r>
    </w:p>
    <w:p>
      <w:pPr>
        <w:pStyle w:val="24"/>
        <w:tabs>
          <w:tab w:val="clear" w:pos="4200"/>
        </w:tabs>
        <w:spacing w:before="120" w:after="120"/>
        <w:rPr>
          <w:rFonts w:hint="eastAsia" w:ascii="宋体" w:hAnsi="宋体" w:eastAsia="宋体" w:cs="宋体"/>
          <w:color w:val="auto"/>
          <w:lang w:val="zh-CN"/>
        </w:rPr>
      </w:pPr>
      <w:bookmarkStart w:id="172" w:name="_Toc176972057"/>
      <w:bookmarkStart w:id="173" w:name="_Toc793705556"/>
      <w:bookmarkStart w:id="174" w:name="_Toc137125519"/>
      <w:bookmarkStart w:id="175" w:name="_Toc54267943"/>
      <w:r>
        <w:rPr>
          <w:rFonts w:hint="eastAsia" w:ascii="宋体" w:hAnsi="宋体" w:eastAsia="宋体" w:cs="宋体"/>
          <w:color w:val="auto"/>
          <w:lang w:val="zh-CN"/>
        </w:rPr>
        <w:t>A106000    《企业所得税弥补亏损明细表》填报说明</w:t>
      </w:r>
      <w:bookmarkEnd w:id="172"/>
      <w:bookmarkEnd w:id="173"/>
      <w:bookmarkEnd w:id="174"/>
      <w:bookmarkEnd w:id="175"/>
    </w:p>
    <w:p>
      <w:pPr>
        <w:pStyle w:val="17"/>
        <w:ind w:firstLine="482"/>
        <w:jc w:val="both"/>
        <w:outlineLvl w:val="1"/>
        <w:rPr>
          <w:rFonts w:hint="eastAsia" w:eastAsia="宋体"/>
          <w:color w:val="auto"/>
          <w:kern w:val="2"/>
          <w:sz w:val="24"/>
          <w:szCs w:val="24"/>
        </w:rPr>
      </w:pPr>
      <w:r>
        <w:rPr>
          <w:rFonts w:hint="eastAsia" w:ascii="宋体" w:hAnsi="宋体" w:eastAsia="宋体" w:cs="宋体"/>
          <w:color w:val="auto"/>
          <w:kern w:val="2"/>
          <w:sz w:val="24"/>
          <w:szCs w:val="24"/>
        </w:rPr>
        <w:t>本表适用于发生弥补亏损、亏损结转等事项的纳税人填报。纳税人应当根据税法、《财政部 税务总局关于延长高新技术企业和科技型中小企业亏损结转年限的通知》（财税〔2018〕76号）、《国家税务总局关于延长高新技术企业和科技型中小企业亏损结转弥补年限有关企业所得税处理问题的公告》（2018年第45号）、《财政部 国家税务总局关于支持新型冠状病毒感染的肺炎疫情防控有关税收政策的公告》（2020年第8号）、《财政部 税务总局关于电影等行业税费支持政策的公告》（2020年第25号）、《财政部 税务总局 发展改革委 工业和信息化部关于促进集成电路和软件产业高质量发展企业所得税政策的公告》（2020年第45号）等相关规定，填报本表。</w:t>
      </w:r>
      <w:bookmarkStart w:id="176" w:name="_Toc1745074595"/>
      <w:bookmarkStart w:id="177" w:name="_Toc54267944"/>
    </w:p>
    <w:p>
      <w:pPr>
        <w:pStyle w:val="17"/>
        <w:ind w:firstLine="480"/>
        <w:jc w:val="both"/>
        <w:outlineLvl w:val="1"/>
        <w:rPr>
          <w:rFonts w:hint="eastAsia"/>
          <w:color w:val="auto"/>
          <w:sz w:val="24"/>
          <w:szCs w:val="24"/>
        </w:rPr>
      </w:pPr>
      <w:r>
        <w:rPr>
          <w:rFonts w:hint="eastAsia"/>
          <w:color w:val="auto"/>
          <w:sz w:val="24"/>
          <w:szCs w:val="24"/>
        </w:rPr>
        <w:t>一、有关项目填报说明</w:t>
      </w:r>
      <w:bookmarkEnd w:id="176"/>
      <w:bookmarkEnd w:id="177"/>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纳税人弥补以前年度亏损时，应按照“先到期亏损先弥补、同时到期亏损先发生的先弥补”的原则处理。</w:t>
      </w:r>
    </w:p>
    <w:p>
      <w:pPr>
        <w:pStyle w:val="12"/>
        <w:rPr>
          <w:rFonts w:hint="eastAsia"/>
          <w:color w:val="auto"/>
          <w:highlight w:val="none"/>
        </w:rPr>
      </w:pPr>
      <w:r>
        <w:rPr>
          <w:rFonts w:hint="eastAsia" w:cs="宋体"/>
          <w:color w:val="auto"/>
          <w:sz w:val="24"/>
          <w:lang w:val="en-US" w:eastAsia="zh-CN"/>
        </w:rPr>
        <w:t>1.</w:t>
      </w:r>
      <w:r>
        <w:rPr>
          <w:rFonts w:hint="eastAsia" w:ascii="宋体" w:hAnsi="宋体" w:cs="宋体"/>
          <w:color w:val="auto"/>
          <w:sz w:val="24"/>
        </w:rPr>
        <w:t>第1列“年度”：</w:t>
      </w:r>
      <w:r>
        <w:rPr>
          <w:rFonts w:hint="eastAsia"/>
          <w:color w:val="auto"/>
          <w:highlight w:val="none"/>
        </w:rPr>
        <w:t>填报公历年度。纳税人应首先填报第11行“本年度”对应的公历年度，再依次从第10行往第1行倒推填报以前年度。纳税人发生政策性搬迁事项，如停止生产经营活动年度可以从法定亏损结转弥补年限中减除，则按可弥补亏损年度进行填报。本年度是指申报所属期年度，如：纳税人在2019年5月10日进行2018年度企业所得税年度纳税申报时，本年度（申报所属期年度）为2018年。</w:t>
      </w:r>
    </w:p>
    <w:p>
      <w:pPr>
        <w:pStyle w:val="12"/>
        <w:rPr>
          <w:rFonts w:hint="eastAsia" w:ascii="宋体" w:hAnsi="宋体"/>
          <w:color w:val="auto"/>
          <w:sz w:val="24"/>
          <w:highlight w:val="none"/>
        </w:rPr>
      </w:pPr>
      <w:r>
        <w:rPr>
          <w:rFonts w:hint="eastAsia" w:ascii="宋体" w:hAnsi="宋体"/>
          <w:color w:val="auto"/>
          <w:sz w:val="24"/>
          <w:highlight w:val="none"/>
        </w:rPr>
        <w:t>2.第2列“当年境内所得额”：第11行填报表A100000第</w:t>
      </w:r>
      <w:r>
        <w:rPr>
          <w:rFonts w:hint="eastAsia"/>
          <w:color w:val="auto"/>
          <w:sz w:val="24"/>
          <w:highlight w:val="none"/>
          <w:lang w:val="en-US" w:eastAsia="zh-CN"/>
        </w:rPr>
        <w:t>24</w:t>
      </w:r>
      <w:r>
        <w:rPr>
          <w:rFonts w:hint="eastAsia" w:ascii="宋体" w:hAnsi="宋体"/>
          <w:color w:val="auto"/>
          <w:sz w:val="24"/>
          <w:highlight w:val="none"/>
        </w:rPr>
        <w:t>－2</w:t>
      </w:r>
      <w:r>
        <w:rPr>
          <w:rFonts w:hint="eastAsia"/>
          <w:color w:val="auto"/>
          <w:sz w:val="24"/>
          <w:highlight w:val="none"/>
          <w:lang w:val="en-US" w:eastAsia="zh-CN"/>
        </w:rPr>
        <w:t>5</w:t>
      </w:r>
      <w:r>
        <w:rPr>
          <w:rFonts w:hint="eastAsia" w:ascii="宋体" w:hAnsi="宋体"/>
          <w:color w:val="auto"/>
          <w:sz w:val="24"/>
          <w:highlight w:val="none"/>
        </w:rPr>
        <w:t>金额。第1行至第10行填报以前年度主表第23行（2013年及以前纳税年度）、以前年度表A106000第6行第2列（2014至2017纳税年度）、以前年度表A106000第11行第2列的金额（亏损以负数表示）。发生查补以前年度应纳税所得额、追补以前年度未能税前扣除的实际资产损失等情况的，按照相应调整后的金额填报。</w:t>
      </w:r>
    </w:p>
    <w:p>
      <w:pPr>
        <w:pStyle w:val="12"/>
        <w:ind w:firstLine="480"/>
        <w:rPr>
          <w:rFonts w:hint="eastAsia" w:ascii="宋体" w:hAnsi="宋体" w:cs="宋体"/>
          <w:color w:val="auto"/>
          <w:sz w:val="24"/>
        </w:rPr>
      </w:pPr>
      <w:r>
        <w:rPr>
          <w:rFonts w:hint="eastAsia"/>
          <w:color w:val="auto"/>
          <w:highlight w:val="none"/>
          <w:lang w:val="en-US" w:eastAsia="zh-CN"/>
        </w:rPr>
        <w:t>3.</w:t>
      </w:r>
      <w:r>
        <w:rPr>
          <w:rFonts w:hint="eastAsia" w:ascii="宋体" w:hAnsi="宋体" w:cs="宋体"/>
          <w:color w:val="auto"/>
          <w:sz w:val="24"/>
        </w:rPr>
        <w:t>第3列“分立转出的亏损额”： 填报本年度企业分立按照企业重组特殊性税务处理规定转出的符合条件的亏损额。分立转出的亏损额按亏损所属年度填报，转出亏损的亏损额以正数表示。</w:t>
      </w:r>
    </w:p>
    <w:p>
      <w:pPr>
        <w:pStyle w:val="25"/>
        <w:numPr>
          <w:ilvl w:val="0"/>
          <w:numId w:val="0"/>
        </w:numPr>
        <w:spacing w:line="360" w:lineRule="auto"/>
        <w:ind w:left="0" w:leftChars="0" w:firstLine="480" w:firstLineChars="200"/>
        <w:rPr>
          <w:rFonts w:hint="eastAsia" w:ascii="宋体" w:hAnsi="宋体" w:cs="宋体"/>
          <w:color w:val="auto"/>
          <w:sz w:val="24"/>
        </w:rPr>
      </w:pPr>
      <w:r>
        <w:rPr>
          <w:rFonts w:hint="eastAsia" w:ascii="宋体" w:hAnsi="宋体" w:cs="宋体"/>
          <w:color w:val="auto"/>
          <w:sz w:val="24"/>
          <w:lang w:val="en-US" w:eastAsia="zh-CN"/>
        </w:rPr>
        <w:t>4.</w:t>
      </w:r>
      <w:r>
        <w:rPr>
          <w:rFonts w:hint="eastAsia" w:ascii="宋体" w:hAnsi="宋体" w:cs="宋体"/>
          <w:color w:val="auto"/>
          <w:sz w:val="24"/>
        </w:rPr>
        <w:t>第4列“合并、分立转入的亏损额－可弥补年限5年”：填报企业符合企业重组特殊性税务处理规定，因合并或分立本年度转入的不超过5年亏损弥补年限规定的亏损额。合并、分立转入的亏损额按亏损所属年度填报，转入的亏损额以负数表示。</w:t>
      </w:r>
    </w:p>
    <w:p>
      <w:pPr>
        <w:pStyle w:val="25"/>
        <w:numPr>
          <w:ilvl w:val="0"/>
          <w:numId w:val="0"/>
        </w:numPr>
        <w:spacing w:line="360" w:lineRule="auto"/>
        <w:ind w:left="0" w:leftChars="0" w:firstLine="480" w:firstLineChars="200"/>
        <w:rPr>
          <w:rFonts w:hint="eastAsia" w:ascii="宋体" w:hAnsi="宋体" w:cs="宋体"/>
          <w:color w:val="auto"/>
          <w:sz w:val="24"/>
        </w:rPr>
      </w:pPr>
      <w:r>
        <w:rPr>
          <w:rFonts w:hint="eastAsia" w:ascii="宋体" w:hAnsi="宋体" w:cs="宋体"/>
          <w:color w:val="auto"/>
          <w:sz w:val="24"/>
          <w:lang w:val="en-US" w:eastAsia="zh-CN"/>
        </w:rPr>
        <w:t>5.</w:t>
      </w:r>
      <w:r>
        <w:rPr>
          <w:rFonts w:hint="eastAsia" w:ascii="宋体" w:hAnsi="宋体" w:cs="宋体"/>
          <w:color w:val="auto"/>
          <w:sz w:val="24"/>
        </w:rPr>
        <w:t>第5列“合并、分立转入的亏损额－可弥补年限8年”：填报企业符合企业重组特殊性税务处理规定，因合并或分立本年度转入的不超过8年亏损弥补年限规定的亏损额。合并、分立转入的亏损额按亏损所属年度填报，转入的亏损额以负数表示。</w:t>
      </w:r>
    </w:p>
    <w:p>
      <w:pPr>
        <w:pStyle w:val="25"/>
        <w:numPr>
          <w:ilvl w:val="0"/>
          <w:numId w:val="0"/>
        </w:numPr>
        <w:spacing w:line="360" w:lineRule="auto"/>
        <w:ind w:left="0" w:leftChars="0" w:firstLine="480" w:firstLineChars="200"/>
        <w:rPr>
          <w:rFonts w:hint="eastAsia" w:ascii="宋体" w:hAnsi="宋体" w:cs="宋体"/>
          <w:color w:val="auto"/>
          <w:sz w:val="24"/>
        </w:rPr>
      </w:pPr>
      <w:r>
        <w:rPr>
          <w:rFonts w:hint="eastAsia" w:ascii="宋体" w:hAnsi="宋体" w:cs="宋体"/>
          <w:color w:val="auto"/>
          <w:sz w:val="24"/>
          <w:lang w:val="en-US" w:eastAsia="zh-CN"/>
        </w:rPr>
        <w:t>6.</w:t>
      </w:r>
      <w:r>
        <w:rPr>
          <w:rFonts w:hint="eastAsia" w:ascii="宋体" w:hAnsi="宋体" w:cs="宋体"/>
          <w:color w:val="auto"/>
          <w:sz w:val="24"/>
        </w:rPr>
        <w:t>第6列“合并、分立转入的亏损额－可弥补年限10年”：填报企业符合企业重组特殊性税务处理规定，因合并或分立本年度转入的不超过10年亏损弥补年限规定的亏损额。合并、分立转入的亏损额按亏损所属年度填报，转入的亏损额以负数表示。</w:t>
      </w:r>
    </w:p>
    <w:p>
      <w:pPr>
        <w:pStyle w:val="25"/>
        <w:numPr>
          <w:ilvl w:val="0"/>
          <w:numId w:val="0"/>
        </w:numPr>
        <w:spacing w:line="360" w:lineRule="auto"/>
        <w:ind w:left="0" w:leftChars="0" w:firstLine="480" w:firstLineChars="200"/>
        <w:rPr>
          <w:rFonts w:hint="eastAsia" w:ascii="宋体" w:hAnsi="宋体" w:cs="宋体"/>
          <w:color w:val="auto"/>
          <w:sz w:val="24"/>
        </w:rPr>
      </w:pPr>
      <w:r>
        <w:rPr>
          <w:rFonts w:hint="eastAsia" w:ascii="宋体" w:hAnsi="宋体" w:cs="宋体"/>
          <w:color w:val="auto"/>
          <w:sz w:val="24"/>
          <w:lang w:val="en-US" w:eastAsia="zh-CN"/>
        </w:rPr>
        <w:t>7.</w:t>
      </w:r>
      <w:r>
        <w:rPr>
          <w:rFonts w:hint="eastAsia" w:ascii="宋体" w:hAnsi="宋体" w:cs="宋体"/>
          <w:color w:val="auto"/>
          <w:sz w:val="24"/>
        </w:rPr>
        <w:t>第7列“弥补亏损企业类型”：纳税人根据不同年度情况从《弥补亏损企业类型代码表》中选择相应的代码填入本项。不同类型纳税人的亏损结转年限不同，纳税人选择 “一般企业”是指亏损结转年限为5年的纳税人；“符合条件的高新技术企业”“符合条件的科技型中小企业”是指符合《财政部 税务总局关于延长高新技术企业和科技型中小企业亏损结转年限的通知》（财税〔2018〕76号）、《国家税务总局关于延长高新技术企业和科技型中小企业亏损结转弥补年限有关企业所得税处理问题的公告》（2018年第45号）等文件规定，亏损结转年限为10年的纳税人；“线宽小于130纳米（含）的集成电路生产企业”是指符合</w:t>
      </w:r>
      <w:r>
        <w:rPr>
          <w:rFonts w:hint="eastAsia" w:ascii="宋体" w:hAnsi="宋体" w:cs="宋体"/>
          <w:color w:val="auto"/>
          <w:kern w:val="0"/>
          <w:sz w:val="24"/>
        </w:rPr>
        <w:t>《财政部 税务总局 发展改革委 工业和信息化部关于促进集成电路和软件产业高质量发展企业所得税政策的公告》（2020年第45号）等文件规定，</w:t>
      </w:r>
      <w:r>
        <w:rPr>
          <w:rFonts w:hint="eastAsia" w:ascii="宋体" w:hAnsi="宋体" w:cs="宋体"/>
          <w:color w:val="auto"/>
          <w:sz w:val="24"/>
        </w:rPr>
        <w:t>亏损结转年限为10年的纳税人；“受疫情影响困难行业企业”是指符合《财政部 税务总局关于支持新型冠状病毒感染的肺炎疫情防控有关税收政策的公告》（2020年第8号）等文件规定的受疫情影响较大的困难行业企业2020年度发生的亏损，最长结转年限由5年延长至8年的纳税人；“电影行业企业”是指《财政部 税务总局关于电影等行业税费支持政策的公告》（2020年第25号）规定的电影行业企业2020年度发生的亏损，最长结转年限由5年延长至8年的纳税人。</w:t>
      </w:r>
    </w:p>
    <w:p>
      <w:pPr>
        <w:spacing w:line="360" w:lineRule="auto"/>
        <w:jc w:val="center"/>
        <w:rPr>
          <w:rFonts w:hint="eastAsia" w:ascii="宋体" w:hAnsi="宋体" w:cs="宋体"/>
          <w:b/>
          <w:bCs/>
          <w:color w:val="auto"/>
          <w:sz w:val="24"/>
        </w:rPr>
      </w:pPr>
    </w:p>
    <w:p>
      <w:pPr>
        <w:spacing w:line="360" w:lineRule="auto"/>
        <w:jc w:val="center"/>
        <w:rPr>
          <w:rFonts w:hint="eastAsia" w:ascii="宋体" w:hAnsi="宋体" w:cs="宋体"/>
          <w:b/>
          <w:bCs/>
          <w:color w:val="auto"/>
          <w:sz w:val="24"/>
        </w:rPr>
      </w:pPr>
      <w:r>
        <w:rPr>
          <w:rFonts w:hint="eastAsia" w:ascii="宋体" w:hAnsi="宋体" w:cs="宋体"/>
          <w:b/>
          <w:bCs/>
          <w:color w:val="auto"/>
          <w:sz w:val="24"/>
        </w:rPr>
        <w:t>弥补亏损企业类型代码表</w:t>
      </w:r>
    </w:p>
    <w:tbl>
      <w:tblPr>
        <w:tblStyle w:val="7"/>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096"/>
        <w:gridCol w:w="5835"/>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3" w:hRule="atLeast"/>
          <w:jc w:val="center"/>
        </w:trPr>
        <w:tc>
          <w:tcPr>
            <w:tcW w:w="1096" w:type="dxa"/>
            <w:noWrap w:val="0"/>
            <w:vAlign w:val="center"/>
          </w:tcPr>
          <w:p>
            <w:pPr>
              <w:widowControl/>
              <w:jc w:val="center"/>
              <w:rPr>
                <w:rFonts w:hint="eastAsia" w:ascii="宋体" w:hAnsi="宋体" w:cs="宋体"/>
                <w:b/>
                <w:color w:val="auto"/>
                <w:kern w:val="0"/>
                <w:sz w:val="20"/>
                <w:szCs w:val="20"/>
              </w:rPr>
            </w:pPr>
            <w:r>
              <w:rPr>
                <w:rFonts w:hint="eastAsia" w:ascii="宋体" w:hAnsi="宋体" w:cs="宋体"/>
                <w:b/>
                <w:color w:val="auto"/>
                <w:kern w:val="0"/>
                <w:sz w:val="20"/>
                <w:szCs w:val="20"/>
              </w:rPr>
              <w:t>代码</w:t>
            </w:r>
          </w:p>
        </w:tc>
        <w:tc>
          <w:tcPr>
            <w:tcW w:w="5835" w:type="dxa"/>
            <w:noWrap w:val="0"/>
            <w:vAlign w:val="top"/>
          </w:tcPr>
          <w:p>
            <w:pPr>
              <w:widowControl/>
              <w:jc w:val="center"/>
              <w:rPr>
                <w:rFonts w:hint="eastAsia" w:ascii="宋体" w:hAnsi="宋体" w:cs="宋体"/>
                <w:b/>
                <w:color w:val="auto"/>
                <w:kern w:val="0"/>
                <w:sz w:val="20"/>
                <w:szCs w:val="20"/>
              </w:rPr>
            </w:pPr>
            <w:r>
              <w:rPr>
                <w:rFonts w:hint="eastAsia" w:ascii="宋体" w:hAnsi="宋体" w:cs="宋体"/>
                <w:b/>
                <w:color w:val="auto"/>
                <w:kern w:val="0"/>
                <w:sz w:val="20"/>
                <w:szCs w:val="20"/>
              </w:rPr>
              <w:t>类型</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3" w:hRule="atLeast"/>
          <w:jc w:val="center"/>
        </w:trPr>
        <w:tc>
          <w:tcPr>
            <w:tcW w:w="1096" w:type="dxa"/>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100</w:t>
            </w:r>
          </w:p>
        </w:tc>
        <w:tc>
          <w:tcPr>
            <w:tcW w:w="5835" w:type="dxa"/>
            <w:noWrap w:val="0"/>
            <w:vAlign w:val="top"/>
          </w:tcPr>
          <w:p>
            <w:pPr>
              <w:widowControl/>
              <w:jc w:val="left"/>
              <w:rPr>
                <w:rFonts w:hint="eastAsia" w:ascii="宋体" w:hAnsi="宋体" w:cs="宋体"/>
                <w:color w:val="auto"/>
                <w:kern w:val="0"/>
                <w:sz w:val="20"/>
                <w:szCs w:val="20"/>
              </w:rPr>
            </w:pPr>
            <w:r>
              <w:rPr>
                <w:rFonts w:hint="eastAsia" w:ascii="宋体" w:hAnsi="宋体" w:cs="宋体"/>
                <w:color w:val="auto"/>
                <w:kern w:val="0"/>
                <w:sz w:val="20"/>
                <w:szCs w:val="20"/>
              </w:rPr>
              <w:t>一般企业</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3" w:hRule="atLeast"/>
          <w:jc w:val="center"/>
        </w:trPr>
        <w:tc>
          <w:tcPr>
            <w:tcW w:w="1096" w:type="dxa"/>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200</w:t>
            </w:r>
          </w:p>
        </w:tc>
        <w:tc>
          <w:tcPr>
            <w:tcW w:w="5835" w:type="dxa"/>
            <w:noWrap w:val="0"/>
            <w:vAlign w:val="top"/>
          </w:tcPr>
          <w:p>
            <w:pPr>
              <w:widowControl/>
              <w:jc w:val="left"/>
              <w:rPr>
                <w:rFonts w:hint="eastAsia" w:ascii="宋体" w:hAnsi="宋体" w:cs="宋体"/>
                <w:color w:val="auto"/>
                <w:kern w:val="0"/>
                <w:sz w:val="20"/>
                <w:szCs w:val="20"/>
              </w:rPr>
            </w:pPr>
            <w:r>
              <w:rPr>
                <w:rFonts w:hint="eastAsia" w:ascii="宋体" w:hAnsi="宋体" w:cs="宋体"/>
                <w:color w:val="auto"/>
                <w:kern w:val="0"/>
                <w:sz w:val="20"/>
                <w:szCs w:val="20"/>
              </w:rPr>
              <w:t>符合条件的高新技术企业</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3" w:hRule="atLeast"/>
          <w:jc w:val="center"/>
        </w:trPr>
        <w:tc>
          <w:tcPr>
            <w:tcW w:w="1096" w:type="dxa"/>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300</w:t>
            </w:r>
          </w:p>
        </w:tc>
        <w:tc>
          <w:tcPr>
            <w:tcW w:w="5835" w:type="dxa"/>
            <w:noWrap w:val="0"/>
            <w:vAlign w:val="top"/>
          </w:tcPr>
          <w:p>
            <w:pPr>
              <w:widowControl/>
              <w:jc w:val="left"/>
              <w:rPr>
                <w:rFonts w:hint="eastAsia" w:ascii="宋体" w:hAnsi="宋体" w:cs="宋体"/>
                <w:color w:val="auto"/>
                <w:kern w:val="0"/>
                <w:sz w:val="20"/>
                <w:szCs w:val="20"/>
              </w:rPr>
            </w:pPr>
            <w:r>
              <w:rPr>
                <w:rFonts w:hint="eastAsia" w:ascii="宋体" w:hAnsi="宋体" w:cs="宋体"/>
                <w:color w:val="auto"/>
                <w:kern w:val="0"/>
                <w:sz w:val="20"/>
                <w:szCs w:val="20"/>
              </w:rPr>
              <w:t>符合条件的科技型中小企业</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3" w:hRule="atLeast"/>
          <w:jc w:val="center"/>
        </w:trPr>
        <w:tc>
          <w:tcPr>
            <w:tcW w:w="1096" w:type="dxa"/>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400</w:t>
            </w:r>
          </w:p>
        </w:tc>
        <w:tc>
          <w:tcPr>
            <w:tcW w:w="5835" w:type="dxa"/>
            <w:noWrap w:val="0"/>
            <w:vAlign w:val="top"/>
          </w:tcPr>
          <w:p>
            <w:pPr>
              <w:widowControl/>
              <w:jc w:val="left"/>
              <w:rPr>
                <w:rFonts w:hint="eastAsia" w:ascii="宋体" w:hAnsi="宋体" w:cs="宋体"/>
                <w:color w:val="auto"/>
                <w:kern w:val="0"/>
                <w:sz w:val="20"/>
                <w:szCs w:val="20"/>
              </w:rPr>
            </w:pPr>
            <w:r>
              <w:rPr>
                <w:rFonts w:hint="eastAsia" w:ascii="宋体" w:hAnsi="宋体" w:cs="宋体"/>
                <w:color w:val="auto"/>
                <w:kern w:val="0"/>
                <w:sz w:val="20"/>
                <w:szCs w:val="20"/>
              </w:rPr>
              <w:t>线宽小于130纳米（含）的集成电路生产企业</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3" w:hRule="atLeast"/>
          <w:jc w:val="center"/>
        </w:trPr>
        <w:tc>
          <w:tcPr>
            <w:tcW w:w="1096" w:type="dxa"/>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500</w:t>
            </w:r>
          </w:p>
        </w:tc>
        <w:tc>
          <w:tcPr>
            <w:tcW w:w="5835" w:type="dxa"/>
            <w:noWrap w:val="0"/>
            <w:vAlign w:val="top"/>
          </w:tcPr>
          <w:p>
            <w:pPr>
              <w:widowControl/>
              <w:jc w:val="left"/>
              <w:rPr>
                <w:rFonts w:hint="eastAsia" w:ascii="宋体" w:hAnsi="宋体" w:cs="宋体"/>
                <w:color w:val="auto"/>
                <w:kern w:val="0"/>
                <w:sz w:val="20"/>
                <w:szCs w:val="20"/>
              </w:rPr>
            </w:pPr>
            <w:r>
              <w:rPr>
                <w:rFonts w:hint="eastAsia" w:ascii="宋体" w:hAnsi="宋体" w:cs="宋体"/>
                <w:color w:val="auto"/>
                <w:kern w:val="0"/>
                <w:sz w:val="20"/>
                <w:szCs w:val="20"/>
              </w:rPr>
              <w:t>受疫情影响困难行业企业</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3" w:hRule="atLeast"/>
          <w:jc w:val="center"/>
        </w:trPr>
        <w:tc>
          <w:tcPr>
            <w:tcW w:w="1096" w:type="dxa"/>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600</w:t>
            </w:r>
          </w:p>
        </w:tc>
        <w:tc>
          <w:tcPr>
            <w:tcW w:w="5835" w:type="dxa"/>
            <w:noWrap w:val="0"/>
            <w:vAlign w:val="top"/>
          </w:tcPr>
          <w:p>
            <w:pPr>
              <w:widowControl/>
              <w:jc w:val="left"/>
              <w:rPr>
                <w:rFonts w:hint="eastAsia" w:ascii="宋体" w:hAnsi="宋体" w:cs="宋体"/>
                <w:color w:val="auto"/>
                <w:kern w:val="0"/>
                <w:sz w:val="20"/>
                <w:szCs w:val="20"/>
              </w:rPr>
            </w:pPr>
            <w:r>
              <w:rPr>
                <w:rFonts w:hint="eastAsia" w:ascii="宋体" w:hAnsi="宋体" w:cs="宋体"/>
                <w:color w:val="auto"/>
                <w:kern w:val="0"/>
                <w:sz w:val="20"/>
                <w:szCs w:val="20"/>
              </w:rPr>
              <w:t>电影行业企业</w:t>
            </w:r>
          </w:p>
        </w:tc>
      </w:tr>
    </w:tbl>
    <w:p>
      <w:pPr>
        <w:pStyle w:val="25"/>
        <w:numPr>
          <w:ilvl w:val="0"/>
          <w:numId w:val="0"/>
        </w:numPr>
        <w:spacing w:line="360" w:lineRule="auto"/>
        <w:ind w:left="0" w:leftChars="0" w:firstLine="480" w:firstLineChars="200"/>
        <w:rPr>
          <w:rFonts w:hint="eastAsia" w:ascii="宋体" w:hAnsi="宋体" w:cs="宋体"/>
          <w:color w:val="auto"/>
          <w:sz w:val="24"/>
        </w:rPr>
      </w:pPr>
      <w:r>
        <w:rPr>
          <w:rFonts w:hint="eastAsia" w:ascii="宋体" w:hAnsi="宋体" w:cs="宋体"/>
          <w:color w:val="auto"/>
          <w:sz w:val="24"/>
          <w:lang w:val="en-US" w:eastAsia="zh-CN"/>
        </w:rPr>
        <w:t>8.</w:t>
      </w:r>
      <w:r>
        <w:rPr>
          <w:rFonts w:hint="eastAsia" w:ascii="宋体" w:hAnsi="宋体" w:cs="宋体"/>
          <w:color w:val="auto"/>
          <w:sz w:val="24"/>
        </w:rPr>
        <w:t>第8列“当年亏损额”：填报纳税人各年度可弥补亏损额的合计金额。</w:t>
      </w:r>
    </w:p>
    <w:p>
      <w:pPr>
        <w:pStyle w:val="25"/>
        <w:numPr>
          <w:ilvl w:val="0"/>
          <w:numId w:val="0"/>
        </w:numPr>
        <w:spacing w:line="360" w:lineRule="auto"/>
        <w:ind w:left="0" w:leftChars="0" w:firstLine="480" w:firstLineChars="200"/>
        <w:rPr>
          <w:rFonts w:hint="eastAsia" w:ascii="宋体" w:hAnsi="宋体" w:cs="宋体"/>
          <w:color w:val="auto"/>
          <w:sz w:val="24"/>
        </w:rPr>
      </w:pPr>
      <w:r>
        <w:rPr>
          <w:rFonts w:hint="eastAsia" w:ascii="宋体" w:hAnsi="宋体" w:cs="宋体"/>
          <w:color w:val="auto"/>
          <w:sz w:val="24"/>
          <w:lang w:val="en-US" w:eastAsia="zh-CN"/>
        </w:rPr>
        <w:t>9.</w:t>
      </w:r>
      <w:r>
        <w:rPr>
          <w:rFonts w:hint="eastAsia" w:ascii="宋体" w:hAnsi="宋体" w:cs="宋体"/>
          <w:color w:val="auto"/>
          <w:sz w:val="24"/>
        </w:rPr>
        <w:t>第9列“当年待弥补的亏损额”：填报在用本年度（申报所属期年度）所得额弥补亏损前，当年度尚未被弥补的亏损额。</w:t>
      </w:r>
    </w:p>
    <w:p>
      <w:pPr>
        <w:pStyle w:val="25"/>
        <w:numPr>
          <w:ilvl w:val="0"/>
          <w:numId w:val="0"/>
        </w:numPr>
        <w:tabs>
          <w:tab w:val="left" w:pos="851"/>
        </w:tabs>
        <w:spacing w:line="360" w:lineRule="auto"/>
        <w:ind w:left="0" w:leftChars="0" w:firstLine="480" w:firstLineChars="200"/>
        <w:rPr>
          <w:rFonts w:hint="eastAsia" w:ascii="宋体" w:hAnsi="宋体" w:cs="宋体"/>
          <w:color w:val="auto"/>
          <w:sz w:val="24"/>
        </w:rPr>
      </w:pPr>
      <w:r>
        <w:rPr>
          <w:rFonts w:hint="eastAsia" w:ascii="宋体" w:hAnsi="宋体" w:cs="宋体"/>
          <w:color w:val="auto"/>
          <w:sz w:val="24"/>
          <w:lang w:val="en-US" w:eastAsia="zh-CN"/>
        </w:rPr>
        <w:t>10.</w:t>
      </w:r>
      <w:r>
        <w:rPr>
          <w:rFonts w:hint="eastAsia" w:ascii="宋体" w:hAnsi="宋体" w:cs="宋体"/>
          <w:color w:val="auto"/>
          <w:sz w:val="24"/>
        </w:rPr>
        <w:t>第10列“用本年度所得额弥补的以前年度亏损额－使用境内所得弥补”：第1行至第10行，当第11行第2列本年度（申报所属期年度）的“当年境内所得额”＞0时，填报各年度被本年度（申报所属期年度）境内所得依次弥补的亏损额，弥补的顺序是按照亏损到期的年限优先弥补到期时间近的亏损额，亏损到期年限相同则先弥补更早发生的亏损额，弥补的亏损额以正数表示。本列第11行，填报本列第1行至第10行的合计金额，表A100000第</w:t>
      </w:r>
      <w:r>
        <w:rPr>
          <w:rFonts w:hint="eastAsia" w:ascii="宋体" w:hAnsi="宋体" w:cs="宋体"/>
          <w:color w:val="auto"/>
          <w:sz w:val="24"/>
          <w:lang w:val="en-US" w:eastAsia="zh-CN"/>
        </w:rPr>
        <w:t>26</w:t>
      </w:r>
      <w:r>
        <w:rPr>
          <w:rFonts w:hint="eastAsia" w:ascii="宋体" w:hAnsi="宋体" w:cs="宋体"/>
          <w:color w:val="auto"/>
          <w:sz w:val="24"/>
        </w:rPr>
        <w:t>行填报本项金额。</w:t>
      </w:r>
    </w:p>
    <w:p>
      <w:pPr>
        <w:pStyle w:val="25"/>
        <w:numPr>
          <w:ilvl w:val="0"/>
          <w:numId w:val="0"/>
        </w:numPr>
        <w:tabs>
          <w:tab w:val="left" w:pos="851"/>
        </w:tabs>
        <w:spacing w:line="360" w:lineRule="auto"/>
        <w:ind w:left="0" w:leftChars="0" w:firstLine="480" w:firstLineChars="200"/>
        <w:rPr>
          <w:rFonts w:hint="eastAsia" w:ascii="宋体" w:hAnsi="宋体" w:cs="宋体"/>
          <w:color w:val="auto"/>
          <w:sz w:val="24"/>
        </w:rPr>
      </w:pPr>
      <w:r>
        <w:rPr>
          <w:rFonts w:hint="eastAsia" w:ascii="宋体" w:hAnsi="宋体" w:cs="宋体"/>
          <w:color w:val="auto"/>
          <w:sz w:val="24"/>
          <w:lang w:val="en-US" w:eastAsia="zh-CN"/>
        </w:rPr>
        <w:t>11.</w:t>
      </w:r>
      <w:r>
        <w:rPr>
          <w:rFonts w:hint="eastAsia" w:ascii="宋体" w:hAnsi="宋体" w:cs="宋体"/>
          <w:color w:val="auto"/>
          <w:sz w:val="24"/>
        </w:rPr>
        <w:t>第11列“用本年度所得额弥补的以前年度亏损额－使用境外所得弥补”：第1行至第10行，当纳税人选择用境外所得弥补境内以前年度亏损的，填报各年度被本年度（申报所属期年度）境外所得依次弥补的亏损额，弥补的顺序是按照亏损到期的年限优先弥补到期时间近的亏损额，亏损到期年限相同则先弥补更早发生的亏损额，弥补的亏损额以正数表示。本列第11行，填报本列第1行至第10行的合计金额。</w:t>
      </w:r>
    </w:p>
    <w:p>
      <w:pPr>
        <w:pStyle w:val="25"/>
        <w:numPr>
          <w:ilvl w:val="0"/>
          <w:numId w:val="0"/>
        </w:numPr>
        <w:tabs>
          <w:tab w:val="left" w:pos="851"/>
        </w:tabs>
        <w:spacing w:line="360" w:lineRule="auto"/>
        <w:ind w:left="0" w:leftChars="0" w:firstLine="480" w:firstLineChars="200"/>
        <w:rPr>
          <w:rFonts w:hint="eastAsia" w:ascii="宋体" w:hAnsi="宋体" w:cs="宋体"/>
          <w:color w:val="auto"/>
          <w:sz w:val="24"/>
        </w:rPr>
      </w:pPr>
      <w:r>
        <w:rPr>
          <w:rFonts w:hint="eastAsia" w:ascii="宋体" w:hAnsi="宋体" w:cs="宋体"/>
          <w:color w:val="auto"/>
          <w:sz w:val="24"/>
          <w:lang w:val="en-US" w:eastAsia="zh-CN"/>
        </w:rPr>
        <w:t>12.</w:t>
      </w:r>
      <w:r>
        <w:rPr>
          <w:rFonts w:hint="eastAsia" w:ascii="宋体" w:hAnsi="宋体" w:cs="宋体"/>
          <w:color w:val="auto"/>
          <w:sz w:val="24"/>
        </w:rPr>
        <w:t>第12列“当年可结转以后年度弥补的亏损额”：第1行至第11行，填报各年度尚未弥补完的且准予结转以后年度弥补的亏损额，结转以后年度弥补的亏损额以正数表示。本列第12行，填报本列第1行至第11行的合计金额。</w:t>
      </w:r>
    </w:p>
    <w:p>
      <w:pPr>
        <w:pStyle w:val="17"/>
        <w:ind w:firstLine="480"/>
        <w:jc w:val="both"/>
        <w:outlineLvl w:val="1"/>
        <w:rPr>
          <w:rFonts w:hint="eastAsia"/>
          <w:color w:val="auto"/>
          <w:sz w:val="24"/>
          <w:szCs w:val="24"/>
        </w:rPr>
      </w:pPr>
      <w:bookmarkStart w:id="178" w:name="_Toc54267945"/>
      <w:bookmarkStart w:id="179" w:name="_Toc74603951"/>
      <w:r>
        <w:rPr>
          <w:rFonts w:hint="eastAsia"/>
          <w:color w:val="auto"/>
          <w:sz w:val="24"/>
          <w:szCs w:val="24"/>
        </w:rPr>
        <w:t>二、表内、表间关系</w:t>
      </w:r>
      <w:bookmarkEnd w:id="178"/>
      <w:bookmarkEnd w:id="179"/>
    </w:p>
    <w:p>
      <w:pPr>
        <w:spacing w:line="360" w:lineRule="auto"/>
        <w:ind w:firstLine="480" w:firstLineChars="200"/>
        <w:outlineLvl w:val="2"/>
        <w:rPr>
          <w:rFonts w:hint="eastAsia" w:ascii="楷体_GB2312" w:hAnsi="楷体_GB2312" w:eastAsia="楷体_GB2312" w:cs="楷体_GB2312"/>
          <w:color w:val="auto"/>
          <w:sz w:val="24"/>
        </w:rPr>
      </w:pPr>
      <w:bookmarkStart w:id="180" w:name="_Toc54267946"/>
      <w:r>
        <w:rPr>
          <w:rFonts w:hint="eastAsia" w:ascii="楷体_GB2312" w:hAnsi="楷体_GB2312" w:eastAsia="楷体_GB2312" w:cs="楷体_GB2312"/>
          <w:color w:val="auto"/>
          <w:sz w:val="24"/>
        </w:rPr>
        <w:t>（一）表内关系</w:t>
      </w:r>
      <w:bookmarkEnd w:id="180"/>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1.当第2列＜0且第3列＞0时，第3列＜第2列的绝对值；当第2列≥0时，则第3列＝0。</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2.第10列第11行＝第10列第1＋2＋3＋4＋5＋6＋7＋8＋9＋10行；当第2列第11行≤0时，第10列第1行至第11行＝0；当第2列第11行＞0时，第10列第11行≤第2列第11行。</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3.第11列第11行＝第11列第1＋2＋3＋4＋5＋6＋7＋8＋9＋10行。</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4.第12列第12行＝第12列第1＋2＋3＋4＋5＋6＋7＋8＋9＋10＋11行。</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5.第1行第12列＝0；第2至10行第12列＝第9列的绝对值－第10列－第11列；第11行第12列＝第9列的绝对值。</w:t>
      </w:r>
    </w:p>
    <w:p>
      <w:pPr>
        <w:spacing w:line="360" w:lineRule="auto"/>
        <w:ind w:firstLine="480" w:firstLineChars="200"/>
        <w:outlineLvl w:val="2"/>
        <w:rPr>
          <w:rFonts w:hint="eastAsia" w:ascii="楷体_GB2312" w:hAnsi="楷体_GB2312" w:eastAsia="楷体_GB2312" w:cs="楷体_GB2312"/>
          <w:color w:val="auto"/>
          <w:sz w:val="24"/>
        </w:rPr>
      </w:pPr>
      <w:bookmarkStart w:id="181" w:name="_Toc54267947"/>
      <w:r>
        <w:rPr>
          <w:rFonts w:hint="eastAsia" w:ascii="楷体_GB2312" w:hAnsi="楷体_GB2312" w:eastAsia="楷体_GB2312" w:cs="楷体_GB2312"/>
          <w:color w:val="auto"/>
          <w:sz w:val="24"/>
        </w:rPr>
        <w:t>（二）表间关系</w:t>
      </w:r>
      <w:bookmarkEnd w:id="181"/>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1.第11行第2列＝表A100000第24－25行。</w:t>
      </w:r>
    </w:p>
    <w:p>
      <w:pPr>
        <w:spacing w:line="360" w:lineRule="auto"/>
        <w:ind w:firstLine="480" w:firstLineChars="200"/>
        <w:rPr>
          <w:rFonts w:hint="eastAsia" w:ascii="宋体" w:hAnsi="宋体" w:cs="宋体"/>
          <w:color w:val="auto"/>
          <w:sz w:val="24"/>
        </w:rPr>
      </w:pPr>
      <w:r>
        <w:rPr>
          <w:rFonts w:hint="eastAsia" w:ascii="宋体" w:hAnsi="宋体" w:cs="宋体"/>
          <w:color w:val="auto"/>
          <w:sz w:val="24"/>
        </w:rPr>
        <w:t>2.第11行第10列＝表A100000第26行。</w:t>
      </w:r>
    </w:p>
    <w:p>
      <w:pPr>
        <w:spacing w:line="360" w:lineRule="auto"/>
        <w:ind w:firstLine="480" w:firstLineChars="200"/>
        <w:rPr>
          <w:rFonts w:hint="eastAsia" w:ascii="宋体" w:hAnsi="宋体" w:cs="宋体"/>
          <w:color w:val="auto"/>
          <w:sz w:val="24"/>
        </w:rPr>
        <w:sectPr>
          <w:pgSz w:w="11906" w:h="16838"/>
          <w:pgMar w:top="1440" w:right="1800" w:bottom="1440" w:left="1800" w:header="851" w:footer="992" w:gutter="0"/>
          <w:pgNumType w:fmt="decimal"/>
          <w:cols w:space="720" w:num="1"/>
          <w:docGrid w:linePitch="312" w:charSpace="0"/>
        </w:sectPr>
      </w:pPr>
      <w:r>
        <w:rPr>
          <w:rFonts w:hint="eastAsia" w:ascii="宋体" w:hAnsi="宋体" w:cs="宋体"/>
          <w:color w:val="auto"/>
          <w:sz w:val="24"/>
        </w:rPr>
        <w:t>3.第11行第11列＝表A108000第10行第6列－表A100000第23行。</w:t>
      </w:r>
    </w:p>
    <w:p>
      <w:pPr>
        <w:pStyle w:val="24"/>
        <w:tabs>
          <w:tab w:val="clear" w:pos="4200"/>
        </w:tabs>
        <w:spacing w:before="156" w:after="156"/>
        <w:rPr>
          <w:rFonts w:hint="eastAsia" w:ascii="宋体" w:hAnsi="宋体" w:eastAsia="宋体" w:cs="宋体"/>
          <w:color w:val="auto"/>
          <w:lang w:val="zh-CN"/>
        </w:rPr>
      </w:pPr>
      <w:bookmarkStart w:id="182" w:name="_Toc499456600"/>
      <w:bookmarkStart w:id="183" w:name="_Toc176972058"/>
      <w:bookmarkStart w:id="184" w:name="_Toc1327780698"/>
      <w:bookmarkStart w:id="185" w:name="_Toc244936481"/>
      <w:bookmarkStart w:id="186" w:name="_Toc24965058"/>
      <w:r>
        <w:rPr>
          <w:rFonts w:hint="eastAsia" w:ascii="宋体" w:hAnsi="宋体" w:eastAsia="宋体" w:cs="宋体"/>
          <w:color w:val="auto"/>
          <w:lang w:val="zh-CN"/>
        </w:rPr>
        <w:t>A107011</w:t>
      </w:r>
      <w:r>
        <w:rPr>
          <w:rFonts w:hint="eastAsia" w:ascii="宋体" w:hAnsi="宋体" w:eastAsia="宋体" w:cs="宋体"/>
          <w:color w:val="auto"/>
          <w:lang w:val="zh-CN"/>
        </w:rPr>
        <w:tab/>
      </w:r>
      <w:r>
        <w:rPr>
          <w:rFonts w:hint="eastAsia" w:ascii="宋体" w:hAnsi="宋体" w:eastAsia="宋体" w:cs="宋体"/>
          <w:color w:val="auto"/>
          <w:lang w:val="zh-CN"/>
        </w:rPr>
        <w:t>《符合条件的居民企业之间的股息、红利等权益性投资收益优惠明细表》填报说明</w:t>
      </w:r>
      <w:bookmarkEnd w:id="182"/>
      <w:bookmarkEnd w:id="183"/>
      <w:bookmarkEnd w:id="184"/>
      <w:bookmarkEnd w:id="185"/>
      <w:bookmarkEnd w:id="186"/>
    </w:p>
    <w:p>
      <w:pPr>
        <w:spacing w:line="360" w:lineRule="auto"/>
        <w:ind w:firstLine="480" w:firstLineChars="200"/>
        <w:rPr>
          <w:rFonts w:hint="eastAsia" w:ascii="宋体" w:hAnsi="宋体"/>
          <w:color w:val="auto"/>
          <w:sz w:val="24"/>
        </w:rPr>
      </w:pPr>
      <w:r>
        <w:rPr>
          <w:rFonts w:hint="eastAsia" w:ascii="宋体" w:hAnsi="宋体"/>
          <w:color w:val="auto"/>
          <w:sz w:val="24"/>
        </w:rPr>
        <w:t>本表适用于享受符合条件的居民企业之间的股息、红利等权益性投资收益优惠的纳税人填报。纳税人根据税法、《财政部　国家税务总局关于企业清算业务企业所得税处理若干问题的通知》（财税〔</w:t>
      </w:r>
      <w:r>
        <w:rPr>
          <w:rFonts w:ascii="宋体" w:hAnsi="宋体"/>
          <w:color w:val="auto"/>
          <w:sz w:val="24"/>
        </w:rPr>
        <w:t>2009</w:t>
      </w:r>
      <w:r>
        <w:rPr>
          <w:rFonts w:hint="eastAsia" w:ascii="宋体" w:hAnsi="宋体"/>
          <w:color w:val="auto"/>
          <w:sz w:val="24"/>
        </w:rPr>
        <w:t>〕</w:t>
      </w:r>
      <w:r>
        <w:rPr>
          <w:rFonts w:ascii="宋体" w:hAnsi="宋体"/>
          <w:color w:val="auto"/>
          <w:sz w:val="24"/>
        </w:rPr>
        <w:t>60</w:t>
      </w:r>
      <w:r>
        <w:rPr>
          <w:rFonts w:hint="eastAsia" w:ascii="宋体" w:hAnsi="宋体"/>
          <w:color w:val="auto"/>
          <w:sz w:val="24"/>
        </w:rPr>
        <w:t>号）、《财政部　国家税务总局关于执行企业所得税优惠政策若干问题的通知》（财税〔</w:t>
      </w:r>
      <w:r>
        <w:rPr>
          <w:rFonts w:ascii="宋体" w:hAnsi="宋体"/>
          <w:color w:val="auto"/>
          <w:sz w:val="24"/>
        </w:rPr>
        <w:t>2009</w:t>
      </w:r>
      <w:r>
        <w:rPr>
          <w:rFonts w:hint="eastAsia" w:ascii="宋体" w:hAnsi="宋体"/>
          <w:color w:val="auto"/>
          <w:sz w:val="24"/>
        </w:rPr>
        <w:t>〕</w:t>
      </w:r>
      <w:r>
        <w:rPr>
          <w:rFonts w:ascii="宋体" w:hAnsi="宋体"/>
          <w:color w:val="auto"/>
          <w:sz w:val="24"/>
        </w:rPr>
        <w:t>69</w:t>
      </w:r>
      <w:r>
        <w:rPr>
          <w:rFonts w:hint="eastAsia" w:ascii="宋体" w:hAnsi="宋体"/>
          <w:color w:val="auto"/>
          <w:sz w:val="24"/>
        </w:rPr>
        <w:t>号）、《国家税务总局关于贯彻落实企业所得税法若干税收问题的通知》（国税函〔</w:t>
      </w:r>
      <w:r>
        <w:rPr>
          <w:rFonts w:ascii="宋体" w:hAnsi="宋体"/>
          <w:color w:val="auto"/>
          <w:sz w:val="24"/>
        </w:rPr>
        <w:t>2010</w:t>
      </w:r>
      <w:r>
        <w:rPr>
          <w:rFonts w:hint="eastAsia" w:ascii="宋体" w:hAnsi="宋体"/>
          <w:color w:val="auto"/>
          <w:sz w:val="24"/>
        </w:rPr>
        <w:t>〕</w:t>
      </w:r>
      <w:r>
        <w:rPr>
          <w:rFonts w:ascii="宋体" w:hAnsi="宋体"/>
          <w:color w:val="auto"/>
          <w:sz w:val="24"/>
        </w:rPr>
        <w:t>79</w:t>
      </w:r>
      <w:r>
        <w:rPr>
          <w:rFonts w:hint="eastAsia" w:ascii="宋体" w:hAnsi="宋体"/>
          <w:color w:val="auto"/>
          <w:sz w:val="24"/>
        </w:rPr>
        <w:t>号）、《国家税务总局关于企业所得税若干问题的公告》（</w:t>
      </w:r>
      <w:r>
        <w:rPr>
          <w:rFonts w:ascii="宋体" w:hAnsi="宋体"/>
          <w:color w:val="auto"/>
          <w:sz w:val="24"/>
        </w:rPr>
        <w:t>2011</w:t>
      </w:r>
      <w:r>
        <w:rPr>
          <w:rFonts w:hint="eastAsia" w:ascii="宋体" w:hAnsi="宋体"/>
          <w:color w:val="auto"/>
          <w:sz w:val="24"/>
        </w:rPr>
        <w:t>年第</w:t>
      </w:r>
      <w:r>
        <w:rPr>
          <w:rFonts w:ascii="宋体" w:hAnsi="宋体"/>
          <w:color w:val="auto"/>
          <w:sz w:val="24"/>
        </w:rPr>
        <w:t>34</w:t>
      </w:r>
      <w:r>
        <w:rPr>
          <w:rFonts w:hint="eastAsia" w:ascii="宋体" w:hAnsi="宋体"/>
          <w:color w:val="auto"/>
          <w:sz w:val="24"/>
        </w:rPr>
        <w:t>号）、《财政部</w:t>
      </w:r>
      <w:r>
        <w:rPr>
          <w:rFonts w:ascii="宋体" w:hAnsi="宋体"/>
          <w:color w:val="auto"/>
          <w:sz w:val="24"/>
        </w:rPr>
        <w:t xml:space="preserve"> </w:t>
      </w:r>
      <w:r>
        <w:rPr>
          <w:rFonts w:hint="eastAsia" w:ascii="宋体" w:hAnsi="宋体"/>
          <w:color w:val="auto"/>
          <w:sz w:val="24"/>
        </w:rPr>
        <w:t>国家税务总局</w:t>
      </w:r>
      <w:r>
        <w:rPr>
          <w:rFonts w:ascii="宋体" w:hAnsi="宋体"/>
          <w:color w:val="auto"/>
          <w:sz w:val="24"/>
        </w:rPr>
        <w:t xml:space="preserve"> </w:t>
      </w:r>
      <w:r>
        <w:rPr>
          <w:rFonts w:hint="eastAsia" w:ascii="宋体" w:hAnsi="宋体"/>
          <w:color w:val="auto"/>
          <w:sz w:val="24"/>
        </w:rPr>
        <w:t>证监会关于沪港股票市场交易互联互通机制试点有关税收政策的通知》（财税〔</w:t>
      </w:r>
      <w:r>
        <w:rPr>
          <w:rFonts w:ascii="宋体" w:hAnsi="宋体"/>
          <w:color w:val="auto"/>
          <w:sz w:val="24"/>
        </w:rPr>
        <w:t>2014</w:t>
      </w:r>
      <w:r>
        <w:rPr>
          <w:rFonts w:hint="eastAsia" w:ascii="宋体" w:hAnsi="宋体"/>
          <w:color w:val="auto"/>
          <w:sz w:val="24"/>
        </w:rPr>
        <w:t>〕</w:t>
      </w:r>
      <w:r>
        <w:rPr>
          <w:rFonts w:ascii="宋体" w:hAnsi="宋体"/>
          <w:color w:val="auto"/>
          <w:sz w:val="24"/>
        </w:rPr>
        <w:t>81</w:t>
      </w:r>
      <w:r>
        <w:rPr>
          <w:rFonts w:hint="eastAsia" w:ascii="宋体" w:hAnsi="宋体"/>
          <w:color w:val="auto"/>
          <w:sz w:val="24"/>
        </w:rPr>
        <w:t>号）、《财政部</w:t>
      </w:r>
      <w:r>
        <w:rPr>
          <w:rFonts w:ascii="宋体" w:hAnsi="宋体"/>
          <w:color w:val="auto"/>
          <w:sz w:val="24"/>
        </w:rPr>
        <w:t xml:space="preserve"> </w:t>
      </w:r>
      <w:r>
        <w:rPr>
          <w:rFonts w:hint="eastAsia" w:ascii="宋体" w:hAnsi="宋体"/>
          <w:color w:val="auto"/>
          <w:sz w:val="24"/>
        </w:rPr>
        <w:t>国家税务总局</w:t>
      </w:r>
      <w:r>
        <w:rPr>
          <w:rFonts w:ascii="宋体" w:hAnsi="宋体"/>
          <w:color w:val="auto"/>
          <w:sz w:val="24"/>
        </w:rPr>
        <w:t xml:space="preserve"> </w:t>
      </w:r>
      <w:r>
        <w:rPr>
          <w:rFonts w:hint="eastAsia" w:ascii="宋体" w:hAnsi="宋体"/>
          <w:color w:val="auto"/>
          <w:sz w:val="24"/>
        </w:rPr>
        <w:t>证监会关于深港股票市场交易互联互通机制试点有关税收政策的通知》（财税〔</w:t>
      </w:r>
      <w:r>
        <w:rPr>
          <w:rFonts w:ascii="宋体" w:hAnsi="宋体"/>
          <w:color w:val="auto"/>
          <w:sz w:val="24"/>
        </w:rPr>
        <w:t>2016</w:t>
      </w:r>
      <w:r>
        <w:rPr>
          <w:rFonts w:hint="eastAsia" w:ascii="宋体" w:hAnsi="宋体"/>
          <w:color w:val="auto"/>
          <w:sz w:val="24"/>
        </w:rPr>
        <w:t>〕</w:t>
      </w:r>
      <w:r>
        <w:rPr>
          <w:rFonts w:ascii="宋体" w:hAnsi="宋体"/>
          <w:color w:val="auto"/>
          <w:sz w:val="24"/>
        </w:rPr>
        <w:t>127</w:t>
      </w:r>
      <w:r>
        <w:rPr>
          <w:rFonts w:hint="eastAsia" w:ascii="宋体" w:hAnsi="宋体"/>
          <w:color w:val="auto"/>
          <w:sz w:val="24"/>
        </w:rPr>
        <w:t>号）、《财政部</w:t>
      </w:r>
      <w:r>
        <w:rPr>
          <w:rFonts w:ascii="宋体" w:hAnsi="宋体"/>
          <w:color w:val="auto"/>
          <w:sz w:val="24"/>
        </w:rPr>
        <w:t xml:space="preserve"> </w:t>
      </w:r>
      <w:r>
        <w:rPr>
          <w:rFonts w:hint="eastAsia" w:ascii="宋体" w:hAnsi="宋体"/>
          <w:color w:val="auto"/>
          <w:sz w:val="24"/>
        </w:rPr>
        <w:t>税务总局</w:t>
      </w:r>
      <w:r>
        <w:rPr>
          <w:rFonts w:ascii="宋体" w:hAnsi="宋体"/>
          <w:color w:val="auto"/>
          <w:sz w:val="24"/>
        </w:rPr>
        <w:t xml:space="preserve"> </w:t>
      </w:r>
      <w:r>
        <w:rPr>
          <w:rFonts w:hint="eastAsia" w:ascii="宋体" w:hAnsi="宋体"/>
          <w:color w:val="auto"/>
          <w:sz w:val="24"/>
        </w:rPr>
        <w:t>证监会关于创新企业境内发行存托凭证试点阶段有关税收政策的公告》（</w:t>
      </w:r>
      <w:r>
        <w:rPr>
          <w:rFonts w:ascii="宋体" w:hAnsi="宋体"/>
          <w:color w:val="auto"/>
          <w:sz w:val="24"/>
        </w:rPr>
        <w:t>2019</w:t>
      </w:r>
      <w:r>
        <w:rPr>
          <w:rFonts w:hint="eastAsia" w:ascii="宋体" w:hAnsi="宋体"/>
          <w:color w:val="auto"/>
          <w:sz w:val="24"/>
        </w:rPr>
        <w:t>年第</w:t>
      </w:r>
      <w:r>
        <w:rPr>
          <w:rFonts w:ascii="宋体" w:hAnsi="宋体"/>
          <w:color w:val="auto"/>
          <w:sz w:val="24"/>
        </w:rPr>
        <w:t>52</w:t>
      </w:r>
      <w:r>
        <w:rPr>
          <w:rFonts w:hint="eastAsia" w:ascii="宋体" w:hAnsi="宋体"/>
          <w:color w:val="auto"/>
          <w:sz w:val="24"/>
        </w:rPr>
        <w:t>号）、《财政部</w:t>
      </w:r>
      <w:r>
        <w:rPr>
          <w:rFonts w:ascii="宋体" w:hAnsi="宋体"/>
          <w:color w:val="auto"/>
          <w:sz w:val="24"/>
        </w:rPr>
        <w:t xml:space="preserve"> </w:t>
      </w:r>
      <w:r>
        <w:rPr>
          <w:rFonts w:hint="eastAsia" w:ascii="宋体" w:hAnsi="宋体"/>
          <w:color w:val="auto"/>
          <w:sz w:val="24"/>
        </w:rPr>
        <w:t>税务总局关于永续债企业所得税政策问题的公告》（</w:t>
      </w:r>
      <w:r>
        <w:rPr>
          <w:rFonts w:ascii="宋体" w:hAnsi="宋体"/>
          <w:color w:val="auto"/>
          <w:sz w:val="24"/>
        </w:rPr>
        <w:t>2019</w:t>
      </w:r>
      <w:r>
        <w:rPr>
          <w:rFonts w:hint="eastAsia" w:ascii="宋体" w:hAnsi="宋体"/>
          <w:color w:val="auto"/>
          <w:sz w:val="24"/>
        </w:rPr>
        <w:t>年第</w:t>
      </w:r>
      <w:r>
        <w:rPr>
          <w:rFonts w:ascii="宋体" w:hAnsi="宋体"/>
          <w:color w:val="auto"/>
          <w:sz w:val="24"/>
        </w:rPr>
        <w:t>64</w:t>
      </w:r>
      <w:r>
        <w:rPr>
          <w:rFonts w:hint="eastAsia" w:ascii="宋体" w:hAnsi="宋体"/>
          <w:color w:val="auto"/>
          <w:sz w:val="24"/>
        </w:rPr>
        <w:t>号）等相关税收政策规定，填报本年发生的符合条件的居民企业之间的股息、红利（包括</w:t>
      </w:r>
      <w:r>
        <w:rPr>
          <w:rFonts w:ascii="宋体" w:hAnsi="宋体"/>
          <w:color w:val="auto"/>
          <w:sz w:val="24"/>
        </w:rPr>
        <w:t>H</w:t>
      </w:r>
      <w:r>
        <w:rPr>
          <w:rFonts w:hint="eastAsia" w:ascii="宋体" w:hAnsi="宋体"/>
          <w:color w:val="auto"/>
          <w:sz w:val="24"/>
        </w:rPr>
        <w:t>股）等权益性投资收益优惠情况，不包括连续持有居民企业公开发行并</w:t>
      </w:r>
      <w:r>
        <w:rPr>
          <w:rFonts w:hint="eastAsia" w:ascii="宋体" w:hAnsi="宋体" w:cs="宋体"/>
          <w:color w:val="auto"/>
          <w:sz w:val="24"/>
        </w:rPr>
        <w:t>上市</w:t>
      </w:r>
      <w:r>
        <w:rPr>
          <w:rFonts w:hint="eastAsia" w:ascii="宋体" w:hAnsi="宋体"/>
          <w:color w:val="auto"/>
          <w:sz w:val="24"/>
        </w:rPr>
        <w:t>流通的股票不足</w:t>
      </w:r>
      <w:r>
        <w:rPr>
          <w:rFonts w:ascii="宋体" w:hAnsi="宋体"/>
          <w:color w:val="auto"/>
          <w:sz w:val="24"/>
        </w:rPr>
        <w:t>12</w:t>
      </w:r>
      <w:r>
        <w:rPr>
          <w:rFonts w:hint="eastAsia" w:ascii="宋体" w:hAnsi="宋体"/>
          <w:color w:val="auto"/>
          <w:sz w:val="24"/>
        </w:rPr>
        <w:t>个月取得的投资收益。</w:t>
      </w:r>
    </w:p>
    <w:p>
      <w:pPr>
        <w:spacing w:line="360" w:lineRule="auto"/>
        <w:ind w:firstLine="481" w:firstLineChars="200"/>
        <w:jc w:val="left"/>
        <w:outlineLvl w:val="1"/>
        <w:rPr>
          <w:rFonts w:hint="eastAsia" w:ascii="宋体" w:hAnsi="宋体" w:cs="Calibri"/>
          <w:b/>
          <w:color w:val="auto"/>
          <w:sz w:val="24"/>
        </w:rPr>
      </w:pPr>
      <w:bookmarkStart w:id="187" w:name="_Toc21712276"/>
      <w:bookmarkStart w:id="188" w:name="_Toc24965059"/>
      <w:bookmarkStart w:id="189" w:name="_Toc21703754"/>
      <w:bookmarkStart w:id="190" w:name="_Toc21711238"/>
      <w:r>
        <w:rPr>
          <w:rFonts w:hint="eastAsia" w:ascii="宋体" w:hAnsi="宋体" w:cs="Calibri"/>
          <w:b/>
          <w:color w:val="auto"/>
          <w:sz w:val="24"/>
        </w:rPr>
        <w:t>一、有关项目填报说明</w:t>
      </w:r>
      <w:bookmarkEnd w:id="187"/>
      <w:bookmarkEnd w:id="188"/>
      <w:bookmarkEnd w:id="189"/>
      <w:bookmarkEnd w:id="190"/>
    </w:p>
    <w:p>
      <w:pPr>
        <w:spacing w:line="360" w:lineRule="auto"/>
        <w:ind w:firstLine="480" w:firstLineChars="200"/>
        <w:outlineLvl w:val="2"/>
        <w:rPr>
          <w:rFonts w:hint="eastAsia" w:ascii="黑体" w:hAnsi="黑体" w:eastAsia="黑体" w:cs="黑体"/>
          <w:color w:val="auto"/>
          <w:sz w:val="24"/>
        </w:rPr>
      </w:pPr>
      <w:bookmarkStart w:id="191" w:name="_Toc21712277"/>
      <w:bookmarkStart w:id="192" w:name="_Toc21703755"/>
      <w:bookmarkStart w:id="193" w:name="_Toc21711239"/>
      <w:bookmarkStart w:id="194" w:name="_Toc24965060"/>
      <w:r>
        <w:rPr>
          <w:rFonts w:hint="eastAsia" w:ascii="黑体" w:hAnsi="黑体" w:eastAsia="黑体" w:cs="黑体"/>
          <w:color w:val="auto"/>
          <w:sz w:val="24"/>
        </w:rPr>
        <w:t>（一）行次填报</w:t>
      </w:r>
      <w:bookmarkEnd w:id="191"/>
      <w:bookmarkEnd w:id="192"/>
      <w:bookmarkEnd w:id="193"/>
      <w:bookmarkEnd w:id="194"/>
    </w:p>
    <w:p>
      <w:pPr>
        <w:spacing w:line="360" w:lineRule="auto"/>
        <w:ind w:firstLine="480" w:firstLineChars="200"/>
        <w:rPr>
          <w:rFonts w:hint="eastAsia" w:ascii="宋体" w:hAnsi="宋体"/>
          <w:color w:val="auto"/>
          <w:sz w:val="24"/>
        </w:rPr>
      </w:pPr>
      <w:r>
        <w:rPr>
          <w:rFonts w:ascii="宋体" w:hAnsi="宋体"/>
          <w:color w:val="auto"/>
          <w:sz w:val="24"/>
        </w:rPr>
        <w:t>1.</w:t>
      </w:r>
      <w:r>
        <w:rPr>
          <w:rFonts w:hint="eastAsia" w:ascii="宋体" w:hAnsi="宋体"/>
          <w:color w:val="auto"/>
          <w:sz w:val="24"/>
        </w:rPr>
        <w:t>行次根据投资企业名称和投资性质填报，可以根据情况增加。</w:t>
      </w:r>
    </w:p>
    <w:p>
      <w:pPr>
        <w:spacing w:line="360" w:lineRule="auto"/>
        <w:ind w:firstLine="480" w:firstLineChars="200"/>
        <w:rPr>
          <w:rFonts w:hint="eastAsia" w:ascii="宋体" w:hAnsi="宋体"/>
          <w:color w:val="auto"/>
          <w:sz w:val="24"/>
        </w:rPr>
      </w:pPr>
      <w:r>
        <w:rPr>
          <w:rFonts w:ascii="宋体" w:hAnsi="宋体"/>
          <w:color w:val="auto"/>
          <w:sz w:val="24"/>
        </w:rPr>
        <w:t>2.</w:t>
      </w:r>
      <w:r>
        <w:rPr>
          <w:rFonts w:hint="eastAsia" w:ascii="宋体" w:hAnsi="宋体"/>
          <w:color w:val="auto"/>
          <w:sz w:val="24"/>
        </w:rPr>
        <w:t>第</w:t>
      </w:r>
      <w:r>
        <w:rPr>
          <w:rFonts w:ascii="宋体" w:hAnsi="宋体"/>
          <w:color w:val="auto"/>
          <w:sz w:val="24"/>
        </w:rPr>
        <w:t>8</w:t>
      </w:r>
      <w:r>
        <w:rPr>
          <w:rFonts w:hint="eastAsia" w:ascii="宋体" w:hAnsi="宋体"/>
          <w:color w:val="auto"/>
          <w:sz w:val="24"/>
        </w:rPr>
        <w:t>行“合计”：填报第</w:t>
      </w:r>
      <w:r>
        <w:rPr>
          <w:rFonts w:ascii="宋体" w:hAnsi="宋体"/>
          <w:color w:val="auto"/>
          <w:sz w:val="24"/>
        </w:rPr>
        <w:t>1＋2＋</w:t>
      </w:r>
      <w:r>
        <w:rPr>
          <w:rFonts w:hint="eastAsia" w:ascii="宋体" w:hAnsi="宋体"/>
          <w:color w:val="auto"/>
          <w:sz w:val="24"/>
        </w:rPr>
        <w:t>…</w:t>
      </w:r>
      <w:r>
        <w:rPr>
          <w:rFonts w:ascii="宋体" w:hAnsi="宋体"/>
          <w:color w:val="auto"/>
          <w:sz w:val="24"/>
        </w:rPr>
        <w:t>＋7</w:t>
      </w:r>
      <w:r>
        <w:rPr>
          <w:rFonts w:hint="eastAsia" w:ascii="宋体" w:hAnsi="宋体"/>
          <w:color w:val="auto"/>
          <w:sz w:val="24"/>
        </w:rPr>
        <w:t>行的第</w:t>
      </w:r>
      <w:r>
        <w:rPr>
          <w:rFonts w:ascii="宋体" w:hAnsi="宋体"/>
          <w:color w:val="auto"/>
          <w:sz w:val="24"/>
        </w:rPr>
        <w:t>17</w:t>
      </w:r>
      <w:r>
        <w:rPr>
          <w:rFonts w:hint="eastAsia" w:ascii="宋体" w:hAnsi="宋体"/>
          <w:color w:val="auto"/>
          <w:sz w:val="24"/>
        </w:rPr>
        <w:t>列合计金额，若增行，根据增行后的情况合计。</w:t>
      </w:r>
    </w:p>
    <w:p>
      <w:pPr>
        <w:spacing w:line="360" w:lineRule="auto"/>
        <w:ind w:firstLine="480" w:firstLineChars="200"/>
        <w:rPr>
          <w:rFonts w:hint="eastAsia" w:ascii="宋体" w:hAnsi="宋体"/>
          <w:color w:val="auto"/>
          <w:sz w:val="24"/>
        </w:rPr>
      </w:pPr>
      <w:r>
        <w:rPr>
          <w:rFonts w:ascii="宋体" w:hAnsi="宋体"/>
          <w:color w:val="auto"/>
          <w:sz w:val="24"/>
        </w:rPr>
        <w:t>3.</w:t>
      </w:r>
      <w:r>
        <w:rPr>
          <w:rFonts w:hint="eastAsia" w:ascii="宋体" w:hAnsi="宋体"/>
          <w:color w:val="auto"/>
          <w:sz w:val="24"/>
        </w:rPr>
        <w:t>第</w:t>
      </w:r>
      <w:r>
        <w:rPr>
          <w:rFonts w:ascii="宋体" w:hAnsi="宋体"/>
          <w:color w:val="auto"/>
          <w:sz w:val="24"/>
        </w:rPr>
        <w:t>9</w:t>
      </w:r>
      <w:r>
        <w:rPr>
          <w:rFonts w:hint="eastAsia" w:ascii="宋体" w:hAnsi="宋体"/>
          <w:color w:val="auto"/>
          <w:sz w:val="24"/>
        </w:rPr>
        <w:t>行“其中：直接或非</w:t>
      </w:r>
      <w:r>
        <w:rPr>
          <w:rFonts w:ascii="宋体" w:hAnsi="宋体"/>
          <w:color w:val="auto"/>
          <w:sz w:val="24"/>
        </w:rPr>
        <w:t>H</w:t>
      </w:r>
      <w:r>
        <w:rPr>
          <w:rFonts w:hint="eastAsia" w:ascii="宋体" w:hAnsi="宋体"/>
          <w:color w:val="auto"/>
          <w:sz w:val="24"/>
        </w:rPr>
        <w:t>股票投资”：填报第</w:t>
      </w:r>
      <w:r>
        <w:rPr>
          <w:rFonts w:ascii="宋体" w:hAnsi="宋体"/>
          <w:color w:val="auto"/>
          <w:sz w:val="24"/>
        </w:rPr>
        <w:t>1＋2</w:t>
      </w:r>
      <w:r>
        <w:rPr>
          <w:rFonts w:hint="eastAsia" w:ascii="宋体" w:hAnsi="宋体"/>
          <w:color w:val="auto"/>
          <w:sz w:val="24"/>
        </w:rPr>
        <w:t>…</w:t>
      </w:r>
      <w:r>
        <w:rPr>
          <w:rFonts w:ascii="宋体" w:hAnsi="宋体"/>
          <w:color w:val="auto"/>
          <w:sz w:val="24"/>
        </w:rPr>
        <w:t>＋7</w:t>
      </w:r>
      <w:r>
        <w:rPr>
          <w:rFonts w:hint="eastAsia" w:ascii="宋体" w:hAnsi="宋体"/>
          <w:color w:val="auto"/>
          <w:sz w:val="24"/>
        </w:rPr>
        <w:t>行中，“投资性质”列选择“（</w:t>
      </w:r>
      <w:r>
        <w:rPr>
          <w:rFonts w:ascii="宋体" w:hAnsi="宋体"/>
          <w:color w:val="auto"/>
          <w:sz w:val="24"/>
        </w:rPr>
        <w:t>1</w:t>
      </w:r>
      <w:r>
        <w:rPr>
          <w:rFonts w:hint="eastAsia" w:ascii="宋体" w:hAnsi="宋体"/>
          <w:color w:val="auto"/>
          <w:sz w:val="24"/>
        </w:rPr>
        <w:t>）直接投资”或“（</w:t>
      </w:r>
      <w:r>
        <w:rPr>
          <w:rFonts w:ascii="宋体" w:hAnsi="宋体"/>
          <w:color w:val="auto"/>
          <w:sz w:val="24"/>
        </w:rPr>
        <w:t>2</w:t>
      </w:r>
      <w:r>
        <w:rPr>
          <w:rFonts w:hint="eastAsia" w:ascii="宋体" w:hAnsi="宋体"/>
          <w:color w:val="auto"/>
          <w:sz w:val="24"/>
        </w:rPr>
        <w:t>）股票投资（不含</w:t>
      </w:r>
      <w:r>
        <w:rPr>
          <w:rFonts w:ascii="宋体" w:hAnsi="宋体"/>
          <w:color w:val="auto"/>
          <w:sz w:val="24"/>
        </w:rPr>
        <w:t>H</w:t>
      </w:r>
      <w:r>
        <w:rPr>
          <w:rFonts w:hint="eastAsia" w:ascii="宋体" w:hAnsi="宋体"/>
          <w:color w:val="auto"/>
          <w:sz w:val="24"/>
        </w:rPr>
        <w:t>股）”的行次，第</w:t>
      </w:r>
      <w:r>
        <w:rPr>
          <w:rFonts w:ascii="宋体" w:hAnsi="宋体"/>
          <w:color w:val="auto"/>
          <w:sz w:val="24"/>
        </w:rPr>
        <w:t>17</w:t>
      </w:r>
      <w:r>
        <w:rPr>
          <w:rFonts w:hint="eastAsia" w:ascii="宋体" w:hAnsi="宋体"/>
          <w:color w:val="auto"/>
          <w:sz w:val="24"/>
        </w:rPr>
        <w:t>列合计金额。</w:t>
      </w:r>
    </w:p>
    <w:p>
      <w:pPr>
        <w:spacing w:line="360" w:lineRule="auto"/>
        <w:ind w:firstLine="480" w:firstLineChars="200"/>
        <w:rPr>
          <w:rFonts w:hint="eastAsia" w:ascii="宋体" w:hAnsi="宋体"/>
          <w:color w:val="auto"/>
          <w:sz w:val="24"/>
        </w:rPr>
      </w:pPr>
      <w:r>
        <w:rPr>
          <w:rFonts w:ascii="宋体" w:hAnsi="宋体"/>
          <w:color w:val="auto"/>
          <w:sz w:val="24"/>
        </w:rPr>
        <w:t>4.</w:t>
      </w:r>
      <w:r>
        <w:rPr>
          <w:rFonts w:hint="eastAsia" w:ascii="宋体" w:hAnsi="宋体"/>
          <w:color w:val="auto"/>
          <w:sz w:val="24"/>
        </w:rPr>
        <w:t>第</w:t>
      </w:r>
      <w:r>
        <w:rPr>
          <w:rFonts w:ascii="宋体" w:hAnsi="宋体"/>
          <w:color w:val="auto"/>
          <w:sz w:val="24"/>
        </w:rPr>
        <w:t>10</w:t>
      </w:r>
      <w:r>
        <w:rPr>
          <w:rFonts w:hint="eastAsia" w:ascii="宋体" w:hAnsi="宋体"/>
          <w:color w:val="auto"/>
          <w:sz w:val="24"/>
        </w:rPr>
        <w:t>行“股票投资</w:t>
      </w:r>
      <w:r>
        <w:rPr>
          <w:rFonts w:ascii="宋体" w:hAnsi="宋体"/>
          <w:color w:val="auto"/>
          <w:sz w:val="24"/>
        </w:rPr>
        <w:t>—</w:t>
      </w:r>
      <w:r>
        <w:rPr>
          <w:rFonts w:hint="eastAsia" w:ascii="宋体" w:hAnsi="宋体"/>
          <w:color w:val="auto"/>
          <w:sz w:val="24"/>
        </w:rPr>
        <w:t>沪港通</w:t>
      </w:r>
      <w:r>
        <w:rPr>
          <w:rFonts w:ascii="宋体" w:hAnsi="宋体"/>
          <w:color w:val="auto"/>
          <w:sz w:val="24"/>
        </w:rPr>
        <w:t>H</w:t>
      </w:r>
      <w:r>
        <w:rPr>
          <w:rFonts w:hint="eastAsia" w:ascii="宋体" w:hAnsi="宋体"/>
          <w:color w:val="auto"/>
          <w:sz w:val="24"/>
        </w:rPr>
        <w:t>股”：填报第</w:t>
      </w:r>
      <w:r>
        <w:rPr>
          <w:rFonts w:ascii="宋体" w:hAnsi="宋体"/>
          <w:color w:val="auto"/>
          <w:sz w:val="24"/>
        </w:rPr>
        <w:t>1＋2</w:t>
      </w:r>
      <w:r>
        <w:rPr>
          <w:rFonts w:hint="eastAsia" w:ascii="宋体" w:hAnsi="宋体"/>
          <w:color w:val="auto"/>
          <w:sz w:val="24"/>
        </w:rPr>
        <w:t>…</w:t>
      </w:r>
      <w:r>
        <w:rPr>
          <w:rFonts w:ascii="宋体" w:hAnsi="宋体"/>
          <w:color w:val="auto"/>
          <w:sz w:val="24"/>
        </w:rPr>
        <w:t>＋7</w:t>
      </w:r>
      <w:r>
        <w:rPr>
          <w:rFonts w:hint="eastAsia" w:ascii="宋体" w:hAnsi="宋体"/>
          <w:color w:val="auto"/>
          <w:sz w:val="24"/>
        </w:rPr>
        <w:t>行中，“投资性质”列选择“（</w:t>
      </w:r>
      <w:r>
        <w:rPr>
          <w:rFonts w:ascii="宋体" w:hAnsi="宋体"/>
          <w:color w:val="auto"/>
          <w:sz w:val="24"/>
        </w:rPr>
        <w:t>3</w:t>
      </w:r>
      <w:r>
        <w:rPr>
          <w:rFonts w:hint="eastAsia" w:ascii="宋体" w:hAnsi="宋体"/>
          <w:color w:val="auto"/>
          <w:sz w:val="24"/>
        </w:rPr>
        <w:t>）股票投资（沪港通</w:t>
      </w:r>
      <w:r>
        <w:rPr>
          <w:rFonts w:ascii="宋体" w:hAnsi="宋体"/>
          <w:color w:val="auto"/>
          <w:sz w:val="24"/>
        </w:rPr>
        <w:t>H</w:t>
      </w:r>
      <w:r>
        <w:rPr>
          <w:rFonts w:hint="eastAsia" w:ascii="宋体" w:hAnsi="宋体"/>
          <w:color w:val="auto"/>
          <w:sz w:val="24"/>
        </w:rPr>
        <w:t>股投资）”的行次，第</w:t>
      </w:r>
      <w:r>
        <w:rPr>
          <w:rFonts w:ascii="宋体" w:hAnsi="宋体"/>
          <w:color w:val="auto"/>
          <w:sz w:val="24"/>
        </w:rPr>
        <w:t>17</w:t>
      </w:r>
      <w:r>
        <w:rPr>
          <w:rFonts w:hint="eastAsia" w:ascii="宋体" w:hAnsi="宋体"/>
          <w:color w:val="auto"/>
          <w:sz w:val="24"/>
        </w:rPr>
        <w:t>列合计金额。</w:t>
      </w:r>
    </w:p>
    <w:p>
      <w:pPr>
        <w:spacing w:line="360" w:lineRule="auto"/>
        <w:ind w:firstLine="480" w:firstLineChars="200"/>
        <w:rPr>
          <w:rFonts w:hint="eastAsia" w:ascii="宋体" w:hAnsi="宋体"/>
          <w:color w:val="auto"/>
          <w:sz w:val="24"/>
        </w:rPr>
      </w:pPr>
      <w:r>
        <w:rPr>
          <w:rFonts w:ascii="宋体" w:hAnsi="宋体"/>
          <w:color w:val="auto"/>
          <w:sz w:val="24"/>
        </w:rPr>
        <w:t>5.</w:t>
      </w:r>
      <w:r>
        <w:rPr>
          <w:rFonts w:hint="eastAsia" w:ascii="宋体" w:hAnsi="宋体"/>
          <w:color w:val="auto"/>
          <w:sz w:val="24"/>
        </w:rPr>
        <w:t>第</w:t>
      </w:r>
      <w:r>
        <w:rPr>
          <w:rFonts w:ascii="宋体" w:hAnsi="宋体"/>
          <w:color w:val="auto"/>
          <w:sz w:val="24"/>
        </w:rPr>
        <w:t>11</w:t>
      </w:r>
      <w:r>
        <w:rPr>
          <w:rFonts w:hint="eastAsia" w:ascii="宋体" w:hAnsi="宋体"/>
          <w:color w:val="auto"/>
          <w:sz w:val="24"/>
        </w:rPr>
        <w:t>行“股票投资</w:t>
      </w:r>
      <w:r>
        <w:rPr>
          <w:rFonts w:ascii="宋体" w:hAnsi="宋体"/>
          <w:color w:val="auto"/>
          <w:sz w:val="24"/>
        </w:rPr>
        <w:t>—</w:t>
      </w:r>
      <w:r>
        <w:rPr>
          <w:rFonts w:hint="eastAsia" w:ascii="宋体" w:hAnsi="宋体"/>
          <w:color w:val="auto"/>
          <w:sz w:val="24"/>
        </w:rPr>
        <w:t>深港通</w:t>
      </w:r>
      <w:r>
        <w:rPr>
          <w:rFonts w:ascii="宋体" w:hAnsi="宋体"/>
          <w:color w:val="auto"/>
          <w:sz w:val="24"/>
        </w:rPr>
        <w:t>H</w:t>
      </w:r>
      <w:r>
        <w:rPr>
          <w:rFonts w:hint="eastAsia" w:ascii="宋体" w:hAnsi="宋体"/>
          <w:color w:val="auto"/>
          <w:sz w:val="24"/>
        </w:rPr>
        <w:t>股”：填报第</w:t>
      </w:r>
      <w:r>
        <w:rPr>
          <w:rFonts w:ascii="宋体" w:hAnsi="宋体"/>
          <w:color w:val="auto"/>
          <w:sz w:val="24"/>
        </w:rPr>
        <w:t>1＋2</w:t>
      </w:r>
      <w:r>
        <w:rPr>
          <w:rFonts w:hint="eastAsia" w:ascii="宋体" w:hAnsi="宋体"/>
          <w:color w:val="auto"/>
          <w:sz w:val="24"/>
        </w:rPr>
        <w:t>…</w:t>
      </w:r>
      <w:r>
        <w:rPr>
          <w:rFonts w:ascii="宋体" w:hAnsi="宋体"/>
          <w:color w:val="auto"/>
          <w:sz w:val="24"/>
        </w:rPr>
        <w:t>＋7</w:t>
      </w:r>
      <w:r>
        <w:rPr>
          <w:rFonts w:hint="eastAsia" w:ascii="宋体" w:hAnsi="宋体"/>
          <w:color w:val="auto"/>
          <w:sz w:val="24"/>
        </w:rPr>
        <w:t>行中，“投资性质”列选择“（</w:t>
      </w:r>
      <w:r>
        <w:rPr>
          <w:rFonts w:ascii="宋体" w:hAnsi="宋体"/>
          <w:color w:val="auto"/>
          <w:sz w:val="24"/>
        </w:rPr>
        <w:t>4</w:t>
      </w:r>
      <w:r>
        <w:rPr>
          <w:rFonts w:hint="eastAsia" w:ascii="宋体" w:hAnsi="宋体"/>
          <w:color w:val="auto"/>
          <w:sz w:val="24"/>
        </w:rPr>
        <w:t>）股票投资（深港通</w:t>
      </w:r>
      <w:r>
        <w:rPr>
          <w:rFonts w:ascii="宋体" w:hAnsi="宋体"/>
          <w:color w:val="auto"/>
          <w:sz w:val="24"/>
        </w:rPr>
        <w:t>H</w:t>
      </w:r>
      <w:r>
        <w:rPr>
          <w:rFonts w:hint="eastAsia" w:ascii="宋体" w:hAnsi="宋体"/>
          <w:color w:val="auto"/>
          <w:sz w:val="24"/>
        </w:rPr>
        <w:t>股投资）”的行次，第</w:t>
      </w:r>
      <w:r>
        <w:rPr>
          <w:rFonts w:ascii="宋体" w:hAnsi="宋体"/>
          <w:color w:val="auto"/>
          <w:sz w:val="24"/>
        </w:rPr>
        <w:t>17</w:t>
      </w:r>
      <w:r>
        <w:rPr>
          <w:rFonts w:hint="eastAsia" w:ascii="宋体" w:hAnsi="宋体"/>
          <w:color w:val="auto"/>
          <w:sz w:val="24"/>
        </w:rPr>
        <w:t>列合计金额。</w:t>
      </w:r>
    </w:p>
    <w:p>
      <w:pPr>
        <w:spacing w:line="360" w:lineRule="auto"/>
        <w:ind w:firstLine="480" w:firstLineChars="200"/>
        <w:rPr>
          <w:rFonts w:hint="eastAsia" w:ascii="宋体" w:hAnsi="宋体"/>
          <w:color w:val="auto"/>
          <w:sz w:val="24"/>
        </w:rPr>
      </w:pPr>
      <w:r>
        <w:rPr>
          <w:rFonts w:ascii="宋体" w:hAnsi="宋体"/>
          <w:color w:val="auto"/>
          <w:sz w:val="24"/>
        </w:rPr>
        <w:t>6.</w:t>
      </w:r>
      <w:r>
        <w:rPr>
          <w:rFonts w:hint="eastAsia" w:ascii="宋体" w:hAnsi="宋体"/>
          <w:color w:val="auto"/>
          <w:sz w:val="24"/>
        </w:rPr>
        <w:t>第</w:t>
      </w:r>
      <w:r>
        <w:rPr>
          <w:rFonts w:ascii="宋体" w:hAnsi="宋体"/>
          <w:color w:val="auto"/>
          <w:sz w:val="24"/>
        </w:rPr>
        <w:t>12</w:t>
      </w:r>
      <w:r>
        <w:rPr>
          <w:rFonts w:hint="eastAsia" w:ascii="宋体" w:hAnsi="宋体"/>
          <w:color w:val="auto"/>
          <w:sz w:val="24"/>
        </w:rPr>
        <w:t>行“创新企业</w:t>
      </w:r>
      <w:r>
        <w:rPr>
          <w:rFonts w:ascii="宋体" w:hAnsi="宋体"/>
          <w:color w:val="auto"/>
          <w:sz w:val="24"/>
        </w:rPr>
        <w:t>CDR</w:t>
      </w:r>
      <w:r>
        <w:rPr>
          <w:rFonts w:hint="eastAsia" w:ascii="宋体" w:hAnsi="宋体"/>
          <w:color w:val="auto"/>
          <w:sz w:val="24"/>
        </w:rPr>
        <w:t>”：填报第</w:t>
      </w:r>
      <w:r>
        <w:rPr>
          <w:rFonts w:ascii="宋体" w:hAnsi="宋体"/>
          <w:color w:val="auto"/>
          <w:sz w:val="24"/>
        </w:rPr>
        <w:t>1＋2</w:t>
      </w:r>
      <w:r>
        <w:rPr>
          <w:rFonts w:hint="eastAsia" w:ascii="宋体" w:hAnsi="宋体"/>
          <w:color w:val="auto"/>
          <w:sz w:val="24"/>
        </w:rPr>
        <w:t>…</w:t>
      </w:r>
      <w:r>
        <w:rPr>
          <w:rFonts w:ascii="宋体" w:hAnsi="宋体"/>
          <w:color w:val="auto"/>
          <w:sz w:val="24"/>
        </w:rPr>
        <w:t>＋7</w:t>
      </w:r>
      <w:r>
        <w:rPr>
          <w:rFonts w:hint="eastAsia" w:ascii="宋体" w:hAnsi="宋体"/>
          <w:color w:val="auto"/>
          <w:sz w:val="24"/>
        </w:rPr>
        <w:t>行中，“投资性质”列选择“（</w:t>
      </w:r>
      <w:r>
        <w:rPr>
          <w:rFonts w:ascii="宋体" w:hAnsi="宋体"/>
          <w:color w:val="auto"/>
          <w:sz w:val="24"/>
        </w:rPr>
        <w:t>5</w:t>
      </w:r>
      <w:r>
        <w:rPr>
          <w:rFonts w:hint="eastAsia" w:ascii="宋体" w:hAnsi="宋体"/>
          <w:color w:val="auto"/>
          <w:sz w:val="24"/>
        </w:rPr>
        <w:t>）创新企业</w:t>
      </w:r>
      <w:r>
        <w:rPr>
          <w:rFonts w:ascii="宋体" w:hAnsi="宋体"/>
          <w:color w:val="auto"/>
          <w:sz w:val="24"/>
        </w:rPr>
        <w:t>CDR</w:t>
      </w:r>
      <w:r>
        <w:rPr>
          <w:rFonts w:hint="eastAsia" w:ascii="宋体" w:hAnsi="宋体"/>
          <w:color w:val="auto"/>
          <w:sz w:val="24"/>
        </w:rPr>
        <w:t>”的行次，第</w:t>
      </w:r>
      <w:r>
        <w:rPr>
          <w:rFonts w:ascii="宋体" w:hAnsi="宋体"/>
          <w:color w:val="auto"/>
          <w:sz w:val="24"/>
        </w:rPr>
        <w:t>17</w:t>
      </w:r>
      <w:r>
        <w:rPr>
          <w:rFonts w:hint="eastAsia" w:ascii="宋体" w:hAnsi="宋体"/>
          <w:color w:val="auto"/>
          <w:sz w:val="24"/>
        </w:rPr>
        <w:t>列合计金额。</w:t>
      </w:r>
    </w:p>
    <w:p>
      <w:pPr>
        <w:spacing w:line="360" w:lineRule="auto"/>
        <w:ind w:firstLine="480" w:firstLineChars="200"/>
        <w:rPr>
          <w:rFonts w:hint="eastAsia" w:ascii="宋体" w:hAnsi="宋体"/>
          <w:color w:val="auto"/>
          <w:sz w:val="24"/>
        </w:rPr>
      </w:pPr>
      <w:r>
        <w:rPr>
          <w:rFonts w:ascii="宋体" w:hAnsi="宋体"/>
          <w:color w:val="auto"/>
          <w:sz w:val="24"/>
        </w:rPr>
        <w:t>7.</w:t>
      </w:r>
      <w:r>
        <w:rPr>
          <w:rFonts w:hint="eastAsia" w:ascii="宋体" w:hAnsi="宋体"/>
          <w:color w:val="auto"/>
          <w:sz w:val="24"/>
        </w:rPr>
        <w:t>第</w:t>
      </w:r>
      <w:r>
        <w:rPr>
          <w:rFonts w:ascii="宋体" w:hAnsi="宋体"/>
          <w:color w:val="auto"/>
          <w:sz w:val="24"/>
        </w:rPr>
        <w:t>13</w:t>
      </w:r>
      <w:r>
        <w:rPr>
          <w:rFonts w:hint="eastAsia" w:ascii="宋体" w:hAnsi="宋体"/>
          <w:color w:val="auto"/>
          <w:sz w:val="24"/>
        </w:rPr>
        <w:t>行“永续债”：填报第</w:t>
      </w:r>
      <w:r>
        <w:rPr>
          <w:rFonts w:ascii="宋体" w:hAnsi="宋体"/>
          <w:color w:val="auto"/>
          <w:sz w:val="24"/>
        </w:rPr>
        <w:t>1＋2</w:t>
      </w:r>
      <w:r>
        <w:rPr>
          <w:rFonts w:hint="eastAsia" w:ascii="宋体" w:hAnsi="宋体"/>
          <w:color w:val="auto"/>
          <w:sz w:val="24"/>
        </w:rPr>
        <w:t>…</w:t>
      </w:r>
      <w:r>
        <w:rPr>
          <w:rFonts w:ascii="宋体" w:hAnsi="宋体"/>
          <w:color w:val="auto"/>
          <w:sz w:val="24"/>
        </w:rPr>
        <w:t>＋7</w:t>
      </w:r>
      <w:r>
        <w:rPr>
          <w:rFonts w:hint="eastAsia" w:ascii="宋体" w:hAnsi="宋体"/>
          <w:color w:val="auto"/>
          <w:sz w:val="24"/>
        </w:rPr>
        <w:t>行中，“投资性质”列选择“（</w:t>
      </w:r>
      <w:r>
        <w:rPr>
          <w:rFonts w:ascii="宋体" w:hAnsi="宋体"/>
          <w:color w:val="auto"/>
          <w:sz w:val="24"/>
        </w:rPr>
        <w:t>6</w:t>
      </w:r>
      <w:r>
        <w:rPr>
          <w:rFonts w:hint="eastAsia" w:ascii="宋体" w:hAnsi="宋体"/>
          <w:color w:val="auto"/>
          <w:sz w:val="24"/>
        </w:rPr>
        <w:t>）永续债”的行次，第</w:t>
      </w:r>
      <w:r>
        <w:rPr>
          <w:rFonts w:ascii="宋体" w:hAnsi="宋体"/>
          <w:color w:val="auto"/>
          <w:sz w:val="24"/>
        </w:rPr>
        <w:t>17</w:t>
      </w:r>
      <w:r>
        <w:rPr>
          <w:rFonts w:hint="eastAsia" w:ascii="宋体" w:hAnsi="宋体"/>
          <w:color w:val="auto"/>
          <w:sz w:val="24"/>
        </w:rPr>
        <w:t>列合计金额。</w:t>
      </w:r>
    </w:p>
    <w:p>
      <w:pPr>
        <w:spacing w:line="360" w:lineRule="auto"/>
        <w:ind w:firstLine="480" w:firstLineChars="200"/>
        <w:outlineLvl w:val="2"/>
        <w:rPr>
          <w:rFonts w:hint="eastAsia" w:ascii="黑体" w:hAnsi="黑体" w:eastAsia="黑体" w:cs="黑体"/>
          <w:color w:val="auto"/>
          <w:sz w:val="24"/>
        </w:rPr>
      </w:pPr>
      <w:bookmarkStart w:id="195" w:name="_Toc24965061"/>
      <w:bookmarkStart w:id="196" w:name="_Toc21712278"/>
      <w:bookmarkStart w:id="197" w:name="_Toc21703756"/>
      <w:bookmarkStart w:id="198" w:name="_Toc21711240"/>
      <w:r>
        <w:rPr>
          <w:rFonts w:hint="eastAsia" w:ascii="黑体" w:hAnsi="黑体" w:eastAsia="黑体" w:cs="黑体"/>
          <w:color w:val="auto"/>
          <w:sz w:val="24"/>
        </w:rPr>
        <w:t>（二）列次填报</w:t>
      </w:r>
      <w:bookmarkEnd w:id="195"/>
      <w:bookmarkEnd w:id="196"/>
      <w:bookmarkEnd w:id="197"/>
      <w:bookmarkEnd w:id="198"/>
    </w:p>
    <w:p>
      <w:pPr>
        <w:spacing w:line="360" w:lineRule="auto"/>
        <w:ind w:firstLine="480" w:firstLineChars="200"/>
        <w:rPr>
          <w:rFonts w:hint="eastAsia" w:ascii="宋体" w:hAnsi="宋体"/>
          <w:color w:val="auto"/>
          <w:sz w:val="24"/>
        </w:rPr>
      </w:pPr>
      <w:r>
        <w:rPr>
          <w:rFonts w:ascii="宋体" w:hAnsi="宋体"/>
          <w:color w:val="auto"/>
          <w:sz w:val="24"/>
        </w:rPr>
        <w:t>1.</w:t>
      </w:r>
      <w:r>
        <w:rPr>
          <w:rFonts w:hint="eastAsia" w:ascii="宋体" w:hAnsi="宋体"/>
          <w:color w:val="auto"/>
          <w:sz w:val="24"/>
        </w:rPr>
        <w:t>第</w:t>
      </w:r>
      <w:r>
        <w:rPr>
          <w:rFonts w:ascii="宋体" w:hAnsi="宋体"/>
          <w:color w:val="auto"/>
          <w:sz w:val="24"/>
        </w:rPr>
        <w:t>1</w:t>
      </w:r>
      <w:r>
        <w:rPr>
          <w:rFonts w:hint="eastAsia" w:ascii="宋体" w:hAnsi="宋体"/>
          <w:color w:val="auto"/>
          <w:sz w:val="24"/>
        </w:rPr>
        <w:t>列“被投资企业”：填报被投资企业名称。</w:t>
      </w:r>
    </w:p>
    <w:p>
      <w:pPr>
        <w:spacing w:line="360" w:lineRule="auto"/>
        <w:ind w:firstLine="480" w:firstLineChars="200"/>
        <w:rPr>
          <w:rFonts w:hint="eastAsia" w:ascii="宋体" w:hAnsi="宋体"/>
          <w:color w:val="auto"/>
          <w:sz w:val="24"/>
        </w:rPr>
      </w:pPr>
      <w:r>
        <w:rPr>
          <w:rFonts w:ascii="宋体" w:hAnsi="宋体"/>
          <w:color w:val="auto"/>
          <w:sz w:val="24"/>
        </w:rPr>
        <w:t>2.</w:t>
      </w:r>
      <w:r>
        <w:rPr>
          <w:rFonts w:hint="eastAsia" w:ascii="宋体" w:hAnsi="宋体"/>
          <w:color w:val="auto"/>
          <w:sz w:val="24"/>
        </w:rPr>
        <w:t>第</w:t>
      </w:r>
      <w:r>
        <w:rPr>
          <w:rFonts w:ascii="宋体" w:hAnsi="宋体"/>
          <w:color w:val="auto"/>
          <w:sz w:val="24"/>
        </w:rPr>
        <w:t>2</w:t>
      </w:r>
      <w:r>
        <w:rPr>
          <w:rFonts w:hint="eastAsia" w:ascii="宋体" w:hAnsi="宋体"/>
          <w:color w:val="auto"/>
          <w:sz w:val="24"/>
        </w:rPr>
        <w:t>列“被投资企业统一社会信用代码（纳税人识别号）”：填报被投资企业</w:t>
      </w:r>
      <w:r>
        <w:rPr>
          <w:rFonts w:hint="eastAsia" w:ascii="宋体" w:hAnsi="宋体"/>
          <w:color w:val="auto"/>
          <w:sz w:val="24"/>
          <w:lang w:eastAsia="zh-CN"/>
        </w:rPr>
        <w:t>市场监管</w:t>
      </w:r>
      <w:r>
        <w:rPr>
          <w:rFonts w:hint="eastAsia" w:ascii="宋体" w:hAnsi="宋体"/>
          <w:color w:val="auto"/>
          <w:sz w:val="24"/>
        </w:rPr>
        <w:t>等部门核发的纳税人统一社会信用代码。未取得统一社会信用代码的，填报税务机关核发的纳税人识别号。</w:t>
      </w:r>
    </w:p>
    <w:p>
      <w:pPr>
        <w:spacing w:line="360" w:lineRule="auto"/>
        <w:ind w:firstLine="480" w:firstLineChars="200"/>
        <w:rPr>
          <w:rFonts w:hint="eastAsia" w:ascii="宋体" w:hAnsi="宋体"/>
          <w:color w:val="auto"/>
          <w:sz w:val="24"/>
        </w:rPr>
      </w:pPr>
      <w:r>
        <w:rPr>
          <w:rFonts w:ascii="宋体" w:hAnsi="宋体"/>
          <w:color w:val="auto"/>
          <w:sz w:val="24"/>
        </w:rPr>
        <w:t>3.</w:t>
      </w:r>
      <w:r>
        <w:rPr>
          <w:rFonts w:hint="eastAsia" w:ascii="宋体" w:hAnsi="宋体"/>
          <w:color w:val="auto"/>
          <w:sz w:val="24"/>
        </w:rPr>
        <w:t>第</w:t>
      </w:r>
      <w:r>
        <w:rPr>
          <w:rFonts w:ascii="宋体" w:hAnsi="宋体"/>
          <w:color w:val="auto"/>
          <w:sz w:val="24"/>
        </w:rPr>
        <w:t>3</w:t>
      </w:r>
      <w:r>
        <w:rPr>
          <w:rFonts w:hint="eastAsia" w:ascii="宋体" w:hAnsi="宋体"/>
          <w:color w:val="auto"/>
          <w:sz w:val="24"/>
        </w:rPr>
        <w:t>列“投资性质”：按选项填报：（</w:t>
      </w:r>
      <w:r>
        <w:rPr>
          <w:rFonts w:ascii="宋体" w:hAnsi="宋体"/>
          <w:color w:val="auto"/>
          <w:sz w:val="24"/>
        </w:rPr>
        <w:t>1</w:t>
      </w:r>
      <w:r>
        <w:rPr>
          <w:rFonts w:hint="eastAsia" w:ascii="宋体" w:hAnsi="宋体"/>
          <w:color w:val="auto"/>
          <w:sz w:val="24"/>
        </w:rPr>
        <w:t>）直接投资、（</w:t>
      </w:r>
      <w:r>
        <w:rPr>
          <w:rFonts w:ascii="宋体" w:hAnsi="宋体"/>
          <w:color w:val="auto"/>
          <w:sz w:val="24"/>
        </w:rPr>
        <w:t>2</w:t>
      </w:r>
      <w:r>
        <w:rPr>
          <w:rFonts w:hint="eastAsia" w:ascii="宋体" w:hAnsi="宋体"/>
          <w:color w:val="auto"/>
          <w:sz w:val="24"/>
        </w:rPr>
        <w:t>）股票投资（不含</w:t>
      </w:r>
      <w:r>
        <w:rPr>
          <w:rFonts w:ascii="宋体" w:hAnsi="宋体"/>
          <w:color w:val="auto"/>
          <w:sz w:val="24"/>
        </w:rPr>
        <w:t>H</w:t>
      </w:r>
      <w:r>
        <w:rPr>
          <w:rFonts w:hint="eastAsia" w:ascii="宋体" w:hAnsi="宋体"/>
          <w:color w:val="auto"/>
          <w:sz w:val="24"/>
        </w:rPr>
        <w:t>股）、（</w:t>
      </w:r>
      <w:r>
        <w:rPr>
          <w:rFonts w:ascii="宋体" w:hAnsi="宋体"/>
          <w:color w:val="auto"/>
          <w:sz w:val="24"/>
        </w:rPr>
        <w:t>3</w:t>
      </w:r>
      <w:r>
        <w:rPr>
          <w:rFonts w:hint="eastAsia" w:ascii="宋体" w:hAnsi="宋体"/>
          <w:color w:val="auto"/>
          <w:sz w:val="24"/>
        </w:rPr>
        <w:t>）股票投资（沪港通</w:t>
      </w:r>
      <w:r>
        <w:rPr>
          <w:rFonts w:ascii="宋体" w:hAnsi="宋体"/>
          <w:color w:val="auto"/>
          <w:sz w:val="24"/>
        </w:rPr>
        <w:t>H</w:t>
      </w:r>
      <w:r>
        <w:rPr>
          <w:rFonts w:hint="eastAsia" w:ascii="宋体" w:hAnsi="宋体"/>
          <w:color w:val="auto"/>
          <w:sz w:val="24"/>
        </w:rPr>
        <w:t>股投资）、（</w:t>
      </w:r>
      <w:r>
        <w:rPr>
          <w:rFonts w:ascii="宋体" w:hAnsi="宋体"/>
          <w:color w:val="auto"/>
          <w:sz w:val="24"/>
        </w:rPr>
        <w:t>4</w:t>
      </w:r>
      <w:r>
        <w:rPr>
          <w:rFonts w:hint="eastAsia" w:ascii="宋体" w:hAnsi="宋体"/>
          <w:color w:val="auto"/>
          <w:sz w:val="24"/>
        </w:rPr>
        <w:t>）股票投资（深港通</w:t>
      </w:r>
      <w:r>
        <w:rPr>
          <w:rFonts w:ascii="宋体" w:hAnsi="宋体"/>
          <w:color w:val="auto"/>
          <w:sz w:val="24"/>
        </w:rPr>
        <w:t>H</w:t>
      </w:r>
      <w:r>
        <w:rPr>
          <w:rFonts w:hint="eastAsia" w:ascii="宋体" w:hAnsi="宋体"/>
          <w:color w:val="auto"/>
          <w:sz w:val="24"/>
        </w:rPr>
        <w:t>股投资）、（</w:t>
      </w:r>
      <w:r>
        <w:rPr>
          <w:rFonts w:ascii="宋体" w:hAnsi="宋体"/>
          <w:color w:val="auto"/>
          <w:sz w:val="24"/>
        </w:rPr>
        <w:t>5</w:t>
      </w:r>
      <w:r>
        <w:rPr>
          <w:rFonts w:hint="eastAsia" w:ascii="宋体" w:hAnsi="宋体"/>
          <w:color w:val="auto"/>
          <w:sz w:val="24"/>
        </w:rPr>
        <w:t>）创新企业</w:t>
      </w:r>
      <w:r>
        <w:rPr>
          <w:rFonts w:ascii="宋体" w:hAnsi="宋体"/>
          <w:color w:val="auto"/>
          <w:sz w:val="24"/>
        </w:rPr>
        <w:t>CDR</w:t>
      </w:r>
      <w:r>
        <w:rPr>
          <w:rFonts w:hint="eastAsia" w:ascii="宋体" w:hAnsi="宋体"/>
          <w:color w:val="auto"/>
          <w:sz w:val="24"/>
        </w:rPr>
        <w:t>、（</w:t>
      </w:r>
      <w:r>
        <w:rPr>
          <w:rFonts w:ascii="宋体" w:hAnsi="宋体"/>
          <w:color w:val="auto"/>
          <w:sz w:val="24"/>
        </w:rPr>
        <w:t>6</w:t>
      </w:r>
      <w:r>
        <w:rPr>
          <w:rFonts w:hint="eastAsia" w:ascii="宋体" w:hAnsi="宋体"/>
          <w:color w:val="auto"/>
          <w:sz w:val="24"/>
        </w:rPr>
        <w:t>）永续债。</w:t>
      </w:r>
    </w:p>
    <w:p>
      <w:pPr>
        <w:spacing w:line="360" w:lineRule="auto"/>
        <w:ind w:firstLine="480" w:firstLineChars="200"/>
        <w:rPr>
          <w:rFonts w:hint="eastAsia" w:ascii="宋体" w:hAnsi="宋体"/>
          <w:color w:val="auto"/>
          <w:sz w:val="24"/>
        </w:rPr>
      </w:pPr>
      <w:r>
        <w:rPr>
          <w:rFonts w:hint="eastAsia" w:ascii="宋体" w:hAnsi="宋体"/>
          <w:color w:val="auto"/>
          <w:sz w:val="24"/>
        </w:rPr>
        <w:t>符合财税〔</w:t>
      </w:r>
      <w:r>
        <w:rPr>
          <w:rFonts w:ascii="宋体" w:hAnsi="宋体"/>
          <w:color w:val="auto"/>
          <w:sz w:val="24"/>
        </w:rPr>
        <w:t>2014</w:t>
      </w:r>
      <w:r>
        <w:rPr>
          <w:rFonts w:hint="eastAsia" w:ascii="宋体" w:hAnsi="宋体"/>
          <w:color w:val="auto"/>
          <w:sz w:val="24"/>
        </w:rPr>
        <w:t>〕</w:t>
      </w:r>
      <w:r>
        <w:rPr>
          <w:rFonts w:ascii="宋体" w:hAnsi="宋体"/>
          <w:color w:val="auto"/>
          <w:sz w:val="24"/>
        </w:rPr>
        <w:t>81</w:t>
      </w:r>
      <w:r>
        <w:rPr>
          <w:rFonts w:hint="eastAsia" w:ascii="宋体" w:hAnsi="宋体"/>
          <w:color w:val="auto"/>
          <w:sz w:val="24"/>
        </w:rPr>
        <w:t>号文件第一条第（四）项第</w:t>
      </w:r>
      <w:r>
        <w:rPr>
          <w:rFonts w:ascii="宋体" w:hAnsi="宋体"/>
          <w:color w:val="auto"/>
          <w:sz w:val="24"/>
        </w:rPr>
        <w:t>1</w:t>
      </w:r>
      <w:r>
        <w:rPr>
          <w:rFonts w:hint="eastAsia" w:ascii="宋体" w:hAnsi="宋体"/>
          <w:color w:val="auto"/>
          <w:sz w:val="24"/>
        </w:rPr>
        <w:t>目规定，享受沪港通</w:t>
      </w:r>
      <w:r>
        <w:rPr>
          <w:rFonts w:ascii="宋体" w:hAnsi="宋体"/>
          <w:color w:val="auto"/>
          <w:sz w:val="24"/>
        </w:rPr>
        <w:t>H</w:t>
      </w:r>
      <w:r>
        <w:rPr>
          <w:rFonts w:hint="eastAsia" w:ascii="宋体" w:hAnsi="宋体"/>
          <w:color w:val="auto"/>
          <w:sz w:val="24"/>
        </w:rPr>
        <w:t>股股息红利免税政策的企业，选择“（</w:t>
      </w:r>
      <w:r>
        <w:rPr>
          <w:rFonts w:ascii="宋体" w:hAnsi="宋体"/>
          <w:color w:val="auto"/>
          <w:sz w:val="24"/>
        </w:rPr>
        <w:t>3</w:t>
      </w:r>
      <w:r>
        <w:rPr>
          <w:rFonts w:hint="eastAsia" w:ascii="宋体" w:hAnsi="宋体"/>
          <w:color w:val="auto"/>
          <w:sz w:val="24"/>
        </w:rPr>
        <w:t>）股票投资（沪港通</w:t>
      </w:r>
      <w:r>
        <w:rPr>
          <w:rFonts w:ascii="宋体" w:hAnsi="宋体"/>
          <w:color w:val="auto"/>
          <w:sz w:val="24"/>
        </w:rPr>
        <w:t>H</w:t>
      </w:r>
      <w:r>
        <w:rPr>
          <w:rFonts w:hint="eastAsia" w:ascii="宋体" w:hAnsi="宋体"/>
          <w:color w:val="auto"/>
          <w:sz w:val="24"/>
        </w:rPr>
        <w:t>股投资）”。</w:t>
      </w:r>
    </w:p>
    <w:p>
      <w:pPr>
        <w:spacing w:line="360" w:lineRule="auto"/>
        <w:ind w:firstLine="480" w:firstLineChars="200"/>
        <w:rPr>
          <w:rFonts w:hint="eastAsia" w:ascii="宋体" w:hAnsi="宋体"/>
          <w:color w:val="auto"/>
          <w:sz w:val="24"/>
        </w:rPr>
      </w:pPr>
      <w:r>
        <w:rPr>
          <w:rFonts w:hint="eastAsia" w:ascii="宋体" w:hAnsi="宋体"/>
          <w:color w:val="auto"/>
          <w:sz w:val="24"/>
        </w:rPr>
        <w:t>符合财税〔</w:t>
      </w:r>
      <w:r>
        <w:rPr>
          <w:rFonts w:ascii="宋体" w:hAnsi="宋体"/>
          <w:color w:val="auto"/>
          <w:sz w:val="24"/>
        </w:rPr>
        <w:t>2016</w:t>
      </w:r>
      <w:r>
        <w:rPr>
          <w:rFonts w:hint="eastAsia" w:ascii="宋体" w:hAnsi="宋体"/>
          <w:color w:val="auto"/>
          <w:sz w:val="24"/>
        </w:rPr>
        <w:t>〕</w:t>
      </w:r>
      <w:r>
        <w:rPr>
          <w:rFonts w:ascii="宋体" w:hAnsi="宋体"/>
          <w:color w:val="auto"/>
          <w:sz w:val="24"/>
        </w:rPr>
        <w:t>127</w:t>
      </w:r>
      <w:r>
        <w:rPr>
          <w:rFonts w:hint="eastAsia" w:ascii="宋体" w:hAnsi="宋体"/>
          <w:color w:val="auto"/>
          <w:sz w:val="24"/>
        </w:rPr>
        <w:t>号文件第一条第</w:t>
      </w:r>
      <w:r>
        <w:rPr>
          <w:rFonts w:ascii="宋体" w:hAnsi="宋体"/>
          <w:color w:val="auto"/>
          <w:sz w:val="24"/>
        </w:rPr>
        <w:t>（</w:t>
      </w:r>
      <w:r>
        <w:rPr>
          <w:rFonts w:hint="eastAsia" w:ascii="宋体" w:hAnsi="宋体"/>
          <w:color w:val="auto"/>
          <w:sz w:val="24"/>
        </w:rPr>
        <w:t>四</w:t>
      </w:r>
      <w:r>
        <w:rPr>
          <w:rFonts w:ascii="宋体" w:hAnsi="宋体"/>
          <w:color w:val="auto"/>
          <w:sz w:val="24"/>
        </w:rPr>
        <w:t>）</w:t>
      </w:r>
      <w:r>
        <w:rPr>
          <w:rFonts w:hint="eastAsia" w:ascii="宋体" w:hAnsi="宋体"/>
          <w:color w:val="auto"/>
          <w:sz w:val="24"/>
        </w:rPr>
        <w:t>项第</w:t>
      </w:r>
      <w:r>
        <w:rPr>
          <w:rFonts w:ascii="宋体" w:hAnsi="宋体"/>
          <w:color w:val="auto"/>
          <w:sz w:val="24"/>
        </w:rPr>
        <w:t>1</w:t>
      </w:r>
      <w:r>
        <w:rPr>
          <w:rFonts w:hint="eastAsia" w:ascii="宋体" w:hAnsi="宋体"/>
          <w:color w:val="auto"/>
          <w:sz w:val="24"/>
        </w:rPr>
        <w:t>目规定，享受深港通</w:t>
      </w:r>
      <w:r>
        <w:rPr>
          <w:rFonts w:ascii="宋体" w:hAnsi="宋体"/>
          <w:color w:val="auto"/>
          <w:sz w:val="24"/>
        </w:rPr>
        <w:t>H</w:t>
      </w:r>
      <w:r>
        <w:rPr>
          <w:rFonts w:hint="eastAsia" w:ascii="宋体" w:hAnsi="宋体"/>
          <w:color w:val="auto"/>
          <w:sz w:val="24"/>
        </w:rPr>
        <w:t>股股息红利免税政策的企业，选择“（</w:t>
      </w:r>
      <w:r>
        <w:rPr>
          <w:rFonts w:ascii="宋体" w:hAnsi="宋体"/>
          <w:color w:val="auto"/>
          <w:sz w:val="24"/>
        </w:rPr>
        <w:t>4</w:t>
      </w:r>
      <w:r>
        <w:rPr>
          <w:rFonts w:hint="eastAsia" w:ascii="宋体" w:hAnsi="宋体"/>
          <w:color w:val="auto"/>
          <w:sz w:val="24"/>
        </w:rPr>
        <w:t>）股票投资（深港通</w:t>
      </w:r>
      <w:r>
        <w:rPr>
          <w:rFonts w:ascii="宋体" w:hAnsi="宋体"/>
          <w:color w:val="auto"/>
          <w:sz w:val="24"/>
        </w:rPr>
        <w:t>H</w:t>
      </w:r>
      <w:r>
        <w:rPr>
          <w:rFonts w:hint="eastAsia" w:ascii="宋体" w:hAnsi="宋体"/>
          <w:color w:val="auto"/>
          <w:sz w:val="24"/>
        </w:rPr>
        <w:t>股投资）”。</w:t>
      </w:r>
    </w:p>
    <w:p>
      <w:pPr>
        <w:spacing w:line="360" w:lineRule="auto"/>
        <w:ind w:firstLine="480" w:firstLineChars="200"/>
        <w:rPr>
          <w:rFonts w:hint="eastAsia" w:ascii="宋体" w:hAnsi="宋体" w:cs="宋体"/>
          <w:color w:val="auto"/>
          <w:kern w:val="0"/>
          <w:sz w:val="24"/>
        </w:rPr>
      </w:pPr>
      <w:r>
        <w:rPr>
          <w:rFonts w:hint="eastAsia" w:ascii="宋体" w:hAnsi="宋体"/>
          <w:color w:val="auto"/>
          <w:sz w:val="24"/>
        </w:rPr>
        <w:t>符合《财政部</w:t>
      </w:r>
      <w:r>
        <w:rPr>
          <w:rFonts w:ascii="宋体" w:hAnsi="宋体"/>
          <w:color w:val="auto"/>
          <w:sz w:val="24"/>
        </w:rPr>
        <w:t xml:space="preserve"> </w:t>
      </w:r>
      <w:r>
        <w:rPr>
          <w:rFonts w:hint="eastAsia" w:ascii="宋体" w:hAnsi="宋体"/>
          <w:color w:val="auto"/>
          <w:sz w:val="24"/>
        </w:rPr>
        <w:t>税务总局</w:t>
      </w:r>
      <w:r>
        <w:rPr>
          <w:rFonts w:ascii="宋体" w:hAnsi="宋体"/>
          <w:color w:val="auto"/>
          <w:sz w:val="24"/>
        </w:rPr>
        <w:t xml:space="preserve"> </w:t>
      </w:r>
      <w:r>
        <w:rPr>
          <w:rFonts w:hint="eastAsia" w:ascii="宋体" w:hAnsi="宋体"/>
          <w:color w:val="auto"/>
          <w:sz w:val="24"/>
        </w:rPr>
        <w:t>证监会关于创新企业境内发行存托凭证试点阶段有关税收政策的公告》（</w:t>
      </w:r>
      <w:r>
        <w:rPr>
          <w:rFonts w:ascii="宋体" w:hAnsi="宋体"/>
          <w:color w:val="auto"/>
          <w:sz w:val="24"/>
        </w:rPr>
        <w:t>2019</w:t>
      </w:r>
      <w:r>
        <w:rPr>
          <w:rFonts w:hint="eastAsia" w:ascii="宋体" w:hAnsi="宋体"/>
          <w:color w:val="auto"/>
          <w:sz w:val="24"/>
        </w:rPr>
        <w:t>年第</w:t>
      </w:r>
      <w:r>
        <w:rPr>
          <w:rFonts w:ascii="宋体" w:hAnsi="宋体"/>
          <w:color w:val="auto"/>
          <w:sz w:val="24"/>
        </w:rPr>
        <w:t>52</w:t>
      </w:r>
      <w:r>
        <w:rPr>
          <w:rFonts w:hint="eastAsia" w:ascii="宋体" w:hAnsi="宋体"/>
          <w:color w:val="auto"/>
          <w:sz w:val="24"/>
        </w:rPr>
        <w:t>号）</w:t>
      </w:r>
      <w:r>
        <w:rPr>
          <w:rFonts w:hint="eastAsia" w:ascii="宋体" w:hAnsi="宋体" w:cs="宋体"/>
          <w:color w:val="auto"/>
          <w:kern w:val="0"/>
          <w:sz w:val="24"/>
        </w:rPr>
        <w:t>第二条第</w:t>
      </w:r>
      <w:r>
        <w:rPr>
          <w:rFonts w:ascii="宋体" w:hAnsi="宋体" w:cs="宋体"/>
          <w:color w:val="auto"/>
          <w:kern w:val="0"/>
          <w:sz w:val="24"/>
        </w:rPr>
        <w:t>1</w:t>
      </w:r>
      <w:r>
        <w:rPr>
          <w:rFonts w:hint="eastAsia" w:ascii="宋体" w:hAnsi="宋体" w:cs="宋体"/>
          <w:color w:val="auto"/>
          <w:kern w:val="0"/>
          <w:sz w:val="24"/>
        </w:rPr>
        <w:t>款规定，享受对持有创新企业</w:t>
      </w:r>
      <w:r>
        <w:rPr>
          <w:rFonts w:ascii="宋体" w:hAnsi="宋体" w:cs="宋体"/>
          <w:color w:val="auto"/>
          <w:kern w:val="0"/>
          <w:sz w:val="24"/>
        </w:rPr>
        <w:t>CDR</w:t>
      </w:r>
      <w:r>
        <w:rPr>
          <w:rFonts w:hint="eastAsia" w:ascii="宋体" w:hAnsi="宋体" w:cs="宋体"/>
          <w:color w:val="auto"/>
          <w:kern w:val="0"/>
          <w:sz w:val="24"/>
        </w:rPr>
        <w:t>取得的股息红利所得按规定免征企业所得税的，选择“</w:t>
      </w:r>
      <w:r>
        <w:rPr>
          <w:rFonts w:hint="eastAsia" w:ascii="宋体" w:hAnsi="宋体"/>
          <w:color w:val="auto"/>
          <w:sz w:val="24"/>
        </w:rPr>
        <w:t>（</w:t>
      </w:r>
      <w:r>
        <w:rPr>
          <w:rFonts w:ascii="宋体" w:hAnsi="宋体"/>
          <w:color w:val="auto"/>
          <w:sz w:val="24"/>
        </w:rPr>
        <w:t>5</w:t>
      </w:r>
      <w:r>
        <w:rPr>
          <w:rFonts w:hint="eastAsia" w:ascii="宋体" w:hAnsi="宋体"/>
          <w:color w:val="auto"/>
          <w:sz w:val="24"/>
        </w:rPr>
        <w:t>）创新企业</w:t>
      </w:r>
      <w:r>
        <w:rPr>
          <w:rFonts w:ascii="宋体" w:hAnsi="宋体"/>
          <w:color w:val="auto"/>
          <w:sz w:val="24"/>
        </w:rPr>
        <w:t>CDR</w:t>
      </w:r>
      <w:r>
        <w:rPr>
          <w:rFonts w:hint="eastAsia" w:ascii="宋体" w:hAnsi="宋体" w:cs="宋体"/>
          <w:color w:val="auto"/>
          <w:kern w:val="0"/>
          <w:sz w:val="24"/>
        </w:rPr>
        <w:t>”。</w:t>
      </w:r>
    </w:p>
    <w:p>
      <w:pPr>
        <w:spacing w:line="360" w:lineRule="auto"/>
        <w:ind w:firstLine="480" w:firstLineChars="200"/>
        <w:rPr>
          <w:rFonts w:hint="eastAsia" w:ascii="宋体" w:hAnsi="宋体"/>
          <w:color w:val="auto"/>
          <w:sz w:val="24"/>
        </w:rPr>
      </w:pPr>
      <w:r>
        <w:rPr>
          <w:rFonts w:hint="eastAsia" w:ascii="宋体" w:hAnsi="宋体"/>
          <w:color w:val="auto"/>
          <w:sz w:val="24"/>
        </w:rPr>
        <w:t>符合《财政部</w:t>
      </w:r>
      <w:r>
        <w:rPr>
          <w:rFonts w:ascii="宋体" w:hAnsi="宋体"/>
          <w:color w:val="auto"/>
          <w:sz w:val="24"/>
        </w:rPr>
        <w:t xml:space="preserve"> </w:t>
      </w:r>
      <w:r>
        <w:rPr>
          <w:rFonts w:hint="eastAsia" w:ascii="宋体" w:hAnsi="宋体"/>
          <w:color w:val="auto"/>
          <w:sz w:val="24"/>
        </w:rPr>
        <w:t>税务总局关于永续债企业所得税政策问题的公告》（</w:t>
      </w:r>
      <w:r>
        <w:rPr>
          <w:rFonts w:ascii="宋体" w:hAnsi="宋体"/>
          <w:color w:val="auto"/>
          <w:sz w:val="24"/>
        </w:rPr>
        <w:t>2019</w:t>
      </w:r>
      <w:r>
        <w:rPr>
          <w:rFonts w:hint="eastAsia" w:ascii="宋体" w:hAnsi="宋体"/>
          <w:color w:val="auto"/>
          <w:sz w:val="24"/>
        </w:rPr>
        <w:t>年第</w:t>
      </w:r>
      <w:r>
        <w:rPr>
          <w:rFonts w:ascii="宋体" w:hAnsi="宋体"/>
          <w:color w:val="auto"/>
          <w:sz w:val="24"/>
        </w:rPr>
        <w:t>64</w:t>
      </w:r>
      <w:r>
        <w:rPr>
          <w:rFonts w:hint="eastAsia" w:ascii="宋体" w:hAnsi="宋体"/>
          <w:color w:val="auto"/>
          <w:sz w:val="24"/>
        </w:rPr>
        <w:t>号）第一条规定，享受永续债利息收入免征企业所得税的企业，选择“（</w:t>
      </w:r>
      <w:r>
        <w:rPr>
          <w:rFonts w:ascii="宋体" w:hAnsi="宋体"/>
          <w:color w:val="auto"/>
          <w:sz w:val="24"/>
        </w:rPr>
        <w:t>6</w:t>
      </w:r>
      <w:r>
        <w:rPr>
          <w:rFonts w:hint="eastAsia" w:ascii="宋体" w:hAnsi="宋体"/>
          <w:color w:val="auto"/>
          <w:sz w:val="24"/>
        </w:rPr>
        <w:t>）永续债”。</w:t>
      </w:r>
    </w:p>
    <w:p>
      <w:pPr>
        <w:spacing w:line="360" w:lineRule="auto"/>
        <w:ind w:firstLine="480" w:firstLineChars="200"/>
        <w:rPr>
          <w:rFonts w:hint="eastAsia" w:ascii="宋体" w:hAnsi="宋体"/>
          <w:color w:val="auto"/>
          <w:sz w:val="24"/>
        </w:rPr>
      </w:pPr>
      <w:r>
        <w:rPr>
          <w:rFonts w:ascii="宋体" w:hAnsi="宋体"/>
          <w:color w:val="auto"/>
          <w:sz w:val="24"/>
        </w:rPr>
        <w:t>4.</w:t>
      </w:r>
      <w:r>
        <w:rPr>
          <w:rFonts w:hint="eastAsia" w:ascii="宋体" w:hAnsi="宋体"/>
          <w:color w:val="auto"/>
          <w:sz w:val="24"/>
        </w:rPr>
        <w:t>第</w:t>
      </w:r>
      <w:r>
        <w:rPr>
          <w:rFonts w:ascii="宋体" w:hAnsi="宋体"/>
          <w:color w:val="auto"/>
          <w:sz w:val="24"/>
        </w:rPr>
        <w:t>4</w:t>
      </w:r>
      <w:r>
        <w:rPr>
          <w:rFonts w:hint="eastAsia" w:ascii="宋体" w:hAnsi="宋体"/>
          <w:color w:val="auto"/>
          <w:sz w:val="24"/>
        </w:rPr>
        <w:t>列“投资成本”：填报纳税人投资于被投资企业的计税成本。</w:t>
      </w:r>
    </w:p>
    <w:p>
      <w:pPr>
        <w:spacing w:line="360" w:lineRule="auto"/>
        <w:ind w:firstLine="480" w:firstLineChars="200"/>
        <w:rPr>
          <w:rFonts w:hint="eastAsia" w:ascii="宋体" w:hAnsi="宋体"/>
          <w:color w:val="auto"/>
          <w:sz w:val="24"/>
        </w:rPr>
      </w:pPr>
      <w:r>
        <w:rPr>
          <w:rFonts w:ascii="宋体" w:hAnsi="宋体"/>
          <w:color w:val="auto"/>
          <w:sz w:val="24"/>
        </w:rPr>
        <w:t>5.</w:t>
      </w:r>
      <w:r>
        <w:rPr>
          <w:rFonts w:hint="eastAsia" w:ascii="宋体" w:hAnsi="宋体"/>
          <w:color w:val="auto"/>
          <w:sz w:val="24"/>
        </w:rPr>
        <w:t>第</w:t>
      </w:r>
      <w:r>
        <w:rPr>
          <w:rFonts w:ascii="宋体" w:hAnsi="宋体"/>
          <w:color w:val="auto"/>
          <w:sz w:val="24"/>
        </w:rPr>
        <w:t>5</w:t>
      </w:r>
      <w:r>
        <w:rPr>
          <w:rFonts w:hint="eastAsia" w:ascii="宋体" w:hAnsi="宋体"/>
          <w:color w:val="auto"/>
          <w:sz w:val="24"/>
        </w:rPr>
        <w:t>列“投资比例”：填报纳税人投资于被投资企业的股权比例。若购买公开发行股票的，此列可不填报。</w:t>
      </w:r>
    </w:p>
    <w:p>
      <w:pPr>
        <w:spacing w:line="360" w:lineRule="auto"/>
        <w:ind w:firstLine="480" w:firstLineChars="200"/>
        <w:rPr>
          <w:rFonts w:hint="eastAsia" w:ascii="宋体" w:hAnsi="宋体"/>
          <w:color w:val="auto"/>
          <w:sz w:val="24"/>
        </w:rPr>
      </w:pPr>
      <w:r>
        <w:rPr>
          <w:rFonts w:ascii="宋体" w:hAnsi="宋体"/>
          <w:color w:val="auto"/>
          <w:sz w:val="24"/>
        </w:rPr>
        <w:t>6.</w:t>
      </w:r>
      <w:r>
        <w:rPr>
          <w:rFonts w:hint="eastAsia" w:ascii="宋体" w:hAnsi="宋体"/>
          <w:color w:val="auto"/>
          <w:sz w:val="24"/>
        </w:rPr>
        <w:t>第</w:t>
      </w:r>
      <w:r>
        <w:rPr>
          <w:rFonts w:ascii="宋体" w:hAnsi="宋体"/>
          <w:color w:val="auto"/>
          <w:sz w:val="24"/>
        </w:rPr>
        <w:t>6</w:t>
      </w:r>
      <w:r>
        <w:rPr>
          <w:rFonts w:hint="eastAsia" w:ascii="宋体" w:hAnsi="宋体"/>
          <w:color w:val="auto"/>
          <w:sz w:val="24"/>
        </w:rPr>
        <w:t>列“被投资企业做出利润分配或转股决定时间”：填报被投资企业做出利润分配或转股决定的时间。</w:t>
      </w:r>
    </w:p>
    <w:p>
      <w:pPr>
        <w:spacing w:line="360" w:lineRule="auto"/>
        <w:ind w:firstLine="480" w:firstLineChars="200"/>
        <w:rPr>
          <w:rFonts w:hint="eastAsia" w:ascii="宋体" w:hAnsi="宋体"/>
          <w:color w:val="auto"/>
          <w:sz w:val="24"/>
        </w:rPr>
      </w:pPr>
      <w:r>
        <w:rPr>
          <w:rFonts w:ascii="宋体" w:hAnsi="宋体"/>
          <w:color w:val="auto"/>
          <w:sz w:val="24"/>
        </w:rPr>
        <w:t>7.</w:t>
      </w:r>
      <w:r>
        <w:rPr>
          <w:rFonts w:hint="eastAsia" w:ascii="宋体" w:hAnsi="宋体"/>
          <w:color w:val="auto"/>
          <w:sz w:val="24"/>
        </w:rPr>
        <w:t>第</w:t>
      </w:r>
      <w:r>
        <w:rPr>
          <w:rFonts w:ascii="宋体" w:hAnsi="宋体"/>
          <w:color w:val="auto"/>
          <w:sz w:val="24"/>
        </w:rPr>
        <w:t>7</w:t>
      </w:r>
      <w:r>
        <w:rPr>
          <w:rFonts w:hint="eastAsia" w:ascii="宋体" w:hAnsi="宋体"/>
          <w:color w:val="auto"/>
          <w:sz w:val="24"/>
        </w:rPr>
        <w:t>列“依决定归属于本公司的股息、红利等权益性投资收益金额”：填报纳税人按照投资比例或者其他方法计算的，实际归属于本公司的股息、红利等权益性投资收益金额。若被投资企业将股权（票）溢价所形成的资本公积转为股本的，不作为投资方企业的股息、红利收入，投资方企业也不得增加该项长期投资的计税基础。</w:t>
      </w:r>
    </w:p>
    <w:p>
      <w:pPr>
        <w:spacing w:line="360" w:lineRule="auto"/>
        <w:ind w:firstLine="480" w:firstLineChars="200"/>
        <w:rPr>
          <w:rFonts w:hint="eastAsia" w:ascii="宋体" w:hAnsi="宋体"/>
          <w:color w:val="auto"/>
          <w:sz w:val="24"/>
        </w:rPr>
      </w:pPr>
      <w:r>
        <w:rPr>
          <w:rFonts w:ascii="宋体" w:hAnsi="宋体"/>
          <w:color w:val="auto"/>
          <w:sz w:val="24"/>
        </w:rPr>
        <w:t>8.</w:t>
      </w:r>
      <w:r>
        <w:rPr>
          <w:rFonts w:hint="eastAsia" w:ascii="宋体" w:hAnsi="宋体"/>
          <w:color w:val="auto"/>
          <w:sz w:val="24"/>
        </w:rPr>
        <w:t>第</w:t>
      </w:r>
      <w:r>
        <w:rPr>
          <w:rFonts w:ascii="宋体" w:hAnsi="宋体"/>
          <w:color w:val="auto"/>
          <w:sz w:val="24"/>
        </w:rPr>
        <w:t>8</w:t>
      </w:r>
      <w:r>
        <w:rPr>
          <w:rFonts w:hint="eastAsia" w:ascii="宋体" w:hAnsi="宋体"/>
          <w:color w:val="auto"/>
          <w:sz w:val="24"/>
        </w:rPr>
        <w:t>列“分得的被投资企业清算剩余资产”：填报纳税人分得的被投资企业清算后的剩余资产。</w:t>
      </w:r>
    </w:p>
    <w:p>
      <w:pPr>
        <w:spacing w:line="360" w:lineRule="auto"/>
        <w:ind w:firstLine="480" w:firstLineChars="200"/>
        <w:rPr>
          <w:rFonts w:hint="eastAsia" w:ascii="宋体" w:hAnsi="宋体"/>
          <w:color w:val="auto"/>
          <w:sz w:val="24"/>
        </w:rPr>
      </w:pPr>
      <w:r>
        <w:rPr>
          <w:rFonts w:ascii="宋体" w:hAnsi="宋体"/>
          <w:color w:val="auto"/>
          <w:sz w:val="24"/>
        </w:rPr>
        <w:t>9.</w:t>
      </w:r>
      <w:r>
        <w:rPr>
          <w:rFonts w:hint="eastAsia" w:ascii="宋体" w:hAnsi="宋体"/>
          <w:color w:val="auto"/>
          <w:sz w:val="24"/>
        </w:rPr>
        <w:t>第</w:t>
      </w:r>
      <w:r>
        <w:rPr>
          <w:rFonts w:ascii="宋体" w:hAnsi="宋体"/>
          <w:color w:val="auto"/>
          <w:sz w:val="24"/>
        </w:rPr>
        <w:t>9</w:t>
      </w:r>
      <w:r>
        <w:rPr>
          <w:rFonts w:hint="eastAsia" w:ascii="宋体" w:hAnsi="宋体"/>
          <w:color w:val="auto"/>
          <w:sz w:val="24"/>
        </w:rPr>
        <w:t>列“被清算企业累计未分配利润和累计盈余公积应享有部分”：填报被清算企业累计未分配利润和累计盈余公积中本企业应享有的金额。</w:t>
      </w:r>
    </w:p>
    <w:p>
      <w:pPr>
        <w:spacing w:line="360" w:lineRule="auto"/>
        <w:ind w:firstLine="480" w:firstLineChars="200"/>
        <w:rPr>
          <w:rFonts w:hint="eastAsia" w:ascii="宋体" w:hAnsi="宋体"/>
          <w:color w:val="auto"/>
          <w:sz w:val="24"/>
        </w:rPr>
      </w:pPr>
      <w:r>
        <w:rPr>
          <w:rFonts w:ascii="宋体" w:hAnsi="宋体"/>
          <w:color w:val="auto"/>
          <w:sz w:val="24"/>
        </w:rPr>
        <w:t>10.</w:t>
      </w:r>
      <w:r>
        <w:rPr>
          <w:rFonts w:hint="eastAsia" w:ascii="宋体" w:hAnsi="宋体"/>
          <w:color w:val="auto"/>
          <w:sz w:val="24"/>
        </w:rPr>
        <w:t>第</w:t>
      </w:r>
      <w:r>
        <w:rPr>
          <w:rFonts w:ascii="宋体" w:hAnsi="宋体"/>
          <w:color w:val="auto"/>
          <w:sz w:val="24"/>
        </w:rPr>
        <w:t>10</w:t>
      </w:r>
      <w:r>
        <w:rPr>
          <w:rFonts w:hint="eastAsia" w:ascii="宋体" w:hAnsi="宋体"/>
          <w:color w:val="auto"/>
          <w:sz w:val="24"/>
        </w:rPr>
        <w:t>列“应确认的股息所得”：填报第</w:t>
      </w:r>
      <w:r>
        <w:rPr>
          <w:rFonts w:hint="eastAsia" w:ascii="宋体" w:hAnsi="宋体"/>
          <w:color w:val="auto"/>
          <w:sz w:val="24"/>
          <w:lang w:val="en-US" w:eastAsia="zh-CN"/>
        </w:rPr>
        <w:t>8</w:t>
      </w:r>
      <w:r>
        <w:rPr>
          <w:rFonts w:hint="eastAsia" w:ascii="宋体" w:hAnsi="宋体"/>
          <w:color w:val="auto"/>
          <w:sz w:val="24"/>
        </w:rPr>
        <w:t>列与第</w:t>
      </w:r>
      <w:r>
        <w:rPr>
          <w:rFonts w:hint="eastAsia" w:ascii="宋体" w:hAnsi="宋体"/>
          <w:color w:val="auto"/>
          <w:sz w:val="24"/>
          <w:lang w:val="en-US" w:eastAsia="zh-CN"/>
        </w:rPr>
        <w:t>9</w:t>
      </w:r>
      <w:r>
        <w:rPr>
          <w:rFonts w:hint="eastAsia" w:ascii="宋体" w:hAnsi="宋体"/>
          <w:color w:val="auto"/>
          <w:sz w:val="24"/>
        </w:rPr>
        <w:t>列孰小值。</w:t>
      </w:r>
    </w:p>
    <w:p>
      <w:pPr>
        <w:spacing w:line="360" w:lineRule="auto"/>
        <w:ind w:firstLine="480" w:firstLineChars="200"/>
        <w:rPr>
          <w:rFonts w:hint="eastAsia" w:ascii="宋体" w:hAnsi="宋体"/>
          <w:color w:val="auto"/>
          <w:sz w:val="24"/>
        </w:rPr>
      </w:pPr>
      <w:r>
        <w:rPr>
          <w:rFonts w:ascii="宋体" w:hAnsi="宋体"/>
          <w:color w:val="auto"/>
          <w:sz w:val="24"/>
        </w:rPr>
        <w:t>11.</w:t>
      </w:r>
      <w:r>
        <w:rPr>
          <w:rFonts w:hint="eastAsia" w:ascii="宋体" w:hAnsi="宋体"/>
          <w:color w:val="auto"/>
          <w:sz w:val="24"/>
        </w:rPr>
        <w:t>第</w:t>
      </w:r>
      <w:r>
        <w:rPr>
          <w:rFonts w:ascii="宋体" w:hAnsi="宋体"/>
          <w:color w:val="auto"/>
          <w:sz w:val="24"/>
        </w:rPr>
        <w:t>11</w:t>
      </w:r>
      <w:r>
        <w:rPr>
          <w:rFonts w:hint="eastAsia" w:ascii="宋体" w:hAnsi="宋体"/>
          <w:color w:val="auto"/>
          <w:sz w:val="24"/>
        </w:rPr>
        <w:t>列“从被投资企业撤回或减少投资取得的资产”：填报纳税人从被投资企业撤回或减少投资时取得的资产。</w:t>
      </w:r>
    </w:p>
    <w:p>
      <w:pPr>
        <w:spacing w:line="360" w:lineRule="auto"/>
        <w:ind w:firstLine="480" w:firstLineChars="200"/>
        <w:rPr>
          <w:rFonts w:hint="eastAsia" w:ascii="宋体" w:hAnsi="宋体"/>
          <w:color w:val="auto"/>
          <w:sz w:val="24"/>
        </w:rPr>
      </w:pPr>
      <w:r>
        <w:rPr>
          <w:rFonts w:ascii="宋体" w:hAnsi="宋体"/>
          <w:color w:val="auto"/>
          <w:sz w:val="24"/>
        </w:rPr>
        <w:t>12.</w:t>
      </w:r>
      <w:r>
        <w:rPr>
          <w:rFonts w:hint="eastAsia" w:ascii="宋体" w:hAnsi="宋体"/>
          <w:color w:val="auto"/>
          <w:sz w:val="24"/>
        </w:rPr>
        <w:t>第</w:t>
      </w:r>
      <w:r>
        <w:rPr>
          <w:rFonts w:ascii="宋体" w:hAnsi="宋体"/>
          <w:color w:val="auto"/>
          <w:sz w:val="24"/>
        </w:rPr>
        <w:t>12</w:t>
      </w:r>
      <w:r>
        <w:rPr>
          <w:rFonts w:hint="eastAsia" w:ascii="宋体" w:hAnsi="宋体"/>
          <w:color w:val="auto"/>
          <w:sz w:val="24"/>
        </w:rPr>
        <w:t>列“减少投资比例”：填报纳税人撤回或减少的投资额占投资方在被投资企业持有总投资比例。</w:t>
      </w:r>
    </w:p>
    <w:p>
      <w:pPr>
        <w:spacing w:line="360" w:lineRule="auto"/>
        <w:ind w:firstLine="480" w:firstLineChars="200"/>
        <w:rPr>
          <w:rFonts w:hint="eastAsia" w:ascii="宋体" w:hAnsi="宋体"/>
          <w:color w:val="auto"/>
          <w:sz w:val="24"/>
        </w:rPr>
      </w:pPr>
      <w:r>
        <w:rPr>
          <w:rFonts w:ascii="宋体" w:hAnsi="宋体"/>
          <w:color w:val="auto"/>
          <w:sz w:val="24"/>
        </w:rPr>
        <w:t>13.</w:t>
      </w:r>
      <w:r>
        <w:rPr>
          <w:rFonts w:hint="eastAsia" w:ascii="宋体" w:hAnsi="宋体"/>
          <w:color w:val="auto"/>
          <w:sz w:val="24"/>
        </w:rPr>
        <w:t>第</w:t>
      </w:r>
      <w:r>
        <w:rPr>
          <w:rFonts w:ascii="宋体" w:hAnsi="宋体"/>
          <w:color w:val="auto"/>
          <w:sz w:val="24"/>
        </w:rPr>
        <w:t>13</w:t>
      </w:r>
      <w:r>
        <w:rPr>
          <w:rFonts w:hint="eastAsia" w:ascii="宋体" w:hAnsi="宋体"/>
          <w:color w:val="auto"/>
          <w:sz w:val="24"/>
        </w:rPr>
        <w:t>列“收回初始投资成本”：填报第</w:t>
      </w:r>
      <w:r>
        <w:rPr>
          <w:rFonts w:hint="eastAsia" w:ascii="宋体" w:hAnsi="宋体"/>
          <w:color w:val="auto"/>
          <w:sz w:val="24"/>
          <w:lang w:val="en-US" w:eastAsia="zh-CN"/>
        </w:rPr>
        <w:t>4</w:t>
      </w:r>
      <w:r>
        <w:rPr>
          <w:rFonts w:hint="eastAsia" w:ascii="宋体" w:hAnsi="宋体"/>
          <w:color w:val="auto"/>
          <w:sz w:val="24"/>
        </w:rPr>
        <w:t>×</w:t>
      </w:r>
      <w:r>
        <w:rPr>
          <w:rFonts w:ascii="宋体" w:hAnsi="宋体"/>
          <w:color w:val="auto"/>
          <w:sz w:val="24"/>
        </w:rPr>
        <w:t>1</w:t>
      </w:r>
      <w:r>
        <w:rPr>
          <w:rFonts w:hint="eastAsia" w:ascii="宋体" w:hAnsi="宋体"/>
          <w:color w:val="auto"/>
          <w:sz w:val="24"/>
          <w:lang w:val="en-US" w:eastAsia="zh-CN"/>
        </w:rPr>
        <w:t>2</w:t>
      </w:r>
      <w:r>
        <w:rPr>
          <w:rFonts w:hint="eastAsia" w:ascii="宋体" w:hAnsi="宋体"/>
          <w:color w:val="auto"/>
          <w:sz w:val="24"/>
        </w:rPr>
        <w:t>列的金额。</w:t>
      </w:r>
    </w:p>
    <w:p>
      <w:pPr>
        <w:spacing w:line="360" w:lineRule="auto"/>
        <w:ind w:firstLine="480" w:firstLineChars="200"/>
        <w:rPr>
          <w:rFonts w:hint="eastAsia" w:ascii="宋体" w:hAnsi="宋体"/>
          <w:color w:val="auto"/>
          <w:sz w:val="24"/>
        </w:rPr>
      </w:pPr>
      <w:r>
        <w:rPr>
          <w:rFonts w:ascii="宋体" w:hAnsi="宋体"/>
          <w:color w:val="auto"/>
          <w:sz w:val="24"/>
        </w:rPr>
        <w:t>14.</w:t>
      </w:r>
      <w:r>
        <w:rPr>
          <w:rFonts w:hint="eastAsia" w:ascii="宋体" w:hAnsi="宋体"/>
          <w:color w:val="auto"/>
          <w:sz w:val="24"/>
        </w:rPr>
        <w:t>第</w:t>
      </w:r>
      <w:r>
        <w:rPr>
          <w:rFonts w:ascii="宋体" w:hAnsi="宋体"/>
          <w:color w:val="auto"/>
          <w:sz w:val="24"/>
        </w:rPr>
        <w:t>14</w:t>
      </w:r>
      <w:r>
        <w:rPr>
          <w:rFonts w:hint="eastAsia" w:ascii="宋体" w:hAnsi="宋体"/>
          <w:color w:val="auto"/>
          <w:sz w:val="24"/>
        </w:rPr>
        <w:t>列“取得资产中超过收回初始投资成本部分”：填报第</w:t>
      </w:r>
      <w:r>
        <w:rPr>
          <w:rFonts w:ascii="宋体" w:hAnsi="宋体"/>
          <w:color w:val="auto"/>
          <w:sz w:val="24"/>
        </w:rPr>
        <w:t>11－13</w:t>
      </w:r>
      <w:r>
        <w:rPr>
          <w:rFonts w:hint="eastAsia" w:ascii="宋体" w:hAnsi="宋体"/>
          <w:color w:val="auto"/>
          <w:sz w:val="24"/>
        </w:rPr>
        <w:t>列的余额。</w:t>
      </w:r>
    </w:p>
    <w:p>
      <w:pPr>
        <w:spacing w:line="360" w:lineRule="auto"/>
        <w:ind w:firstLine="480" w:firstLineChars="200"/>
        <w:rPr>
          <w:rFonts w:hint="eastAsia" w:ascii="宋体" w:hAnsi="宋体"/>
          <w:color w:val="auto"/>
          <w:sz w:val="24"/>
        </w:rPr>
      </w:pPr>
      <w:r>
        <w:rPr>
          <w:rFonts w:ascii="宋体" w:hAnsi="宋体"/>
          <w:color w:val="auto"/>
          <w:sz w:val="24"/>
        </w:rPr>
        <w:t>15.</w:t>
      </w:r>
      <w:r>
        <w:rPr>
          <w:rFonts w:hint="eastAsia" w:ascii="宋体" w:hAnsi="宋体"/>
          <w:color w:val="auto"/>
          <w:sz w:val="24"/>
        </w:rPr>
        <w:t>第</w:t>
      </w:r>
      <w:r>
        <w:rPr>
          <w:rFonts w:ascii="宋体" w:hAnsi="宋体"/>
          <w:color w:val="auto"/>
          <w:sz w:val="24"/>
        </w:rPr>
        <w:t>15</w:t>
      </w:r>
      <w:r>
        <w:rPr>
          <w:rFonts w:hint="eastAsia" w:ascii="宋体" w:hAnsi="宋体"/>
          <w:color w:val="auto"/>
          <w:sz w:val="24"/>
        </w:rPr>
        <w:t>列“撤回或减少投资应享有被投资企业累计未分配利润和累计盈余公积”：填报被投资企业累计未分配利润和累计盈余公积按减少实收资本比例计算的部分。</w:t>
      </w:r>
    </w:p>
    <w:p>
      <w:pPr>
        <w:spacing w:line="360" w:lineRule="auto"/>
        <w:ind w:firstLine="480" w:firstLineChars="200"/>
        <w:rPr>
          <w:rFonts w:hint="eastAsia" w:ascii="宋体" w:hAnsi="宋体"/>
          <w:color w:val="auto"/>
          <w:sz w:val="24"/>
        </w:rPr>
      </w:pPr>
      <w:r>
        <w:rPr>
          <w:rFonts w:ascii="宋体" w:hAnsi="宋体"/>
          <w:color w:val="auto"/>
          <w:sz w:val="24"/>
        </w:rPr>
        <w:t>16.</w:t>
      </w:r>
      <w:r>
        <w:rPr>
          <w:rFonts w:hint="eastAsia" w:ascii="宋体" w:hAnsi="宋体"/>
          <w:color w:val="auto"/>
          <w:sz w:val="24"/>
        </w:rPr>
        <w:t>第</w:t>
      </w:r>
      <w:r>
        <w:rPr>
          <w:rFonts w:ascii="宋体" w:hAnsi="宋体"/>
          <w:color w:val="auto"/>
          <w:sz w:val="24"/>
        </w:rPr>
        <w:t>16</w:t>
      </w:r>
      <w:r>
        <w:rPr>
          <w:rFonts w:hint="eastAsia" w:ascii="宋体" w:hAnsi="宋体"/>
          <w:color w:val="auto"/>
          <w:sz w:val="24"/>
        </w:rPr>
        <w:t>列“应确认的股息所得”：填报第</w:t>
      </w:r>
      <w:r>
        <w:rPr>
          <w:rFonts w:ascii="宋体" w:hAnsi="宋体"/>
          <w:color w:val="auto"/>
          <w:sz w:val="24"/>
        </w:rPr>
        <w:t>1</w:t>
      </w:r>
      <w:r>
        <w:rPr>
          <w:rFonts w:hint="eastAsia" w:ascii="宋体" w:hAnsi="宋体"/>
          <w:color w:val="auto"/>
          <w:sz w:val="24"/>
          <w:lang w:val="en-US" w:eastAsia="zh-CN"/>
        </w:rPr>
        <w:t>4</w:t>
      </w:r>
      <w:r>
        <w:rPr>
          <w:rFonts w:hint="eastAsia" w:ascii="宋体" w:hAnsi="宋体"/>
          <w:color w:val="auto"/>
          <w:sz w:val="24"/>
        </w:rPr>
        <w:t>列与第</w:t>
      </w:r>
      <w:r>
        <w:rPr>
          <w:rFonts w:ascii="宋体" w:hAnsi="宋体"/>
          <w:color w:val="auto"/>
          <w:sz w:val="24"/>
        </w:rPr>
        <w:t>1</w:t>
      </w:r>
      <w:r>
        <w:rPr>
          <w:rFonts w:hint="eastAsia" w:ascii="宋体" w:hAnsi="宋体"/>
          <w:color w:val="auto"/>
          <w:sz w:val="24"/>
          <w:lang w:val="en-US" w:eastAsia="zh-CN"/>
        </w:rPr>
        <w:t>5</w:t>
      </w:r>
      <w:r>
        <w:rPr>
          <w:rFonts w:hint="eastAsia" w:ascii="宋体" w:hAnsi="宋体"/>
          <w:color w:val="auto"/>
          <w:sz w:val="24"/>
        </w:rPr>
        <w:t>列孰小值。</w:t>
      </w:r>
    </w:p>
    <w:p>
      <w:pPr>
        <w:spacing w:line="360" w:lineRule="auto"/>
        <w:ind w:firstLine="480" w:firstLineChars="200"/>
        <w:rPr>
          <w:rFonts w:hint="eastAsia" w:ascii="宋体" w:hAnsi="宋体"/>
          <w:color w:val="auto"/>
          <w:sz w:val="24"/>
        </w:rPr>
      </w:pPr>
      <w:r>
        <w:rPr>
          <w:rFonts w:ascii="宋体" w:hAnsi="宋体"/>
          <w:color w:val="auto"/>
          <w:sz w:val="24"/>
        </w:rPr>
        <w:t>17.</w:t>
      </w:r>
      <w:r>
        <w:rPr>
          <w:rFonts w:hint="eastAsia" w:ascii="宋体" w:hAnsi="宋体"/>
          <w:color w:val="auto"/>
          <w:sz w:val="24"/>
        </w:rPr>
        <w:t>第</w:t>
      </w:r>
      <w:r>
        <w:rPr>
          <w:rFonts w:ascii="宋体" w:hAnsi="宋体"/>
          <w:color w:val="auto"/>
          <w:sz w:val="24"/>
        </w:rPr>
        <w:t>17</w:t>
      </w:r>
      <w:r>
        <w:rPr>
          <w:rFonts w:hint="eastAsia" w:ascii="宋体" w:hAnsi="宋体"/>
          <w:color w:val="auto"/>
          <w:sz w:val="24"/>
        </w:rPr>
        <w:t>列“合计”：填报第</w:t>
      </w:r>
      <w:r>
        <w:rPr>
          <w:rFonts w:ascii="宋体" w:hAnsi="宋体"/>
          <w:color w:val="auto"/>
          <w:sz w:val="24"/>
        </w:rPr>
        <w:t>7＋10＋16</w:t>
      </w:r>
      <w:r>
        <w:rPr>
          <w:rFonts w:hint="eastAsia" w:ascii="宋体" w:hAnsi="宋体"/>
          <w:color w:val="auto"/>
          <w:sz w:val="24"/>
        </w:rPr>
        <w:t>列的合计金额。</w:t>
      </w:r>
    </w:p>
    <w:p>
      <w:pPr>
        <w:spacing w:line="360" w:lineRule="auto"/>
        <w:ind w:firstLine="481" w:firstLineChars="200"/>
        <w:jc w:val="left"/>
        <w:outlineLvl w:val="1"/>
        <w:rPr>
          <w:rFonts w:hint="eastAsia" w:ascii="宋体" w:hAnsi="宋体" w:cs="Calibri"/>
          <w:b/>
          <w:color w:val="auto"/>
          <w:sz w:val="24"/>
        </w:rPr>
      </w:pPr>
      <w:bookmarkStart w:id="199" w:name="_Toc24965062"/>
      <w:bookmarkStart w:id="200" w:name="_Toc21712279"/>
      <w:bookmarkStart w:id="201" w:name="_Toc21711241"/>
      <w:bookmarkStart w:id="202" w:name="_Toc21703757"/>
      <w:r>
        <w:rPr>
          <w:rFonts w:hint="eastAsia" w:ascii="宋体" w:hAnsi="宋体" w:cs="Calibri"/>
          <w:b/>
          <w:color w:val="auto"/>
          <w:sz w:val="24"/>
        </w:rPr>
        <w:t>二、表内、表间关系</w:t>
      </w:r>
      <w:bookmarkEnd w:id="199"/>
      <w:bookmarkEnd w:id="200"/>
      <w:bookmarkEnd w:id="201"/>
      <w:bookmarkEnd w:id="202"/>
    </w:p>
    <w:p>
      <w:pPr>
        <w:spacing w:line="360" w:lineRule="auto"/>
        <w:ind w:firstLine="480" w:firstLineChars="200"/>
        <w:outlineLvl w:val="2"/>
        <w:rPr>
          <w:rFonts w:hint="eastAsia" w:ascii="黑体" w:hAnsi="黑体" w:eastAsia="黑体" w:cs="黑体"/>
          <w:color w:val="auto"/>
          <w:sz w:val="24"/>
        </w:rPr>
      </w:pPr>
      <w:bookmarkStart w:id="203" w:name="_Toc21712280"/>
      <w:bookmarkStart w:id="204" w:name="_Toc24965063"/>
      <w:bookmarkStart w:id="205" w:name="_Toc21711242"/>
      <w:bookmarkStart w:id="206" w:name="_Toc21703758"/>
      <w:r>
        <w:rPr>
          <w:rFonts w:hint="eastAsia" w:ascii="黑体" w:hAnsi="黑体" w:eastAsia="黑体" w:cs="黑体"/>
          <w:color w:val="auto"/>
          <w:sz w:val="24"/>
        </w:rPr>
        <w:t>（一）表内关系</w:t>
      </w:r>
      <w:bookmarkEnd w:id="203"/>
      <w:bookmarkEnd w:id="204"/>
      <w:bookmarkEnd w:id="205"/>
      <w:bookmarkEnd w:id="206"/>
    </w:p>
    <w:p>
      <w:pPr>
        <w:spacing w:line="360" w:lineRule="auto"/>
        <w:ind w:firstLine="480" w:firstLineChars="200"/>
        <w:rPr>
          <w:rFonts w:hint="eastAsia" w:ascii="宋体" w:hAnsi="宋体"/>
          <w:color w:val="auto"/>
          <w:sz w:val="24"/>
        </w:rPr>
      </w:pPr>
      <w:r>
        <w:rPr>
          <w:rFonts w:ascii="宋体" w:hAnsi="宋体"/>
          <w:color w:val="auto"/>
          <w:sz w:val="24"/>
        </w:rPr>
        <w:t>1.</w:t>
      </w:r>
      <w:r>
        <w:rPr>
          <w:rFonts w:hint="eastAsia" w:ascii="宋体" w:hAnsi="宋体"/>
          <w:color w:val="auto"/>
          <w:sz w:val="24"/>
        </w:rPr>
        <w:t>第10列＝第8列与第9列孰小值。</w:t>
      </w:r>
    </w:p>
    <w:p>
      <w:pPr>
        <w:spacing w:line="360" w:lineRule="auto"/>
        <w:ind w:firstLine="480" w:firstLineChars="200"/>
        <w:rPr>
          <w:rFonts w:hint="eastAsia" w:ascii="宋体" w:hAnsi="宋体"/>
          <w:color w:val="auto"/>
          <w:sz w:val="24"/>
        </w:rPr>
      </w:pPr>
      <w:r>
        <w:rPr>
          <w:rFonts w:ascii="宋体" w:hAnsi="宋体"/>
          <w:color w:val="auto"/>
          <w:sz w:val="24"/>
        </w:rPr>
        <w:t>2.</w:t>
      </w:r>
      <w:r>
        <w:rPr>
          <w:rFonts w:hint="eastAsia" w:ascii="宋体" w:hAnsi="宋体"/>
          <w:color w:val="auto"/>
          <w:sz w:val="24"/>
        </w:rPr>
        <w:t>第13列＝第4×12列。</w:t>
      </w:r>
    </w:p>
    <w:p>
      <w:pPr>
        <w:spacing w:line="360" w:lineRule="auto"/>
        <w:ind w:firstLine="480" w:firstLineChars="200"/>
        <w:rPr>
          <w:rFonts w:hint="eastAsia" w:ascii="宋体" w:hAnsi="宋体"/>
          <w:color w:val="auto"/>
          <w:sz w:val="24"/>
        </w:rPr>
      </w:pPr>
      <w:r>
        <w:rPr>
          <w:rFonts w:ascii="宋体" w:hAnsi="宋体"/>
          <w:color w:val="auto"/>
          <w:sz w:val="24"/>
        </w:rPr>
        <w:t>3.</w:t>
      </w:r>
      <w:r>
        <w:rPr>
          <w:rFonts w:hint="eastAsia" w:ascii="宋体" w:hAnsi="宋体"/>
          <w:color w:val="auto"/>
          <w:sz w:val="24"/>
        </w:rPr>
        <w:t>第14列＝第11－13列。</w:t>
      </w:r>
    </w:p>
    <w:p>
      <w:pPr>
        <w:spacing w:line="360" w:lineRule="auto"/>
        <w:ind w:firstLine="480" w:firstLineChars="200"/>
        <w:rPr>
          <w:rFonts w:hint="eastAsia" w:ascii="宋体" w:hAnsi="宋体"/>
          <w:color w:val="auto"/>
          <w:sz w:val="24"/>
        </w:rPr>
      </w:pPr>
      <w:r>
        <w:rPr>
          <w:rFonts w:ascii="宋体" w:hAnsi="宋体"/>
          <w:color w:val="auto"/>
          <w:sz w:val="24"/>
        </w:rPr>
        <w:t>4.</w:t>
      </w:r>
      <w:r>
        <w:rPr>
          <w:rFonts w:hint="eastAsia" w:ascii="宋体" w:hAnsi="宋体"/>
          <w:color w:val="auto"/>
          <w:sz w:val="24"/>
        </w:rPr>
        <w:t>第16列＝第14列与第15列孰小值。</w:t>
      </w:r>
    </w:p>
    <w:p>
      <w:pPr>
        <w:spacing w:line="360" w:lineRule="auto"/>
        <w:ind w:firstLine="480" w:firstLineChars="200"/>
        <w:rPr>
          <w:rFonts w:hint="eastAsia" w:ascii="宋体" w:hAnsi="宋体"/>
          <w:color w:val="auto"/>
          <w:sz w:val="24"/>
        </w:rPr>
      </w:pPr>
      <w:r>
        <w:rPr>
          <w:rFonts w:ascii="宋体" w:hAnsi="宋体"/>
          <w:color w:val="auto"/>
          <w:sz w:val="24"/>
        </w:rPr>
        <w:t>5.</w:t>
      </w:r>
      <w:r>
        <w:rPr>
          <w:rFonts w:hint="eastAsia" w:ascii="宋体" w:hAnsi="宋体"/>
          <w:color w:val="auto"/>
          <w:sz w:val="24"/>
        </w:rPr>
        <w:t>第17列＝第7＋10＋16列。</w:t>
      </w:r>
    </w:p>
    <w:p>
      <w:pPr>
        <w:spacing w:line="360" w:lineRule="auto"/>
        <w:ind w:firstLine="480" w:firstLineChars="200"/>
        <w:rPr>
          <w:rFonts w:hint="eastAsia" w:ascii="宋体" w:hAnsi="宋体"/>
          <w:color w:val="auto"/>
          <w:sz w:val="24"/>
        </w:rPr>
      </w:pPr>
      <w:r>
        <w:rPr>
          <w:rFonts w:ascii="宋体" w:hAnsi="宋体"/>
          <w:color w:val="auto"/>
          <w:sz w:val="24"/>
        </w:rPr>
        <w:t>6.</w:t>
      </w:r>
      <w:r>
        <w:rPr>
          <w:rFonts w:hint="eastAsia" w:ascii="宋体" w:hAnsi="宋体"/>
          <w:color w:val="auto"/>
          <w:sz w:val="24"/>
        </w:rPr>
        <w:t>第</w:t>
      </w:r>
      <w:r>
        <w:rPr>
          <w:rFonts w:ascii="宋体" w:hAnsi="宋体"/>
          <w:color w:val="auto"/>
          <w:sz w:val="24"/>
        </w:rPr>
        <w:t>8</w:t>
      </w:r>
      <w:r>
        <w:rPr>
          <w:rFonts w:hint="eastAsia" w:ascii="宋体" w:hAnsi="宋体"/>
          <w:color w:val="auto"/>
          <w:sz w:val="24"/>
        </w:rPr>
        <w:t>行（“合计”行）＝第</w:t>
      </w:r>
      <w:r>
        <w:rPr>
          <w:rFonts w:ascii="宋体" w:hAnsi="宋体"/>
          <w:color w:val="auto"/>
          <w:sz w:val="24"/>
        </w:rPr>
        <w:t>1＋2＋</w:t>
      </w:r>
      <w:r>
        <w:rPr>
          <w:rFonts w:hint="eastAsia" w:ascii="宋体" w:hAnsi="宋体"/>
          <w:color w:val="auto"/>
          <w:sz w:val="24"/>
        </w:rPr>
        <w:t>…</w:t>
      </w:r>
      <w:r>
        <w:rPr>
          <w:rFonts w:ascii="宋体" w:hAnsi="宋体"/>
          <w:color w:val="auto"/>
          <w:sz w:val="24"/>
        </w:rPr>
        <w:t>＋7</w:t>
      </w:r>
      <w:r>
        <w:rPr>
          <w:rFonts w:hint="eastAsia" w:ascii="宋体" w:hAnsi="宋体"/>
          <w:color w:val="auto"/>
          <w:sz w:val="24"/>
        </w:rPr>
        <w:t>行第</w:t>
      </w:r>
      <w:r>
        <w:rPr>
          <w:rFonts w:ascii="宋体" w:hAnsi="宋体"/>
          <w:color w:val="auto"/>
          <w:sz w:val="24"/>
        </w:rPr>
        <w:t>17</w:t>
      </w:r>
      <w:r>
        <w:rPr>
          <w:rFonts w:hint="eastAsia" w:ascii="宋体" w:hAnsi="宋体"/>
          <w:color w:val="auto"/>
          <w:sz w:val="24"/>
        </w:rPr>
        <w:t>列合计。</w:t>
      </w:r>
    </w:p>
    <w:p>
      <w:pPr>
        <w:spacing w:line="360" w:lineRule="auto"/>
        <w:ind w:firstLine="480" w:firstLineChars="200"/>
        <w:rPr>
          <w:rFonts w:hint="eastAsia" w:ascii="宋体" w:hAnsi="宋体"/>
          <w:color w:val="auto"/>
          <w:sz w:val="24"/>
        </w:rPr>
      </w:pPr>
      <w:r>
        <w:rPr>
          <w:rFonts w:ascii="宋体" w:hAnsi="宋体"/>
          <w:color w:val="auto"/>
          <w:sz w:val="24"/>
        </w:rPr>
        <w:t>7.</w:t>
      </w:r>
      <w:r>
        <w:rPr>
          <w:rFonts w:hint="eastAsia" w:ascii="宋体" w:hAnsi="宋体"/>
          <w:color w:val="auto"/>
          <w:sz w:val="24"/>
        </w:rPr>
        <w:t>第</w:t>
      </w:r>
      <w:r>
        <w:rPr>
          <w:rFonts w:ascii="宋体" w:hAnsi="宋体"/>
          <w:color w:val="auto"/>
          <w:sz w:val="24"/>
        </w:rPr>
        <w:t>9</w:t>
      </w:r>
      <w:r>
        <w:rPr>
          <w:rFonts w:hint="eastAsia" w:ascii="宋体" w:hAnsi="宋体"/>
          <w:color w:val="auto"/>
          <w:sz w:val="24"/>
        </w:rPr>
        <w:t>行（“直接投资或非</w:t>
      </w:r>
      <w:r>
        <w:rPr>
          <w:rFonts w:ascii="宋体" w:hAnsi="宋体"/>
          <w:color w:val="auto"/>
          <w:sz w:val="24"/>
        </w:rPr>
        <w:t>H</w:t>
      </w:r>
      <w:r>
        <w:rPr>
          <w:rFonts w:hint="eastAsia" w:ascii="宋体" w:hAnsi="宋体"/>
          <w:color w:val="auto"/>
          <w:sz w:val="24"/>
        </w:rPr>
        <w:t>股票投资”合计行）</w:t>
      </w:r>
      <w:r>
        <w:rPr>
          <w:rFonts w:ascii="宋体" w:hAnsi="宋体"/>
          <w:color w:val="auto"/>
          <w:sz w:val="24"/>
        </w:rPr>
        <w:t>=</w:t>
      </w:r>
      <w:r>
        <w:rPr>
          <w:rFonts w:hint="eastAsia" w:ascii="宋体" w:hAnsi="宋体"/>
          <w:color w:val="auto"/>
          <w:sz w:val="24"/>
        </w:rPr>
        <w:t>第</w:t>
      </w:r>
      <w:r>
        <w:rPr>
          <w:rFonts w:ascii="宋体" w:hAnsi="宋体"/>
          <w:color w:val="auto"/>
          <w:sz w:val="24"/>
        </w:rPr>
        <w:t>1＋2＋</w:t>
      </w:r>
      <w:r>
        <w:rPr>
          <w:rFonts w:hint="eastAsia" w:ascii="宋体" w:hAnsi="宋体"/>
          <w:color w:val="auto"/>
          <w:sz w:val="24"/>
        </w:rPr>
        <w:t>…</w:t>
      </w:r>
      <w:r>
        <w:rPr>
          <w:rFonts w:ascii="宋体" w:hAnsi="宋体"/>
          <w:color w:val="auto"/>
          <w:sz w:val="24"/>
        </w:rPr>
        <w:t>＋7</w:t>
      </w:r>
      <w:r>
        <w:rPr>
          <w:rFonts w:hint="eastAsia" w:ascii="宋体" w:hAnsi="宋体"/>
          <w:color w:val="auto"/>
          <w:sz w:val="24"/>
        </w:rPr>
        <w:t>行中，各行第</w:t>
      </w:r>
      <w:r>
        <w:rPr>
          <w:rFonts w:ascii="宋体" w:hAnsi="宋体"/>
          <w:color w:val="auto"/>
          <w:sz w:val="24"/>
        </w:rPr>
        <w:t>3</w:t>
      </w:r>
      <w:r>
        <w:rPr>
          <w:rFonts w:hint="eastAsia" w:ascii="宋体" w:hAnsi="宋体"/>
          <w:color w:val="auto"/>
          <w:sz w:val="24"/>
        </w:rPr>
        <w:t>列选择“（</w:t>
      </w:r>
      <w:r>
        <w:rPr>
          <w:rFonts w:ascii="宋体" w:hAnsi="宋体"/>
          <w:color w:val="auto"/>
          <w:sz w:val="24"/>
        </w:rPr>
        <w:t>1</w:t>
      </w:r>
      <w:r>
        <w:rPr>
          <w:rFonts w:hint="eastAsia" w:ascii="宋体" w:hAnsi="宋体"/>
          <w:color w:val="auto"/>
          <w:sz w:val="24"/>
        </w:rPr>
        <w:t>）直接投资”或“（</w:t>
      </w:r>
      <w:r>
        <w:rPr>
          <w:rFonts w:ascii="宋体" w:hAnsi="宋体"/>
          <w:color w:val="auto"/>
          <w:sz w:val="24"/>
        </w:rPr>
        <w:t>2</w:t>
      </w:r>
      <w:r>
        <w:rPr>
          <w:rFonts w:hint="eastAsia" w:ascii="宋体" w:hAnsi="宋体"/>
          <w:color w:val="auto"/>
          <w:sz w:val="24"/>
        </w:rPr>
        <w:t>）股票投资（不含</w:t>
      </w:r>
      <w:r>
        <w:rPr>
          <w:rFonts w:ascii="宋体" w:hAnsi="宋体"/>
          <w:color w:val="auto"/>
          <w:sz w:val="24"/>
        </w:rPr>
        <w:t>H</w:t>
      </w:r>
      <w:r>
        <w:rPr>
          <w:rFonts w:hint="eastAsia" w:ascii="宋体" w:hAnsi="宋体"/>
          <w:color w:val="auto"/>
          <w:sz w:val="24"/>
        </w:rPr>
        <w:t>股）”的行次第</w:t>
      </w:r>
      <w:r>
        <w:rPr>
          <w:rFonts w:ascii="宋体" w:hAnsi="宋体"/>
          <w:color w:val="auto"/>
          <w:sz w:val="24"/>
        </w:rPr>
        <w:t>17</w:t>
      </w:r>
      <w:r>
        <w:rPr>
          <w:rFonts w:hint="eastAsia" w:ascii="宋体" w:hAnsi="宋体"/>
          <w:color w:val="auto"/>
          <w:sz w:val="24"/>
        </w:rPr>
        <w:t>列合计金额。</w:t>
      </w:r>
    </w:p>
    <w:p>
      <w:pPr>
        <w:spacing w:line="360" w:lineRule="auto"/>
        <w:ind w:firstLine="480" w:firstLineChars="200"/>
        <w:rPr>
          <w:rFonts w:hint="eastAsia" w:ascii="宋体" w:hAnsi="宋体"/>
          <w:color w:val="auto"/>
          <w:sz w:val="24"/>
        </w:rPr>
      </w:pPr>
      <w:r>
        <w:rPr>
          <w:rFonts w:ascii="宋体" w:hAnsi="宋体"/>
          <w:color w:val="auto"/>
          <w:sz w:val="24"/>
        </w:rPr>
        <w:t>8.</w:t>
      </w:r>
      <w:r>
        <w:rPr>
          <w:rFonts w:hint="eastAsia" w:ascii="宋体" w:hAnsi="宋体"/>
          <w:color w:val="auto"/>
          <w:sz w:val="24"/>
        </w:rPr>
        <w:t>第</w:t>
      </w:r>
      <w:r>
        <w:rPr>
          <w:rFonts w:ascii="宋体" w:hAnsi="宋体"/>
          <w:color w:val="auto"/>
          <w:sz w:val="24"/>
        </w:rPr>
        <w:t>10</w:t>
      </w:r>
      <w:r>
        <w:rPr>
          <w:rFonts w:hint="eastAsia" w:ascii="宋体" w:hAnsi="宋体"/>
          <w:color w:val="auto"/>
          <w:sz w:val="24"/>
        </w:rPr>
        <w:t>行（“股票投资</w:t>
      </w:r>
      <w:r>
        <w:rPr>
          <w:rFonts w:ascii="宋体" w:hAnsi="宋体"/>
          <w:color w:val="auto"/>
          <w:sz w:val="24"/>
        </w:rPr>
        <w:t>—</w:t>
      </w:r>
      <w:r>
        <w:rPr>
          <w:rFonts w:hint="eastAsia" w:ascii="宋体" w:hAnsi="宋体"/>
          <w:color w:val="auto"/>
          <w:sz w:val="24"/>
        </w:rPr>
        <w:t>沪港通</w:t>
      </w:r>
      <w:r>
        <w:rPr>
          <w:rFonts w:ascii="宋体" w:hAnsi="宋体"/>
          <w:color w:val="auto"/>
          <w:sz w:val="24"/>
        </w:rPr>
        <w:t>H</w:t>
      </w:r>
      <w:r>
        <w:rPr>
          <w:rFonts w:hint="eastAsia" w:ascii="宋体" w:hAnsi="宋体"/>
          <w:color w:val="auto"/>
          <w:sz w:val="24"/>
        </w:rPr>
        <w:t>股”合计行）＝第</w:t>
      </w:r>
      <w:r>
        <w:rPr>
          <w:rFonts w:ascii="宋体" w:hAnsi="宋体"/>
          <w:color w:val="auto"/>
          <w:sz w:val="24"/>
        </w:rPr>
        <w:t>1＋2＋</w:t>
      </w:r>
      <w:r>
        <w:rPr>
          <w:rFonts w:hint="eastAsia" w:ascii="宋体" w:hAnsi="宋体"/>
          <w:color w:val="auto"/>
          <w:sz w:val="24"/>
        </w:rPr>
        <w:t>…</w:t>
      </w:r>
      <w:r>
        <w:rPr>
          <w:rFonts w:ascii="宋体" w:hAnsi="宋体"/>
          <w:color w:val="auto"/>
          <w:sz w:val="24"/>
        </w:rPr>
        <w:t>＋7</w:t>
      </w:r>
      <w:r>
        <w:rPr>
          <w:rFonts w:hint="eastAsia" w:ascii="宋体" w:hAnsi="宋体"/>
          <w:color w:val="auto"/>
          <w:sz w:val="24"/>
        </w:rPr>
        <w:t>行中，各行第</w:t>
      </w:r>
      <w:r>
        <w:rPr>
          <w:rFonts w:ascii="宋体" w:hAnsi="宋体"/>
          <w:color w:val="auto"/>
          <w:sz w:val="24"/>
        </w:rPr>
        <w:t>3</w:t>
      </w:r>
      <w:r>
        <w:rPr>
          <w:rFonts w:hint="eastAsia" w:ascii="宋体" w:hAnsi="宋体"/>
          <w:color w:val="auto"/>
          <w:sz w:val="24"/>
        </w:rPr>
        <w:t>列选择“（</w:t>
      </w:r>
      <w:r>
        <w:rPr>
          <w:rFonts w:ascii="宋体" w:hAnsi="宋体"/>
          <w:color w:val="auto"/>
          <w:sz w:val="24"/>
        </w:rPr>
        <w:t>3</w:t>
      </w:r>
      <w:r>
        <w:rPr>
          <w:rFonts w:hint="eastAsia" w:ascii="宋体" w:hAnsi="宋体"/>
          <w:color w:val="auto"/>
          <w:sz w:val="24"/>
        </w:rPr>
        <w:t>）股票投资（沪港通</w:t>
      </w:r>
      <w:r>
        <w:rPr>
          <w:rFonts w:ascii="宋体" w:hAnsi="宋体"/>
          <w:color w:val="auto"/>
          <w:sz w:val="24"/>
        </w:rPr>
        <w:t>H</w:t>
      </w:r>
      <w:r>
        <w:rPr>
          <w:rFonts w:hint="eastAsia" w:ascii="宋体" w:hAnsi="宋体"/>
          <w:color w:val="auto"/>
          <w:sz w:val="24"/>
        </w:rPr>
        <w:t>股投资）”的行次第</w:t>
      </w:r>
      <w:r>
        <w:rPr>
          <w:rFonts w:ascii="宋体" w:hAnsi="宋体"/>
          <w:color w:val="auto"/>
          <w:sz w:val="24"/>
        </w:rPr>
        <w:t>17</w:t>
      </w:r>
      <w:r>
        <w:rPr>
          <w:rFonts w:hint="eastAsia" w:ascii="宋体" w:hAnsi="宋体"/>
          <w:color w:val="auto"/>
          <w:sz w:val="24"/>
        </w:rPr>
        <w:t>列合计金额。</w:t>
      </w:r>
    </w:p>
    <w:p>
      <w:pPr>
        <w:spacing w:line="360" w:lineRule="auto"/>
        <w:ind w:firstLine="480" w:firstLineChars="200"/>
        <w:rPr>
          <w:rFonts w:hint="eastAsia" w:ascii="宋体" w:hAnsi="宋体"/>
          <w:color w:val="auto"/>
          <w:sz w:val="24"/>
        </w:rPr>
      </w:pPr>
      <w:r>
        <w:rPr>
          <w:rFonts w:ascii="宋体" w:hAnsi="宋体"/>
          <w:color w:val="auto"/>
          <w:sz w:val="24"/>
        </w:rPr>
        <w:t>9.</w:t>
      </w:r>
      <w:r>
        <w:rPr>
          <w:rFonts w:hint="eastAsia" w:ascii="宋体" w:hAnsi="宋体"/>
          <w:color w:val="auto"/>
          <w:sz w:val="24"/>
        </w:rPr>
        <w:t>第</w:t>
      </w:r>
      <w:r>
        <w:rPr>
          <w:rFonts w:ascii="宋体" w:hAnsi="宋体"/>
          <w:color w:val="auto"/>
          <w:sz w:val="24"/>
        </w:rPr>
        <w:t>11</w:t>
      </w:r>
      <w:r>
        <w:rPr>
          <w:rFonts w:hint="eastAsia" w:ascii="宋体" w:hAnsi="宋体"/>
          <w:color w:val="auto"/>
          <w:sz w:val="24"/>
        </w:rPr>
        <w:t>行（“股票投资</w:t>
      </w:r>
      <w:r>
        <w:rPr>
          <w:rFonts w:ascii="宋体" w:hAnsi="宋体"/>
          <w:color w:val="auto"/>
          <w:sz w:val="24"/>
        </w:rPr>
        <w:t>—</w:t>
      </w:r>
      <w:r>
        <w:rPr>
          <w:rFonts w:hint="eastAsia" w:ascii="宋体" w:hAnsi="宋体"/>
          <w:color w:val="auto"/>
          <w:sz w:val="24"/>
        </w:rPr>
        <w:t>深港通</w:t>
      </w:r>
      <w:r>
        <w:rPr>
          <w:rFonts w:ascii="宋体" w:hAnsi="宋体"/>
          <w:color w:val="auto"/>
          <w:sz w:val="24"/>
        </w:rPr>
        <w:t>H</w:t>
      </w:r>
      <w:r>
        <w:rPr>
          <w:rFonts w:hint="eastAsia" w:ascii="宋体" w:hAnsi="宋体"/>
          <w:color w:val="auto"/>
          <w:sz w:val="24"/>
        </w:rPr>
        <w:t>股”合计行）＝第</w:t>
      </w:r>
      <w:r>
        <w:rPr>
          <w:rFonts w:ascii="宋体" w:hAnsi="宋体"/>
          <w:color w:val="auto"/>
          <w:sz w:val="24"/>
        </w:rPr>
        <w:t>1＋2</w:t>
      </w:r>
      <w:r>
        <w:rPr>
          <w:rFonts w:hint="eastAsia" w:ascii="宋体" w:hAnsi="宋体"/>
          <w:color w:val="auto"/>
          <w:sz w:val="24"/>
        </w:rPr>
        <w:t>…</w:t>
      </w:r>
      <w:r>
        <w:rPr>
          <w:rFonts w:ascii="宋体" w:hAnsi="宋体"/>
          <w:color w:val="auto"/>
          <w:sz w:val="24"/>
        </w:rPr>
        <w:t>＋7</w:t>
      </w:r>
      <w:r>
        <w:rPr>
          <w:rFonts w:hint="eastAsia" w:ascii="宋体" w:hAnsi="宋体"/>
          <w:color w:val="auto"/>
          <w:sz w:val="24"/>
        </w:rPr>
        <w:t>行中，各行第</w:t>
      </w:r>
      <w:r>
        <w:rPr>
          <w:rFonts w:ascii="宋体" w:hAnsi="宋体"/>
          <w:color w:val="auto"/>
          <w:sz w:val="24"/>
        </w:rPr>
        <w:t>3</w:t>
      </w:r>
      <w:r>
        <w:rPr>
          <w:rFonts w:hint="eastAsia" w:ascii="宋体" w:hAnsi="宋体"/>
          <w:color w:val="auto"/>
          <w:sz w:val="24"/>
        </w:rPr>
        <w:t>列选择“（</w:t>
      </w:r>
      <w:r>
        <w:rPr>
          <w:rFonts w:ascii="宋体" w:hAnsi="宋体"/>
          <w:color w:val="auto"/>
          <w:sz w:val="24"/>
        </w:rPr>
        <w:t>4</w:t>
      </w:r>
      <w:r>
        <w:rPr>
          <w:rFonts w:hint="eastAsia" w:ascii="宋体" w:hAnsi="宋体"/>
          <w:color w:val="auto"/>
          <w:sz w:val="24"/>
        </w:rPr>
        <w:t>）股票投资（深港通</w:t>
      </w:r>
      <w:r>
        <w:rPr>
          <w:rFonts w:ascii="宋体" w:hAnsi="宋体"/>
          <w:color w:val="auto"/>
          <w:sz w:val="24"/>
        </w:rPr>
        <w:t>H</w:t>
      </w:r>
      <w:r>
        <w:rPr>
          <w:rFonts w:hint="eastAsia" w:ascii="宋体" w:hAnsi="宋体"/>
          <w:color w:val="auto"/>
          <w:sz w:val="24"/>
        </w:rPr>
        <w:t>股投资）”的行次第</w:t>
      </w:r>
      <w:r>
        <w:rPr>
          <w:rFonts w:ascii="宋体" w:hAnsi="宋体"/>
          <w:color w:val="auto"/>
          <w:sz w:val="24"/>
        </w:rPr>
        <w:t>17</w:t>
      </w:r>
      <w:r>
        <w:rPr>
          <w:rFonts w:hint="eastAsia" w:ascii="宋体" w:hAnsi="宋体"/>
          <w:color w:val="auto"/>
          <w:sz w:val="24"/>
        </w:rPr>
        <w:t>列合计金额。</w:t>
      </w:r>
    </w:p>
    <w:p>
      <w:pPr>
        <w:spacing w:line="360" w:lineRule="auto"/>
        <w:ind w:firstLine="480" w:firstLineChars="200"/>
        <w:rPr>
          <w:rFonts w:hint="eastAsia" w:ascii="宋体" w:hAnsi="宋体"/>
          <w:color w:val="auto"/>
          <w:sz w:val="24"/>
        </w:rPr>
      </w:pPr>
      <w:r>
        <w:rPr>
          <w:rFonts w:ascii="宋体" w:hAnsi="宋体"/>
          <w:color w:val="auto"/>
          <w:sz w:val="24"/>
        </w:rPr>
        <w:t xml:space="preserve">10. </w:t>
      </w:r>
      <w:r>
        <w:rPr>
          <w:rFonts w:hint="eastAsia" w:ascii="宋体" w:hAnsi="宋体"/>
          <w:color w:val="auto"/>
          <w:sz w:val="24"/>
        </w:rPr>
        <w:t>第</w:t>
      </w:r>
      <w:r>
        <w:rPr>
          <w:rFonts w:ascii="宋体" w:hAnsi="宋体"/>
          <w:color w:val="auto"/>
          <w:sz w:val="24"/>
        </w:rPr>
        <w:t>12</w:t>
      </w:r>
      <w:r>
        <w:rPr>
          <w:rFonts w:hint="eastAsia" w:ascii="宋体" w:hAnsi="宋体"/>
          <w:color w:val="auto"/>
          <w:sz w:val="24"/>
        </w:rPr>
        <w:t>行（“创新企业</w:t>
      </w:r>
      <w:r>
        <w:rPr>
          <w:rFonts w:ascii="宋体" w:hAnsi="宋体"/>
          <w:color w:val="auto"/>
          <w:sz w:val="24"/>
        </w:rPr>
        <w:t>CDR</w:t>
      </w:r>
      <w:r>
        <w:rPr>
          <w:rFonts w:hint="eastAsia" w:ascii="宋体" w:hAnsi="宋体"/>
          <w:color w:val="auto"/>
          <w:sz w:val="24"/>
        </w:rPr>
        <w:t>”合计行）</w:t>
      </w:r>
      <w:r>
        <w:rPr>
          <w:rFonts w:ascii="宋体" w:hAnsi="宋体"/>
          <w:color w:val="auto"/>
          <w:sz w:val="24"/>
        </w:rPr>
        <w:t>=</w:t>
      </w:r>
      <w:r>
        <w:rPr>
          <w:rFonts w:hint="eastAsia" w:ascii="宋体" w:hAnsi="宋体"/>
          <w:color w:val="auto"/>
          <w:sz w:val="24"/>
        </w:rPr>
        <w:t>第</w:t>
      </w:r>
      <w:r>
        <w:rPr>
          <w:rFonts w:ascii="宋体" w:hAnsi="宋体"/>
          <w:color w:val="auto"/>
          <w:sz w:val="24"/>
        </w:rPr>
        <w:t>1＋2</w:t>
      </w:r>
      <w:r>
        <w:rPr>
          <w:rFonts w:hint="eastAsia" w:ascii="宋体" w:hAnsi="宋体"/>
          <w:color w:val="auto"/>
          <w:sz w:val="24"/>
        </w:rPr>
        <w:t>…</w:t>
      </w:r>
      <w:r>
        <w:rPr>
          <w:rFonts w:ascii="宋体" w:hAnsi="宋体"/>
          <w:color w:val="auto"/>
          <w:sz w:val="24"/>
        </w:rPr>
        <w:t>＋7</w:t>
      </w:r>
      <w:r>
        <w:rPr>
          <w:rFonts w:hint="eastAsia" w:ascii="宋体" w:hAnsi="宋体"/>
          <w:color w:val="auto"/>
          <w:sz w:val="24"/>
        </w:rPr>
        <w:t>行中，“投资性质”列选择“（</w:t>
      </w:r>
      <w:r>
        <w:rPr>
          <w:rFonts w:ascii="宋体" w:hAnsi="宋体"/>
          <w:color w:val="auto"/>
          <w:sz w:val="24"/>
        </w:rPr>
        <w:t>5</w:t>
      </w:r>
      <w:r>
        <w:rPr>
          <w:rFonts w:hint="eastAsia" w:ascii="宋体" w:hAnsi="宋体"/>
          <w:color w:val="auto"/>
          <w:sz w:val="24"/>
        </w:rPr>
        <w:t>）居民企业持有</w:t>
      </w:r>
      <w:r>
        <w:rPr>
          <w:rFonts w:ascii="宋体" w:hAnsi="宋体"/>
          <w:color w:val="auto"/>
          <w:sz w:val="24"/>
        </w:rPr>
        <w:t>CDR</w:t>
      </w:r>
      <w:r>
        <w:rPr>
          <w:rFonts w:hint="eastAsia" w:ascii="宋体" w:hAnsi="宋体"/>
          <w:color w:val="auto"/>
          <w:sz w:val="24"/>
        </w:rPr>
        <w:t>”的行次第</w:t>
      </w:r>
      <w:r>
        <w:rPr>
          <w:rFonts w:ascii="宋体" w:hAnsi="宋体"/>
          <w:color w:val="auto"/>
          <w:sz w:val="24"/>
        </w:rPr>
        <w:t>17</w:t>
      </w:r>
      <w:r>
        <w:rPr>
          <w:rFonts w:hint="eastAsia" w:ascii="宋体" w:hAnsi="宋体"/>
          <w:color w:val="auto"/>
          <w:sz w:val="24"/>
        </w:rPr>
        <w:t>列合计金额。</w:t>
      </w:r>
    </w:p>
    <w:p>
      <w:pPr>
        <w:spacing w:line="360" w:lineRule="auto"/>
        <w:ind w:firstLine="480" w:firstLineChars="200"/>
        <w:rPr>
          <w:rFonts w:hint="eastAsia" w:ascii="宋体" w:hAnsi="宋体"/>
          <w:color w:val="auto"/>
          <w:sz w:val="24"/>
        </w:rPr>
      </w:pPr>
      <w:r>
        <w:rPr>
          <w:rFonts w:ascii="宋体" w:hAnsi="宋体"/>
          <w:color w:val="auto"/>
          <w:sz w:val="24"/>
        </w:rPr>
        <w:t>11.</w:t>
      </w:r>
      <w:r>
        <w:rPr>
          <w:rFonts w:hint="eastAsia" w:ascii="宋体" w:hAnsi="宋体"/>
          <w:color w:val="auto"/>
          <w:sz w:val="24"/>
        </w:rPr>
        <w:t>第</w:t>
      </w:r>
      <w:r>
        <w:rPr>
          <w:rFonts w:ascii="宋体" w:hAnsi="宋体"/>
          <w:color w:val="auto"/>
          <w:sz w:val="24"/>
        </w:rPr>
        <w:t>13</w:t>
      </w:r>
      <w:r>
        <w:rPr>
          <w:rFonts w:hint="eastAsia" w:ascii="宋体" w:hAnsi="宋体"/>
          <w:color w:val="auto"/>
          <w:sz w:val="24"/>
        </w:rPr>
        <w:t>行（“永续债”合计行）</w:t>
      </w:r>
      <w:r>
        <w:rPr>
          <w:rFonts w:ascii="宋体" w:hAnsi="宋体"/>
          <w:color w:val="auto"/>
          <w:sz w:val="24"/>
        </w:rPr>
        <w:t>=</w:t>
      </w:r>
      <w:r>
        <w:rPr>
          <w:rFonts w:hint="eastAsia" w:ascii="宋体" w:hAnsi="宋体"/>
          <w:color w:val="auto"/>
          <w:sz w:val="24"/>
        </w:rPr>
        <w:t>第</w:t>
      </w:r>
      <w:r>
        <w:rPr>
          <w:rFonts w:ascii="宋体" w:hAnsi="宋体"/>
          <w:color w:val="auto"/>
          <w:sz w:val="24"/>
        </w:rPr>
        <w:t>1＋2</w:t>
      </w:r>
      <w:r>
        <w:rPr>
          <w:rFonts w:hint="eastAsia" w:ascii="宋体" w:hAnsi="宋体"/>
          <w:color w:val="auto"/>
          <w:sz w:val="24"/>
        </w:rPr>
        <w:t>…</w:t>
      </w:r>
      <w:r>
        <w:rPr>
          <w:rFonts w:ascii="宋体" w:hAnsi="宋体"/>
          <w:color w:val="auto"/>
          <w:sz w:val="24"/>
        </w:rPr>
        <w:t>＋7</w:t>
      </w:r>
      <w:r>
        <w:rPr>
          <w:rFonts w:hint="eastAsia" w:ascii="宋体" w:hAnsi="宋体"/>
          <w:color w:val="auto"/>
          <w:sz w:val="24"/>
        </w:rPr>
        <w:t>行中，“投资性质”列选择“（</w:t>
      </w:r>
      <w:r>
        <w:rPr>
          <w:rFonts w:ascii="宋体" w:hAnsi="宋体"/>
          <w:color w:val="auto"/>
          <w:sz w:val="24"/>
        </w:rPr>
        <w:t>6</w:t>
      </w:r>
      <w:r>
        <w:rPr>
          <w:rFonts w:hint="eastAsia" w:ascii="宋体" w:hAnsi="宋体"/>
          <w:color w:val="auto"/>
          <w:sz w:val="24"/>
        </w:rPr>
        <w:t>）符合条件的永续债”的行次第</w:t>
      </w:r>
      <w:r>
        <w:rPr>
          <w:rFonts w:ascii="宋体" w:hAnsi="宋体"/>
          <w:color w:val="auto"/>
          <w:sz w:val="24"/>
        </w:rPr>
        <w:t>17</w:t>
      </w:r>
      <w:r>
        <w:rPr>
          <w:rFonts w:hint="eastAsia" w:ascii="宋体" w:hAnsi="宋体"/>
          <w:color w:val="auto"/>
          <w:sz w:val="24"/>
        </w:rPr>
        <w:t>列合计金额。</w:t>
      </w:r>
    </w:p>
    <w:p>
      <w:pPr>
        <w:spacing w:line="360" w:lineRule="auto"/>
        <w:ind w:firstLine="480" w:firstLineChars="200"/>
        <w:outlineLvl w:val="2"/>
        <w:rPr>
          <w:rFonts w:hint="eastAsia" w:ascii="黑体" w:hAnsi="黑体" w:eastAsia="黑体" w:cs="黑体"/>
          <w:color w:val="auto"/>
          <w:sz w:val="24"/>
        </w:rPr>
      </w:pPr>
      <w:bookmarkStart w:id="207" w:name="_Toc21703759"/>
      <w:bookmarkStart w:id="208" w:name="_Toc21712281"/>
      <w:bookmarkStart w:id="209" w:name="_Toc24965064"/>
      <w:bookmarkStart w:id="210" w:name="_Toc21711243"/>
      <w:r>
        <w:rPr>
          <w:rFonts w:hint="eastAsia" w:ascii="黑体" w:hAnsi="黑体" w:eastAsia="黑体" w:cs="黑体"/>
          <w:color w:val="auto"/>
          <w:sz w:val="24"/>
        </w:rPr>
        <w:t>（二）表间关系</w:t>
      </w:r>
      <w:bookmarkEnd w:id="207"/>
      <w:bookmarkEnd w:id="208"/>
      <w:bookmarkEnd w:id="209"/>
      <w:bookmarkEnd w:id="210"/>
    </w:p>
    <w:p>
      <w:pPr>
        <w:spacing w:line="360" w:lineRule="auto"/>
        <w:ind w:firstLine="480" w:firstLineChars="200"/>
        <w:rPr>
          <w:rFonts w:hint="eastAsia" w:ascii="宋体" w:hAnsi="宋体"/>
          <w:color w:val="auto"/>
          <w:sz w:val="24"/>
        </w:rPr>
      </w:pPr>
      <w:r>
        <w:rPr>
          <w:rFonts w:ascii="宋体" w:hAnsi="宋体"/>
          <w:color w:val="auto"/>
          <w:sz w:val="24"/>
        </w:rPr>
        <w:t>1.</w:t>
      </w:r>
      <w:r>
        <w:rPr>
          <w:rFonts w:hint="eastAsia" w:ascii="宋体" w:hAnsi="宋体"/>
          <w:color w:val="auto"/>
          <w:sz w:val="24"/>
        </w:rPr>
        <w:t>第</w:t>
      </w:r>
      <w:r>
        <w:rPr>
          <w:rFonts w:ascii="宋体" w:hAnsi="宋体"/>
          <w:color w:val="auto"/>
          <w:sz w:val="24"/>
        </w:rPr>
        <w:t>8</w:t>
      </w:r>
      <w:r>
        <w:rPr>
          <w:rFonts w:hint="eastAsia" w:ascii="宋体" w:hAnsi="宋体"/>
          <w:color w:val="auto"/>
          <w:sz w:val="24"/>
        </w:rPr>
        <w:t>行</w:t>
      </w:r>
      <w:r>
        <w:rPr>
          <w:rFonts w:hint="eastAsia" w:ascii="宋体" w:hAnsi="宋体"/>
          <w:color w:val="auto"/>
          <w:sz w:val="24"/>
          <w:lang w:eastAsia="zh-CN"/>
        </w:rPr>
        <w:t>至第</w:t>
      </w:r>
      <w:r>
        <w:rPr>
          <w:rFonts w:hint="eastAsia" w:ascii="宋体" w:hAnsi="宋体"/>
          <w:color w:val="auto"/>
          <w:sz w:val="24"/>
          <w:lang w:val="en-US" w:eastAsia="zh-CN"/>
        </w:rPr>
        <w:t>13行</w:t>
      </w:r>
      <w:r>
        <w:rPr>
          <w:rFonts w:hint="eastAsia" w:ascii="宋体" w:hAnsi="宋体"/>
          <w:color w:val="auto"/>
          <w:sz w:val="24"/>
        </w:rPr>
        <w:t>＝表A100000第22行下</w:t>
      </w:r>
      <w:r>
        <w:rPr>
          <w:rFonts w:hint="eastAsia" w:ascii="宋体" w:hAnsi="宋体"/>
          <w:color w:val="auto"/>
          <w:sz w:val="24"/>
          <w:lang w:eastAsia="zh-CN"/>
        </w:rPr>
        <w:t>对应</w:t>
      </w:r>
      <w:r>
        <w:rPr>
          <w:rFonts w:hint="eastAsia" w:ascii="宋体" w:hAnsi="宋体"/>
          <w:color w:val="auto"/>
          <w:sz w:val="24"/>
        </w:rPr>
        <w:t>项目金额。</w:t>
      </w:r>
    </w:p>
    <w:p>
      <w:pPr>
        <w:spacing w:line="360" w:lineRule="auto"/>
        <w:ind w:firstLine="480" w:firstLineChars="200"/>
        <w:rPr>
          <w:rFonts w:ascii="宋体" w:hAnsi="宋体"/>
          <w:color w:val="auto"/>
          <w:sz w:val="24"/>
        </w:rPr>
      </w:pPr>
    </w:p>
    <w:p>
      <w:pPr>
        <w:spacing w:line="360" w:lineRule="auto"/>
        <w:ind w:firstLine="480" w:firstLineChars="200"/>
        <w:rPr>
          <w:rFonts w:ascii="宋体" w:hAnsi="宋体"/>
          <w:color w:val="auto"/>
          <w:sz w:val="24"/>
        </w:rPr>
      </w:pPr>
    </w:p>
    <w:p>
      <w:pPr>
        <w:spacing w:line="360" w:lineRule="auto"/>
        <w:ind w:firstLine="480" w:firstLineChars="200"/>
        <w:rPr>
          <w:rFonts w:ascii="宋体" w:hAnsi="宋体"/>
          <w:color w:val="auto"/>
          <w:sz w:val="24"/>
        </w:rPr>
      </w:pPr>
    </w:p>
    <w:p>
      <w:pPr>
        <w:spacing w:line="360" w:lineRule="auto"/>
        <w:ind w:firstLine="480" w:firstLineChars="200"/>
        <w:rPr>
          <w:rFonts w:ascii="宋体" w:hAnsi="宋体"/>
          <w:color w:val="auto"/>
          <w:sz w:val="24"/>
        </w:rPr>
      </w:pPr>
    </w:p>
    <w:p>
      <w:pPr>
        <w:spacing w:line="360" w:lineRule="auto"/>
        <w:ind w:firstLine="480" w:firstLineChars="200"/>
        <w:rPr>
          <w:rFonts w:ascii="宋体" w:hAnsi="宋体"/>
          <w:color w:val="auto"/>
          <w:sz w:val="24"/>
        </w:rPr>
      </w:pPr>
    </w:p>
    <w:p>
      <w:pPr>
        <w:spacing w:line="360" w:lineRule="auto"/>
        <w:ind w:firstLine="480" w:firstLineChars="200"/>
        <w:rPr>
          <w:rFonts w:ascii="宋体" w:hAnsi="宋体"/>
          <w:color w:val="auto"/>
          <w:sz w:val="24"/>
        </w:rPr>
      </w:pPr>
    </w:p>
    <w:p>
      <w:pPr>
        <w:spacing w:line="360" w:lineRule="auto"/>
        <w:ind w:firstLine="480" w:firstLineChars="200"/>
        <w:rPr>
          <w:rFonts w:ascii="宋体" w:hAnsi="宋体"/>
          <w:color w:val="auto"/>
          <w:sz w:val="24"/>
        </w:rPr>
      </w:pPr>
    </w:p>
    <w:p>
      <w:pPr>
        <w:spacing w:line="360" w:lineRule="auto"/>
        <w:ind w:firstLine="480" w:firstLineChars="200"/>
        <w:rPr>
          <w:rFonts w:ascii="宋体" w:hAnsi="宋体"/>
          <w:color w:val="auto"/>
          <w:sz w:val="24"/>
        </w:rPr>
      </w:pPr>
    </w:p>
    <w:p>
      <w:pPr>
        <w:spacing w:line="360" w:lineRule="auto"/>
        <w:ind w:firstLine="480" w:firstLineChars="200"/>
        <w:rPr>
          <w:rFonts w:ascii="宋体" w:hAnsi="宋体"/>
          <w:color w:val="auto"/>
          <w:sz w:val="24"/>
        </w:rPr>
      </w:pPr>
    </w:p>
    <w:p>
      <w:pPr>
        <w:spacing w:line="360" w:lineRule="auto"/>
        <w:ind w:firstLine="480" w:firstLineChars="200"/>
        <w:rPr>
          <w:rFonts w:ascii="宋体" w:hAnsi="宋体"/>
          <w:color w:val="auto"/>
          <w:sz w:val="24"/>
        </w:rPr>
      </w:pPr>
    </w:p>
    <w:p>
      <w:pPr>
        <w:spacing w:line="360" w:lineRule="auto"/>
        <w:ind w:firstLine="480" w:firstLineChars="200"/>
        <w:rPr>
          <w:rFonts w:ascii="宋体" w:hAnsi="宋体"/>
          <w:color w:val="auto"/>
          <w:sz w:val="24"/>
        </w:rPr>
      </w:pPr>
    </w:p>
    <w:p>
      <w:pPr>
        <w:spacing w:line="360" w:lineRule="auto"/>
        <w:ind w:firstLine="480" w:firstLineChars="200"/>
        <w:rPr>
          <w:rFonts w:ascii="宋体" w:hAnsi="宋体"/>
          <w:color w:val="auto"/>
          <w:sz w:val="24"/>
        </w:rPr>
      </w:pPr>
    </w:p>
    <w:p>
      <w:pPr>
        <w:spacing w:line="360" w:lineRule="auto"/>
        <w:ind w:firstLine="480" w:firstLineChars="200"/>
        <w:rPr>
          <w:rFonts w:ascii="宋体" w:hAnsi="宋体"/>
          <w:color w:val="auto"/>
          <w:sz w:val="24"/>
        </w:rPr>
      </w:pPr>
    </w:p>
    <w:p>
      <w:pPr>
        <w:spacing w:line="360" w:lineRule="auto"/>
        <w:ind w:firstLine="480" w:firstLineChars="200"/>
        <w:rPr>
          <w:rFonts w:ascii="宋体" w:hAnsi="宋体"/>
          <w:color w:val="auto"/>
          <w:sz w:val="24"/>
        </w:rPr>
      </w:pPr>
    </w:p>
    <w:p>
      <w:pPr>
        <w:spacing w:line="360" w:lineRule="auto"/>
        <w:ind w:firstLine="480" w:firstLineChars="200"/>
        <w:rPr>
          <w:rFonts w:ascii="宋体" w:hAnsi="宋体"/>
          <w:color w:val="auto"/>
          <w:sz w:val="24"/>
        </w:rPr>
      </w:pPr>
    </w:p>
    <w:p>
      <w:pPr>
        <w:spacing w:line="360" w:lineRule="auto"/>
        <w:ind w:firstLine="480" w:firstLineChars="200"/>
        <w:rPr>
          <w:rFonts w:ascii="宋体" w:hAnsi="宋体"/>
          <w:color w:val="auto"/>
          <w:sz w:val="24"/>
        </w:rPr>
      </w:pPr>
    </w:p>
    <w:p>
      <w:pPr>
        <w:pStyle w:val="13"/>
        <w:jc w:val="both"/>
        <w:rPr>
          <w:rFonts w:hint="eastAsia" w:ascii="方正小标宋_GBK" w:hAnsi="方正小标宋_GBK" w:eastAsia="方正小标宋_GBK" w:cs="方正小标宋_GBK"/>
          <w:color w:val="auto"/>
        </w:rPr>
      </w:pPr>
      <w:bookmarkStart w:id="211" w:name="_Toc32345"/>
      <w:bookmarkStart w:id="212" w:name="_Toc12802"/>
      <w:bookmarkStart w:id="213" w:name="_Toc2399"/>
      <w:bookmarkStart w:id="214" w:name="_Toc2100"/>
      <w:bookmarkStart w:id="215" w:name="_Toc24773"/>
      <w:bookmarkStart w:id="216" w:name="_Toc176972059"/>
      <w:bookmarkStart w:id="217" w:name="_Toc1746889036"/>
      <w:bookmarkStart w:id="218" w:name="_Toc26664"/>
      <w:r>
        <w:rPr>
          <w:rFonts w:hint="eastAsia" w:ascii="方正小标宋_GBK" w:hAnsi="方正小标宋_GBK" w:eastAsia="方正小标宋_GBK" w:cs="方正小标宋_GBK"/>
          <w:color w:val="auto"/>
        </w:rPr>
        <w:t>A107012</w:t>
      </w:r>
      <w:r>
        <w:rPr>
          <w:rFonts w:hint="eastAsia" w:ascii="方正小标宋_GBK" w:hAnsi="方正小标宋_GBK" w:eastAsia="方正小标宋_GBK" w:cs="方正小标宋_GBK"/>
          <w:color w:val="auto"/>
        </w:rPr>
        <w:tab/>
      </w:r>
      <w:r>
        <w:rPr>
          <w:rFonts w:hint="eastAsia" w:ascii="方正小标宋_GBK" w:hAnsi="方正小标宋_GBK" w:eastAsia="方正小标宋_GBK" w:cs="方正小标宋_GBK"/>
          <w:color w:val="auto"/>
        </w:rPr>
        <w:t>研发费用加计扣除优惠明细表</w:t>
      </w:r>
      <w:bookmarkEnd w:id="211"/>
      <w:bookmarkEnd w:id="212"/>
      <w:bookmarkEnd w:id="213"/>
      <w:bookmarkEnd w:id="214"/>
      <w:bookmarkEnd w:id="215"/>
      <w:bookmarkEnd w:id="216"/>
      <w:bookmarkEnd w:id="217"/>
      <w:bookmarkEnd w:id="218"/>
    </w:p>
    <w:tbl>
      <w:tblPr>
        <w:tblStyle w:val="7"/>
        <w:tblW w:w="970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98"/>
        <w:gridCol w:w="7509"/>
        <w:gridCol w:w="149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hint="eastAsia" w:ascii="宋体" w:hAnsi="宋体" w:cs="宋体"/>
                <w:b/>
                <w:color w:val="auto"/>
                <w:kern w:val="0"/>
                <w:sz w:val="20"/>
                <w:szCs w:val="20"/>
              </w:rPr>
            </w:pPr>
            <w:r>
              <w:rPr>
                <w:rFonts w:hint="eastAsia" w:ascii="宋体" w:hAnsi="宋体" w:cs="宋体"/>
                <w:b/>
                <w:color w:val="auto"/>
                <w:kern w:val="0"/>
                <w:sz w:val="20"/>
                <w:szCs w:val="20"/>
              </w:rPr>
              <w:t>行次</w:t>
            </w:r>
          </w:p>
        </w:tc>
        <w:tc>
          <w:tcPr>
            <w:tcW w:w="7509" w:type="dxa"/>
            <w:tcBorders>
              <w:tl2br w:val="nil"/>
              <w:tr2bl w:val="nil"/>
            </w:tcBorders>
            <w:noWrap w:val="0"/>
            <w:vAlign w:val="center"/>
          </w:tcPr>
          <w:p>
            <w:pPr>
              <w:widowControl/>
              <w:jc w:val="center"/>
              <w:rPr>
                <w:rFonts w:hint="eastAsia" w:ascii="宋体" w:hAnsi="宋体" w:cs="宋体"/>
                <w:b/>
                <w:color w:val="auto"/>
                <w:kern w:val="0"/>
                <w:sz w:val="20"/>
                <w:szCs w:val="20"/>
              </w:rPr>
            </w:pPr>
            <w:r>
              <w:rPr>
                <w:rFonts w:hint="eastAsia" w:ascii="宋体" w:hAnsi="宋体" w:cs="宋体"/>
                <w:b/>
                <w:color w:val="auto"/>
                <w:kern w:val="0"/>
                <w:sz w:val="20"/>
                <w:szCs w:val="20"/>
              </w:rPr>
              <w:t>项    目</w:t>
            </w:r>
          </w:p>
        </w:tc>
        <w:tc>
          <w:tcPr>
            <w:tcW w:w="1494" w:type="dxa"/>
            <w:tcBorders>
              <w:tl2br w:val="nil"/>
              <w:tr2bl w:val="nil"/>
            </w:tcBorders>
            <w:noWrap w:val="0"/>
            <w:vAlign w:val="center"/>
          </w:tcPr>
          <w:p>
            <w:pPr>
              <w:widowControl/>
              <w:jc w:val="center"/>
              <w:rPr>
                <w:rFonts w:hint="eastAsia" w:ascii="宋体" w:hAnsi="宋体" w:cs="宋体"/>
                <w:b/>
                <w:color w:val="auto"/>
                <w:kern w:val="0"/>
                <w:sz w:val="20"/>
                <w:szCs w:val="20"/>
              </w:rPr>
            </w:pPr>
            <w:r>
              <w:rPr>
                <w:rFonts w:hint="eastAsia" w:ascii="宋体" w:hAnsi="宋体" w:cs="宋体"/>
                <w:b/>
                <w:color w:val="auto"/>
                <w:kern w:val="0"/>
                <w:sz w:val="20"/>
                <w:szCs w:val="20"/>
              </w:rPr>
              <w:t>金额（数量）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1</w:t>
            </w:r>
          </w:p>
        </w:tc>
        <w:tc>
          <w:tcPr>
            <w:tcW w:w="7509" w:type="dxa"/>
            <w:tcBorders>
              <w:tl2br w:val="nil"/>
              <w:tr2bl w:val="nil"/>
            </w:tcBorders>
            <w:noWrap w:val="0"/>
            <w:vAlign w:val="center"/>
          </w:tcPr>
          <w:p>
            <w:pPr>
              <w:widowControl/>
              <w:jc w:val="left"/>
              <w:rPr>
                <w:rFonts w:ascii="宋体"/>
                <w:color w:val="auto"/>
                <w:kern w:val="0"/>
                <w:sz w:val="20"/>
                <w:szCs w:val="20"/>
              </w:rPr>
            </w:pPr>
            <w:r>
              <w:rPr>
                <w:rFonts w:hint="eastAsia" w:ascii="宋体" w:hAnsi="宋体" w:cs="宋体"/>
                <w:color w:val="auto"/>
                <w:kern w:val="0"/>
                <w:sz w:val="20"/>
                <w:szCs w:val="20"/>
              </w:rPr>
              <w:t>本年可享受研发费用加计扣除项目数量</w:t>
            </w:r>
          </w:p>
        </w:tc>
        <w:tc>
          <w:tcPr>
            <w:tcW w:w="1494" w:type="dxa"/>
            <w:tcBorders>
              <w:tl2br w:val="nil"/>
              <w:tr2bl w:val="nil"/>
            </w:tcBorders>
            <w:noWrap w:val="0"/>
            <w:vAlign w:val="center"/>
          </w:tcPr>
          <w:p>
            <w:pPr>
              <w:widowControl/>
              <w:jc w:val="left"/>
              <w:rPr>
                <w:rFonts w:ascii="宋体"/>
                <w:color w:val="auto"/>
                <w:kern w:val="0"/>
                <w:sz w:val="20"/>
                <w:szCs w:val="20"/>
              </w:rPr>
            </w:pPr>
            <w:r>
              <w:rPr>
                <w:rFonts w:hint="eastAsia" w:ascii="宋体" w:hAnsi="宋体" w:cs="宋体"/>
                <w:color w:val="auto"/>
                <w:kern w:val="0"/>
                <w:sz w:val="20"/>
                <w:szCs w:val="20"/>
              </w:rPr>
              <w:t>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hint="eastAsia" w:ascii="宋体" w:hAnsi="宋体" w:cs="宋体"/>
                <w:color w:val="auto"/>
                <w:kern w:val="0"/>
                <w:sz w:val="20"/>
                <w:szCs w:val="20"/>
              </w:rPr>
            </w:pPr>
            <w:r>
              <w:rPr>
                <w:rFonts w:ascii="宋体" w:hAnsi="宋体" w:cs="宋体"/>
                <w:color w:val="auto"/>
                <w:kern w:val="0"/>
                <w:sz w:val="20"/>
                <w:szCs w:val="20"/>
              </w:rPr>
              <w:t>2</w:t>
            </w:r>
          </w:p>
        </w:tc>
        <w:tc>
          <w:tcPr>
            <w:tcW w:w="7509" w:type="dxa"/>
            <w:tcBorders>
              <w:tl2br w:val="nil"/>
              <w:tr2bl w:val="nil"/>
            </w:tcBorders>
            <w:noWrap w:val="0"/>
            <w:vAlign w:val="center"/>
          </w:tcPr>
          <w:p>
            <w:pPr>
              <w:widowControl/>
              <w:jc w:val="left"/>
              <w:rPr>
                <w:rFonts w:hint="eastAsia" w:ascii="宋体" w:hAnsi="宋体" w:eastAsia="宋体" w:cs="宋体"/>
                <w:color w:val="auto"/>
                <w:kern w:val="0"/>
                <w:sz w:val="20"/>
                <w:szCs w:val="20"/>
              </w:rPr>
            </w:pPr>
            <w:r>
              <w:rPr>
                <w:rFonts w:hint="eastAsia" w:ascii="宋体" w:hAnsi="宋体" w:cs="宋体"/>
                <w:color w:val="auto"/>
                <w:kern w:val="0"/>
                <w:sz w:val="20"/>
                <w:szCs w:val="20"/>
              </w:rPr>
              <w:t>一、自主研发、合作研发、集中研发（</w:t>
            </w:r>
            <w:r>
              <w:rPr>
                <w:rFonts w:ascii="宋体" w:hAnsi="宋体" w:cs="宋体"/>
                <w:color w:val="auto"/>
                <w:kern w:val="0"/>
                <w:sz w:val="20"/>
                <w:szCs w:val="20"/>
              </w:rPr>
              <w:t>3＋7＋16＋19＋23＋34</w:t>
            </w:r>
            <w:r>
              <w:rPr>
                <w:rFonts w:hint="eastAsia" w:ascii="宋体" w:hAnsi="宋体" w:cs="宋体"/>
                <w:color w:val="auto"/>
                <w:kern w:val="0"/>
                <w:sz w:val="20"/>
                <w:szCs w:val="20"/>
              </w:rPr>
              <w:t>）</w:t>
            </w:r>
          </w:p>
        </w:tc>
        <w:tc>
          <w:tcPr>
            <w:tcW w:w="1494" w:type="dxa"/>
            <w:tcBorders>
              <w:tl2br w:val="nil"/>
              <w:tr2bl w:val="nil"/>
            </w:tcBorders>
            <w:noWrap w:val="0"/>
            <w:vAlign w:val="center"/>
          </w:tcPr>
          <w:p>
            <w:pPr>
              <w:widowControl/>
              <w:jc w:val="right"/>
              <w:rPr>
                <w:rFonts w:ascii="宋体"/>
                <w:b/>
                <w:bCs/>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3</w:t>
            </w:r>
          </w:p>
        </w:tc>
        <w:tc>
          <w:tcPr>
            <w:tcW w:w="7509" w:type="dxa"/>
            <w:tcBorders>
              <w:tl2br w:val="nil"/>
              <w:tr2bl w:val="nil"/>
            </w:tcBorders>
            <w:noWrap w:val="0"/>
            <w:vAlign w:val="center"/>
          </w:tcPr>
          <w:p>
            <w:pPr>
              <w:widowControl/>
              <w:ind w:firstLine="400" w:firstLineChars="200"/>
              <w:jc w:val="left"/>
              <w:rPr>
                <w:rFonts w:ascii="宋体" w:eastAsia="宋体"/>
                <w:color w:val="auto"/>
                <w:kern w:val="0"/>
                <w:sz w:val="20"/>
                <w:szCs w:val="20"/>
              </w:rPr>
            </w:pPr>
            <w:r>
              <w:rPr>
                <w:rFonts w:hint="eastAsia" w:ascii="宋体" w:hAnsi="宋体" w:cs="宋体"/>
                <w:color w:val="auto"/>
                <w:kern w:val="0"/>
                <w:sz w:val="20"/>
                <w:szCs w:val="20"/>
              </w:rPr>
              <w:t>（一）人员人工费用（</w:t>
            </w:r>
            <w:r>
              <w:rPr>
                <w:rFonts w:ascii="宋体" w:hAnsi="宋体" w:cs="宋体"/>
                <w:color w:val="auto"/>
                <w:kern w:val="0"/>
                <w:sz w:val="20"/>
                <w:szCs w:val="20"/>
              </w:rPr>
              <w:t>4＋5＋6</w:t>
            </w:r>
            <w:r>
              <w:rPr>
                <w:rFonts w:hint="eastAsia" w:ascii="宋体" w:hAnsi="宋体" w:cs="宋体"/>
                <w:color w:val="auto"/>
                <w:kern w:val="0"/>
                <w:sz w:val="20"/>
                <w:szCs w:val="20"/>
              </w:rPr>
              <w:t>）</w:t>
            </w:r>
          </w:p>
        </w:tc>
        <w:tc>
          <w:tcPr>
            <w:tcW w:w="1494" w:type="dxa"/>
            <w:tcBorders>
              <w:tl2br w:val="nil"/>
              <w:tr2bl w:val="nil"/>
            </w:tcBorders>
            <w:noWrap w:val="0"/>
            <w:vAlign w:val="center"/>
          </w:tcPr>
          <w:p>
            <w:pPr>
              <w:widowControl/>
              <w:jc w:val="right"/>
              <w:rPr>
                <w:rFonts w:ascii="宋体"/>
                <w:b/>
                <w:bCs/>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4</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1.</w:t>
            </w:r>
            <w:r>
              <w:rPr>
                <w:rFonts w:hint="eastAsia" w:ascii="宋体" w:hAnsi="宋体" w:cs="宋体"/>
                <w:color w:val="auto"/>
                <w:kern w:val="0"/>
                <w:sz w:val="20"/>
                <w:szCs w:val="20"/>
              </w:rPr>
              <w:t>直接从事研发活动人员工资薪金</w:t>
            </w:r>
          </w:p>
        </w:tc>
        <w:tc>
          <w:tcPr>
            <w:tcW w:w="1494" w:type="dxa"/>
            <w:tcBorders>
              <w:tl2br w:val="nil"/>
              <w:tr2bl w:val="nil"/>
            </w:tcBorders>
            <w:noWrap w:val="0"/>
            <w:vAlign w:val="center"/>
          </w:tcPr>
          <w:p>
            <w:pPr>
              <w:widowControl/>
              <w:jc w:val="right"/>
              <w:rPr>
                <w:rFonts w:ascii="宋体"/>
                <w:b/>
                <w:bCs/>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5</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2.</w:t>
            </w:r>
            <w:r>
              <w:rPr>
                <w:rFonts w:hint="eastAsia" w:ascii="宋体" w:hAnsi="宋体" w:cs="宋体"/>
                <w:color w:val="auto"/>
                <w:kern w:val="0"/>
                <w:sz w:val="20"/>
                <w:szCs w:val="20"/>
              </w:rPr>
              <w:t>直接从事研发活动人员五险一金</w:t>
            </w:r>
          </w:p>
        </w:tc>
        <w:tc>
          <w:tcPr>
            <w:tcW w:w="1494" w:type="dxa"/>
            <w:tcBorders>
              <w:tl2br w:val="nil"/>
              <w:tr2bl w:val="nil"/>
            </w:tcBorders>
            <w:noWrap w:val="0"/>
            <w:vAlign w:val="center"/>
          </w:tcPr>
          <w:p>
            <w:pPr>
              <w:widowControl/>
              <w:jc w:val="right"/>
              <w:rPr>
                <w:rFonts w:ascii="宋体"/>
                <w:b/>
                <w:bCs/>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6</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3.</w:t>
            </w:r>
            <w:r>
              <w:rPr>
                <w:rFonts w:hint="eastAsia" w:ascii="宋体" w:hAnsi="宋体" w:cs="宋体"/>
                <w:color w:val="auto"/>
                <w:kern w:val="0"/>
                <w:sz w:val="20"/>
                <w:szCs w:val="20"/>
              </w:rPr>
              <w:t>外聘研发人员的劳务费用</w:t>
            </w:r>
          </w:p>
        </w:tc>
        <w:tc>
          <w:tcPr>
            <w:tcW w:w="1494" w:type="dxa"/>
            <w:tcBorders>
              <w:tl2br w:val="nil"/>
              <w:tr2bl w:val="nil"/>
            </w:tcBorders>
            <w:noWrap w:val="0"/>
            <w:vAlign w:val="center"/>
          </w:tcPr>
          <w:p>
            <w:pPr>
              <w:widowControl/>
              <w:jc w:val="right"/>
              <w:rPr>
                <w:rFonts w:ascii="宋体"/>
                <w:b/>
                <w:bCs/>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7</w:t>
            </w:r>
          </w:p>
        </w:tc>
        <w:tc>
          <w:tcPr>
            <w:tcW w:w="7509" w:type="dxa"/>
            <w:tcBorders>
              <w:tl2br w:val="nil"/>
              <w:tr2bl w:val="nil"/>
            </w:tcBorders>
            <w:noWrap w:val="0"/>
            <w:vAlign w:val="center"/>
          </w:tcPr>
          <w:p>
            <w:pPr>
              <w:widowControl/>
              <w:ind w:firstLine="400" w:firstLineChars="200"/>
              <w:jc w:val="left"/>
              <w:rPr>
                <w:rFonts w:ascii="宋体" w:eastAsia="宋体"/>
                <w:color w:val="auto"/>
                <w:kern w:val="0"/>
                <w:sz w:val="20"/>
                <w:szCs w:val="20"/>
              </w:rPr>
            </w:pPr>
            <w:r>
              <w:rPr>
                <w:rFonts w:hint="eastAsia" w:ascii="宋体" w:hAnsi="宋体" w:cs="宋体"/>
                <w:color w:val="auto"/>
                <w:kern w:val="0"/>
                <w:sz w:val="20"/>
                <w:szCs w:val="20"/>
              </w:rPr>
              <w:t>（二）直接投入费用（</w:t>
            </w:r>
            <w:r>
              <w:rPr>
                <w:rFonts w:ascii="宋体" w:hAnsi="宋体" w:cs="宋体"/>
                <w:color w:val="auto"/>
                <w:kern w:val="0"/>
                <w:sz w:val="20"/>
                <w:szCs w:val="20"/>
              </w:rPr>
              <w:t>8＋9＋</w:t>
            </w:r>
            <w:r>
              <w:rPr>
                <w:rFonts w:hint="eastAsia" w:ascii="宋体" w:hAnsi="宋体" w:cs="宋体"/>
                <w:color w:val="auto"/>
                <w:kern w:val="0"/>
                <w:sz w:val="20"/>
                <w:szCs w:val="20"/>
              </w:rPr>
              <w:t>10＋11＋12＋13＋14</w:t>
            </w:r>
            <w:r>
              <w:rPr>
                <w:rFonts w:ascii="宋体" w:hAnsi="宋体" w:cs="宋体"/>
                <w:color w:val="auto"/>
                <w:kern w:val="0"/>
                <w:sz w:val="20"/>
                <w:szCs w:val="20"/>
              </w:rPr>
              <w:t>＋15</w:t>
            </w:r>
            <w:r>
              <w:rPr>
                <w:rFonts w:hint="eastAsia" w:ascii="宋体" w:hAnsi="宋体" w:cs="宋体"/>
                <w:color w:val="auto"/>
                <w:kern w:val="0"/>
                <w:sz w:val="20"/>
                <w:szCs w:val="20"/>
              </w:rPr>
              <w:t>）</w:t>
            </w:r>
          </w:p>
        </w:tc>
        <w:tc>
          <w:tcPr>
            <w:tcW w:w="1494" w:type="dxa"/>
            <w:tcBorders>
              <w:tl2br w:val="nil"/>
              <w:tr2bl w:val="nil"/>
            </w:tcBorders>
            <w:noWrap w:val="0"/>
            <w:vAlign w:val="center"/>
          </w:tcPr>
          <w:p>
            <w:pPr>
              <w:widowControl/>
              <w:jc w:val="right"/>
              <w:rPr>
                <w:rFonts w:ascii="宋体"/>
                <w:b/>
                <w:bCs/>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8</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1.</w:t>
            </w:r>
            <w:r>
              <w:rPr>
                <w:rFonts w:hint="eastAsia" w:ascii="宋体" w:hAnsi="宋体" w:cs="宋体"/>
                <w:color w:val="auto"/>
                <w:kern w:val="0"/>
                <w:sz w:val="20"/>
                <w:szCs w:val="20"/>
              </w:rPr>
              <w:t>研发活动直接消耗材料费用</w:t>
            </w:r>
          </w:p>
        </w:tc>
        <w:tc>
          <w:tcPr>
            <w:tcW w:w="1494" w:type="dxa"/>
            <w:tcBorders>
              <w:tl2br w:val="nil"/>
              <w:tr2bl w:val="nil"/>
            </w:tcBorders>
            <w:noWrap w:val="0"/>
            <w:vAlign w:val="center"/>
          </w:tcPr>
          <w:p>
            <w:pPr>
              <w:widowControl/>
              <w:jc w:val="right"/>
              <w:rPr>
                <w:rFonts w:ascii="宋体"/>
                <w:b/>
                <w:bCs/>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9</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2.</w:t>
            </w:r>
            <w:r>
              <w:rPr>
                <w:rFonts w:hint="eastAsia" w:ascii="宋体" w:hAnsi="宋体" w:cs="宋体"/>
                <w:color w:val="auto"/>
                <w:kern w:val="0"/>
                <w:sz w:val="20"/>
                <w:szCs w:val="20"/>
              </w:rPr>
              <w:t>研发活动直接消耗燃料费用</w:t>
            </w:r>
          </w:p>
        </w:tc>
        <w:tc>
          <w:tcPr>
            <w:tcW w:w="1494" w:type="dxa"/>
            <w:tcBorders>
              <w:tl2br w:val="nil"/>
              <w:tr2bl w:val="nil"/>
            </w:tcBorders>
            <w:noWrap w:val="0"/>
            <w:vAlign w:val="center"/>
          </w:tcPr>
          <w:p>
            <w:pPr>
              <w:widowControl/>
              <w:jc w:val="right"/>
              <w:rPr>
                <w:rFonts w:ascii="宋体"/>
                <w:b/>
                <w:bCs/>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10</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3.</w:t>
            </w:r>
            <w:r>
              <w:rPr>
                <w:rFonts w:hint="eastAsia" w:ascii="宋体" w:hAnsi="宋体" w:cs="宋体"/>
                <w:color w:val="auto"/>
                <w:kern w:val="0"/>
                <w:sz w:val="20"/>
                <w:szCs w:val="20"/>
              </w:rPr>
              <w:t>研发活动直接消耗动力费用</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11</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4.</w:t>
            </w:r>
            <w:r>
              <w:rPr>
                <w:rFonts w:hint="eastAsia" w:ascii="宋体" w:hAnsi="宋体" w:cs="宋体"/>
                <w:color w:val="auto"/>
                <w:kern w:val="0"/>
                <w:sz w:val="20"/>
                <w:szCs w:val="20"/>
              </w:rPr>
              <w:t>用于中间试验和产品试制的模具、工艺装备开发及制造费</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12</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5.</w:t>
            </w:r>
            <w:r>
              <w:rPr>
                <w:rFonts w:hint="eastAsia" w:ascii="宋体" w:hAnsi="宋体" w:cs="宋体"/>
                <w:color w:val="auto"/>
                <w:kern w:val="0"/>
                <w:sz w:val="20"/>
                <w:szCs w:val="20"/>
              </w:rPr>
              <w:t>用于不构成固定资产的样品、样机及一般测试手段购置费</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13</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6.</w:t>
            </w:r>
            <w:r>
              <w:rPr>
                <w:rFonts w:hint="eastAsia" w:ascii="宋体" w:hAnsi="宋体" w:cs="宋体"/>
                <w:color w:val="auto"/>
                <w:kern w:val="0"/>
                <w:sz w:val="20"/>
                <w:szCs w:val="20"/>
              </w:rPr>
              <w:t>用于试制产品的检验费</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14</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7.</w:t>
            </w:r>
            <w:r>
              <w:rPr>
                <w:rFonts w:hint="eastAsia" w:ascii="宋体" w:hAnsi="宋体" w:cs="宋体"/>
                <w:color w:val="auto"/>
                <w:kern w:val="0"/>
                <w:sz w:val="20"/>
                <w:szCs w:val="20"/>
              </w:rPr>
              <w:t>用于研发活动的仪器、设备的运行维护、调整、检验、维修等费用</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15</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8.</w:t>
            </w:r>
            <w:r>
              <w:rPr>
                <w:rFonts w:hint="eastAsia" w:ascii="宋体" w:hAnsi="宋体" w:cs="宋体"/>
                <w:color w:val="auto"/>
                <w:kern w:val="0"/>
                <w:sz w:val="20"/>
                <w:szCs w:val="20"/>
              </w:rPr>
              <w:t>通过经营租赁方式租入的用于研发活动的仪器、设备租赁费</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16</w:t>
            </w:r>
          </w:p>
        </w:tc>
        <w:tc>
          <w:tcPr>
            <w:tcW w:w="7509" w:type="dxa"/>
            <w:tcBorders>
              <w:tl2br w:val="nil"/>
              <w:tr2bl w:val="nil"/>
            </w:tcBorders>
            <w:noWrap w:val="0"/>
            <w:vAlign w:val="center"/>
          </w:tcPr>
          <w:p>
            <w:pPr>
              <w:widowControl/>
              <w:ind w:firstLine="400" w:firstLineChars="200"/>
              <w:jc w:val="left"/>
              <w:rPr>
                <w:rFonts w:ascii="宋体" w:eastAsia="宋体"/>
                <w:color w:val="auto"/>
                <w:kern w:val="0"/>
                <w:sz w:val="20"/>
                <w:szCs w:val="20"/>
              </w:rPr>
            </w:pPr>
            <w:r>
              <w:rPr>
                <w:rFonts w:hint="eastAsia" w:ascii="宋体" w:hAnsi="宋体" w:cs="宋体"/>
                <w:color w:val="auto"/>
                <w:kern w:val="0"/>
                <w:sz w:val="20"/>
                <w:szCs w:val="20"/>
              </w:rPr>
              <w:t>（三）折旧费用（</w:t>
            </w:r>
            <w:r>
              <w:rPr>
                <w:rFonts w:ascii="宋体" w:hAnsi="宋体" w:cs="宋体"/>
                <w:color w:val="auto"/>
                <w:kern w:val="0"/>
                <w:sz w:val="20"/>
                <w:szCs w:val="20"/>
              </w:rPr>
              <w:t>17＋18</w:t>
            </w:r>
            <w:r>
              <w:rPr>
                <w:rFonts w:hint="eastAsia" w:ascii="宋体" w:hAnsi="宋体" w:cs="宋体"/>
                <w:color w:val="auto"/>
                <w:kern w:val="0"/>
                <w:sz w:val="20"/>
                <w:szCs w:val="20"/>
              </w:rPr>
              <w:t>）</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17</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1.</w:t>
            </w:r>
            <w:r>
              <w:rPr>
                <w:rFonts w:hint="eastAsia" w:ascii="宋体" w:hAnsi="宋体" w:cs="宋体"/>
                <w:color w:val="auto"/>
                <w:kern w:val="0"/>
                <w:sz w:val="20"/>
                <w:szCs w:val="20"/>
              </w:rPr>
              <w:t>用于研发活动的仪器的折旧费</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18</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2.</w:t>
            </w:r>
            <w:r>
              <w:rPr>
                <w:rFonts w:hint="eastAsia" w:ascii="宋体" w:hAnsi="宋体" w:cs="宋体"/>
                <w:color w:val="auto"/>
                <w:kern w:val="0"/>
                <w:sz w:val="20"/>
                <w:szCs w:val="20"/>
              </w:rPr>
              <w:t>用于研发活动的设备的折旧费</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19</w:t>
            </w:r>
          </w:p>
        </w:tc>
        <w:tc>
          <w:tcPr>
            <w:tcW w:w="7509" w:type="dxa"/>
            <w:tcBorders>
              <w:tl2br w:val="nil"/>
              <w:tr2bl w:val="nil"/>
            </w:tcBorders>
            <w:noWrap w:val="0"/>
            <w:vAlign w:val="center"/>
          </w:tcPr>
          <w:p>
            <w:pPr>
              <w:widowControl/>
              <w:ind w:firstLine="400" w:firstLineChars="200"/>
              <w:jc w:val="left"/>
              <w:rPr>
                <w:rFonts w:ascii="宋体" w:eastAsia="宋体"/>
                <w:color w:val="auto"/>
                <w:kern w:val="0"/>
                <w:sz w:val="20"/>
                <w:szCs w:val="20"/>
              </w:rPr>
            </w:pPr>
            <w:r>
              <w:rPr>
                <w:rFonts w:hint="eastAsia" w:ascii="宋体" w:hAnsi="宋体" w:cs="宋体"/>
                <w:color w:val="auto"/>
                <w:kern w:val="0"/>
                <w:sz w:val="20"/>
                <w:szCs w:val="20"/>
              </w:rPr>
              <w:t>（四）无形资产摊销（</w:t>
            </w:r>
            <w:r>
              <w:rPr>
                <w:rFonts w:ascii="宋体" w:hAnsi="宋体" w:cs="宋体"/>
                <w:color w:val="auto"/>
                <w:kern w:val="0"/>
                <w:sz w:val="20"/>
                <w:szCs w:val="20"/>
              </w:rPr>
              <w:t>20＋21＋22</w:t>
            </w:r>
            <w:r>
              <w:rPr>
                <w:rFonts w:hint="eastAsia" w:ascii="宋体" w:hAnsi="宋体" w:cs="宋体"/>
                <w:color w:val="auto"/>
                <w:kern w:val="0"/>
                <w:sz w:val="20"/>
                <w:szCs w:val="20"/>
              </w:rPr>
              <w:t>）</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20</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1.</w:t>
            </w:r>
            <w:r>
              <w:rPr>
                <w:rFonts w:hint="eastAsia" w:ascii="宋体" w:hAnsi="宋体" w:cs="宋体"/>
                <w:color w:val="auto"/>
                <w:kern w:val="0"/>
                <w:sz w:val="20"/>
                <w:szCs w:val="20"/>
              </w:rPr>
              <w:t>用于研发活动的软件的摊销费用</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21</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2.</w:t>
            </w:r>
            <w:r>
              <w:rPr>
                <w:rFonts w:hint="eastAsia" w:ascii="宋体" w:hAnsi="宋体" w:cs="宋体"/>
                <w:color w:val="auto"/>
                <w:kern w:val="0"/>
                <w:sz w:val="20"/>
                <w:szCs w:val="20"/>
              </w:rPr>
              <w:t>用于研发活动的专利权的摊销费用</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22</w:t>
            </w:r>
          </w:p>
        </w:tc>
        <w:tc>
          <w:tcPr>
            <w:tcW w:w="7509" w:type="dxa"/>
            <w:tcBorders>
              <w:tl2br w:val="nil"/>
              <w:tr2bl w:val="nil"/>
            </w:tcBorders>
            <w:noWrap w:val="0"/>
            <w:vAlign w:val="center"/>
          </w:tcPr>
          <w:p>
            <w:pPr>
              <w:widowControl/>
              <w:ind w:left="1014" w:leftChars="381" w:hanging="214" w:hangingChars="107"/>
              <w:jc w:val="left"/>
              <w:rPr>
                <w:rFonts w:ascii="宋体"/>
                <w:color w:val="auto"/>
                <w:kern w:val="0"/>
                <w:sz w:val="20"/>
                <w:szCs w:val="20"/>
              </w:rPr>
            </w:pPr>
            <w:r>
              <w:rPr>
                <w:rFonts w:ascii="宋体" w:hAnsi="宋体" w:cs="宋体"/>
                <w:color w:val="auto"/>
                <w:kern w:val="0"/>
                <w:sz w:val="20"/>
                <w:szCs w:val="20"/>
              </w:rPr>
              <w:t>3.</w:t>
            </w:r>
            <w:r>
              <w:rPr>
                <w:rFonts w:hint="eastAsia" w:ascii="宋体" w:hAnsi="宋体" w:cs="宋体"/>
                <w:color w:val="auto"/>
                <w:kern w:val="0"/>
                <w:sz w:val="20"/>
                <w:szCs w:val="20"/>
              </w:rPr>
              <w:t>用于研发活动的非专利技术（包括许可证、专有技术、设计和计算方法等）的摊销费用</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23</w:t>
            </w:r>
          </w:p>
        </w:tc>
        <w:tc>
          <w:tcPr>
            <w:tcW w:w="7509" w:type="dxa"/>
            <w:tcBorders>
              <w:tl2br w:val="nil"/>
              <w:tr2bl w:val="nil"/>
            </w:tcBorders>
            <w:noWrap w:val="0"/>
            <w:vAlign w:val="center"/>
          </w:tcPr>
          <w:p>
            <w:pPr>
              <w:widowControl/>
              <w:ind w:firstLine="400" w:firstLineChars="200"/>
              <w:jc w:val="left"/>
              <w:rPr>
                <w:rFonts w:ascii="宋体" w:eastAsia="宋体"/>
                <w:color w:val="auto"/>
                <w:kern w:val="0"/>
                <w:sz w:val="20"/>
                <w:szCs w:val="20"/>
              </w:rPr>
            </w:pPr>
            <w:r>
              <w:rPr>
                <w:rFonts w:hint="eastAsia" w:ascii="宋体" w:hAnsi="宋体" w:cs="宋体"/>
                <w:color w:val="auto"/>
                <w:kern w:val="0"/>
                <w:sz w:val="20"/>
                <w:szCs w:val="20"/>
              </w:rPr>
              <w:t>（五）新产品设计费等（</w:t>
            </w:r>
            <w:r>
              <w:rPr>
                <w:rFonts w:ascii="宋体" w:hAnsi="宋体" w:cs="宋体"/>
                <w:color w:val="auto"/>
                <w:kern w:val="0"/>
                <w:sz w:val="20"/>
                <w:szCs w:val="20"/>
              </w:rPr>
              <w:t>24＋25＋26＋27</w:t>
            </w:r>
            <w:r>
              <w:rPr>
                <w:rFonts w:hint="eastAsia" w:ascii="宋体" w:hAnsi="宋体" w:cs="宋体"/>
                <w:color w:val="auto"/>
                <w:kern w:val="0"/>
                <w:sz w:val="20"/>
                <w:szCs w:val="20"/>
              </w:rPr>
              <w:t>）</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24</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1.</w:t>
            </w:r>
            <w:r>
              <w:rPr>
                <w:rFonts w:hint="eastAsia" w:ascii="宋体" w:hAnsi="宋体" w:cs="宋体"/>
                <w:color w:val="auto"/>
                <w:kern w:val="0"/>
                <w:sz w:val="20"/>
                <w:szCs w:val="20"/>
              </w:rPr>
              <w:t>新产品设计费</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25</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2.</w:t>
            </w:r>
            <w:r>
              <w:rPr>
                <w:rFonts w:hint="eastAsia" w:ascii="宋体" w:hAnsi="宋体" w:cs="宋体"/>
                <w:color w:val="auto"/>
                <w:kern w:val="0"/>
                <w:sz w:val="20"/>
                <w:szCs w:val="20"/>
              </w:rPr>
              <w:t>新工艺规程制定费</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26</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3.</w:t>
            </w:r>
            <w:r>
              <w:rPr>
                <w:rFonts w:hint="eastAsia" w:ascii="宋体" w:hAnsi="宋体" w:cs="宋体"/>
                <w:color w:val="auto"/>
                <w:kern w:val="0"/>
                <w:sz w:val="20"/>
                <w:szCs w:val="20"/>
              </w:rPr>
              <w:t>新药研制的临床试验费</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27</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4.</w:t>
            </w:r>
            <w:r>
              <w:rPr>
                <w:rFonts w:hint="eastAsia" w:ascii="宋体" w:hAnsi="宋体" w:cs="宋体"/>
                <w:color w:val="auto"/>
                <w:kern w:val="0"/>
                <w:sz w:val="20"/>
                <w:szCs w:val="20"/>
              </w:rPr>
              <w:t>勘探开发技术的现场试验费</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28</w:t>
            </w:r>
          </w:p>
        </w:tc>
        <w:tc>
          <w:tcPr>
            <w:tcW w:w="7509" w:type="dxa"/>
            <w:tcBorders>
              <w:tl2br w:val="nil"/>
              <w:tr2bl w:val="nil"/>
            </w:tcBorders>
            <w:noWrap w:val="0"/>
            <w:vAlign w:val="center"/>
          </w:tcPr>
          <w:p>
            <w:pPr>
              <w:widowControl/>
              <w:ind w:firstLine="400" w:firstLineChars="200"/>
              <w:jc w:val="left"/>
              <w:rPr>
                <w:rFonts w:ascii="宋体" w:eastAsia="宋体"/>
                <w:color w:val="auto"/>
                <w:kern w:val="0"/>
                <w:sz w:val="20"/>
                <w:szCs w:val="20"/>
              </w:rPr>
            </w:pPr>
            <w:r>
              <w:rPr>
                <w:rFonts w:hint="eastAsia" w:ascii="宋体" w:hAnsi="宋体" w:cs="宋体"/>
                <w:color w:val="auto"/>
                <w:kern w:val="0"/>
                <w:sz w:val="20"/>
                <w:szCs w:val="20"/>
              </w:rPr>
              <w:t>（六）其他相关费用（</w:t>
            </w:r>
            <w:r>
              <w:rPr>
                <w:rFonts w:ascii="宋体" w:hAnsi="宋体" w:cs="宋体"/>
                <w:color w:val="auto"/>
                <w:kern w:val="0"/>
                <w:sz w:val="20"/>
                <w:szCs w:val="20"/>
              </w:rPr>
              <w:t>29＋30＋31＋32＋33</w:t>
            </w:r>
            <w:r>
              <w:rPr>
                <w:rFonts w:hint="eastAsia" w:ascii="宋体" w:hAnsi="宋体" w:cs="宋体"/>
                <w:color w:val="auto"/>
                <w:kern w:val="0"/>
                <w:sz w:val="20"/>
                <w:szCs w:val="20"/>
              </w:rPr>
              <w:t>）</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29</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1.</w:t>
            </w:r>
            <w:r>
              <w:rPr>
                <w:rFonts w:hint="eastAsia" w:ascii="宋体" w:hAnsi="宋体" w:cs="宋体"/>
                <w:color w:val="auto"/>
                <w:kern w:val="0"/>
                <w:sz w:val="20"/>
                <w:szCs w:val="20"/>
              </w:rPr>
              <w:t>技术图书资料费、资料翻译费、专家咨询费、高新科技研发保险费</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30</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2.</w:t>
            </w:r>
            <w:r>
              <w:rPr>
                <w:rFonts w:hint="eastAsia" w:ascii="宋体" w:hAnsi="宋体" w:cs="宋体"/>
                <w:color w:val="auto"/>
                <w:kern w:val="0"/>
                <w:sz w:val="20"/>
                <w:szCs w:val="20"/>
              </w:rPr>
              <w:t>研发成果的检索、分析、评议、论证、鉴定、评审、评估、验收费用</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31</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3.</w:t>
            </w:r>
            <w:r>
              <w:rPr>
                <w:rFonts w:hint="eastAsia" w:ascii="宋体" w:hAnsi="宋体" w:cs="宋体"/>
                <w:color w:val="auto"/>
                <w:kern w:val="0"/>
                <w:sz w:val="20"/>
                <w:szCs w:val="20"/>
              </w:rPr>
              <w:t>知识产权的申请费、注册费、代理费</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32</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4.</w:t>
            </w:r>
            <w:r>
              <w:rPr>
                <w:rFonts w:hint="eastAsia" w:ascii="宋体" w:hAnsi="宋体" w:cs="宋体"/>
                <w:color w:val="auto"/>
                <w:kern w:val="0"/>
                <w:sz w:val="20"/>
                <w:szCs w:val="20"/>
              </w:rPr>
              <w:t>职工福利费、补充养老保险费、补充医疗保险费</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33</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ascii="宋体" w:hAnsi="宋体" w:cs="宋体"/>
                <w:color w:val="auto"/>
                <w:kern w:val="0"/>
                <w:sz w:val="20"/>
                <w:szCs w:val="20"/>
              </w:rPr>
              <w:t>5.</w:t>
            </w:r>
            <w:r>
              <w:rPr>
                <w:rFonts w:hint="eastAsia" w:ascii="宋体" w:hAnsi="宋体" w:cs="宋体"/>
                <w:color w:val="auto"/>
                <w:kern w:val="0"/>
                <w:sz w:val="20"/>
                <w:szCs w:val="20"/>
              </w:rPr>
              <w:t>差旅费、会议费</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34</w:t>
            </w:r>
          </w:p>
        </w:tc>
        <w:tc>
          <w:tcPr>
            <w:tcW w:w="7509" w:type="dxa"/>
            <w:tcBorders>
              <w:tl2br w:val="nil"/>
              <w:tr2bl w:val="nil"/>
            </w:tcBorders>
            <w:noWrap w:val="0"/>
            <w:vAlign w:val="center"/>
          </w:tcPr>
          <w:p>
            <w:pPr>
              <w:widowControl/>
              <w:ind w:firstLine="400" w:firstLineChars="200"/>
              <w:jc w:val="left"/>
              <w:rPr>
                <w:rFonts w:ascii="宋体"/>
                <w:color w:val="auto"/>
                <w:kern w:val="0"/>
                <w:sz w:val="20"/>
                <w:szCs w:val="20"/>
              </w:rPr>
            </w:pPr>
            <w:r>
              <w:rPr>
                <w:rFonts w:hint="eastAsia" w:ascii="宋体" w:hAnsi="宋体" w:cs="宋体"/>
                <w:color w:val="auto"/>
                <w:kern w:val="0"/>
                <w:sz w:val="20"/>
                <w:szCs w:val="20"/>
              </w:rPr>
              <w:t>（七）经限额调整后的其他相关费用</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35</w:t>
            </w:r>
          </w:p>
        </w:tc>
        <w:tc>
          <w:tcPr>
            <w:tcW w:w="7509" w:type="dxa"/>
            <w:tcBorders>
              <w:tl2br w:val="nil"/>
              <w:tr2bl w:val="nil"/>
            </w:tcBorders>
            <w:noWrap w:val="0"/>
            <w:vAlign w:val="center"/>
          </w:tcPr>
          <w:p>
            <w:pPr>
              <w:widowControl/>
              <w:jc w:val="left"/>
              <w:rPr>
                <w:rFonts w:ascii="宋体" w:eastAsia="宋体"/>
                <w:color w:val="auto"/>
                <w:kern w:val="0"/>
                <w:sz w:val="20"/>
                <w:szCs w:val="20"/>
              </w:rPr>
            </w:pPr>
            <w:r>
              <w:rPr>
                <w:rFonts w:hint="eastAsia" w:ascii="宋体" w:hAnsi="宋体" w:cs="宋体"/>
                <w:color w:val="auto"/>
                <w:kern w:val="0"/>
                <w:sz w:val="20"/>
                <w:szCs w:val="20"/>
              </w:rPr>
              <w:t>二、委托研发（</w:t>
            </w:r>
            <w:r>
              <w:rPr>
                <w:rFonts w:ascii="宋体" w:hAnsi="宋体" w:cs="宋体"/>
                <w:color w:val="auto"/>
                <w:kern w:val="0"/>
                <w:sz w:val="20"/>
                <w:szCs w:val="20"/>
              </w:rPr>
              <w:t>36＋37＋39</w:t>
            </w:r>
            <w:r>
              <w:rPr>
                <w:rFonts w:hint="eastAsia" w:ascii="宋体" w:hAnsi="宋体" w:cs="宋体"/>
                <w:color w:val="auto"/>
                <w:kern w:val="0"/>
                <w:sz w:val="20"/>
                <w:szCs w:val="20"/>
              </w:rPr>
              <w:t>）</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36</w:t>
            </w:r>
          </w:p>
        </w:tc>
        <w:tc>
          <w:tcPr>
            <w:tcW w:w="7509" w:type="dxa"/>
            <w:tcBorders>
              <w:tl2br w:val="nil"/>
              <w:tr2bl w:val="nil"/>
            </w:tcBorders>
            <w:noWrap w:val="0"/>
            <w:vAlign w:val="center"/>
          </w:tcPr>
          <w:p>
            <w:pPr>
              <w:widowControl/>
              <w:ind w:firstLine="417" w:firstLineChars="209"/>
              <w:jc w:val="left"/>
              <w:rPr>
                <w:rFonts w:ascii="宋体"/>
                <w:color w:val="auto"/>
                <w:kern w:val="0"/>
                <w:sz w:val="20"/>
                <w:szCs w:val="20"/>
              </w:rPr>
            </w:pPr>
            <w:r>
              <w:rPr>
                <w:rFonts w:hint="eastAsia" w:ascii="宋体" w:hAnsi="宋体" w:cs="宋体"/>
                <w:color w:val="auto"/>
                <w:kern w:val="0"/>
                <w:sz w:val="20"/>
                <w:szCs w:val="20"/>
              </w:rPr>
              <w:t>（一）委托境内机构或个人进行研发活动所发生的费用</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37</w:t>
            </w:r>
          </w:p>
        </w:tc>
        <w:tc>
          <w:tcPr>
            <w:tcW w:w="7509" w:type="dxa"/>
            <w:tcBorders>
              <w:tl2br w:val="nil"/>
              <w:tr2bl w:val="nil"/>
            </w:tcBorders>
            <w:noWrap w:val="0"/>
            <w:vAlign w:val="center"/>
          </w:tcPr>
          <w:p>
            <w:pPr>
              <w:widowControl/>
              <w:ind w:firstLine="417" w:firstLineChars="209"/>
              <w:jc w:val="left"/>
              <w:rPr>
                <w:rFonts w:ascii="宋体"/>
                <w:color w:val="auto"/>
                <w:kern w:val="0"/>
                <w:sz w:val="20"/>
                <w:szCs w:val="20"/>
              </w:rPr>
            </w:pPr>
            <w:r>
              <w:rPr>
                <w:rFonts w:hint="eastAsia" w:ascii="宋体" w:hAnsi="宋体" w:cs="宋体"/>
                <w:color w:val="auto"/>
                <w:kern w:val="0"/>
                <w:sz w:val="20"/>
                <w:szCs w:val="20"/>
              </w:rPr>
              <w:t>（二）委托境外机构进行研发活动发生的费用</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38</w:t>
            </w:r>
          </w:p>
        </w:tc>
        <w:tc>
          <w:tcPr>
            <w:tcW w:w="7509" w:type="dxa"/>
            <w:tcBorders>
              <w:tl2br w:val="nil"/>
              <w:tr2bl w:val="nil"/>
            </w:tcBorders>
            <w:noWrap w:val="0"/>
            <w:vAlign w:val="center"/>
          </w:tcPr>
          <w:p>
            <w:pPr>
              <w:widowControl/>
              <w:ind w:firstLine="800" w:firstLineChars="400"/>
              <w:jc w:val="left"/>
              <w:rPr>
                <w:rFonts w:ascii="宋体"/>
                <w:color w:val="auto"/>
                <w:kern w:val="0"/>
                <w:sz w:val="20"/>
                <w:szCs w:val="20"/>
              </w:rPr>
            </w:pPr>
            <w:r>
              <w:rPr>
                <w:rFonts w:hint="eastAsia" w:ascii="宋体" w:hAnsi="宋体" w:cs="宋体"/>
                <w:color w:val="auto"/>
                <w:kern w:val="0"/>
                <w:sz w:val="20"/>
                <w:szCs w:val="20"/>
              </w:rPr>
              <w:t>其中：允许加计扣除的委托境外机构进行研发活动发生的费用</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39</w:t>
            </w:r>
          </w:p>
        </w:tc>
        <w:tc>
          <w:tcPr>
            <w:tcW w:w="7509" w:type="dxa"/>
            <w:tcBorders>
              <w:tl2br w:val="nil"/>
              <w:tr2bl w:val="nil"/>
            </w:tcBorders>
            <w:noWrap w:val="0"/>
            <w:vAlign w:val="center"/>
          </w:tcPr>
          <w:p>
            <w:pPr>
              <w:widowControl/>
              <w:ind w:firstLine="417" w:firstLineChars="209"/>
              <w:jc w:val="left"/>
              <w:rPr>
                <w:rFonts w:ascii="宋体"/>
                <w:color w:val="auto"/>
                <w:kern w:val="0"/>
                <w:sz w:val="20"/>
                <w:szCs w:val="20"/>
              </w:rPr>
            </w:pPr>
            <w:r>
              <w:rPr>
                <w:rFonts w:hint="eastAsia" w:ascii="宋体" w:hAnsi="宋体" w:cs="宋体"/>
                <w:color w:val="auto"/>
                <w:kern w:val="0"/>
                <w:sz w:val="20"/>
                <w:szCs w:val="20"/>
              </w:rPr>
              <w:t>（三）委托境外个人进行研发活动发生的费用</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40</w:t>
            </w:r>
          </w:p>
        </w:tc>
        <w:tc>
          <w:tcPr>
            <w:tcW w:w="7509" w:type="dxa"/>
            <w:tcBorders>
              <w:tl2br w:val="nil"/>
              <w:tr2bl w:val="nil"/>
            </w:tcBorders>
            <w:noWrap w:val="0"/>
            <w:vAlign w:val="center"/>
          </w:tcPr>
          <w:p>
            <w:pPr>
              <w:widowControl/>
              <w:jc w:val="left"/>
              <w:rPr>
                <w:rFonts w:ascii="宋体" w:eastAsia="宋体"/>
                <w:color w:val="auto"/>
                <w:kern w:val="0"/>
                <w:sz w:val="20"/>
                <w:szCs w:val="20"/>
              </w:rPr>
            </w:pPr>
            <w:r>
              <w:rPr>
                <w:rFonts w:hint="eastAsia" w:ascii="宋体" w:hAnsi="宋体" w:cs="宋体"/>
                <w:color w:val="auto"/>
                <w:kern w:val="0"/>
                <w:sz w:val="20"/>
                <w:szCs w:val="20"/>
              </w:rPr>
              <w:t>三、年度研发费用小计（</w:t>
            </w:r>
            <w:r>
              <w:rPr>
                <w:rFonts w:ascii="宋体" w:hAnsi="宋体" w:cs="宋体"/>
                <w:color w:val="auto"/>
                <w:kern w:val="0"/>
                <w:sz w:val="20"/>
                <w:szCs w:val="20"/>
              </w:rPr>
              <w:t>2＋36</w:t>
            </w:r>
            <w:r>
              <w:rPr>
                <w:rFonts w:hint="eastAsia" w:ascii="宋体" w:hAnsi="宋体" w:cs="宋体"/>
                <w:color w:val="auto"/>
                <w:kern w:val="0"/>
                <w:sz w:val="20"/>
                <w:szCs w:val="20"/>
              </w:rPr>
              <w:t>×</w:t>
            </w:r>
            <w:r>
              <w:rPr>
                <w:rFonts w:ascii="宋体" w:hAnsi="宋体" w:cs="宋体"/>
                <w:color w:val="auto"/>
                <w:kern w:val="0"/>
                <w:sz w:val="20"/>
                <w:szCs w:val="20"/>
              </w:rPr>
              <w:t>80%＋38</w:t>
            </w:r>
            <w:r>
              <w:rPr>
                <w:rFonts w:hint="eastAsia" w:ascii="宋体" w:hAnsi="宋体" w:cs="宋体"/>
                <w:color w:val="auto"/>
                <w:kern w:val="0"/>
                <w:sz w:val="20"/>
                <w:szCs w:val="20"/>
              </w:rPr>
              <w:t>）</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41</w:t>
            </w:r>
          </w:p>
        </w:tc>
        <w:tc>
          <w:tcPr>
            <w:tcW w:w="7509" w:type="dxa"/>
            <w:tcBorders>
              <w:tl2br w:val="nil"/>
              <w:tr2bl w:val="nil"/>
            </w:tcBorders>
            <w:noWrap w:val="0"/>
            <w:vAlign w:val="center"/>
          </w:tcPr>
          <w:p>
            <w:pPr>
              <w:widowControl/>
              <w:ind w:firstLine="400" w:firstLineChars="200"/>
              <w:jc w:val="left"/>
              <w:rPr>
                <w:rFonts w:ascii="宋体"/>
                <w:color w:val="auto"/>
                <w:kern w:val="0"/>
                <w:sz w:val="20"/>
                <w:szCs w:val="20"/>
              </w:rPr>
            </w:pPr>
            <w:r>
              <w:rPr>
                <w:rFonts w:hint="eastAsia" w:ascii="宋体" w:hAnsi="宋体" w:cs="宋体"/>
                <w:color w:val="auto"/>
                <w:kern w:val="0"/>
                <w:sz w:val="20"/>
                <w:szCs w:val="20"/>
              </w:rPr>
              <w:t>（一）本年费用化金额</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42</w:t>
            </w:r>
          </w:p>
        </w:tc>
        <w:tc>
          <w:tcPr>
            <w:tcW w:w="7509" w:type="dxa"/>
            <w:tcBorders>
              <w:tl2br w:val="nil"/>
              <w:tr2bl w:val="nil"/>
            </w:tcBorders>
            <w:noWrap w:val="0"/>
            <w:vAlign w:val="center"/>
          </w:tcPr>
          <w:p>
            <w:pPr>
              <w:widowControl/>
              <w:ind w:firstLine="400" w:firstLineChars="200"/>
              <w:jc w:val="left"/>
              <w:rPr>
                <w:rFonts w:ascii="宋体"/>
                <w:color w:val="auto"/>
                <w:kern w:val="0"/>
                <w:sz w:val="20"/>
                <w:szCs w:val="20"/>
              </w:rPr>
            </w:pPr>
            <w:r>
              <w:rPr>
                <w:rFonts w:hint="eastAsia" w:ascii="宋体" w:hAnsi="宋体" w:cs="宋体"/>
                <w:color w:val="auto"/>
                <w:kern w:val="0"/>
                <w:sz w:val="20"/>
                <w:szCs w:val="20"/>
              </w:rPr>
              <w:t>（二）本年资本化金额</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43</w:t>
            </w:r>
          </w:p>
        </w:tc>
        <w:tc>
          <w:tcPr>
            <w:tcW w:w="7509" w:type="dxa"/>
            <w:tcBorders>
              <w:tl2br w:val="nil"/>
              <w:tr2bl w:val="nil"/>
            </w:tcBorders>
            <w:noWrap w:val="0"/>
            <w:vAlign w:val="center"/>
          </w:tcPr>
          <w:p>
            <w:pPr>
              <w:widowControl/>
              <w:jc w:val="left"/>
              <w:rPr>
                <w:rFonts w:ascii="宋体"/>
                <w:color w:val="auto"/>
                <w:kern w:val="0"/>
                <w:sz w:val="20"/>
                <w:szCs w:val="20"/>
              </w:rPr>
            </w:pPr>
            <w:r>
              <w:rPr>
                <w:rFonts w:hint="eastAsia" w:ascii="宋体" w:hAnsi="宋体" w:cs="宋体"/>
                <w:color w:val="auto"/>
                <w:kern w:val="0"/>
                <w:sz w:val="20"/>
                <w:szCs w:val="20"/>
              </w:rPr>
              <w:t>四、本年形成无形资产摊销额</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44</w:t>
            </w:r>
          </w:p>
        </w:tc>
        <w:tc>
          <w:tcPr>
            <w:tcW w:w="7509" w:type="dxa"/>
            <w:tcBorders>
              <w:tl2br w:val="nil"/>
              <w:tr2bl w:val="nil"/>
            </w:tcBorders>
            <w:noWrap w:val="0"/>
            <w:vAlign w:val="center"/>
          </w:tcPr>
          <w:p>
            <w:pPr>
              <w:widowControl/>
              <w:jc w:val="left"/>
              <w:rPr>
                <w:rFonts w:ascii="宋体"/>
                <w:color w:val="auto"/>
                <w:kern w:val="0"/>
                <w:sz w:val="20"/>
                <w:szCs w:val="20"/>
              </w:rPr>
            </w:pPr>
            <w:r>
              <w:rPr>
                <w:rFonts w:hint="eastAsia" w:ascii="宋体" w:hAnsi="宋体" w:cs="宋体"/>
                <w:color w:val="auto"/>
                <w:kern w:val="0"/>
                <w:sz w:val="20"/>
                <w:szCs w:val="20"/>
              </w:rPr>
              <w:t>五、以前年度形成无形资产本年摊销额</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45</w:t>
            </w:r>
          </w:p>
        </w:tc>
        <w:tc>
          <w:tcPr>
            <w:tcW w:w="7509" w:type="dxa"/>
            <w:tcBorders>
              <w:tl2br w:val="nil"/>
              <w:tr2bl w:val="nil"/>
            </w:tcBorders>
            <w:noWrap w:val="0"/>
            <w:vAlign w:val="center"/>
          </w:tcPr>
          <w:p>
            <w:pPr>
              <w:widowControl/>
              <w:jc w:val="left"/>
              <w:rPr>
                <w:rFonts w:ascii="宋体" w:eastAsia="宋体"/>
                <w:color w:val="auto"/>
                <w:kern w:val="0"/>
                <w:sz w:val="20"/>
                <w:szCs w:val="20"/>
              </w:rPr>
            </w:pPr>
            <w:r>
              <w:rPr>
                <w:rFonts w:hint="eastAsia" w:ascii="宋体" w:hAnsi="宋体" w:cs="宋体"/>
                <w:color w:val="auto"/>
                <w:kern w:val="0"/>
                <w:sz w:val="20"/>
                <w:szCs w:val="20"/>
              </w:rPr>
              <w:t>六、允许扣除的研发费用合计（</w:t>
            </w:r>
            <w:r>
              <w:rPr>
                <w:rFonts w:ascii="宋体" w:hAnsi="宋体" w:cs="宋体"/>
                <w:color w:val="auto"/>
                <w:kern w:val="0"/>
                <w:sz w:val="20"/>
                <w:szCs w:val="20"/>
              </w:rPr>
              <w:t>41＋43＋44</w:t>
            </w:r>
            <w:r>
              <w:rPr>
                <w:rFonts w:hint="eastAsia" w:ascii="宋体" w:hAnsi="宋体" w:cs="宋体"/>
                <w:color w:val="auto"/>
                <w:kern w:val="0"/>
                <w:sz w:val="20"/>
                <w:szCs w:val="20"/>
              </w:rPr>
              <w:t>）</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46</w:t>
            </w:r>
          </w:p>
        </w:tc>
        <w:tc>
          <w:tcPr>
            <w:tcW w:w="7509" w:type="dxa"/>
            <w:tcBorders>
              <w:tl2br w:val="nil"/>
              <w:tr2bl w:val="nil"/>
            </w:tcBorders>
            <w:noWrap w:val="0"/>
            <w:vAlign w:val="center"/>
          </w:tcPr>
          <w:p>
            <w:pPr>
              <w:widowControl/>
              <w:ind w:firstLine="400" w:firstLineChars="200"/>
              <w:jc w:val="left"/>
              <w:rPr>
                <w:rFonts w:ascii="宋体"/>
                <w:color w:val="auto"/>
                <w:kern w:val="0"/>
                <w:sz w:val="20"/>
                <w:szCs w:val="20"/>
              </w:rPr>
            </w:pPr>
            <w:r>
              <w:rPr>
                <w:rFonts w:hint="eastAsia" w:ascii="宋体" w:hAnsi="宋体" w:cs="宋体"/>
                <w:color w:val="auto"/>
                <w:kern w:val="0"/>
                <w:sz w:val="20"/>
                <w:szCs w:val="20"/>
              </w:rPr>
              <w:t>减：特殊收入部分</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47</w:t>
            </w:r>
          </w:p>
        </w:tc>
        <w:tc>
          <w:tcPr>
            <w:tcW w:w="7509" w:type="dxa"/>
            <w:tcBorders>
              <w:tl2br w:val="nil"/>
              <w:tr2bl w:val="nil"/>
            </w:tcBorders>
            <w:noWrap w:val="0"/>
            <w:vAlign w:val="center"/>
          </w:tcPr>
          <w:p>
            <w:pPr>
              <w:widowControl/>
              <w:jc w:val="left"/>
              <w:rPr>
                <w:rFonts w:ascii="宋体" w:eastAsia="宋体"/>
                <w:color w:val="auto"/>
                <w:kern w:val="0"/>
                <w:sz w:val="20"/>
                <w:szCs w:val="20"/>
              </w:rPr>
            </w:pPr>
            <w:r>
              <w:rPr>
                <w:rFonts w:hint="eastAsia" w:ascii="宋体" w:hAnsi="宋体" w:cs="宋体"/>
                <w:color w:val="auto"/>
                <w:kern w:val="0"/>
                <w:sz w:val="20"/>
                <w:szCs w:val="20"/>
              </w:rPr>
              <w:t>七、允许扣除的研发费用抵减特殊收入后的金额（</w:t>
            </w:r>
            <w:r>
              <w:rPr>
                <w:rFonts w:ascii="宋体" w:hAnsi="宋体" w:cs="宋体"/>
                <w:color w:val="auto"/>
                <w:kern w:val="0"/>
                <w:sz w:val="20"/>
                <w:szCs w:val="20"/>
              </w:rPr>
              <w:t>45－46</w:t>
            </w:r>
            <w:r>
              <w:rPr>
                <w:rFonts w:hint="eastAsia" w:ascii="宋体" w:hAnsi="宋体" w:cs="宋体"/>
                <w:color w:val="auto"/>
                <w:kern w:val="0"/>
                <w:sz w:val="20"/>
                <w:szCs w:val="20"/>
              </w:rPr>
              <w:t>）</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48</w:t>
            </w:r>
          </w:p>
        </w:tc>
        <w:tc>
          <w:tcPr>
            <w:tcW w:w="7509" w:type="dxa"/>
            <w:tcBorders>
              <w:tl2br w:val="nil"/>
              <w:tr2bl w:val="nil"/>
            </w:tcBorders>
            <w:noWrap w:val="0"/>
            <w:vAlign w:val="center"/>
          </w:tcPr>
          <w:p>
            <w:pPr>
              <w:widowControl/>
              <w:ind w:firstLine="400" w:firstLineChars="200"/>
              <w:jc w:val="left"/>
              <w:rPr>
                <w:rFonts w:ascii="宋体"/>
                <w:color w:val="auto"/>
                <w:kern w:val="0"/>
                <w:sz w:val="20"/>
                <w:szCs w:val="20"/>
              </w:rPr>
            </w:pPr>
            <w:r>
              <w:rPr>
                <w:rFonts w:hint="eastAsia" w:ascii="宋体" w:hAnsi="宋体" w:cs="宋体"/>
                <w:color w:val="auto"/>
                <w:kern w:val="0"/>
                <w:sz w:val="20"/>
                <w:szCs w:val="20"/>
              </w:rPr>
              <w:t>减：当年销售研发活动直接形成产品（包括组成部分）对应的材料部分</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49</w:t>
            </w:r>
          </w:p>
        </w:tc>
        <w:tc>
          <w:tcPr>
            <w:tcW w:w="7509" w:type="dxa"/>
            <w:tcBorders>
              <w:tl2br w:val="nil"/>
              <w:tr2bl w:val="nil"/>
            </w:tcBorders>
            <w:noWrap w:val="0"/>
            <w:vAlign w:val="center"/>
          </w:tcPr>
          <w:p>
            <w:pPr>
              <w:widowControl/>
              <w:ind w:firstLine="400" w:firstLineChars="200"/>
              <w:jc w:val="left"/>
              <w:rPr>
                <w:rFonts w:ascii="宋体"/>
                <w:color w:val="auto"/>
                <w:kern w:val="0"/>
                <w:sz w:val="20"/>
                <w:szCs w:val="20"/>
              </w:rPr>
            </w:pPr>
            <w:r>
              <w:rPr>
                <w:rFonts w:hint="eastAsia" w:ascii="宋体" w:hAnsi="宋体" w:cs="宋体"/>
                <w:color w:val="auto"/>
                <w:kern w:val="0"/>
                <w:sz w:val="20"/>
                <w:szCs w:val="20"/>
              </w:rPr>
              <w:t>减：以前年度销售研发活动直接形成产品（包括组成部分）对应材料部分结转金额</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50</w:t>
            </w:r>
          </w:p>
        </w:tc>
        <w:tc>
          <w:tcPr>
            <w:tcW w:w="7509" w:type="dxa"/>
            <w:tcBorders>
              <w:tl2br w:val="nil"/>
              <w:tr2bl w:val="nil"/>
            </w:tcBorders>
            <w:noWrap w:val="0"/>
            <w:vAlign w:val="center"/>
          </w:tcPr>
          <w:p>
            <w:pPr>
              <w:widowControl/>
              <w:jc w:val="left"/>
              <w:rPr>
                <w:rFonts w:ascii="宋体"/>
                <w:color w:val="auto"/>
                <w:kern w:val="0"/>
                <w:sz w:val="20"/>
                <w:szCs w:val="20"/>
              </w:rPr>
            </w:pPr>
            <w:r>
              <w:rPr>
                <w:rFonts w:hint="eastAsia" w:ascii="宋体" w:hAnsi="宋体" w:cs="宋体"/>
                <w:color w:val="auto"/>
                <w:kern w:val="0"/>
                <w:sz w:val="20"/>
                <w:szCs w:val="20"/>
              </w:rPr>
              <w:t>八、加计扣除比例及计算方法</w:t>
            </w:r>
          </w:p>
        </w:tc>
        <w:tc>
          <w:tcPr>
            <w:tcW w:w="1494" w:type="dxa"/>
            <w:tcBorders>
              <w:tl2br w:val="nil"/>
              <w:tr2bl w:val="nil"/>
            </w:tcBorders>
            <w:noWrap w:val="0"/>
            <w:vAlign w:val="center"/>
          </w:tcPr>
          <w:p>
            <w:pPr>
              <w:widowControl/>
              <w:jc w:val="right"/>
              <w:rPr>
                <w:rFonts w:ascii="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51</w:t>
            </w:r>
          </w:p>
        </w:tc>
        <w:tc>
          <w:tcPr>
            <w:tcW w:w="7509" w:type="dxa"/>
            <w:tcBorders>
              <w:tl2br w:val="nil"/>
              <w:tr2bl w:val="nil"/>
            </w:tcBorders>
            <w:noWrap w:val="0"/>
            <w:vAlign w:val="center"/>
          </w:tcPr>
          <w:p>
            <w:pPr>
              <w:widowControl/>
              <w:jc w:val="left"/>
              <w:rPr>
                <w:rFonts w:ascii="宋体"/>
                <w:color w:val="auto"/>
                <w:kern w:val="0"/>
                <w:sz w:val="20"/>
                <w:szCs w:val="20"/>
              </w:rPr>
            </w:pPr>
            <w:r>
              <w:rPr>
                <w:rFonts w:hint="eastAsia" w:ascii="宋体" w:hAnsi="宋体" w:cs="宋体"/>
                <w:color w:val="auto"/>
                <w:kern w:val="0"/>
                <w:sz w:val="20"/>
                <w:szCs w:val="20"/>
              </w:rPr>
              <w:t>九、本年研发费用加计扣除总额（47－48－49）×</w:t>
            </w:r>
            <w:r>
              <w:rPr>
                <w:rFonts w:ascii="宋体" w:hAnsi="宋体" w:cs="宋体"/>
                <w:color w:val="auto"/>
                <w:kern w:val="0"/>
                <w:sz w:val="20"/>
                <w:szCs w:val="20"/>
              </w:rPr>
              <w:t>50</w:t>
            </w:r>
          </w:p>
        </w:tc>
        <w:tc>
          <w:tcPr>
            <w:tcW w:w="1494" w:type="dxa"/>
            <w:tcBorders>
              <w:tl2br w:val="nil"/>
              <w:tr2bl w:val="nil"/>
            </w:tcBorders>
            <w:noWrap w:val="0"/>
            <w:vAlign w:val="center"/>
          </w:tcPr>
          <w:p>
            <w:pPr>
              <w:widowControl/>
              <w:jc w:val="right"/>
              <w:rPr>
                <w:rFonts w:ascii="宋体"/>
                <w:b/>
                <w:bCs/>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98" w:type="dxa"/>
            <w:tcBorders>
              <w:tl2br w:val="nil"/>
              <w:tr2bl w:val="nil"/>
            </w:tcBorders>
            <w:noWrap w:val="0"/>
            <w:vAlign w:val="center"/>
          </w:tcPr>
          <w:p>
            <w:pPr>
              <w:widowControl/>
              <w:jc w:val="center"/>
              <w:rPr>
                <w:rFonts w:ascii="宋体"/>
                <w:color w:val="auto"/>
                <w:kern w:val="0"/>
                <w:sz w:val="20"/>
                <w:szCs w:val="20"/>
              </w:rPr>
            </w:pPr>
            <w:r>
              <w:rPr>
                <w:rFonts w:ascii="宋体" w:hAnsi="宋体" w:cs="宋体"/>
                <w:color w:val="auto"/>
                <w:kern w:val="0"/>
                <w:sz w:val="20"/>
                <w:szCs w:val="20"/>
              </w:rPr>
              <w:t>52</w:t>
            </w:r>
          </w:p>
        </w:tc>
        <w:tc>
          <w:tcPr>
            <w:tcW w:w="7509" w:type="dxa"/>
            <w:tcBorders>
              <w:tl2br w:val="nil"/>
              <w:tr2bl w:val="nil"/>
            </w:tcBorders>
            <w:noWrap w:val="0"/>
            <w:vAlign w:val="center"/>
          </w:tcPr>
          <w:p>
            <w:pPr>
              <w:widowControl/>
              <w:ind w:left="384" w:hanging="384" w:hangingChars="192"/>
              <w:jc w:val="left"/>
              <w:rPr>
                <w:rFonts w:ascii="宋体" w:eastAsia="宋体"/>
                <w:color w:val="auto"/>
                <w:kern w:val="0"/>
                <w:sz w:val="20"/>
                <w:szCs w:val="20"/>
              </w:rPr>
            </w:pPr>
            <w:r>
              <w:rPr>
                <w:rFonts w:hint="eastAsia" w:ascii="宋体" w:hAnsi="宋体" w:cs="宋体"/>
                <w:color w:val="auto"/>
                <w:kern w:val="0"/>
                <w:sz w:val="20"/>
                <w:szCs w:val="20"/>
              </w:rPr>
              <w:t>十、销售研发活动直接形成产品（包括组成部分）对应材料部分结转以后年度扣减金额（当</w:t>
            </w:r>
            <w:r>
              <w:rPr>
                <w:rFonts w:ascii="宋体" w:hAnsi="宋体" w:cs="宋体"/>
                <w:color w:val="auto"/>
                <w:kern w:val="0"/>
                <w:sz w:val="20"/>
                <w:szCs w:val="20"/>
              </w:rPr>
              <w:t>47－48－49</w:t>
            </w:r>
            <w:r>
              <w:rPr>
                <w:rFonts w:hint="eastAsia" w:ascii="宋体" w:hAnsi="宋体" w:cs="宋体"/>
                <w:color w:val="auto"/>
                <w:kern w:val="0"/>
                <w:sz w:val="20"/>
                <w:szCs w:val="20"/>
              </w:rPr>
              <w:t>≥</w:t>
            </w:r>
            <w:r>
              <w:rPr>
                <w:rFonts w:ascii="宋体" w:cs="宋体"/>
                <w:color w:val="auto"/>
                <w:kern w:val="0"/>
                <w:sz w:val="20"/>
                <w:szCs w:val="20"/>
              </w:rPr>
              <w:t>0</w:t>
            </w:r>
            <w:r>
              <w:rPr>
                <w:rFonts w:hint="eastAsia" w:ascii="宋体" w:hAnsi="宋体" w:cs="宋体"/>
                <w:color w:val="auto"/>
                <w:kern w:val="0"/>
                <w:sz w:val="20"/>
                <w:szCs w:val="20"/>
              </w:rPr>
              <w:t>，本行</w:t>
            </w:r>
            <w:r>
              <w:rPr>
                <w:rFonts w:ascii="宋体" w:hAnsi="宋体" w:cs="宋体"/>
                <w:color w:val="auto"/>
                <w:kern w:val="0"/>
                <w:sz w:val="20"/>
                <w:szCs w:val="20"/>
              </w:rPr>
              <w:t>＝0</w:t>
            </w:r>
            <w:r>
              <w:rPr>
                <w:rFonts w:hint="eastAsia" w:ascii="宋体" w:hAnsi="宋体" w:cs="宋体"/>
                <w:color w:val="auto"/>
                <w:kern w:val="0"/>
                <w:sz w:val="20"/>
                <w:szCs w:val="20"/>
              </w:rPr>
              <w:t>；当</w:t>
            </w:r>
            <w:r>
              <w:rPr>
                <w:rFonts w:ascii="宋体" w:hAnsi="宋体" w:cs="宋体"/>
                <w:color w:val="auto"/>
                <w:kern w:val="0"/>
                <w:sz w:val="20"/>
                <w:szCs w:val="20"/>
              </w:rPr>
              <w:t>47－48－49</w:t>
            </w:r>
            <w:r>
              <w:rPr>
                <w:rFonts w:hint="eastAsia" w:ascii="宋体" w:hAnsi="宋体" w:cs="宋体"/>
                <w:color w:val="auto"/>
                <w:kern w:val="0"/>
                <w:sz w:val="20"/>
                <w:szCs w:val="20"/>
              </w:rPr>
              <w:t>＜</w:t>
            </w:r>
            <w:r>
              <w:rPr>
                <w:rFonts w:ascii="宋体" w:hAnsi="宋体" w:cs="宋体"/>
                <w:color w:val="auto"/>
                <w:kern w:val="0"/>
                <w:sz w:val="20"/>
                <w:szCs w:val="20"/>
              </w:rPr>
              <w:t>0</w:t>
            </w:r>
            <w:r>
              <w:rPr>
                <w:rFonts w:hint="eastAsia" w:ascii="宋体" w:hAnsi="宋体" w:cs="宋体"/>
                <w:color w:val="auto"/>
                <w:kern w:val="0"/>
                <w:sz w:val="20"/>
                <w:szCs w:val="20"/>
              </w:rPr>
              <w:t>，本行</w:t>
            </w:r>
            <w:r>
              <w:rPr>
                <w:rFonts w:ascii="宋体" w:hAnsi="宋体" w:cs="宋体"/>
                <w:color w:val="auto"/>
                <w:kern w:val="0"/>
                <w:sz w:val="20"/>
                <w:szCs w:val="20"/>
              </w:rPr>
              <w:t>＝47－48－49</w:t>
            </w:r>
            <w:r>
              <w:rPr>
                <w:rFonts w:hint="eastAsia" w:ascii="宋体" w:hAnsi="宋体" w:cs="宋体"/>
                <w:color w:val="auto"/>
                <w:kern w:val="0"/>
                <w:sz w:val="20"/>
                <w:szCs w:val="20"/>
              </w:rPr>
              <w:t>的绝对值）</w:t>
            </w:r>
          </w:p>
        </w:tc>
        <w:tc>
          <w:tcPr>
            <w:tcW w:w="1494" w:type="dxa"/>
            <w:tcBorders>
              <w:tl2br w:val="nil"/>
              <w:tr2bl w:val="nil"/>
            </w:tcBorders>
            <w:noWrap w:val="0"/>
            <w:vAlign w:val="center"/>
          </w:tcPr>
          <w:p>
            <w:pPr>
              <w:widowControl/>
              <w:jc w:val="right"/>
              <w:rPr>
                <w:rFonts w:ascii="宋体"/>
                <w:color w:val="auto"/>
                <w:kern w:val="0"/>
                <w:sz w:val="20"/>
                <w:szCs w:val="20"/>
              </w:rPr>
            </w:pPr>
          </w:p>
        </w:tc>
      </w:tr>
    </w:tbl>
    <w:p>
      <w:pPr>
        <w:widowControl/>
        <w:jc w:val="left"/>
        <w:rPr>
          <w:rFonts w:hint="eastAsia" w:ascii="宋体" w:hAnsi="宋体" w:cs="宋体"/>
          <w:color w:val="auto"/>
        </w:rPr>
      </w:pPr>
    </w:p>
    <w:p>
      <w:pPr>
        <w:widowControl/>
        <w:jc w:val="left"/>
        <w:rPr>
          <w:rFonts w:hint="eastAsia" w:ascii="宋体" w:hAnsi="宋体" w:cs="宋体"/>
          <w:color w:val="auto"/>
        </w:rPr>
      </w:pPr>
      <w:r>
        <w:rPr>
          <w:rFonts w:hint="eastAsia" w:ascii="宋体" w:hAnsi="宋体" w:cs="宋体"/>
          <w:color w:val="auto"/>
        </w:rPr>
        <w:br w:type="page"/>
      </w:r>
    </w:p>
    <w:p>
      <w:pPr>
        <w:pStyle w:val="13"/>
        <w:rPr>
          <w:rFonts w:hint="eastAsia" w:ascii="方正小标宋_GBK" w:hAnsi="方正小标宋_GBK" w:eastAsia="方正小标宋_GBK" w:cs="方正小标宋_GBK"/>
          <w:color w:val="auto"/>
        </w:rPr>
      </w:pPr>
      <w:bookmarkStart w:id="219" w:name="_Toc339274584"/>
      <w:bookmarkStart w:id="220" w:name="_Toc176972060"/>
      <w:r>
        <w:rPr>
          <w:rFonts w:hint="eastAsia" w:ascii="方正小标宋_GBK" w:hAnsi="方正小标宋_GBK" w:eastAsia="方正小标宋_GBK" w:cs="方正小标宋_GBK"/>
          <w:color w:val="auto"/>
        </w:rPr>
        <w:t>A107012《研发费用加计扣除优惠明细表》填报说明</w:t>
      </w:r>
      <w:bookmarkEnd w:id="219"/>
      <w:bookmarkEnd w:id="220"/>
    </w:p>
    <w:p>
      <w:pPr>
        <w:pStyle w:val="12"/>
        <w:ind w:firstLine="480"/>
        <w:rPr>
          <w:rFonts w:hint="eastAsia"/>
          <w:color w:val="auto"/>
        </w:rPr>
      </w:pPr>
      <w:r>
        <w:rPr>
          <w:rFonts w:hint="eastAsia"/>
          <w:color w:val="auto"/>
        </w:rPr>
        <w:t>本表适用于享受研发费用加计扣除优惠（含结转）政策的纳税人填报。纳税人根据税法、《财政部 国家税务总局 科技部关于完善研究开发费用税前加计扣除政策的通知》（财税〔2015〕119号）、《国家税务总局关于企业研究开发费用税前加计扣除政策有关问题的公告》（2015年第97号）、《科技部 财政部 国家税务总局关于印发〈科技型中小企业评价办法〉的通知》（国科发政〔2017〕115号）、《国家税务总局关于提高科技型中小企业研究开发费用税前加计扣除比例有关问题的公告》（2017年第18号）、《国家税务总局关于研发费用税前加计扣除归集范围有关问题的公告》（2017年第40号）、《财政部 税务总局关于企业委托境外研究开发费用税前加计扣除有关政策问题的通知》（财税〔2018〕64号）、《财政部 税务总局 科技部关于提高研究开发费税前加计扣除比例的通知》（财税〔2018〕99号）、《财政部 税务总局关于延长部分税收优惠政策执行期限的公告》（2021年第6号）、《财政部 税务总局关于进一步完善研发费用税前加计扣除政策的公告》（2021年第13号）、《国家税务总局关于进一步落实研发费用加计扣除政策有关问题的公告》（2021年第28号）、《财政部 税务总局 科技部关于进一步提高科技型中小企业研发费用税前加计扣除比例的公告》（2022年第16号）、《财政部 税务总局 科技部关于加大支持科技创新税前扣除力度的公告》（2022年第28号）、《财政部 税务总局关于进一步完善研发费用税前加计扣除政策的公告》（2023年第7号）</w:t>
      </w:r>
      <w:r>
        <w:rPr>
          <w:rFonts w:hint="eastAsia"/>
          <w:color w:val="auto"/>
          <w:lang w:eastAsia="zh-CN"/>
        </w:rPr>
        <w:t>、《财政部 税务总局 国家发展改革委 工业和信息化部关于提高集成电路和工业母机企业研发费用加计扣除比例的公告》（2023年第44号）</w:t>
      </w:r>
      <w:r>
        <w:rPr>
          <w:rFonts w:hint="eastAsia"/>
          <w:color w:val="auto"/>
        </w:rPr>
        <w:t>等相关税收政策规定，填报本年发生的研发费用加计扣除优惠情况及结转情况。</w:t>
      </w:r>
    </w:p>
    <w:p>
      <w:pPr>
        <w:pStyle w:val="17"/>
        <w:ind w:firstLine="480"/>
        <w:jc w:val="both"/>
        <w:outlineLvl w:val="1"/>
        <w:rPr>
          <w:rFonts w:hint="eastAsia"/>
          <w:color w:val="auto"/>
          <w:sz w:val="24"/>
          <w:szCs w:val="24"/>
        </w:rPr>
      </w:pPr>
      <w:bookmarkStart w:id="221" w:name="_Toc163974814"/>
      <w:bookmarkStart w:id="222" w:name="_Toc938992145_WPSOffice_Level1"/>
      <w:bookmarkStart w:id="223" w:name="_Toc1544771445_WPSOffice_Level1"/>
      <w:bookmarkStart w:id="224" w:name="_Toc176972061"/>
      <w:bookmarkStart w:id="225" w:name="_Toc224972706_WPSOffice_Level1"/>
      <w:bookmarkStart w:id="226" w:name="_Toc1948888115"/>
      <w:bookmarkStart w:id="227" w:name="_Toc15920"/>
      <w:bookmarkStart w:id="228" w:name="_Toc3849"/>
      <w:bookmarkStart w:id="229" w:name="_Toc7719"/>
      <w:bookmarkStart w:id="230" w:name="_Toc29412"/>
      <w:bookmarkStart w:id="231" w:name="_Toc13546"/>
      <w:bookmarkStart w:id="232" w:name="_Toc17294"/>
      <w:bookmarkStart w:id="233" w:name="_Toc1095862920_WPSOffice_Level1"/>
      <w:bookmarkStart w:id="234" w:name="_Toc164008869"/>
      <w:bookmarkStart w:id="235" w:name="_Toc602"/>
      <w:r>
        <w:rPr>
          <w:rFonts w:hint="eastAsia"/>
          <w:color w:val="auto"/>
          <w:sz w:val="24"/>
          <w:szCs w:val="24"/>
        </w:rPr>
        <w:t>一、有关项目填报说明</w:t>
      </w:r>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p>
    <w:p>
      <w:pPr>
        <w:pStyle w:val="12"/>
        <w:ind w:firstLine="480"/>
        <w:rPr>
          <w:rFonts w:hint="default" w:eastAsia="宋体"/>
          <w:color w:val="auto"/>
          <w:lang w:val="en-US" w:eastAsia="zh-CN"/>
        </w:rPr>
      </w:pPr>
      <w:r>
        <w:rPr>
          <w:rFonts w:hint="eastAsia"/>
          <w:color w:val="auto"/>
        </w:rPr>
        <w:t>纳税人根据研发支出辅助账样式选择填报不同行次，当纳税人使用《2021版研发支出辅助账样式》或者使用自行设计研发支出辅助账样式时，第3行“（一）人员人工费用”、第7行“（二）直接投入费用”、第16行“（三）折旧费用”、第19行“（四）无形资产摊销”、第23行“（五）新产品设计费等”、第28行“（六）其他相关费用”等行次下的明细行次无需填报，上述行次不执行规定的表内计算关系。</w:t>
      </w:r>
      <w:r>
        <w:rPr>
          <w:rFonts w:hint="eastAsia"/>
          <w:color w:val="auto"/>
          <w:lang w:eastAsia="zh-CN"/>
        </w:rPr>
        <w:t>对于资本化的研发支出，在无形资产形成年度，第</w:t>
      </w:r>
      <w:r>
        <w:rPr>
          <w:rFonts w:hint="eastAsia"/>
          <w:color w:val="auto"/>
          <w:lang w:val="en-US" w:eastAsia="zh-CN"/>
        </w:rPr>
        <w:t>2行至第39行应包含当年度及以前年度为该项无形资产的所有研发支出；尚未形成无形资产的年度和形成无形资产之后的年度，第2行至第39行不包含该项无形资产的研发支出。</w:t>
      </w:r>
    </w:p>
    <w:p>
      <w:pPr>
        <w:pStyle w:val="12"/>
        <w:ind w:firstLine="480"/>
        <w:rPr>
          <w:rFonts w:hint="eastAsia" w:eastAsia="宋体"/>
          <w:color w:val="auto"/>
          <w:lang w:eastAsia="zh-CN"/>
        </w:rPr>
      </w:pPr>
      <w:r>
        <w:rPr>
          <w:color w:val="auto"/>
        </w:rPr>
        <w:t>1.</w:t>
      </w:r>
      <w:r>
        <w:rPr>
          <w:rFonts w:hint="eastAsia"/>
          <w:color w:val="auto"/>
        </w:rPr>
        <w:t>第</w:t>
      </w:r>
      <w:r>
        <w:rPr>
          <w:color w:val="auto"/>
        </w:rPr>
        <w:t>1</w:t>
      </w:r>
      <w:r>
        <w:rPr>
          <w:rFonts w:hint="eastAsia"/>
          <w:color w:val="auto"/>
        </w:rPr>
        <w:t>行“本年可享受研发费用加计扣除项目数量”：填报纳税人研发项目中本年可享受研发费用加计扣除优惠政策的项目数量</w:t>
      </w:r>
      <w:r>
        <w:rPr>
          <w:rFonts w:hint="eastAsia"/>
          <w:color w:val="auto"/>
          <w:lang w:eastAsia="zh-CN"/>
        </w:rPr>
        <w:t>，包含已经形成无形资产、在本年摊销且享受研发费用加计扣除优惠政策的项目数量。</w:t>
      </w:r>
    </w:p>
    <w:p>
      <w:pPr>
        <w:pStyle w:val="12"/>
        <w:ind w:firstLine="480"/>
        <w:rPr>
          <w:rFonts w:hint="eastAsia"/>
          <w:color w:val="auto"/>
        </w:rPr>
      </w:pPr>
      <w:r>
        <w:rPr>
          <w:rFonts w:hint="eastAsia"/>
          <w:color w:val="auto"/>
        </w:rPr>
        <w:t>2.第2行“自主研发、合作研发、集中研发”：填报第3行＋第7行＋第16行＋第19行＋第23行＋第34行金额。</w:t>
      </w:r>
    </w:p>
    <w:p>
      <w:pPr>
        <w:pStyle w:val="12"/>
        <w:ind w:firstLine="480"/>
        <w:rPr>
          <w:rFonts w:hint="eastAsia"/>
          <w:color w:val="auto"/>
        </w:rPr>
      </w:pPr>
      <w:r>
        <w:rPr>
          <w:rFonts w:hint="eastAsia"/>
          <w:color w:val="auto"/>
        </w:rPr>
        <w:t>3.第3行“人员人工费用”：填报第4行＋第5行＋第6行金额。</w:t>
      </w:r>
    </w:p>
    <w:p>
      <w:pPr>
        <w:pStyle w:val="12"/>
        <w:ind w:firstLine="480"/>
        <w:rPr>
          <w:rFonts w:hint="eastAsia"/>
          <w:color w:val="auto"/>
        </w:rPr>
      </w:pPr>
      <w:r>
        <w:rPr>
          <w:rFonts w:hint="eastAsia"/>
          <w:color w:val="auto"/>
        </w:rPr>
        <w:t>直接从事研发活动的人员、外聘研发人员同时从事非研发活动的，填报按实际工时占比等合理方法分配的用于研发活动的相关费用。</w:t>
      </w:r>
    </w:p>
    <w:p>
      <w:pPr>
        <w:pStyle w:val="12"/>
        <w:ind w:firstLine="480"/>
        <w:rPr>
          <w:rFonts w:hint="eastAsia"/>
          <w:color w:val="auto"/>
        </w:rPr>
      </w:pPr>
      <w:r>
        <w:rPr>
          <w:rFonts w:hint="eastAsia"/>
          <w:color w:val="auto"/>
        </w:rPr>
        <w:t>4.第4行“直接从事研发活动人员工资薪金”：填报纳税人直接从事研发活动人员，包括研究人员、技术人员、辅助人员的工资、薪金、奖金、津贴、补贴以及按规定可以在税前扣除的对研发人员股权激励的支出。</w:t>
      </w:r>
    </w:p>
    <w:p>
      <w:pPr>
        <w:pStyle w:val="12"/>
        <w:ind w:firstLine="480"/>
        <w:rPr>
          <w:rFonts w:hint="eastAsia"/>
          <w:color w:val="auto"/>
        </w:rPr>
      </w:pPr>
      <w:r>
        <w:rPr>
          <w:rFonts w:hint="eastAsia"/>
          <w:color w:val="auto"/>
        </w:rPr>
        <w:t>5.第5行“直接从事研发活动人员五险一金”：填报纳税人直接从事研发活动人员，包括研究人员、技术人员、辅助人员的基本养老保险费、基本医疗保险费、失业保险费、工伤保险费、生育保险费和住房公积金。</w:t>
      </w:r>
    </w:p>
    <w:p>
      <w:pPr>
        <w:pStyle w:val="12"/>
        <w:ind w:firstLine="480"/>
        <w:rPr>
          <w:rFonts w:hint="eastAsia"/>
          <w:color w:val="auto"/>
        </w:rPr>
      </w:pPr>
      <w:r>
        <w:rPr>
          <w:rFonts w:hint="eastAsia"/>
          <w:color w:val="auto"/>
        </w:rPr>
        <w:t>6.第6行“外聘研发人员的劳务费用”：填报与纳税人或劳务派遣企业签订劳务用工协议（合同）的外聘研发人员的劳务费用，以及临时聘用的研究人员、技术人员、辅助人员的劳务费用。</w:t>
      </w:r>
    </w:p>
    <w:p>
      <w:pPr>
        <w:pStyle w:val="12"/>
        <w:ind w:firstLine="480"/>
        <w:rPr>
          <w:rFonts w:hint="eastAsia"/>
          <w:color w:val="auto"/>
        </w:rPr>
      </w:pPr>
      <w:r>
        <w:rPr>
          <w:rFonts w:hint="eastAsia"/>
          <w:color w:val="auto"/>
        </w:rPr>
        <w:t>7.第7行“直接投入费用”：填报第8行＋……＋第15行金额。</w:t>
      </w:r>
    </w:p>
    <w:p>
      <w:pPr>
        <w:pStyle w:val="12"/>
        <w:ind w:firstLine="480"/>
        <w:rPr>
          <w:rFonts w:hint="eastAsia"/>
          <w:color w:val="auto"/>
        </w:rPr>
      </w:pPr>
      <w:r>
        <w:rPr>
          <w:rFonts w:hint="eastAsia"/>
          <w:color w:val="auto"/>
        </w:rPr>
        <w:t>8.第8行“研发活动直接消耗材料费用”：填报纳税人研发活动直接消耗的材料费用。</w:t>
      </w:r>
    </w:p>
    <w:p>
      <w:pPr>
        <w:pStyle w:val="12"/>
        <w:ind w:firstLine="480"/>
        <w:rPr>
          <w:rFonts w:hint="eastAsia"/>
          <w:color w:val="auto"/>
        </w:rPr>
      </w:pPr>
      <w:r>
        <w:rPr>
          <w:rFonts w:hint="eastAsia"/>
          <w:color w:val="auto"/>
        </w:rPr>
        <w:t>9.第9行“研发活动直接消耗燃料费用”：填报纳税人研发活动直接消耗的燃料费用。</w:t>
      </w:r>
    </w:p>
    <w:p>
      <w:pPr>
        <w:pStyle w:val="12"/>
        <w:ind w:firstLine="480"/>
        <w:rPr>
          <w:rFonts w:hint="eastAsia"/>
          <w:color w:val="auto"/>
        </w:rPr>
      </w:pPr>
      <w:r>
        <w:rPr>
          <w:rFonts w:hint="eastAsia"/>
          <w:color w:val="auto"/>
        </w:rPr>
        <w:t>10.第10行“研发活动直接消耗动力费用”：填报纳税人研发活动直接消耗的动力费用。</w:t>
      </w:r>
    </w:p>
    <w:p>
      <w:pPr>
        <w:pStyle w:val="12"/>
        <w:ind w:firstLine="480"/>
        <w:rPr>
          <w:rFonts w:hint="eastAsia"/>
          <w:color w:val="auto"/>
        </w:rPr>
      </w:pPr>
      <w:r>
        <w:rPr>
          <w:rFonts w:hint="eastAsia"/>
          <w:color w:val="auto"/>
        </w:rPr>
        <w:t>11.第11行“用于中间试验和产品试制的模具、工艺装备开发及制造费”：填报纳税人研发活动中用于中间试验和产品试制的模具、工艺装备开发及制造的费用。</w:t>
      </w:r>
    </w:p>
    <w:p>
      <w:pPr>
        <w:pStyle w:val="12"/>
        <w:ind w:firstLine="480"/>
        <w:rPr>
          <w:rFonts w:hint="eastAsia"/>
          <w:color w:val="auto"/>
        </w:rPr>
      </w:pPr>
      <w:r>
        <w:rPr>
          <w:rFonts w:hint="eastAsia"/>
          <w:color w:val="auto"/>
        </w:rPr>
        <w:t>12.第12行“用于不构成固定资产的样品、样机及一般测试手段购置费”：填报纳税人研发活动中用于不构成固定资产的样品、样机及一般测试手段购置费用。</w:t>
      </w:r>
    </w:p>
    <w:p>
      <w:pPr>
        <w:pStyle w:val="12"/>
        <w:ind w:firstLine="480"/>
        <w:rPr>
          <w:rFonts w:hint="eastAsia"/>
          <w:color w:val="auto"/>
        </w:rPr>
      </w:pPr>
      <w:r>
        <w:rPr>
          <w:rFonts w:hint="eastAsia"/>
          <w:color w:val="auto"/>
        </w:rPr>
        <w:t>13.第13行“用于试制产品的检验费”：填报纳税人研发活动中用于试制产品的检验费。</w:t>
      </w:r>
    </w:p>
    <w:p>
      <w:pPr>
        <w:pStyle w:val="12"/>
        <w:ind w:firstLine="480"/>
        <w:rPr>
          <w:rFonts w:hint="eastAsia"/>
          <w:color w:val="auto"/>
        </w:rPr>
      </w:pPr>
      <w:r>
        <w:rPr>
          <w:rFonts w:hint="eastAsia"/>
          <w:color w:val="auto"/>
        </w:rPr>
        <w:t>14.第14行“用于研发活动的仪器、设备的运行维护、调整、检验、维修等费用”：填报纳税人用于研发活动的仪器、设备的运行维护、调整、检验、维修等费用。</w:t>
      </w:r>
    </w:p>
    <w:p>
      <w:pPr>
        <w:pStyle w:val="12"/>
        <w:ind w:firstLine="480"/>
        <w:rPr>
          <w:rFonts w:hint="eastAsia"/>
          <w:color w:val="auto"/>
        </w:rPr>
      </w:pPr>
      <w:r>
        <w:rPr>
          <w:rFonts w:hint="eastAsia"/>
          <w:color w:val="auto"/>
        </w:rPr>
        <w:t>15.第15行“通过经营租赁方式租入的用于研发活动的仪器、设备租赁费”：填报纳税人经营租赁方式租入的用于研发活动的仪器、设备租赁费。以经营租赁方式租入的用于研发活动的仪器、设备，同时用于非研发活动的，填报按实际工时占比等合理方法分配的用于研发活动的相关费用。</w:t>
      </w:r>
    </w:p>
    <w:p>
      <w:pPr>
        <w:pStyle w:val="12"/>
        <w:ind w:firstLine="480"/>
        <w:rPr>
          <w:rFonts w:hint="eastAsia"/>
          <w:color w:val="auto"/>
        </w:rPr>
      </w:pPr>
      <w:r>
        <w:rPr>
          <w:rFonts w:hint="eastAsia"/>
          <w:color w:val="auto"/>
        </w:rPr>
        <w:t>16.第16行“折旧费用”：填报第17行＋第18行金额。</w:t>
      </w:r>
    </w:p>
    <w:p>
      <w:pPr>
        <w:pStyle w:val="12"/>
        <w:ind w:firstLine="480"/>
        <w:rPr>
          <w:rFonts w:hint="eastAsia"/>
          <w:color w:val="auto"/>
        </w:rPr>
      </w:pPr>
      <w:r>
        <w:rPr>
          <w:rFonts w:hint="eastAsia"/>
          <w:color w:val="auto"/>
        </w:rPr>
        <w:t>用于研发活动的仪器、设备，同时用于非研发活动的，填报按实际工时占比等合理方法分配的用于研发活动的相关费用。纳税人用于研发活动的仪器、设备，符合税收规定且选择加速折旧优惠政策的，在享受研发费用税前加计扣除政策时，按照税前扣除的折旧口径填报。</w:t>
      </w:r>
    </w:p>
    <w:p>
      <w:pPr>
        <w:pStyle w:val="12"/>
        <w:ind w:firstLine="480"/>
        <w:rPr>
          <w:rFonts w:hint="eastAsia"/>
          <w:color w:val="auto"/>
        </w:rPr>
      </w:pPr>
      <w:r>
        <w:rPr>
          <w:rFonts w:hint="eastAsia"/>
          <w:color w:val="auto"/>
        </w:rPr>
        <w:t>17.第17行“用于研发活动的仪器的折旧费”：填报纳税人用于研发活动的仪器的折旧费。</w:t>
      </w:r>
    </w:p>
    <w:p>
      <w:pPr>
        <w:pStyle w:val="12"/>
        <w:ind w:firstLine="480"/>
        <w:rPr>
          <w:rFonts w:hint="eastAsia"/>
          <w:color w:val="auto"/>
        </w:rPr>
      </w:pPr>
      <w:r>
        <w:rPr>
          <w:rFonts w:hint="eastAsia"/>
          <w:color w:val="auto"/>
        </w:rPr>
        <w:t>18.第18行“用于研发活动的设备的折旧费”：填报纳税人用于研发活动的设备的折旧费。</w:t>
      </w:r>
    </w:p>
    <w:p>
      <w:pPr>
        <w:pStyle w:val="12"/>
        <w:ind w:firstLine="480"/>
        <w:rPr>
          <w:rFonts w:hint="eastAsia"/>
          <w:color w:val="auto"/>
        </w:rPr>
      </w:pPr>
      <w:r>
        <w:rPr>
          <w:rFonts w:hint="eastAsia"/>
          <w:color w:val="auto"/>
        </w:rPr>
        <w:t>19.第19行“无形资产摊销”：填报第20行＋第21行＋第22行金额。用于研发活动的无形资产，同时用于非研发活动的，填报按实际工时占比等合理方法在研发费用和生产经营费用间分配的用于研发活动的相关费用。纳税人用于研发活动的无形资产，符合税收规定且选择加速摊销优惠政策的，在享受研发费用税前加计扣除政策时，按照税前扣除的摊销口径填报。</w:t>
      </w:r>
    </w:p>
    <w:p>
      <w:pPr>
        <w:pStyle w:val="12"/>
        <w:ind w:firstLine="480"/>
        <w:rPr>
          <w:rFonts w:hint="eastAsia"/>
          <w:color w:val="auto"/>
        </w:rPr>
      </w:pPr>
      <w:r>
        <w:rPr>
          <w:rFonts w:hint="eastAsia"/>
          <w:color w:val="auto"/>
        </w:rPr>
        <w:t>20.第20行“用于研发活动的软件的摊销费用”：填报纳税人用于研发活动的软件的摊销费用。</w:t>
      </w:r>
    </w:p>
    <w:p>
      <w:pPr>
        <w:pStyle w:val="12"/>
        <w:ind w:firstLine="480"/>
        <w:rPr>
          <w:rFonts w:hint="eastAsia"/>
          <w:color w:val="auto"/>
        </w:rPr>
      </w:pPr>
      <w:r>
        <w:rPr>
          <w:rFonts w:hint="eastAsia"/>
          <w:color w:val="auto"/>
        </w:rPr>
        <w:t>21.第21行“用于研发活动的专利权的摊销费用”：填报纳税人用于研发活动的专利权的摊销费用。</w:t>
      </w:r>
    </w:p>
    <w:p>
      <w:pPr>
        <w:pStyle w:val="12"/>
        <w:ind w:firstLine="480"/>
        <w:rPr>
          <w:rFonts w:hint="eastAsia"/>
          <w:color w:val="auto"/>
        </w:rPr>
      </w:pPr>
      <w:r>
        <w:rPr>
          <w:rFonts w:hint="eastAsia"/>
          <w:color w:val="auto"/>
        </w:rPr>
        <w:t>22.第22行“用于研发活动的非专利技术（包括许可证、专有技术、设计和计算方法等）的摊销费用”：填报纳税人用于研发活动的非专利技术（包括许可证、专有技术、设计和计算方法等）的摊销费用。</w:t>
      </w:r>
    </w:p>
    <w:p>
      <w:pPr>
        <w:pStyle w:val="12"/>
        <w:ind w:firstLine="480"/>
        <w:rPr>
          <w:rFonts w:hint="eastAsia"/>
          <w:color w:val="auto"/>
        </w:rPr>
      </w:pPr>
      <w:r>
        <w:rPr>
          <w:rFonts w:hint="eastAsia"/>
          <w:color w:val="auto"/>
        </w:rPr>
        <w:t>23.第23行“新产品设计费等”：填报第24行＋第25行＋第26行＋第27行金额。新产品设计费、新工艺规程制定费、新药研制的临床试验费、勘探开发技术的现场试验费等由辅助生产部门提供的，填报按照一定的分配标准分配给研发项目的金额。</w:t>
      </w:r>
    </w:p>
    <w:p>
      <w:pPr>
        <w:pStyle w:val="12"/>
        <w:ind w:firstLine="480"/>
        <w:rPr>
          <w:rFonts w:hint="eastAsia"/>
          <w:color w:val="auto"/>
        </w:rPr>
      </w:pPr>
      <w:r>
        <w:rPr>
          <w:rFonts w:hint="eastAsia"/>
          <w:color w:val="auto"/>
        </w:rPr>
        <w:t>24.第24行“新产品设计费”：填报纳税人研发活动中发生的新产品设计费。</w:t>
      </w:r>
    </w:p>
    <w:p>
      <w:pPr>
        <w:pStyle w:val="12"/>
        <w:ind w:firstLine="480"/>
        <w:rPr>
          <w:rFonts w:hint="eastAsia"/>
          <w:color w:val="auto"/>
        </w:rPr>
      </w:pPr>
      <w:r>
        <w:rPr>
          <w:rFonts w:hint="eastAsia"/>
          <w:color w:val="auto"/>
        </w:rPr>
        <w:t>25.第25行“新工艺规程制定费”：填报纳税人研发活动中发生的新工艺规程制定费。</w:t>
      </w:r>
    </w:p>
    <w:p>
      <w:pPr>
        <w:pStyle w:val="12"/>
        <w:ind w:firstLine="480"/>
        <w:rPr>
          <w:rFonts w:hint="eastAsia"/>
          <w:color w:val="auto"/>
        </w:rPr>
      </w:pPr>
      <w:r>
        <w:rPr>
          <w:rFonts w:hint="eastAsia"/>
          <w:color w:val="auto"/>
        </w:rPr>
        <w:t>26.第26行“新药研制的临床试验费”：填报纳税人研发活动中发生的新药研制的临床试验费。</w:t>
      </w:r>
    </w:p>
    <w:p>
      <w:pPr>
        <w:pStyle w:val="12"/>
        <w:ind w:firstLine="480"/>
        <w:rPr>
          <w:rFonts w:hint="eastAsia"/>
          <w:color w:val="auto"/>
        </w:rPr>
      </w:pPr>
      <w:r>
        <w:rPr>
          <w:rFonts w:hint="eastAsia"/>
          <w:color w:val="auto"/>
        </w:rPr>
        <w:t>27.第27行“勘探开发技术的现场试验费”：填报纳税人研发活动中发生的勘探开发技术的现场试验费。</w:t>
      </w:r>
    </w:p>
    <w:p>
      <w:pPr>
        <w:pStyle w:val="12"/>
        <w:ind w:firstLine="480"/>
        <w:rPr>
          <w:rFonts w:hint="eastAsia"/>
          <w:color w:val="auto"/>
        </w:rPr>
      </w:pPr>
      <w:r>
        <w:rPr>
          <w:rFonts w:hint="eastAsia"/>
          <w:color w:val="auto"/>
        </w:rPr>
        <w:t>28.第28行“其他相关费用”：填报第29行＋……＋第33行金额。</w:t>
      </w:r>
    </w:p>
    <w:p>
      <w:pPr>
        <w:pStyle w:val="12"/>
        <w:ind w:firstLine="480"/>
        <w:rPr>
          <w:rFonts w:hint="eastAsia"/>
          <w:color w:val="auto"/>
        </w:rPr>
      </w:pPr>
      <w:r>
        <w:rPr>
          <w:rFonts w:hint="eastAsia"/>
          <w:color w:val="auto"/>
        </w:rPr>
        <w:t>29.第29行“技术图书资料费、资料翻译费、专家咨询费、高新科技研发保险费”：填报纳税人研发活动中发生的技术图书资料费、资料翻译费、专家咨询费、高新科技研发保险费。</w:t>
      </w:r>
    </w:p>
    <w:p>
      <w:pPr>
        <w:pStyle w:val="12"/>
        <w:ind w:firstLine="480"/>
        <w:rPr>
          <w:rFonts w:hint="eastAsia"/>
          <w:color w:val="auto"/>
        </w:rPr>
      </w:pPr>
      <w:r>
        <w:rPr>
          <w:rFonts w:hint="eastAsia"/>
          <w:color w:val="auto"/>
        </w:rPr>
        <w:t>30.第30行“研发成果的检索、分析、评议、论证、鉴定、评审、评估、验收费用”：填报纳税人研发活动中发生的研发成果的检索、分析、评议、论证、鉴定、评审、评估、验收费用。</w:t>
      </w:r>
    </w:p>
    <w:p>
      <w:pPr>
        <w:pStyle w:val="12"/>
        <w:ind w:firstLine="480"/>
        <w:rPr>
          <w:rFonts w:hint="eastAsia"/>
          <w:color w:val="auto"/>
        </w:rPr>
      </w:pPr>
      <w:r>
        <w:rPr>
          <w:rFonts w:hint="eastAsia"/>
          <w:color w:val="auto"/>
        </w:rPr>
        <w:t>31.第31行“知识产权的申请费、注册费、代理费”：填报纳税人研发活动中发生的知识产权的申请费、注册费、代理费。</w:t>
      </w:r>
    </w:p>
    <w:p>
      <w:pPr>
        <w:pStyle w:val="12"/>
        <w:ind w:firstLine="480"/>
        <w:rPr>
          <w:rFonts w:hint="eastAsia"/>
          <w:color w:val="auto"/>
        </w:rPr>
      </w:pPr>
      <w:r>
        <w:rPr>
          <w:rFonts w:hint="eastAsia"/>
          <w:color w:val="auto"/>
        </w:rPr>
        <w:t>32.第32行“职工福利费、补充养老保险费、补充医疗保险费”：填报纳税人研发活动人员发生的职工福利费、补充养老保险费、补充医疗保险费。</w:t>
      </w:r>
    </w:p>
    <w:p>
      <w:pPr>
        <w:pStyle w:val="12"/>
        <w:ind w:firstLine="480"/>
        <w:rPr>
          <w:rFonts w:hint="eastAsia"/>
          <w:color w:val="auto"/>
        </w:rPr>
      </w:pPr>
      <w:r>
        <w:rPr>
          <w:rFonts w:hint="eastAsia"/>
          <w:color w:val="auto"/>
        </w:rPr>
        <w:t>33.第33行“差旅费、会议费”：填报纳税人研发活动发生的差旅费、会议费。</w:t>
      </w:r>
    </w:p>
    <w:p>
      <w:pPr>
        <w:pStyle w:val="12"/>
        <w:ind w:firstLine="480"/>
        <w:rPr>
          <w:rFonts w:hint="eastAsia"/>
          <w:color w:val="auto"/>
        </w:rPr>
      </w:pPr>
      <w:r>
        <w:rPr>
          <w:rFonts w:hint="eastAsia"/>
          <w:color w:val="auto"/>
        </w:rPr>
        <w:t>34.第34行“经限额调整后的其他相关费用”：填报第28行与其他相关费用限额的孰小值。其他相关费用限额按以下公式计算：</w:t>
      </w:r>
    </w:p>
    <w:p>
      <w:pPr>
        <w:pStyle w:val="12"/>
        <w:ind w:firstLine="480"/>
        <w:rPr>
          <w:rFonts w:hint="eastAsia"/>
          <w:color w:val="auto"/>
        </w:rPr>
      </w:pPr>
      <w:r>
        <w:rPr>
          <w:rFonts w:hint="eastAsia"/>
          <w:color w:val="auto"/>
        </w:rPr>
        <w:t>其他相关费用限额＝（第3行＋第7行＋第16行＋第19行＋第23行）×10%÷（1－10%）。</w:t>
      </w:r>
    </w:p>
    <w:p>
      <w:pPr>
        <w:pStyle w:val="12"/>
        <w:ind w:firstLine="480"/>
        <w:rPr>
          <w:rFonts w:hint="eastAsia"/>
          <w:color w:val="auto"/>
        </w:rPr>
      </w:pPr>
      <w:r>
        <w:rPr>
          <w:rFonts w:hint="eastAsia"/>
          <w:color w:val="auto"/>
        </w:rPr>
        <w:t>35.第35行“委托研发”：填报第36行＋第37行＋第39行金额。</w:t>
      </w:r>
    </w:p>
    <w:p>
      <w:pPr>
        <w:pStyle w:val="12"/>
        <w:ind w:firstLine="480"/>
        <w:rPr>
          <w:rFonts w:hint="eastAsia"/>
          <w:color w:val="auto"/>
        </w:rPr>
      </w:pPr>
      <w:r>
        <w:rPr>
          <w:rFonts w:hint="eastAsia"/>
          <w:color w:val="auto"/>
        </w:rPr>
        <w:t>36.第36行“委托境内机构或个人进行研发活动所发生的费用”：填报纳税人研发项目委托境内机构或个人进行研发活动所发生的费用。</w:t>
      </w:r>
    </w:p>
    <w:p>
      <w:pPr>
        <w:pStyle w:val="12"/>
        <w:ind w:firstLine="480"/>
        <w:rPr>
          <w:rFonts w:hint="eastAsia"/>
          <w:color w:val="auto"/>
        </w:rPr>
      </w:pPr>
      <w:r>
        <w:rPr>
          <w:rFonts w:hint="eastAsia"/>
          <w:color w:val="auto"/>
        </w:rPr>
        <w:t>37.第37行“委托境外机构进行研发活动发生的费用”：填报纳税人研发项目委托境外机构进行研发活动所发生的费用。</w:t>
      </w:r>
    </w:p>
    <w:p>
      <w:pPr>
        <w:pStyle w:val="12"/>
        <w:ind w:firstLine="480"/>
        <w:rPr>
          <w:rFonts w:hint="eastAsia"/>
          <w:color w:val="auto"/>
        </w:rPr>
      </w:pPr>
      <w:r>
        <w:rPr>
          <w:rFonts w:hint="eastAsia"/>
          <w:color w:val="auto"/>
        </w:rPr>
        <w:t>38.第38行“允许加计扣除的委托境外机构进行研发活动发生的费用”：填报纳税人按照税收规定允许加计扣除的委托境外机构进行研发活动发生的研发费用。</w:t>
      </w:r>
    </w:p>
    <w:p>
      <w:pPr>
        <w:pStyle w:val="12"/>
        <w:ind w:firstLine="480"/>
        <w:rPr>
          <w:rFonts w:hint="eastAsia"/>
          <w:color w:val="auto"/>
        </w:rPr>
      </w:pPr>
      <w:r>
        <w:rPr>
          <w:rFonts w:hint="eastAsia"/>
          <w:color w:val="auto"/>
        </w:rPr>
        <w:t>39.第39行“委托境外个人进行研发活动发生的费用”：填报纳税人委托境外个人进行研发活动发生的费用。本行不参与加计扣除优惠金额的计算。</w:t>
      </w:r>
    </w:p>
    <w:p>
      <w:pPr>
        <w:pStyle w:val="12"/>
        <w:ind w:firstLine="480"/>
        <w:rPr>
          <w:rFonts w:hint="eastAsia"/>
          <w:color w:val="auto"/>
        </w:rPr>
      </w:pPr>
      <w:r>
        <w:rPr>
          <w:rFonts w:hint="eastAsia"/>
          <w:color w:val="auto"/>
        </w:rPr>
        <w:t>40.第40行“年度研发费用小计”：填报第2行＋第36行×80%＋第38行金额。</w:t>
      </w:r>
    </w:p>
    <w:p>
      <w:pPr>
        <w:pStyle w:val="12"/>
        <w:ind w:firstLine="480"/>
        <w:rPr>
          <w:rFonts w:hint="eastAsia"/>
          <w:color w:val="auto"/>
        </w:rPr>
      </w:pPr>
      <w:r>
        <w:rPr>
          <w:rFonts w:hint="eastAsia"/>
          <w:color w:val="auto"/>
        </w:rPr>
        <w:t>41.第41行“本年费用化金额”：填报纳税人研发活动本年费用化部分金额。</w:t>
      </w:r>
    </w:p>
    <w:p>
      <w:pPr>
        <w:pStyle w:val="12"/>
        <w:ind w:firstLine="480"/>
        <w:rPr>
          <w:rFonts w:hint="eastAsia"/>
          <w:color w:val="auto"/>
        </w:rPr>
      </w:pPr>
      <w:r>
        <w:rPr>
          <w:rFonts w:hint="eastAsia"/>
          <w:color w:val="auto"/>
        </w:rPr>
        <w:t>42.第42行“本年资本化金额”：填报纳税人研发活动本年结转无形资产的金额。</w:t>
      </w:r>
    </w:p>
    <w:p>
      <w:pPr>
        <w:pStyle w:val="12"/>
        <w:ind w:firstLine="480"/>
        <w:rPr>
          <w:rFonts w:hint="eastAsia"/>
          <w:color w:val="auto"/>
        </w:rPr>
      </w:pPr>
      <w:r>
        <w:rPr>
          <w:rFonts w:hint="eastAsia"/>
          <w:color w:val="auto"/>
        </w:rPr>
        <w:t>43.第43行“本年形成无形资产摊销额”：填报纳税人研发活动本年形成无形资产的摊销额。</w:t>
      </w:r>
    </w:p>
    <w:p>
      <w:pPr>
        <w:pStyle w:val="12"/>
        <w:ind w:firstLine="480"/>
        <w:rPr>
          <w:rFonts w:hint="eastAsia"/>
          <w:color w:val="auto"/>
        </w:rPr>
      </w:pPr>
      <w:r>
        <w:rPr>
          <w:rFonts w:hint="eastAsia"/>
          <w:color w:val="auto"/>
        </w:rPr>
        <w:t>44.第44行“以前年度形成无形资产本年摊销额”：填报纳税人研发活动以前年度形成无形资产本年摊销额。</w:t>
      </w:r>
    </w:p>
    <w:p>
      <w:pPr>
        <w:pStyle w:val="12"/>
        <w:ind w:firstLine="480"/>
        <w:rPr>
          <w:rFonts w:hint="eastAsia"/>
          <w:color w:val="auto"/>
        </w:rPr>
      </w:pPr>
      <w:r>
        <w:rPr>
          <w:rFonts w:hint="eastAsia"/>
          <w:color w:val="auto"/>
        </w:rPr>
        <w:t>45.第45行“允许扣除的研发费用合计”填报第41行＋第43行＋第44行金额。</w:t>
      </w:r>
    </w:p>
    <w:p>
      <w:pPr>
        <w:pStyle w:val="12"/>
        <w:ind w:firstLine="480"/>
        <w:rPr>
          <w:rFonts w:hint="eastAsia"/>
          <w:color w:val="auto"/>
        </w:rPr>
      </w:pPr>
      <w:r>
        <w:rPr>
          <w:rFonts w:hint="eastAsia"/>
          <w:color w:val="auto"/>
        </w:rPr>
        <w:t>46.第46行“特殊收入部分”：填报纳税人已归集计入研发费用，但在当期取得的研发过程中形成的下脚料、残次品、中间试制品等特殊收入。</w:t>
      </w:r>
    </w:p>
    <w:p>
      <w:pPr>
        <w:pStyle w:val="12"/>
        <w:ind w:firstLine="480"/>
        <w:rPr>
          <w:rFonts w:hint="eastAsia"/>
          <w:color w:val="auto"/>
        </w:rPr>
      </w:pPr>
      <w:r>
        <w:rPr>
          <w:rFonts w:hint="eastAsia"/>
          <w:color w:val="auto"/>
        </w:rPr>
        <w:t>47.第47行“允许扣除的研发费用抵减特殊收入后的金额”：填报第45行－第46行金额。</w:t>
      </w:r>
    </w:p>
    <w:p>
      <w:pPr>
        <w:pStyle w:val="12"/>
        <w:ind w:firstLine="480"/>
        <w:rPr>
          <w:rFonts w:hint="eastAsia"/>
          <w:color w:val="auto"/>
        </w:rPr>
      </w:pPr>
      <w:r>
        <w:rPr>
          <w:rFonts w:hint="eastAsia"/>
          <w:color w:val="auto"/>
        </w:rPr>
        <w:t>48.第48行“当年销售研发活动直接形成产品（包括组成部分）对应的材料部分”：填报纳税人当年销售研发活动直接形成产品（包括组成部分）对应的材料部分金额。</w:t>
      </w:r>
    </w:p>
    <w:p>
      <w:pPr>
        <w:pStyle w:val="12"/>
        <w:ind w:firstLine="480"/>
        <w:rPr>
          <w:rFonts w:hint="eastAsia"/>
          <w:color w:val="auto"/>
        </w:rPr>
      </w:pPr>
      <w:r>
        <w:rPr>
          <w:rFonts w:hint="eastAsia"/>
          <w:color w:val="auto"/>
        </w:rPr>
        <w:t>49.第49行“以前年度销售研发活动直接形成产品（包括组成部分）对应材料部分结转金额”：填报纳税人以前年度销售研发活动直接形成产品（包括组成部分）对应材料部分结转金额。</w:t>
      </w:r>
    </w:p>
    <w:p>
      <w:pPr>
        <w:pStyle w:val="12"/>
        <w:ind w:firstLine="480"/>
        <w:rPr>
          <w:rFonts w:hint="eastAsia" w:cs="宋体"/>
          <w:color w:val="auto"/>
        </w:rPr>
      </w:pPr>
      <w:r>
        <w:rPr>
          <w:rFonts w:cs="宋体"/>
          <w:color w:val="auto"/>
        </w:rPr>
        <w:t>50.</w:t>
      </w:r>
      <w:r>
        <w:rPr>
          <w:rFonts w:hint="eastAsia" w:cs="宋体"/>
          <w:color w:val="auto"/>
        </w:rPr>
        <w:t>第</w:t>
      </w:r>
      <w:r>
        <w:rPr>
          <w:rFonts w:cs="宋体"/>
          <w:color w:val="auto"/>
        </w:rPr>
        <w:t>50</w:t>
      </w:r>
      <w:r>
        <w:rPr>
          <w:rFonts w:hint="eastAsia" w:cs="宋体"/>
          <w:color w:val="auto"/>
        </w:rPr>
        <w:t>行</w:t>
      </w:r>
      <w:r>
        <w:rPr>
          <w:rFonts w:cs="宋体"/>
          <w:color w:val="auto"/>
        </w:rPr>
        <w:t>“</w:t>
      </w:r>
      <w:r>
        <w:rPr>
          <w:rFonts w:hint="eastAsia" w:cs="宋体"/>
          <w:color w:val="auto"/>
        </w:rPr>
        <w:t>加计扣除比例及计算方法</w:t>
      </w:r>
      <w:r>
        <w:rPr>
          <w:rFonts w:cs="宋体"/>
          <w:color w:val="auto"/>
        </w:rPr>
        <w:t>”</w:t>
      </w:r>
      <w:r>
        <w:rPr>
          <w:rFonts w:hint="eastAsia" w:cs="宋体"/>
          <w:color w:val="auto"/>
        </w:rPr>
        <w:t>：根据有关规定填报加计扣除比例及计算方法。</w:t>
      </w:r>
    </w:p>
    <w:p>
      <w:pPr>
        <w:pStyle w:val="12"/>
        <w:ind w:firstLine="480"/>
        <w:rPr>
          <w:rFonts w:hint="eastAsia"/>
          <w:color w:val="auto"/>
        </w:rPr>
      </w:pPr>
      <w:r>
        <w:rPr>
          <w:rFonts w:hint="eastAsia"/>
          <w:color w:val="auto"/>
        </w:rPr>
        <w:t>5</w:t>
      </w:r>
      <w:r>
        <w:rPr>
          <w:color w:val="auto"/>
        </w:rPr>
        <w:t>1</w:t>
      </w:r>
      <w:r>
        <w:rPr>
          <w:rFonts w:hint="eastAsia"/>
          <w:color w:val="auto"/>
        </w:rPr>
        <w:t>.第51行“本年研发费用加计扣除总额”：填报（第47行－第48行－第49行）×第50行金额。当第47行－第48行－第49行＜0时，本行填报0。</w:t>
      </w:r>
    </w:p>
    <w:p>
      <w:pPr>
        <w:pStyle w:val="12"/>
        <w:ind w:firstLine="480"/>
        <w:rPr>
          <w:rFonts w:hint="eastAsia"/>
          <w:color w:val="auto"/>
        </w:rPr>
      </w:pPr>
      <w:r>
        <w:rPr>
          <w:rFonts w:hint="eastAsia"/>
          <w:color w:val="auto"/>
        </w:rPr>
        <w:t>5</w:t>
      </w:r>
      <w:r>
        <w:rPr>
          <w:color w:val="auto"/>
        </w:rPr>
        <w:t>2</w:t>
      </w:r>
      <w:r>
        <w:rPr>
          <w:rFonts w:hint="eastAsia"/>
          <w:color w:val="auto"/>
        </w:rPr>
        <w:t>.第52行“销售研发活动直接形成产品（包括组成部分）对应材料部分结转以后年度扣减金额”：当第47行－第48行－第49行≥0时，填报0；当第47行－第48行－第49行＜0时，填报第47行－第48行－第49行金额的绝对值。</w:t>
      </w:r>
      <w:bookmarkStart w:id="236" w:name="_Toc1187135152_WPSOffice_Level1"/>
      <w:bookmarkStart w:id="237" w:name="_Toc522381216_WPSOffice_Level1"/>
      <w:bookmarkStart w:id="238" w:name="_Toc722417037_WPSOffice_Level1"/>
      <w:bookmarkStart w:id="239" w:name="_Toc939552848_WPSOffice_Level1"/>
    </w:p>
    <w:p>
      <w:pPr>
        <w:pStyle w:val="17"/>
        <w:ind w:firstLine="480"/>
        <w:jc w:val="both"/>
        <w:outlineLvl w:val="1"/>
        <w:rPr>
          <w:rFonts w:hint="eastAsia"/>
          <w:color w:val="auto"/>
          <w:sz w:val="24"/>
          <w:szCs w:val="24"/>
        </w:rPr>
      </w:pPr>
      <w:bookmarkStart w:id="240" w:name="_Toc8061"/>
      <w:bookmarkStart w:id="241" w:name="_Toc14721"/>
      <w:bookmarkStart w:id="242" w:name="_Toc13317"/>
      <w:bookmarkStart w:id="243" w:name="_Toc8356"/>
      <w:bookmarkStart w:id="244" w:name="_Toc163974815"/>
      <w:bookmarkStart w:id="245" w:name="_Toc424020299"/>
      <w:bookmarkStart w:id="246" w:name="_Toc24929"/>
      <w:bookmarkStart w:id="247" w:name="_Toc19855"/>
      <w:bookmarkStart w:id="248" w:name="_Toc164008870"/>
      <w:bookmarkStart w:id="249" w:name="_Toc22043"/>
      <w:bookmarkStart w:id="250" w:name="_Toc176972062"/>
      <w:r>
        <w:rPr>
          <w:rFonts w:hint="eastAsia"/>
          <w:color w:val="auto"/>
          <w:sz w:val="24"/>
          <w:szCs w:val="24"/>
        </w:rPr>
        <w:t>二、表内、表间关系</w:t>
      </w:r>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p>
    <w:p>
      <w:pPr>
        <w:pStyle w:val="21"/>
        <w:ind w:firstLine="480"/>
        <w:rPr>
          <w:rFonts w:hint="eastAsia"/>
          <w:color w:val="auto"/>
        </w:rPr>
      </w:pPr>
      <w:bookmarkStart w:id="251" w:name="_Toc1047184017_WPSOffice_Level2"/>
      <w:bookmarkStart w:id="252" w:name="_Toc1282511864_WPSOffice_Level2"/>
      <w:r>
        <w:rPr>
          <w:rFonts w:hint="eastAsia"/>
          <w:color w:val="auto"/>
        </w:rPr>
        <w:t>（一）表内关系</w:t>
      </w:r>
      <w:bookmarkEnd w:id="251"/>
      <w:bookmarkEnd w:id="252"/>
    </w:p>
    <w:p>
      <w:pPr>
        <w:pStyle w:val="12"/>
        <w:ind w:firstLine="480"/>
        <w:rPr>
          <w:rFonts w:hint="eastAsia"/>
          <w:color w:val="auto"/>
        </w:rPr>
      </w:pPr>
      <w:r>
        <w:rPr>
          <w:rFonts w:hint="eastAsia"/>
          <w:color w:val="auto"/>
        </w:rPr>
        <w:t>1.第2行＝第3＋7＋16＋19＋23＋34行。</w:t>
      </w:r>
    </w:p>
    <w:p>
      <w:pPr>
        <w:pStyle w:val="12"/>
        <w:ind w:firstLine="480"/>
        <w:rPr>
          <w:rFonts w:hint="eastAsia"/>
          <w:color w:val="auto"/>
        </w:rPr>
      </w:pPr>
      <w:r>
        <w:rPr>
          <w:rFonts w:hint="eastAsia"/>
          <w:color w:val="auto"/>
        </w:rPr>
        <w:t>2.第3行＝第4＋5＋6行。当表A000000</w:t>
      </w:r>
      <w:r>
        <w:rPr>
          <w:rFonts w:hint="eastAsia" w:cs="宋体"/>
          <w:color w:val="auto"/>
        </w:rPr>
        <w:t>“224研发支出辅助账样式”</w:t>
      </w:r>
      <w:r>
        <w:rPr>
          <w:rFonts w:hint="eastAsia"/>
          <w:color w:val="auto"/>
        </w:rPr>
        <w:t>填报“2021版”或“自行设计”时，不执行本规则。</w:t>
      </w:r>
    </w:p>
    <w:p>
      <w:pPr>
        <w:pStyle w:val="12"/>
        <w:ind w:firstLine="480"/>
        <w:rPr>
          <w:rFonts w:hint="eastAsia"/>
          <w:color w:val="auto"/>
        </w:rPr>
      </w:pPr>
      <w:r>
        <w:rPr>
          <w:rFonts w:hint="eastAsia"/>
          <w:color w:val="auto"/>
        </w:rPr>
        <w:t>3.第7行＝第8＋9＋10＋11＋12＋13＋14＋15行。当表A000000</w:t>
      </w:r>
      <w:r>
        <w:rPr>
          <w:rFonts w:hint="eastAsia" w:cs="宋体"/>
          <w:color w:val="auto"/>
        </w:rPr>
        <w:t>“224研发支出辅助账样式</w:t>
      </w:r>
      <w:r>
        <w:rPr>
          <w:rFonts w:hint="eastAsia"/>
          <w:color w:val="auto"/>
        </w:rPr>
        <w:t>”填报“2021版”或“自行设计”时，不执行本规则。</w:t>
      </w:r>
    </w:p>
    <w:p>
      <w:pPr>
        <w:pStyle w:val="12"/>
        <w:ind w:firstLine="480"/>
        <w:rPr>
          <w:rFonts w:hint="eastAsia"/>
          <w:color w:val="auto"/>
        </w:rPr>
      </w:pPr>
      <w:r>
        <w:rPr>
          <w:rFonts w:hint="eastAsia"/>
          <w:color w:val="auto"/>
        </w:rPr>
        <w:t>4.第16行＝第17＋18行。当表A000000</w:t>
      </w:r>
      <w:r>
        <w:rPr>
          <w:rFonts w:hint="eastAsia" w:cs="宋体"/>
          <w:color w:val="auto"/>
        </w:rPr>
        <w:t>“224研发支出辅助账样式”</w:t>
      </w:r>
      <w:r>
        <w:rPr>
          <w:rFonts w:hint="eastAsia"/>
          <w:color w:val="auto"/>
        </w:rPr>
        <w:t>填报“2021版”或“自行设计”时，不执行本规则。</w:t>
      </w:r>
    </w:p>
    <w:p>
      <w:pPr>
        <w:pStyle w:val="12"/>
        <w:ind w:firstLine="480"/>
        <w:rPr>
          <w:rFonts w:hint="eastAsia"/>
          <w:color w:val="auto"/>
        </w:rPr>
      </w:pPr>
      <w:r>
        <w:rPr>
          <w:rFonts w:hint="eastAsia"/>
          <w:color w:val="auto"/>
        </w:rPr>
        <w:t>5.第19行＝第20＋21＋22行。当表A000000</w:t>
      </w:r>
      <w:r>
        <w:rPr>
          <w:rFonts w:hint="eastAsia" w:cs="宋体"/>
          <w:color w:val="auto"/>
        </w:rPr>
        <w:t>“224研发支出辅助账样式”</w:t>
      </w:r>
      <w:r>
        <w:rPr>
          <w:rFonts w:hint="eastAsia"/>
          <w:color w:val="auto"/>
        </w:rPr>
        <w:t>填报“2021版”或“自行设计”时，不执行本规则。</w:t>
      </w:r>
    </w:p>
    <w:p>
      <w:pPr>
        <w:pStyle w:val="12"/>
        <w:ind w:firstLine="480"/>
        <w:rPr>
          <w:rFonts w:hint="eastAsia"/>
          <w:color w:val="auto"/>
        </w:rPr>
      </w:pPr>
      <w:r>
        <w:rPr>
          <w:rFonts w:hint="eastAsia"/>
          <w:color w:val="auto"/>
        </w:rPr>
        <w:t>6.第23行＝第24＋25＋26＋27行。当表A000000</w:t>
      </w:r>
      <w:r>
        <w:rPr>
          <w:rFonts w:hint="eastAsia" w:cs="宋体"/>
          <w:color w:val="auto"/>
        </w:rPr>
        <w:t>“224研发支出辅助账样式”</w:t>
      </w:r>
      <w:r>
        <w:rPr>
          <w:rFonts w:hint="eastAsia"/>
          <w:color w:val="auto"/>
        </w:rPr>
        <w:t>填报“2021版”或“自行设计”时，不执行本规则。</w:t>
      </w:r>
    </w:p>
    <w:p>
      <w:pPr>
        <w:pStyle w:val="12"/>
        <w:ind w:firstLine="480"/>
        <w:rPr>
          <w:rFonts w:hint="eastAsia"/>
          <w:color w:val="auto"/>
        </w:rPr>
      </w:pPr>
      <w:r>
        <w:rPr>
          <w:rFonts w:hint="eastAsia"/>
          <w:color w:val="auto"/>
        </w:rPr>
        <w:t>7.第28行＝第29＋30＋31＋32＋33行。当表A000000</w:t>
      </w:r>
      <w:r>
        <w:rPr>
          <w:rFonts w:hint="eastAsia" w:cs="宋体"/>
          <w:color w:val="auto"/>
        </w:rPr>
        <w:t>“224研发支出辅助账样式”</w:t>
      </w:r>
      <w:r>
        <w:rPr>
          <w:rFonts w:hint="eastAsia"/>
          <w:color w:val="auto"/>
        </w:rPr>
        <w:t>填报“2021版”或“自行设计”时，不执行本规则。</w:t>
      </w:r>
    </w:p>
    <w:p>
      <w:pPr>
        <w:pStyle w:val="12"/>
        <w:ind w:firstLine="480"/>
        <w:rPr>
          <w:rFonts w:hint="eastAsia"/>
          <w:color w:val="auto"/>
        </w:rPr>
      </w:pPr>
      <w:r>
        <w:rPr>
          <w:rFonts w:hint="eastAsia"/>
          <w:color w:val="auto"/>
        </w:rPr>
        <w:t>8.第34行＝第28行与（第3＋7＋16＋19＋23行）×10%÷（1－10%）的孰小值。</w:t>
      </w:r>
    </w:p>
    <w:p>
      <w:pPr>
        <w:pStyle w:val="12"/>
        <w:ind w:firstLine="480"/>
        <w:rPr>
          <w:rFonts w:hint="eastAsia"/>
          <w:color w:val="auto"/>
        </w:rPr>
      </w:pPr>
      <w:r>
        <w:rPr>
          <w:rFonts w:hint="eastAsia"/>
          <w:color w:val="auto"/>
        </w:rPr>
        <w:t>9.第35行＝第36＋37＋39行。</w:t>
      </w:r>
    </w:p>
    <w:p>
      <w:pPr>
        <w:pStyle w:val="12"/>
        <w:ind w:firstLine="480"/>
        <w:rPr>
          <w:rFonts w:hint="eastAsia"/>
          <w:color w:val="auto"/>
        </w:rPr>
      </w:pPr>
      <w:r>
        <w:rPr>
          <w:rFonts w:hint="eastAsia"/>
          <w:color w:val="auto"/>
        </w:rPr>
        <w:t>10.第40行＝第2行＋第36行×80%＋第38行</w:t>
      </w:r>
      <w:r>
        <w:rPr>
          <w:rFonts w:hint="eastAsia"/>
          <w:color w:val="auto"/>
          <w:lang w:eastAsia="zh-CN"/>
        </w:rPr>
        <w:t>，第</w:t>
      </w:r>
      <w:r>
        <w:rPr>
          <w:rFonts w:hint="eastAsia"/>
          <w:color w:val="auto"/>
          <w:lang w:val="en-US" w:eastAsia="zh-CN"/>
        </w:rPr>
        <w:t>40行=第41</w:t>
      </w:r>
      <w:r>
        <w:rPr>
          <w:rFonts w:hint="eastAsia"/>
          <w:color w:val="auto"/>
        </w:rPr>
        <w:t>＋</w:t>
      </w:r>
      <w:r>
        <w:rPr>
          <w:rFonts w:hint="eastAsia"/>
          <w:color w:val="auto"/>
          <w:lang w:val="en-US" w:eastAsia="zh-CN"/>
        </w:rPr>
        <w:t>42行</w:t>
      </w:r>
      <w:r>
        <w:rPr>
          <w:rFonts w:hint="eastAsia"/>
          <w:color w:val="auto"/>
        </w:rPr>
        <w:t>。</w:t>
      </w:r>
    </w:p>
    <w:p>
      <w:pPr>
        <w:pStyle w:val="12"/>
        <w:ind w:firstLine="480"/>
        <w:rPr>
          <w:rFonts w:hint="eastAsia"/>
          <w:color w:val="auto"/>
        </w:rPr>
      </w:pPr>
      <w:r>
        <w:rPr>
          <w:rFonts w:hint="eastAsia"/>
          <w:color w:val="auto"/>
        </w:rPr>
        <w:t>11.第45行＝第41＋43＋44行。</w:t>
      </w:r>
    </w:p>
    <w:p>
      <w:pPr>
        <w:pStyle w:val="12"/>
        <w:ind w:firstLine="480"/>
        <w:rPr>
          <w:rFonts w:hint="eastAsia"/>
          <w:color w:val="auto"/>
        </w:rPr>
      </w:pPr>
      <w:r>
        <w:rPr>
          <w:rFonts w:hint="eastAsia"/>
          <w:color w:val="auto"/>
        </w:rPr>
        <w:t>12.第47行＝第45－46行。</w:t>
      </w:r>
    </w:p>
    <w:p>
      <w:pPr>
        <w:pStyle w:val="12"/>
        <w:ind w:firstLine="480"/>
        <w:rPr>
          <w:rFonts w:hint="eastAsia"/>
          <w:color w:val="auto"/>
        </w:rPr>
      </w:pPr>
      <w:r>
        <w:rPr>
          <w:rFonts w:hint="eastAsia"/>
          <w:color w:val="auto"/>
        </w:rPr>
        <w:t>1</w:t>
      </w:r>
      <w:r>
        <w:rPr>
          <w:color w:val="auto"/>
        </w:rPr>
        <w:t>3</w:t>
      </w:r>
      <w:r>
        <w:rPr>
          <w:rFonts w:hint="eastAsia"/>
          <w:color w:val="auto"/>
        </w:rPr>
        <w:t>.第51行＝（第47－48－49行）×第50行；当第47－48－49行＜0时，第51行＝0。</w:t>
      </w:r>
    </w:p>
    <w:p>
      <w:pPr>
        <w:pStyle w:val="12"/>
        <w:ind w:firstLine="480"/>
        <w:rPr>
          <w:rFonts w:hint="eastAsia"/>
          <w:color w:val="auto"/>
        </w:rPr>
      </w:pPr>
      <w:r>
        <w:rPr>
          <w:rFonts w:hint="eastAsia"/>
          <w:color w:val="auto"/>
        </w:rPr>
        <w:t>1</w:t>
      </w:r>
      <w:r>
        <w:rPr>
          <w:color w:val="auto"/>
        </w:rPr>
        <w:t>4</w:t>
      </w:r>
      <w:r>
        <w:rPr>
          <w:rFonts w:hint="eastAsia"/>
          <w:color w:val="auto"/>
        </w:rPr>
        <w:t>.当第47－48－49行≥0时，第52行＝0；当第47－48－49行＜0时，第52行＝第46－47－48行金额的绝对值。</w:t>
      </w:r>
    </w:p>
    <w:p>
      <w:pPr>
        <w:pStyle w:val="21"/>
        <w:ind w:firstLine="480"/>
        <w:rPr>
          <w:rFonts w:hint="eastAsia"/>
          <w:color w:val="auto"/>
        </w:rPr>
      </w:pPr>
      <w:bookmarkStart w:id="253" w:name="_Toc222782185_WPSOffice_Level2"/>
      <w:bookmarkStart w:id="254" w:name="_Toc422253844_WPSOffice_Level2"/>
      <w:r>
        <w:rPr>
          <w:rFonts w:hint="eastAsia"/>
          <w:color w:val="auto"/>
        </w:rPr>
        <w:t>（二）表间关系</w:t>
      </w:r>
      <w:bookmarkEnd w:id="253"/>
      <w:bookmarkEnd w:id="254"/>
    </w:p>
    <w:p>
      <w:pPr>
        <w:pStyle w:val="12"/>
        <w:ind w:firstLine="480"/>
        <w:rPr>
          <w:rFonts w:hint="eastAsia" w:ascii="方正小标宋_GBK" w:hAnsi="方正小标宋_GBK" w:eastAsia="方正小标宋_GBK" w:cs="方正小标宋_GBK"/>
          <w:bCs/>
          <w:color w:val="auto"/>
          <w:kern w:val="0"/>
          <w:sz w:val="28"/>
          <w:szCs w:val="28"/>
        </w:rPr>
        <w:sectPr>
          <w:headerReference r:id="rId12" w:type="default"/>
          <w:footerReference r:id="rId13" w:type="default"/>
          <w:pgSz w:w="11906" w:h="16838"/>
          <w:pgMar w:top="1440" w:right="1800" w:bottom="1440" w:left="1800" w:header="851" w:footer="992" w:gutter="0"/>
          <w:pgNumType w:fmt="decimal"/>
          <w:cols w:space="720" w:num="1"/>
          <w:docGrid w:type="lines" w:linePitch="312" w:charSpace="0"/>
        </w:sectPr>
      </w:pPr>
      <w:bookmarkStart w:id="255" w:name="_Toc32557"/>
      <w:r>
        <w:rPr>
          <w:rFonts w:hint="eastAsia"/>
          <w:color w:val="auto"/>
        </w:rPr>
        <w:t>第51行＝表A100000第22行下对应项目金额。</w:t>
      </w:r>
      <w:bookmarkEnd w:id="255"/>
    </w:p>
    <w:p>
      <w:pPr>
        <w:pStyle w:val="13"/>
        <w:rPr>
          <w:rFonts w:hint="eastAsia" w:ascii="方正小标宋_GBK" w:hAnsi="方正小标宋_GBK" w:eastAsia="方正小标宋_GBK" w:cs="方正小标宋_GBK"/>
          <w:color w:val="auto"/>
        </w:rPr>
      </w:pPr>
      <w:bookmarkStart w:id="256" w:name="_Toc176972064"/>
      <w:bookmarkStart w:id="257" w:name="_Toc31043"/>
      <w:bookmarkStart w:id="258" w:name="_Toc164008871"/>
      <w:bookmarkStart w:id="259" w:name="_Toc21460"/>
      <w:bookmarkStart w:id="260" w:name="_Toc7160"/>
      <w:bookmarkStart w:id="261" w:name="_Toc1805451252"/>
      <w:bookmarkStart w:id="262" w:name="_Toc1135"/>
      <w:bookmarkStart w:id="263" w:name="_Toc13876"/>
      <w:bookmarkStart w:id="264" w:name="_Toc30141"/>
      <w:r>
        <w:rPr>
          <w:rFonts w:hint="eastAsia" w:ascii="方正小标宋_GBK" w:hAnsi="方正小标宋_GBK" w:eastAsia="方正小标宋_GBK" w:cs="方正小标宋_GBK"/>
          <w:color w:val="auto"/>
        </w:rPr>
        <w:t>A107020《所得减免优惠明细表》填报说明</w:t>
      </w:r>
      <w:bookmarkEnd w:id="256"/>
      <w:bookmarkEnd w:id="257"/>
      <w:bookmarkEnd w:id="258"/>
      <w:bookmarkEnd w:id="259"/>
      <w:bookmarkEnd w:id="260"/>
      <w:bookmarkEnd w:id="261"/>
      <w:bookmarkEnd w:id="262"/>
      <w:bookmarkEnd w:id="263"/>
      <w:bookmarkEnd w:id="264"/>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本表适用于享受所得减免优惠政策的纳税人填报。纳税人根据税法及相关税收政策规定，填报本年发生的所得减免优惠情况，《中华人民共和国企业所得税年度纳税申报</w:t>
      </w:r>
      <w:r>
        <w:rPr>
          <w:rFonts w:hint="eastAsia" w:ascii="宋体" w:hAnsi="宋体" w:cs="Times New Roman"/>
          <w:color w:val="auto"/>
          <w:kern w:val="2"/>
          <w:sz w:val="24"/>
          <w:szCs w:val="24"/>
          <w:lang w:val="en-US" w:eastAsia="zh-CN" w:bidi="ar-SA"/>
        </w:rPr>
        <w:t>主表</w:t>
      </w:r>
      <w:r>
        <w:rPr>
          <w:rFonts w:hint="eastAsia" w:ascii="宋体" w:hAnsi="宋体" w:eastAsia="宋体" w:cs="Times New Roman"/>
          <w:color w:val="auto"/>
          <w:kern w:val="2"/>
          <w:sz w:val="24"/>
          <w:szCs w:val="24"/>
          <w:lang w:val="en-US" w:eastAsia="zh-CN" w:bidi="ar-SA"/>
        </w:rPr>
        <w:t>》（A100000）第24行“纳税调整后所得”为负数的，无需填报本表。</w:t>
      </w:r>
    </w:p>
    <w:p>
      <w:pPr>
        <w:pStyle w:val="17"/>
        <w:ind w:firstLine="480"/>
        <w:jc w:val="both"/>
        <w:outlineLvl w:val="1"/>
        <w:rPr>
          <w:rFonts w:hint="eastAsia" w:ascii="黑体" w:hAnsi="黑体" w:eastAsia="黑体" w:cs="黑体"/>
          <w:color w:val="auto"/>
          <w:sz w:val="24"/>
          <w:szCs w:val="24"/>
        </w:rPr>
      </w:pPr>
      <w:bookmarkStart w:id="265" w:name="_Toc32363"/>
      <w:bookmarkStart w:id="266" w:name="_Toc6297"/>
      <w:bookmarkStart w:id="267" w:name="_Toc176972065"/>
      <w:bookmarkStart w:id="268" w:name="_Toc21781"/>
      <w:bookmarkStart w:id="269" w:name="_Toc163974817"/>
      <w:bookmarkStart w:id="270" w:name="_Toc780273543"/>
      <w:bookmarkStart w:id="271" w:name="_Toc164008872"/>
      <w:bookmarkStart w:id="272" w:name="_Toc2780"/>
      <w:bookmarkStart w:id="273" w:name="_Toc23686"/>
      <w:bookmarkStart w:id="274" w:name="_Toc14158"/>
      <w:bookmarkStart w:id="275" w:name="_Toc621228549_WPSOffice_Level1"/>
      <w:bookmarkStart w:id="276" w:name="_Toc4228"/>
      <w:bookmarkStart w:id="277" w:name="_Toc54267950"/>
      <w:bookmarkStart w:id="278" w:name="_Toc2121385532_WPSOffice_Level1"/>
      <w:r>
        <w:rPr>
          <w:rFonts w:hint="eastAsia" w:ascii="黑体" w:hAnsi="黑体" w:eastAsia="黑体" w:cs="黑体"/>
          <w:color w:val="auto"/>
          <w:sz w:val="24"/>
          <w:szCs w:val="24"/>
        </w:rPr>
        <w:t>一、有关项目填报说明</w:t>
      </w:r>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p>
    <w:p>
      <w:pPr>
        <w:pStyle w:val="16"/>
        <w:rPr>
          <w:rFonts w:hint="eastAsia" w:ascii="楷体_GB2312" w:hAnsi="楷体_GB2312" w:eastAsia="楷体_GB2312" w:cs="楷体_GB2312"/>
          <w:color w:val="auto"/>
        </w:rPr>
      </w:pPr>
      <w:bookmarkStart w:id="279" w:name="_Toc1655371600_WPSOffice_Level2"/>
      <w:bookmarkStart w:id="280" w:name="_Toc54267951"/>
      <w:bookmarkStart w:id="281" w:name="_Toc848793957_WPSOffice_Level2"/>
      <w:r>
        <w:rPr>
          <w:rFonts w:hint="eastAsia" w:ascii="楷体_GB2312" w:hAnsi="楷体_GB2312" w:eastAsia="楷体_GB2312" w:cs="楷体_GB2312"/>
          <w:color w:val="auto"/>
        </w:rPr>
        <w:t>（一）列次填报</w:t>
      </w:r>
      <w:bookmarkEnd w:id="279"/>
      <w:bookmarkEnd w:id="280"/>
      <w:bookmarkEnd w:id="281"/>
    </w:p>
    <w:p>
      <w:pPr>
        <w:pStyle w:val="16"/>
        <w:bidi w:val="0"/>
        <w:rPr>
          <w:rFonts w:hint="eastAsia" w:ascii="宋体" w:hAnsi="宋体" w:eastAsia="宋体" w:cs="宋体"/>
          <w:color w:val="auto"/>
        </w:rPr>
      </w:pPr>
      <w:r>
        <w:rPr>
          <w:rFonts w:hint="eastAsia" w:ascii="宋体" w:hAnsi="宋体" w:eastAsia="宋体" w:cs="宋体"/>
          <w:color w:val="auto"/>
          <w:szCs w:val="24"/>
        </w:rPr>
        <w:t>1.第1列</w:t>
      </w:r>
      <w:r>
        <w:rPr>
          <w:rFonts w:hint="eastAsia" w:ascii="宋体" w:hAnsi="宋体" w:eastAsia="宋体" w:cs="宋体"/>
          <w:color w:val="auto"/>
        </w:rPr>
        <w:t>“项目名称”：填报纳税人享受减免所得优惠的项目在会计核算上的名称。项目名称以纳税人内部规范称谓为准。</w:t>
      </w:r>
    </w:p>
    <w:p>
      <w:pPr>
        <w:pStyle w:val="16"/>
        <w:bidi w:val="0"/>
        <w:rPr>
          <w:rFonts w:hint="eastAsia" w:ascii="宋体" w:hAnsi="宋体" w:eastAsia="宋体" w:cs="宋体"/>
          <w:color w:val="auto"/>
        </w:rPr>
      </w:pPr>
      <w:r>
        <w:rPr>
          <w:rFonts w:hint="eastAsia" w:ascii="宋体" w:hAnsi="宋体" w:eastAsia="宋体" w:cs="宋体"/>
          <w:color w:val="auto"/>
        </w:rPr>
        <w:t>2.第2列“优惠事项名称”：按照该项目享受所得减免企业所得税优惠事项的具体政策内容选择填报。具体说明如下：</w:t>
      </w:r>
    </w:p>
    <w:p>
      <w:pPr>
        <w:pStyle w:val="16"/>
        <w:bidi w:val="0"/>
        <w:rPr>
          <w:rFonts w:hint="eastAsia" w:ascii="宋体" w:hAnsi="宋体" w:eastAsia="宋体" w:cs="宋体"/>
          <w:color w:val="auto"/>
        </w:rPr>
      </w:pPr>
      <w:r>
        <w:rPr>
          <w:rFonts w:hint="eastAsia" w:ascii="宋体" w:hAnsi="宋体" w:eastAsia="宋体" w:cs="宋体"/>
          <w:color w:val="auto"/>
        </w:rPr>
        <w:t>（1）“农、林、牧、渔业项目”</w:t>
      </w:r>
    </w:p>
    <w:p>
      <w:pPr>
        <w:pStyle w:val="16"/>
        <w:bidi w:val="0"/>
        <w:rPr>
          <w:rFonts w:hint="eastAsia" w:ascii="宋体" w:hAnsi="宋体" w:eastAsia="宋体" w:cs="宋体"/>
          <w:color w:val="auto"/>
        </w:rPr>
      </w:pPr>
      <w:r>
        <w:rPr>
          <w:rFonts w:hint="eastAsia" w:ascii="宋体" w:hAnsi="宋体" w:eastAsia="宋体" w:cs="宋体"/>
          <w:color w:val="auto"/>
        </w:rPr>
        <w:t>在以下优惠事项中选择填报：1.蔬菜、谷物、薯类、油料、豆类、棉花、麻类、糖料、水果、坚果的种植；2.农作物新品种的选育；3.中药材的种植；4.林木的培育和种植；5.牲畜、家禽的饲养；6.林产品的采集；7.灌溉、兽医、农技推广、农机作业和维修等农、林、牧、渔服务业项目；8.农产品初加工；9.远洋捕捞；10.花卉、茶以及其他饮料作物和香料作物的种植；11.海水养殖、内陆养殖；12.其他。</w:t>
      </w:r>
    </w:p>
    <w:p>
      <w:pPr>
        <w:pStyle w:val="16"/>
        <w:bidi w:val="0"/>
        <w:rPr>
          <w:rFonts w:hint="eastAsia" w:ascii="宋体" w:hAnsi="宋体" w:eastAsia="宋体" w:cs="宋体"/>
          <w:color w:val="auto"/>
        </w:rPr>
      </w:pPr>
      <w:r>
        <w:rPr>
          <w:rFonts w:hint="eastAsia" w:ascii="宋体" w:hAnsi="宋体" w:eastAsia="宋体" w:cs="宋体"/>
          <w:color w:val="auto"/>
        </w:rPr>
        <w:t>（2）“国家重点扶持的公共基础设施项目”</w:t>
      </w:r>
    </w:p>
    <w:p>
      <w:pPr>
        <w:pStyle w:val="16"/>
        <w:bidi w:val="0"/>
        <w:rPr>
          <w:rFonts w:hint="eastAsia" w:ascii="宋体" w:hAnsi="宋体" w:eastAsia="宋体" w:cs="宋体"/>
          <w:color w:val="auto"/>
        </w:rPr>
      </w:pPr>
      <w:r>
        <w:rPr>
          <w:rFonts w:hint="eastAsia" w:ascii="宋体" w:hAnsi="宋体" w:eastAsia="宋体" w:cs="宋体"/>
          <w:color w:val="auto"/>
        </w:rPr>
        <w:t>在以下优惠事项中选择填报：1.港口码头项目；2.机场项目；3.铁路项目；4.公路项目；5.城市公共交通项目；6.电力项目；7.水利项目（不含农村饮水安全工程）；8.农村饮水安全工程；9.其他项目。</w:t>
      </w:r>
    </w:p>
    <w:p>
      <w:pPr>
        <w:pStyle w:val="16"/>
        <w:bidi w:val="0"/>
        <w:rPr>
          <w:rFonts w:hint="eastAsia" w:ascii="宋体" w:hAnsi="宋体" w:eastAsia="宋体" w:cs="宋体"/>
          <w:color w:val="auto"/>
        </w:rPr>
      </w:pPr>
      <w:r>
        <w:rPr>
          <w:rFonts w:hint="eastAsia" w:ascii="宋体" w:hAnsi="宋体" w:eastAsia="宋体" w:cs="宋体"/>
          <w:color w:val="auto"/>
        </w:rPr>
        <w:t>（3）“符合条件的环境保护、节能节水项目”</w:t>
      </w:r>
    </w:p>
    <w:p>
      <w:pPr>
        <w:pStyle w:val="16"/>
        <w:bidi w:val="0"/>
        <w:rPr>
          <w:rFonts w:hint="eastAsia" w:ascii="宋体" w:hAnsi="宋体" w:eastAsia="宋体" w:cs="宋体"/>
          <w:color w:val="auto"/>
        </w:rPr>
      </w:pPr>
      <w:r>
        <w:rPr>
          <w:rFonts w:hint="eastAsia" w:ascii="宋体" w:hAnsi="宋体" w:eastAsia="宋体" w:cs="宋体"/>
          <w:color w:val="auto"/>
          <w:lang w:eastAsia="zh-CN"/>
        </w:rPr>
        <w:t>适用《</w:t>
      </w:r>
      <w:r>
        <w:rPr>
          <w:rFonts w:hint="eastAsia" w:ascii="宋体" w:hAnsi="宋体" w:eastAsia="宋体" w:cs="宋体"/>
          <w:color w:val="auto"/>
        </w:rPr>
        <w:t>环境保护节能节水项目企业所得税优惠目录（试行）</w:t>
      </w:r>
      <w:r>
        <w:rPr>
          <w:rFonts w:hint="eastAsia" w:ascii="宋体" w:hAnsi="宋体" w:eastAsia="宋体" w:cs="宋体"/>
          <w:color w:val="auto"/>
          <w:lang w:eastAsia="zh-CN"/>
        </w:rPr>
        <w:t>》的，</w:t>
      </w:r>
      <w:r>
        <w:rPr>
          <w:rFonts w:hint="eastAsia" w:ascii="宋体" w:hAnsi="宋体" w:eastAsia="宋体" w:cs="宋体"/>
          <w:color w:val="auto"/>
        </w:rPr>
        <w:t>在以下优惠事项中选择填报：1.公共污水处理项目；2.公共垃圾处理项目；3.沼气综合开发利用项目；4.节能减排技术改造项目；5.</w:t>
      </w:r>
      <w:r>
        <w:rPr>
          <w:rFonts w:hint="eastAsia" w:ascii="宋体" w:hAnsi="宋体" w:eastAsia="宋体" w:cs="宋体"/>
          <w:color w:val="auto"/>
          <w:lang w:val="en-US" w:eastAsia="zh-CN"/>
        </w:rPr>
        <w:t>含</w:t>
      </w:r>
      <w:r>
        <w:rPr>
          <w:rFonts w:hint="eastAsia" w:ascii="宋体" w:hAnsi="宋体" w:eastAsia="宋体" w:cs="宋体"/>
          <w:color w:val="auto"/>
        </w:rPr>
        <w:t>海水淡化项目</w:t>
      </w:r>
      <w:r>
        <w:rPr>
          <w:rFonts w:hint="eastAsia" w:ascii="宋体" w:hAnsi="宋体" w:eastAsia="宋体" w:cs="宋体"/>
          <w:color w:val="auto"/>
          <w:lang w:eastAsia="zh-CN"/>
        </w:rPr>
        <w:t>；</w:t>
      </w:r>
      <w:r>
        <w:rPr>
          <w:rFonts w:hint="eastAsia" w:ascii="宋体" w:hAnsi="宋体" w:eastAsia="宋体" w:cs="宋体"/>
          <w:color w:val="auto"/>
          <w:lang w:val="en-US" w:eastAsia="zh-CN"/>
        </w:rPr>
        <w:t>6.</w:t>
      </w:r>
      <w:r>
        <w:rPr>
          <w:rFonts w:hint="eastAsia" w:ascii="宋体" w:hAnsi="宋体" w:eastAsia="宋体" w:cs="宋体"/>
          <w:color w:val="auto"/>
        </w:rPr>
        <w:t>其他项目。</w:t>
      </w:r>
      <w:r>
        <w:rPr>
          <w:rFonts w:hint="eastAsia" w:ascii="宋体" w:hAnsi="宋体" w:eastAsia="宋体" w:cs="宋体"/>
          <w:color w:val="auto"/>
          <w:lang w:eastAsia="zh-CN"/>
        </w:rPr>
        <w:t>适用《环境保护、节能节水项目企业所得税优惠目录（</w:t>
      </w:r>
      <w:r>
        <w:rPr>
          <w:rFonts w:hint="eastAsia" w:ascii="宋体" w:hAnsi="宋体" w:eastAsia="宋体" w:cs="宋体"/>
          <w:color w:val="auto"/>
          <w:lang w:val="en-US" w:eastAsia="zh-CN"/>
        </w:rPr>
        <w:t>2021年版</w:t>
      </w:r>
      <w:r>
        <w:rPr>
          <w:rFonts w:hint="eastAsia" w:ascii="宋体" w:hAnsi="宋体" w:eastAsia="宋体" w:cs="宋体"/>
          <w:color w:val="auto"/>
          <w:lang w:eastAsia="zh-CN"/>
        </w:rPr>
        <w:t>）》的，按照《环境保护、节能节水项目企业所得税优惠目录（</w:t>
      </w:r>
      <w:r>
        <w:rPr>
          <w:rFonts w:hint="eastAsia" w:ascii="宋体" w:hAnsi="宋体" w:eastAsia="宋体" w:cs="宋体"/>
          <w:color w:val="auto"/>
          <w:lang w:val="en-US" w:eastAsia="zh-CN"/>
        </w:rPr>
        <w:t>2021年版</w:t>
      </w:r>
      <w:r>
        <w:rPr>
          <w:rFonts w:hint="eastAsia" w:ascii="宋体" w:hAnsi="宋体" w:eastAsia="宋体" w:cs="宋体"/>
          <w:color w:val="auto"/>
          <w:lang w:eastAsia="zh-CN"/>
        </w:rPr>
        <w:t>）》的项目名称选择填报。</w:t>
      </w:r>
    </w:p>
    <w:p>
      <w:pPr>
        <w:pStyle w:val="16"/>
        <w:bidi w:val="0"/>
        <w:rPr>
          <w:rFonts w:hint="eastAsia" w:ascii="宋体" w:hAnsi="宋体" w:eastAsia="宋体" w:cs="宋体"/>
          <w:color w:val="auto"/>
        </w:rPr>
      </w:pPr>
      <w:r>
        <w:rPr>
          <w:rFonts w:hint="eastAsia" w:ascii="宋体" w:hAnsi="宋体" w:eastAsia="宋体" w:cs="宋体"/>
          <w:color w:val="auto"/>
        </w:rPr>
        <w:t>（4）“符合条件的技术转让项目”</w:t>
      </w:r>
    </w:p>
    <w:p>
      <w:pPr>
        <w:pStyle w:val="16"/>
        <w:bidi w:val="0"/>
        <w:rPr>
          <w:rFonts w:hint="eastAsia" w:ascii="宋体" w:hAnsi="宋体" w:eastAsia="宋体" w:cs="宋体"/>
          <w:color w:val="auto"/>
        </w:rPr>
      </w:pPr>
      <w:r>
        <w:rPr>
          <w:rFonts w:hint="eastAsia" w:ascii="宋体" w:hAnsi="宋体" w:eastAsia="宋体" w:cs="宋体"/>
          <w:color w:val="auto"/>
        </w:rPr>
        <w:t>纳税人填报“小计”行时，在以下优惠事项中选择填报：1.一般技术转让项目；2.中关村国家自主创新示范区特定区域技术转让项目。其他行次无需填报本列。</w:t>
      </w:r>
    </w:p>
    <w:p>
      <w:pPr>
        <w:pStyle w:val="16"/>
        <w:bidi w:val="0"/>
        <w:rPr>
          <w:rFonts w:hint="eastAsia" w:ascii="宋体" w:hAnsi="宋体" w:eastAsia="宋体" w:cs="宋体"/>
          <w:color w:val="auto"/>
        </w:rPr>
      </w:pPr>
      <w:r>
        <w:rPr>
          <w:rFonts w:hint="eastAsia" w:ascii="宋体" w:hAnsi="宋体" w:eastAsia="宋体" w:cs="宋体"/>
          <w:color w:val="auto"/>
        </w:rPr>
        <w:t>（5）“清洁发展机制项目”：本列无需填报。</w:t>
      </w:r>
    </w:p>
    <w:p>
      <w:pPr>
        <w:pStyle w:val="16"/>
        <w:bidi w:val="0"/>
        <w:rPr>
          <w:rFonts w:hint="eastAsia" w:ascii="宋体" w:hAnsi="宋体" w:eastAsia="宋体" w:cs="宋体"/>
          <w:color w:val="auto"/>
        </w:rPr>
      </w:pPr>
      <w:r>
        <w:rPr>
          <w:rFonts w:hint="eastAsia" w:ascii="宋体" w:hAnsi="宋体" w:eastAsia="宋体" w:cs="宋体"/>
          <w:color w:val="auto"/>
        </w:rPr>
        <w:t>（6）“符合条件的节能服务公司实施合同能源管理项目”：本列无需填报。</w:t>
      </w:r>
    </w:p>
    <w:p>
      <w:pPr>
        <w:pStyle w:val="16"/>
        <w:bidi w:val="0"/>
        <w:rPr>
          <w:rFonts w:hint="eastAsia" w:ascii="宋体" w:hAnsi="宋体" w:eastAsia="宋体" w:cs="宋体"/>
          <w:color w:val="auto"/>
        </w:rPr>
      </w:pPr>
      <w:r>
        <w:rPr>
          <w:rFonts w:hint="eastAsia" w:ascii="宋体" w:hAnsi="宋体" w:eastAsia="宋体" w:cs="宋体"/>
          <w:color w:val="auto"/>
        </w:rPr>
        <w:t>（7）“线宽小于130纳米（含）的集成电路生产项目”</w:t>
      </w:r>
    </w:p>
    <w:p>
      <w:pPr>
        <w:pStyle w:val="16"/>
        <w:bidi w:val="0"/>
        <w:rPr>
          <w:rFonts w:hint="eastAsia" w:ascii="宋体" w:hAnsi="宋体" w:eastAsia="宋体" w:cs="宋体"/>
          <w:color w:val="auto"/>
        </w:rPr>
      </w:pPr>
      <w:r>
        <w:rPr>
          <w:rFonts w:hint="eastAsia" w:ascii="宋体" w:hAnsi="宋体" w:eastAsia="宋体" w:cs="宋体"/>
          <w:color w:val="auto"/>
        </w:rPr>
        <w:t>在以下优惠事项中选择填报：“1.国家鼓励的线宽小于130纳米（含）的集成电路生产项目（适用新政策）”和“2.线宽小于130纳米（含）的集成电路生产项目（适用原政策）”。</w:t>
      </w:r>
    </w:p>
    <w:p>
      <w:pPr>
        <w:pStyle w:val="16"/>
        <w:bidi w:val="0"/>
        <w:rPr>
          <w:rFonts w:hint="eastAsia" w:ascii="宋体" w:hAnsi="宋体" w:eastAsia="宋体" w:cs="宋体"/>
          <w:color w:val="auto"/>
        </w:rPr>
      </w:pPr>
      <w:r>
        <w:rPr>
          <w:rFonts w:hint="eastAsia" w:ascii="宋体" w:hAnsi="宋体" w:eastAsia="宋体" w:cs="宋体"/>
          <w:color w:val="auto"/>
        </w:rPr>
        <w:t>（8）“线宽小于65纳米（含）或投资额超过150亿元的集成电路生产项目”</w:t>
      </w:r>
    </w:p>
    <w:p>
      <w:pPr>
        <w:pStyle w:val="16"/>
        <w:bidi w:val="0"/>
        <w:rPr>
          <w:rFonts w:hint="eastAsia" w:ascii="宋体" w:hAnsi="宋体" w:eastAsia="宋体" w:cs="宋体"/>
          <w:color w:val="auto"/>
        </w:rPr>
      </w:pPr>
      <w:r>
        <w:rPr>
          <w:rFonts w:hint="eastAsia" w:ascii="宋体" w:hAnsi="宋体" w:eastAsia="宋体" w:cs="宋体"/>
          <w:color w:val="auto"/>
        </w:rPr>
        <w:t>在以下优惠事项中选择填报：1.国家鼓励的线宽小于65纳米（含）的项目（适用新政策）；2.线宽小于65纳米（含）的项目（适用原政策）；3.投资额超过150亿元的项目（适用原政策）。</w:t>
      </w:r>
    </w:p>
    <w:p>
      <w:pPr>
        <w:pStyle w:val="16"/>
        <w:bidi w:val="0"/>
        <w:rPr>
          <w:rFonts w:hint="eastAsia" w:ascii="宋体" w:hAnsi="宋体" w:eastAsia="宋体" w:cs="宋体"/>
          <w:color w:val="auto"/>
        </w:rPr>
      </w:pPr>
      <w:r>
        <w:rPr>
          <w:rFonts w:hint="eastAsia" w:ascii="宋体" w:hAnsi="宋体" w:eastAsia="宋体" w:cs="宋体"/>
          <w:color w:val="auto"/>
        </w:rPr>
        <w:t>（9）“线宽小于28纳米（含）的集成电路生产项目”：本列无需填报。</w:t>
      </w:r>
    </w:p>
    <w:p>
      <w:pPr>
        <w:pStyle w:val="16"/>
        <w:bidi w:val="0"/>
        <w:rPr>
          <w:rFonts w:hint="eastAsia" w:ascii="宋体" w:hAnsi="宋体" w:eastAsia="宋体" w:cs="宋体"/>
          <w:color w:val="auto"/>
        </w:rPr>
      </w:pPr>
      <w:r>
        <w:rPr>
          <w:rFonts w:hint="eastAsia" w:ascii="宋体" w:hAnsi="宋体" w:eastAsia="宋体" w:cs="宋体"/>
          <w:color w:val="auto"/>
        </w:rPr>
        <w:t>（10）“其他”：填报上述所得减免优惠项目以外的其他所得减免优惠政策具体名称。</w:t>
      </w:r>
    </w:p>
    <w:p>
      <w:pPr>
        <w:pStyle w:val="16"/>
        <w:bidi w:val="0"/>
        <w:rPr>
          <w:rFonts w:hint="eastAsia" w:ascii="宋体" w:hAnsi="宋体" w:eastAsia="宋体" w:cs="宋体"/>
          <w:color w:val="auto"/>
        </w:rPr>
      </w:pPr>
      <w:r>
        <w:rPr>
          <w:rFonts w:hint="eastAsia" w:ascii="宋体" w:hAnsi="宋体" w:eastAsia="宋体" w:cs="宋体"/>
          <w:color w:val="auto"/>
        </w:rPr>
        <w:t>3.第3列“优惠方式”：填报该项目享受所得减免企业所得税优惠的具体方式。该项目享受免征企业所得税优惠的，填报“免税”；项目享受减半征税企业所得税优惠的，填报“减半征收”。</w:t>
      </w:r>
    </w:p>
    <w:p>
      <w:pPr>
        <w:pStyle w:val="16"/>
        <w:bidi w:val="0"/>
        <w:rPr>
          <w:rFonts w:hint="eastAsia" w:ascii="宋体" w:hAnsi="宋体" w:eastAsia="宋体" w:cs="宋体"/>
          <w:color w:val="auto"/>
        </w:rPr>
      </w:pPr>
      <w:r>
        <w:rPr>
          <w:rFonts w:hint="eastAsia" w:ascii="宋体" w:hAnsi="宋体" w:eastAsia="宋体" w:cs="宋体"/>
          <w:color w:val="auto"/>
        </w:rPr>
        <w:t>4.第4列“项目收入”：填报享受所得减免企业所得税优惠项目取得的收入总额。</w:t>
      </w:r>
    </w:p>
    <w:p>
      <w:pPr>
        <w:pStyle w:val="16"/>
        <w:bidi w:val="0"/>
        <w:rPr>
          <w:rFonts w:hint="eastAsia" w:ascii="宋体" w:hAnsi="宋体" w:eastAsia="宋体" w:cs="宋体"/>
          <w:color w:val="auto"/>
        </w:rPr>
      </w:pPr>
      <w:r>
        <w:rPr>
          <w:rFonts w:hint="eastAsia" w:ascii="宋体" w:hAnsi="宋体" w:eastAsia="宋体" w:cs="宋体"/>
          <w:color w:val="auto"/>
        </w:rPr>
        <w:t>5.第5列“项目成本”：填报享受所得减免企业所得税优惠项目发生的成本总额。</w:t>
      </w:r>
    </w:p>
    <w:p>
      <w:pPr>
        <w:pStyle w:val="16"/>
        <w:bidi w:val="0"/>
        <w:rPr>
          <w:rFonts w:hint="eastAsia" w:ascii="宋体" w:hAnsi="宋体" w:eastAsia="宋体" w:cs="宋体"/>
          <w:color w:val="auto"/>
        </w:rPr>
      </w:pPr>
      <w:r>
        <w:rPr>
          <w:rFonts w:hint="eastAsia" w:ascii="宋体" w:hAnsi="宋体" w:eastAsia="宋体" w:cs="宋体"/>
          <w:color w:val="auto"/>
        </w:rPr>
        <w:t>6.第6列“相关税费”：填报享受所得减免企业所得税优惠项目实际发生的有关税费总额，包括除企业所得税和允许抵扣的增值税以外的各项税金及其附加、合同签订费用、律师费等相关费用及其他支出。</w:t>
      </w:r>
    </w:p>
    <w:p>
      <w:pPr>
        <w:pStyle w:val="16"/>
        <w:bidi w:val="0"/>
        <w:rPr>
          <w:rFonts w:hint="eastAsia" w:ascii="宋体" w:hAnsi="宋体" w:eastAsia="宋体" w:cs="宋体"/>
          <w:color w:val="auto"/>
        </w:rPr>
      </w:pPr>
      <w:r>
        <w:rPr>
          <w:rFonts w:hint="eastAsia" w:ascii="宋体" w:hAnsi="宋体" w:eastAsia="宋体" w:cs="宋体"/>
          <w:color w:val="auto"/>
        </w:rPr>
        <w:t>7.第7列“应分摊期间费用”：填报享受所得减免企业所得税优惠项目合理分摊的期间费用总额。合理分摊比例可以按照投资额、销售收入、资产额、人员工资等参数确定，一经确定，不得随意变更。</w:t>
      </w:r>
    </w:p>
    <w:p>
      <w:pPr>
        <w:pStyle w:val="16"/>
        <w:bidi w:val="0"/>
        <w:rPr>
          <w:rFonts w:hint="eastAsia" w:ascii="宋体" w:hAnsi="宋体" w:eastAsia="宋体" w:cs="宋体"/>
          <w:color w:val="auto"/>
        </w:rPr>
      </w:pPr>
      <w:r>
        <w:rPr>
          <w:rFonts w:hint="eastAsia" w:ascii="宋体" w:hAnsi="宋体" w:eastAsia="宋体" w:cs="宋体"/>
          <w:color w:val="auto"/>
        </w:rPr>
        <w:t>8.第8列“纳税调整额”：填报纳税人按照税收规定需要调整减免税项目收入、成本、费用的金额，纳税调减以“-”号填列。</w:t>
      </w:r>
    </w:p>
    <w:p>
      <w:pPr>
        <w:pStyle w:val="16"/>
        <w:bidi w:val="0"/>
        <w:rPr>
          <w:rFonts w:hint="eastAsia" w:ascii="宋体" w:hAnsi="宋体" w:eastAsia="宋体" w:cs="宋体"/>
          <w:color w:val="auto"/>
        </w:rPr>
      </w:pPr>
      <w:r>
        <w:rPr>
          <w:rFonts w:hint="eastAsia" w:ascii="宋体" w:hAnsi="宋体" w:eastAsia="宋体" w:cs="宋体"/>
          <w:color w:val="auto"/>
        </w:rPr>
        <w:t>9.第9列“项目所得额\免税项目”：填报享受所得减免企业所得税优惠的纳税人计算确认的本期免税项目所得额。本列根据第3列分析填报，第3列填报“免税”的，填报第4-5-6-7+8列金额，当第4-5-6-7+8列＜0时，填报0。</w:t>
      </w:r>
    </w:p>
    <w:p>
      <w:pPr>
        <w:pStyle w:val="16"/>
        <w:bidi w:val="0"/>
        <w:rPr>
          <w:rFonts w:hint="eastAsia" w:ascii="宋体" w:hAnsi="宋体" w:eastAsia="宋体" w:cs="宋体"/>
          <w:color w:val="auto"/>
        </w:rPr>
      </w:pPr>
      <w:r>
        <w:rPr>
          <w:rFonts w:hint="eastAsia" w:ascii="宋体" w:hAnsi="宋体" w:eastAsia="宋体" w:cs="宋体"/>
          <w:color w:val="auto"/>
        </w:rPr>
        <w:t>第9列“符合条件的技术转让项目”的“小计”行：当第4-5-6-7+8列≤限额时，填报第4-5-6-7+8列金额（超过限额部分的金额填入第10列）；当第4-5-6-7+8列＜0时，填报0。如果本行第2列选择“一般技术转让项目”，限额为500万元；如果选择“中关村国家自主创新示范区特定区域技术转让项目”，限额为2000万元。</w:t>
      </w:r>
    </w:p>
    <w:p>
      <w:pPr>
        <w:pStyle w:val="16"/>
        <w:bidi w:val="0"/>
        <w:rPr>
          <w:rFonts w:hint="eastAsia" w:ascii="宋体" w:hAnsi="宋体" w:eastAsia="宋体" w:cs="宋体"/>
          <w:color w:val="auto"/>
        </w:rPr>
      </w:pPr>
      <w:r>
        <w:rPr>
          <w:rFonts w:hint="eastAsia" w:ascii="宋体" w:hAnsi="宋体" w:eastAsia="宋体" w:cs="宋体"/>
          <w:color w:val="auto"/>
        </w:rPr>
        <w:t>10.第10列“项目所得额\减半项目”：填报享受所得减免企业所得税优惠的纳税人本期经计算确认的减半征收项目所得额。本列根据第3列分析填报，第3列填报“减半征税”的，填报第4-5-6-7+8列金额，当第4-5-6-7+8列＜0时，填报0。</w:t>
      </w:r>
    </w:p>
    <w:p>
      <w:pPr>
        <w:pStyle w:val="16"/>
        <w:bidi w:val="0"/>
        <w:rPr>
          <w:rFonts w:hint="eastAsia" w:ascii="宋体" w:hAnsi="宋体" w:eastAsia="宋体" w:cs="宋体"/>
          <w:color w:val="auto"/>
        </w:rPr>
      </w:pPr>
      <w:r>
        <w:rPr>
          <w:rFonts w:hint="eastAsia" w:ascii="宋体" w:hAnsi="宋体" w:eastAsia="宋体" w:cs="宋体"/>
          <w:color w:val="auto"/>
        </w:rPr>
        <w:t>第10列“符合条件的技术转让项目”的“小计”行：填报第4-5-6-7+8列金额超过限额的部分。如果本行第2列选择“一般技术转让项目”，限额为500万元；如果选择“中关村国家自主创新示范区特定区域技术转让项目”，限额为2000万元。</w:t>
      </w:r>
    </w:p>
    <w:p>
      <w:pPr>
        <w:pStyle w:val="16"/>
        <w:bidi w:val="0"/>
        <w:rPr>
          <w:rFonts w:hint="eastAsia" w:ascii="宋体" w:hAnsi="宋体" w:eastAsia="宋体" w:cs="宋体"/>
          <w:color w:val="auto"/>
        </w:rPr>
      </w:pPr>
      <w:r>
        <w:rPr>
          <w:rFonts w:hint="eastAsia" w:ascii="宋体" w:hAnsi="宋体" w:eastAsia="宋体" w:cs="宋体"/>
          <w:color w:val="auto"/>
        </w:rPr>
        <w:t>11.第11列“减免所得额”：享受所得减免企业所得税优惠的企业，填报该项目按照税收规定实际可以享受免征、减征的所得额，按第9列+第10列×50%金额填报。</w:t>
      </w:r>
    </w:p>
    <w:p>
      <w:pPr>
        <w:pStyle w:val="16"/>
        <w:bidi w:val="0"/>
        <w:rPr>
          <w:rFonts w:hint="eastAsia" w:ascii="楷体_GB2312" w:hAnsi="楷体_GB2312" w:eastAsia="楷体_GB2312" w:cs="楷体_GB2312"/>
          <w:color w:val="auto"/>
        </w:rPr>
      </w:pPr>
      <w:bookmarkStart w:id="282" w:name="_Toc54267952"/>
      <w:bookmarkStart w:id="283" w:name="_Toc1679270418_WPSOffice_Level2"/>
      <w:bookmarkStart w:id="284" w:name="_Toc213309911_WPSOffice_Level2"/>
      <w:r>
        <w:rPr>
          <w:rFonts w:hint="eastAsia" w:ascii="楷体_GB2312" w:hAnsi="楷体_GB2312" w:eastAsia="楷体_GB2312" w:cs="楷体_GB2312"/>
          <w:color w:val="auto"/>
        </w:rPr>
        <w:t>（二）行次填报</w:t>
      </w:r>
      <w:bookmarkEnd w:id="282"/>
      <w:bookmarkEnd w:id="283"/>
      <w:bookmarkEnd w:id="284"/>
    </w:p>
    <w:p>
      <w:pPr>
        <w:pStyle w:val="16"/>
        <w:bidi w:val="0"/>
        <w:rPr>
          <w:rFonts w:hint="eastAsia" w:ascii="宋体" w:hAnsi="宋体" w:eastAsia="宋体" w:cs="宋体"/>
          <w:color w:val="auto"/>
        </w:rPr>
      </w:pPr>
      <w:r>
        <w:rPr>
          <w:rFonts w:hint="eastAsia" w:ascii="宋体" w:hAnsi="宋体" w:eastAsia="宋体" w:cs="宋体"/>
          <w:color w:val="auto"/>
        </w:rPr>
        <w:t>1.第1行至第3行“农、林、牧、渔业项目”：按农、林、牧、渔业项目的优惠政策具体内容分别填报，一个项目填报一行，纳税人有多个项目的，可自行增加行次填报。各行相应列次填报金额的合计金额填入“小计”行。根据《财政部 国家税务总局关于发布享受企业所得税优惠政策的农产品初加工范围（试行）的通知》（财税〔2008〕149号）、《国家税务总局关于黑龙江垦区国有农场土地承包费缴纳企业所得税问题的批复》（国税函〔2009〕779号）、《国家税务总局关于“公司＋农户”经营模式企业所得税优惠问题的公告》（2010年第2号）、《财政部 国家税务总局关于享受企业所得税优惠的农产品初加工有关范围的补充通知》（财税〔2011〕26号）、《国家税务总局关于实施农 林 牧 渔业项目企业所得税优惠问题的公告》（2011年第48号）等相关税收政策规定，填报本纳税年度发生的减征、免征企业所得税项目的有关情况。</w:t>
      </w:r>
    </w:p>
    <w:p>
      <w:pPr>
        <w:pStyle w:val="16"/>
        <w:bidi w:val="0"/>
        <w:rPr>
          <w:rFonts w:hint="eastAsia" w:ascii="宋体" w:hAnsi="宋体" w:eastAsia="宋体" w:cs="宋体"/>
          <w:color w:val="auto"/>
        </w:rPr>
      </w:pPr>
      <w:r>
        <w:rPr>
          <w:rFonts w:hint="eastAsia" w:ascii="宋体" w:hAnsi="宋体" w:eastAsia="宋体" w:cs="宋体"/>
          <w:color w:val="auto"/>
        </w:rPr>
        <w:t>2.第4行至第6行“国家重点扶持的公共基础设施项目”：按国家重点扶持的公共基础设施项目具体内容分别填报，一个项目填报一行，纳税人有多个项目的，可自行增加行次填报。各行相应列次填报金额的合计金额填入“小计”行。根据《财政部 国家税务总局关于执行公共基础设施项目企业所得税优惠目录有关问题的通知》（财税〔2008〕46号）、《财政部 国家税务总局 国家发展改革委关于公布公共基础设施项目企业所得税优惠目录(2008年版)的通知》（财税〔2008〕116号）、《国家税务总局关于实施国家重点扶持的公共基础设施项目企业所得税优惠问题的通知》（国税发〔2009〕80号）、《财政部 国家税务总局关于公共基础设施项目和环境保护节能节水项目企业所得税优惠政策问题的通知》（财税〔2012〕10号）、《国家税务总局关于电网企业电网新建项目享受所得税优惠政策问题的公告》（2013年第26号）、《财政部 国家税务总局关于公共基础设施项目享受企业所得税优惠政策问题的补充通知》（财税〔2014〕55号）、《财政部 税务总局关于继续实行农村饮水安全工程税收优惠政策的公告》（2019年第67号）、《财政部 税务总局关于延长部分税收优惠政策执行期限的公告》（2021年第6号）</w:t>
      </w:r>
      <w:r>
        <w:rPr>
          <w:rFonts w:hint="eastAsia" w:ascii="宋体" w:hAnsi="宋体" w:eastAsia="宋体" w:cs="宋体"/>
          <w:color w:val="auto"/>
          <w:lang w:eastAsia="zh-CN"/>
        </w:rPr>
        <w:t>、《财政部</w:t>
      </w:r>
      <w:r>
        <w:rPr>
          <w:rFonts w:hint="eastAsia" w:ascii="宋体" w:hAnsi="宋体" w:eastAsia="宋体" w:cs="宋体"/>
          <w:color w:val="auto"/>
          <w:lang w:val="en-US" w:eastAsia="zh-CN"/>
        </w:rPr>
        <w:t xml:space="preserve"> 税务总局关于继续实施农村饮水安全工程税收优惠政策的公告</w:t>
      </w:r>
      <w:r>
        <w:rPr>
          <w:rFonts w:hint="eastAsia" w:ascii="宋体" w:hAnsi="宋体" w:eastAsia="宋体" w:cs="宋体"/>
          <w:color w:val="auto"/>
          <w:lang w:eastAsia="zh-CN"/>
        </w:rPr>
        <w:t>》（</w:t>
      </w:r>
      <w:r>
        <w:rPr>
          <w:rFonts w:hint="eastAsia" w:ascii="宋体" w:hAnsi="宋体" w:eastAsia="宋体" w:cs="宋体"/>
          <w:color w:val="auto"/>
          <w:lang w:val="en-US" w:eastAsia="zh-CN"/>
        </w:rPr>
        <w:t>2023年第58号</w:t>
      </w:r>
      <w:r>
        <w:rPr>
          <w:rFonts w:hint="eastAsia" w:ascii="宋体" w:hAnsi="宋体" w:eastAsia="宋体" w:cs="宋体"/>
          <w:color w:val="auto"/>
          <w:lang w:eastAsia="zh-CN"/>
        </w:rPr>
        <w:t>）</w:t>
      </w:r>
      <w:r>
        <w:rPr>
          <w:rFonts w:hint="eastAsia" w:ascii="宋体" w:hAnsi="宋体" w:eastAsia="宋体" w:cs="宋体"/>
          <w:color w:val="auto"/>
        </w:rPr>
        <w:t>等相关税收政策规定，从事《公共基础设施项目企业所得税优惠目录》规定的港口码头、机场、铁路、公路、城市公共交通、电力、水利等项目的投资经营的所得，自项目取得第一笔生产经营收入所属纳税年度起，第一年至第三年免征企业所得税，第四年至第六年减半征收企业所得税，不包括企业承包经营、承包建设和内部自建自用该项目的所得。本行填报本纳税年度发生的减征、免征企业所得税项目的有关情况。</w:t>
      </w:r>
    </w:p>
    <w:p>
      <w:pPr>
        <w:pStyle w:val="16"/>
        <w:bidi w:val="0"/>
        <w:rPr>
          <w:rFonts w:hint="eastAsia" w:ascii="宋体" w:hAnsi="宋体" w:eastAsia="宋体" w:cs="宋体"/>
          <w:color w:val="auto"/>
        </w:rPr>
      </w:pPr>
      <w:r>
        <w:rPr>
          <w:rFonts w:hint="eastAsia" w:ascii="宋体" w:hAnsi="宋体" w:eastAsia="宋体" w:cs="宋体"/>
          <w:color w:val="auto"/>
          <w:szCs w:val="22"/>
        </w:rPr>
        <w:t>3.第</w:t>
      </w:r>
      <w:r>
        <w:rPr>
          <w:rFonts w:hint="eastAsia" w:ascii="宋体" w:hAnsi="宋体" w:eastAsia="宋体" w:cs="宋体"/>
          <w:color w:val="auto"/>
        </w:rPr>
        <w:t>7行至第9行“符合条件的环境保护、节能节水项目”：按符合条件的环境保护、节能节水项目的具体内容分别填报，一个项目填报一行。纳税人有多个项目的，可自行增加行次填报。各行相应列次填报金额的合计金额填入“小计”行。根据《财政部 国家税务总局 国家发展改革委关于公布环境保护节能节水项目企业所得税优惠目录（试行）的通知》（财税〔2009〕166号）、《财政部 国家税务总局关于公共基础设施项目和环境保护节能节水项目企业所得税优惠政策问题的通知》（财税〔2012〕10号）</w:t>
      </w:r>
      <w:r>
        <w:rPr>
          <w:rFonts w:hint="eastAsia" w:ascii="宋体" w:hAnsi="宋体" w:eastAsia="宋体" w:cs="宋体"/>
          <w:color w:val="auto"/>
          <w:lang w:eastAsia="zh-CN"/>
        </w:rPr>
        <w:t>、《</w:t>
      </w:r>
      <w:r>
        <w:rPr>
          <w:rFonts w:hint="eastAsia" w:ascii="宋体" w:hAnsi="宋体" w:eastAsia="宋体" w:cs="宋体"/>
          <w:color w:val="auto"/>
        </w:rPr>
        <w:t xml:space="preserve">财政部 </w:t>
      </w:r>
      <w:r>
        <w:rPr>
          <w:rFonts w:hint="eastAsia" w:ascii="宋体" w:hAnsi="宋体" w:eastAsia="宋体" w:cs="宋体"/>
          <w:color w:val="auto"/>
          <w:lang w:eastAsia="zh-CN"/>
        </w:rPr>
        <w:t>税务总局</w:t>
      </w:r>
      <w:r>
        <w:rPr>
          <w:rFonts w:hint="eastAsia" w:ascii="宋体" w:hAnsi="宋体" w:eastAsia="宋体" w:cs="宋体"/>
          <w:color w:val="auto"/>
          <w:lang w:val="en-US" w:eastAsia="zh-CN"/>
        </w:rPr>
        <w:t xml:space="preserve"> 国家发展改革委 生态环境部关于公布〈环境保护、节能节水项目企业所得税优惠目录（2021年版）〉以及〈资源综合利用企业所得税优惠目录（2021年版）〉的公告</w:t>
      </w:r>
      <w:r>
        <w:rPr>
          <w:rFonts w:hint="eastAsia" w:ascii="宋体" w:hAnsi="宋体" w:eastAsia="宋体" w:cs="宋体"/>
          <w:color w:val="auto"/>
          <w:lang w:eastAsia="zh-CN"/>
        </w:rPr>
        <w:t>》（</w:t>
      </w:r>
      <w:r>
        <w:rPr>
          <w:rFonts w:hint="eastAsia" w:ascii="宋体" w:hAnsi="宋体" w:eastAsia="宋体" w:cs="宋体"/>
          <w:color w:val="auto"/>
          <w:lang w:val="en-US" w:eastAsia="zh-CN"/>
        </w:rPr>
        <w:t>2021年第36号</w:t>
      </w:r>
      <w:r>
        <w:rPr>
          <w:rFonts w:hint="eastAsia" w:ascii="宋体" w:hAnsi="宋体" w:eastAsia="宋体" w:cs="宋体"/>
          <w:color w:val="auto"/>
          <w:lang w:eastAsia="zh-CN"/>
        </w:rPr>
        <w:t>）</w:t>
      </w:r>
      <w:r>
        <w:rPr>
          <w:rFonts w:hint="eastAsia" w:ascii="宋体" w:hAnsi="宋体" w:eastAsia="宋体" w:cs="宋体"/>
          <w:color w:val="auto"/>
        </w:rPr>
        <w:t>等相关税收政策规定，从事符合条件的环境保护、节能节水项目的所得，自项目取得第一笔生产经营收入所属纳税年度起，第一年至第三年免征企业所得税，第四年至第六年减半征收企业所得税。本行填报本纳税年度发生的减征、免征企业所得税项目的有关情况。</w:t>
      </w:r>
    </w:p>
    <w:p>
      <w:pPr>
        <w:pStyle w:val="16"/>
        <w:bidi w:val="0"/>
        <w:rPr>
          <w:rFonts w:hint="eastAsia" w:ascii="宋体" w:hAnsi="宋体" w:eastAsia="宋体" w:cs="宋体"/>
          <w:color w:val="auto"/>
        </w:rPr>
      </w:pPr>
      <w:r>
        <w:rPr>
          <w:rFonts w:hint="eastAsia" w:ascii="宋体" w:hAnsi="宋体" w:eastAsia="宋体" w:cs="宋体"/>
          <w:color w:val="auto"/>
        </w:rPr>
        <w:t>4.第10行至第12行“符合条件的技术转让项目”：按照不同技术转让项目分别填报，一个项目填报一行，纳税人有多个项目的，可自行增加行次填报。各行相应列次填报金额的合计金额填入“小计”行。根据《国家税务总局关于技术转让所得减免企业所得税有关问题的通知》（国税函〔2009〕212号）、《财政部 国家税务总局关于居民企业技术转让有关企业所得税政策问题的通知》（财税〔2010〕111号）、《国家税务总局关于技术转让所得减免企业所得税有关问题的公告》（2013年第62号）、《国家税务总局关于许可使用权技术转让所得企业所得税有关问题的公告》（2015年第82号）、《财政部 税务总局 科技部 知识产权局关于中关村国家自主创新示范区特定区域技术转让企业所得税试点政策的通知》（财税〔2020〕61号）等相关税收政策规定，一个纳税年度内，居民企业将其拥有的专利技术、计算机软件著作权、集成电路布图设计权、植物新品种权、生物医药新品种，以及财政部和国家税务总局确定的其他技术的所有权或符合规定年限的全球独占许可使用权、符合规定年限的非独占许可使用权转让取得的所得，不超过500（或2000）万元的部分，免征企业所得税；超过500（或2000）万元的部分，减半征收企业所得税。本行填报本纳税年度发生的减征、免征企业所得税项目的有关情况。</w:t>
      </w:r>
    </w:p>
    <w:p>
      <w:pPr>
        <w:pStyle w:val="16"/>
        <w:bidi w:val="0"/>
        <w:rPr>
          <w:rFonts w:hint="eastAsia" w:ascii="宋体" w:hAnsi="宋体" w:eastAsia="宋体" w:cs="宋体"/>
          <w:color w:val="auto"/>
        </w:rPr>
      </w:pPr>
      <w:r>
        <w:rPr>
          <w:rFonts w:hint="eastAsia" w:ascii="宋体" w:hAnsi="宋体" w:eastAsia="宋体" w:cs="宋体"/>
          <w:color w:val="auto"/>
        </w:rPr>
        <w:t>5.第13行至第15行“清洁发展机制项目”：按照实施的清洁发展机制的不同项目分别填报，一个项目填报一行，纳税人有多个项目的，可自行增加行次填报。各行相应列次填报金额的合计金额填入“小计”行。根据《财政部 国家税务总局关于中国清洁发展机制基金及清洁发展机制项目实施企业有关企业所得税政策问题的通知》（财税〔2009〕30号）等相关税收政策规定，企业实施的将温室气体减排量转让收入的65%上缴给国家的HFC和PFC类CDM项目，以及将温室气体减排量转让收入的30%上缴给国家的N2O类CDM项目，其实施该类CDM项目的所得，自项目取得第一笔减排量转让收入所属纳税年度起，第一年至第三年免征企业所得税，第四年至第六年减半征收企业所得税。本行填报本纳税年度发生的减征、免征企业所得税项目的有关情况。</w:t>
      </w:r>
    </w:p>
    <w:p>
      <w:pPr>
        <w:pStyle w:val="16"/>
        <w:bidi w:val="0"/>
        <w:rPr>
          <w:rFonts w:hint="eastAsia" w:ascii="宋体" w:hAnsi="宋体" w:eastAsia="宋体" w:cs="宋体"/>
          <w:color w:val="auto"/>
        </w:rPr>
      </w:pPr>
      <w:r>
        <w:rPr>
          <w:rFonts w:hint="eastAsia" w:ascii="宋体" w:hAnsi="宋体" w:eastAsia="宋体" w:cs="宋体"/>
          <w:color w:val="auto"/>
        </w:rPr>
        <w:t>6.第16行至第18行“符合条件的节能服务公司实施合同能源管理项目”：按照节能服务公司实施合同能源管理的不同项目分别填报，一个项目填报一行，纳税人有多个项目的，可自行增加行次填报。各行相应列次填报金额的合计金额填入“小计”行。根据《财政部 国家税务总局关于促进节能服务产业发展增值税 营业税和企业所得税政策问题的通知》（财税〔2010〕110号）、《国家税务总局 国家发展改革委关于落实节能服务企业合同能源管理项目企业所得税优惠政策有关征收管理问题的公告》（2013年第77号）等相关税收政策规定，符合条件的节能服务公司实施合同能源管理项目，符合税法有关规定的，自项目取得第一笔生产经营收入所属纳税年度起，第一年至第三年免征企业所得税，第四年至第六年按照25%的法定税率减半征收企业所得税。本行填报本纳税年度发生的减征、免征企业所得税项目的有关情况。</w:t>
      </w:r>
    </w:p>
    <w:p>
      <w:pPr>
        <w:pStyle w:val="16"/>
        <w:bidi w:val="0"/>
        <w:rPr>
          <w:rFonts w:hint="eastAsia" w:ascii="宋体" w:hAnsi="宋体" w:eastAsia="宋体" w:cs="宋体"/>
          <w:color w:val="auto"/>
        </w:rPr>
      </w:pPr>
      <w:r>
        <w:rPr>
          <w:rFonts w:hint="eastAsia" w:ascii="宋体" w:hAnsi="宋体" w:eastAsia="宋体" w:cs="宋体"/>
          <w:color w:val="auto"/>
        </w:rPr>
        <w:t>7.第19行至第21行“线宽小于130纳米（含）的集成电路生产项目”：按照投资的线宽小于130纳米（含）的集成电路生产项目的不同项目分别填报，一个项目填报一行，纳税人有多个项目的，可自行增加行次填报。各行相应列次填报金额的合计金额填入“小计”行。</w:t>
      </w:r>
    </w:p>
    <w:p>
      <w:pPr>
        <w:pStyle w:val="16"/>
        <w:bidi w:val="0"/>
        <w:rPr>
          <w:rFonts w:hint="eastAsia" w:ascii="宋体" w:hAnsi="宋体" w:eastAsia="宋体" w:cs="宋体"/>
          <w:color w:val="auto"/>
        </w:rPr>
      </w:pPr>
      <w:r>
        <w:rPr>
          <w:rFonts w:hint="eastAsia" w:ascii="宋体" w:hAnsi="宋体" w:eastAsia="宋体" w:cs="宋体"/>
          <w:color w:val="auto"/>
        </w:rPr>
        <w:t>根据《财政部 税务总局 国家发展改革委 工业和信息化部关于集成电路生产企业有关企业所得税政策问题的通知》（财税〔2018〕27号）规定，线宽小于130纳米（含），且经营期在10年以上的集成电路生产项目，自项目取得第一笔生产经营收入所属纳税年度起，第一年至第二年免征企业所得税，第三年至第五年按照25%的法定税率减半征收企业所得税，符合上述政策条件且在2019年（含）之前已经进入优惠期的企业，2020年（含）起可按政策规定享受至期满为止。根据《财政部 税务总局 发展改革委 工业和信息化部关于促进集成电路和软件产业高质量发展企业所得税政策的公告》（2020年第45号）规定，国家鼓励的线宽小于130纳米（含），且经营期在10年以上的集成电路生产项目，自项目取得第一笔生产经营收入所属纳税年度起，第一年至第二年免征企业所得税，第三年至第五年按照25%的法定税率减半征收企业所得税。本行填报本纳税年度发生的减征、免征企业所得税项目的有关情况。填报该项目的纳税人还应填报《软件、集成电路企业优惠情况及明细表》（A107042），若纳税人不享受集成电路生产企业减免所得税优惠事项，只需填报表A107042“基本信息”和“关键指标情况”，无需填报“减免税额”。</w:t>
      </w:r>
    </w:p>
    <w:p>
      <w:pPr>
        <w:pStyle w:val="16"/>
        <w:bidi w:val="0"/>
        <w:rPr>
          <w:rFonts w:hint="eastAsia" w:ascii="宋体" w:hAnsi="宋体" w:eastAsia="宋体" w:cs="宋体"/>
          <w:color w:val="auto"/>
        </w:rPr>
      </w:pPr>
      <w:r>
        <w:rPr>
          <w:rFonts w:hint="eastAsia" w:ascii="宋体" w:hAnsi="宋体" w:eastAsia="宋体" w:cs="宋体"/>
          <w:color w:val="auto"/>
        </w:rPr>
        <w:t>8.第22行至第24行“线宽小于65纳米（含）或投资额超过150亿元的集成电路生产项目”：按照投资的线宽小于65纳米（含）或投资额超过150亿元的集成电路生产项目的不同项目分别填报，一个项目填报一行，纳税人有多个项目的，可自行增加行次填报。各行相应列次填报金额的合计金额填入“小计”行。根据财税〔2018〕27号规定，线宽小于65纳米（含）或投资额超过150亿元，且经营期在15年以上的集成电路生产项目，自项目取得第一笔生产经营收入所属纳税年度起，第一年至第五年免征企业所得税，第六年至第十年按照25%的法定税率减半征收企业所得税。符合上述政策条件且在2019年（含）之前已经进入优惠期的企业，2020年（含）起可按政策规定享受至期满为止。根据《财政部 税务总局 发展改革委 工业和信息化部关于促进集成电路和软件产业高质量发展企业所得税政策的公告》（2020年第45号）规定，国家鼓励的线宽小于65纳米（含），且经营期在15年以上的集成电路生产项目，自项目取得第一笔生产经营收入所属纳税年度起，第一年至第五年免征企业所得税，第六年至第十年按照25%的法定税率减半征收企业所得税。本行填报本纳税年度发生的减征、免征企业所得税项目的有关情况。填报该项目的纳税人还应填报《软件、集成电路企业优惠情况及明细表》（A107042），若纳税人不享受集成电路生产企业减免所得税优惠事项，只需填报表A107042“基本信息”和“关键指标情况”，无需填报“减免税额”。</w:t>
      </w:r>
    </w:p>
    <w:p>
      <w:pPr>
        <w:pStyle w:val="16"/>
        <w:bidi w:val="0"/>
        <w:rPr>
          <w:rFonts w:hint="eastAsia" w:ascii="宋体" w:hAnsi="宋体" w:eastAsia="宋体" w:cs="宋体"/>
          <w:color w:val="auto"/>
        </w:rPr>
      </w:pPr>
      <w:r>
        <w:rPr>
          <w:rFonts w:hint="eastAsia" w:ascii="宋体" w:hAnsi="宋体" w:eastAsia="宋体" w:cs="宋体"/>
          <w:color w:val="auto"/>
          <w:szCs w:val="22"/>
        </w:rPr>
        <w:t>9</w:t>
      </w:r>
      <w:r>
        <w:rPr>
          <w:rFonts w:hint="eastAsia" w:ascii="宋体" w:hAnsi="宋体" w:eastAsia="宋体" w:cs="宋体"/>
          <w:color w:val="auto"/>
          <w:lang w:val="en-US" w:eastAsia="zh-CN"/>
        </w:rPr>
        <w:t>.</w:t>
      </w:r>
      <w:r>
        <w:rPr>
          <w:rFonts w:hint="eastAsia" w:ascii="宋体" w:hAnsi="宋体" w:eastAsia="宋体" w:cs="宋体"/>
          <w:color w:val="auto"/>
        </w:rPr>
        <w:t>第25行至27行“线宽小于28纳米（含）的集成电路生产项目减免企业所得税（填写A107042）”：按照投资的线宽小于28纳米（含）的集成电路生产项目的不同项目分别填报，一个项目填报一行，纳税人有多个项目的，可自行增加行次填报。各行相应列次填报金额的合计金额填入“小计”行。根据《财政部 税务总局 发展改革委 工业和信息化部关于促进集成电路和软件产业高质量发展企业所得税政策的公告》（2020年第45号）规定，国家鼓励的集成电路线宽小于28纳米（含），且经营期在15年以上的集成电路生产项目，第一年至第十年免征企业所得税。本行填报本纳税年度发生的免征企业所得税项目的有关情况。填报该项目的纳税人还应填报《软件、集成电路企业优惠情况及明细表》（A107042），若纳税人不享受集成电路生产企业减免所得税优惠事项，只需填报表A107042“基本信息”和“关键指标情况”，无需填报“减免税额”。</w:t>
      </w:r>
    </w:p>
    <w:p>
      <w:pPr>
        <w:pStyle w:val="16"/>
        <w:bidi w:val="0"/>
        <w:rPr>
          <w:rFonts w:hint="eastAsia" w:ascii="宋体" w:hAnsi="宋体" w:eastAsia="宋体" w:cs="宋体"/>
          <w:color w:val="auto"/>
        </w:rPr>
      </w:pPr>
      <w:r>
        <w:rPr>
          <w:rFonts w:hint="eastAsia" w:ascii="宋体" w:hAnsi="宋体" w:eastAsia="宋体" w:cs="宋体"/>
          <w:color w:val="auto"/>
        </w:rPr>
        <w:t>10.第28行至第30行“其他”：填报纳税人享受的其他专项减免项目名称、优惠事项名称及减免税代码、项目收入等。按照享受所得减免企业所得税优惠的其他项目内容分别填报，一个项目填报一行，纳税人有多个项目的，可自行增加行次填报。各行相应列次填报金额的合计金额填入“小计”行。</w:t>
      </w:r>
    </w:p>
    <w:p>
      <w:pPr>
        <w:pStyle w:val="16"/>
        <w:bidi w:val="0"/>
        <w:rPr>
          <w:rFonts w:hint="eastAsia" w:ascii="宋体" w:hAnsi="宋体" w:eastAsia="宋体" w:cs="宋体"/>
          <w:color w:val="auto"/>
        </w:rPr>
      </w:pPr>
      <w:r>
        <w:rPr>
          <w:rFonts w:hint="eastAsia" w:ascii="宋体" w:hAnsi="宋体" w:eastAsia="宋体" w:cs="宋体"/>
          <w:color w:val="auto"/>
        </w:rPr>
        <w:t>11.第31行“合计”：填报第一项至第十项“小计”行的合计金额。</w:t>
      </w:r>
    </w:p>
    <w:p>
      <w:pPr>
        <w:pStyle w:val="16"/>
        <w:rPr>
          <w:rFonts w:hint="eastAsia" w:ascii="黑体" w:hAnsi="黑体" w:eastAsia="黑体" w:cs="黑体"/>
          <w:color w:val="auto"/>
        </w:rPr>
      </w:pPr>
      <w:bookmarkStart w:id="285" w:name="_Toc1796329572_WPSOffice_Level1"/>
      <w:bookmarkStart w:id="286" w:name="_Toc1041913392_WPSOffice_Level1"/>
      <w:bookmarkStart w:id="287" w:name="_Toc54267953"/>
      <w:r>
        <w:rPr>
          <w:rFonts w:hint="eastAsia" w:ascii="黑体" w:hAnsi="黑体" w:eastAsia="黑体" w:cs="黑体"/>
          <w:color w:val="auto"/>
        </w:rPr>
        <w:t>二、表内、表间关系</w:t>
      </w:r>
      <w:bookmarkEnd w:id="285"/>
      <w:bookmarkEnd w:id="286"/>
      <w:bookmarkEnd w:id="287"/>
    </w:p>
    <w:p>
      <w:pPr>
        <w:pStyle w:val="16"/>
        <w:rPr>
          <w:rFonts w:hint="eastAsia" w:ascii="楷体_GB2312" w:hAnsi="楷体_GB2312" w:eastAsia="楷体_GB2312" w:cs="楷体_GB2312"/>
          <w:color w:val="auto"/>
        </w:rPr>
      </w:pPr>
      <w:bookmarkStart w:id="288" w:name="_Toc1231307770_WPSOffice_Level2"/>
      <w:bookmarkStart w:id="289" w:name="_Toc1625409562_WPSOffice_Level2"/>
      <w:bookmarkStart w:id="290" w:name="_Toc54267954"/>
      <w:r>
        <w:rPr>
          <w:rFonts w:hint="eastAsia" w:ascii="楷体_GB2312" w:hAnsi="楷体_GB2312" w:eastAsia="楷体_GB2312" w:cs="楷体_GB2312"/>
          <w:color w:val="auto"/>
        </w:rPr>
        <w:t>（一）表内关系（以表样列示行次为例）</w:t>
      </w:r>
      <w:bookmarkEnd w:id="288"/>
      <w:bookmarkEnd w:id="289"/>
      <w:bookmarkEnd w:id="290"/>
    </w:p>
    <w:p>
      <w:pPr>
        <w:pStyle w:val="16"/>
        <w:bidi w:val="0"/>
        <w:rPr>
          <w:rFonts w:hint="eastAsia" w:ascii="宋体" w:hAnsi="宋体" w:eastAsia="宋体" w:cs="宋体"/>
          <w:color w:val="auto"/>
        </w:rPr>
      </w:pPr>
      <w:r>
        <w:rPr>
          <w:rFonts w:hint="eastAsia" w:ascii="宋体" w:hAnsi="宋体" w:eastAsia="宋体" w:cs="宋体"/>
          <w:color w:val="auto"/>
        </w:rPr>
        <w:t>1.第3行＝第1+2行。</w:t>
      </w:r>
    </w:p>
    <w:p>
      <w:pPr>
        <w:pStyle w:val="16"/>
        <w:bidi w:val="0"/>
        <w:rPr>
          <w:rFonts w:hint="eastAsia" w:ascii="宋体" w:hAnsi="宋体" w:eastAsia="宋体" w:cs="宋体"/>
          <w:color w:val="auto"/>
        </w:rPr>
      </w:pPr>
      <w:r>
        <w:rPr>
          <w:rFonts w:hint="eastAsia" w:ascii="宋体" w:hAnsi="宋体" w:eastAsia="宋体" w:cs="宋体"/>
          <w:color w:val="auto"/>
        </w:rPr>
        <w:t>2.第6行＝第4+5行。</w:t>
      </w:r>
    </w:p>
    <w:p>
      <w:pPr>
        <w:pStyle w:val="16"/>
        <w:bidi w:val="0"/>
        <w:rPr>
          <w:rFonts w:hint="eastAsia" w:ascii="宋体" w:hAnsi="宋体" w:eastAsia="宋体" w:cs="宋体"/>
          <w:color w:val="auto"/>
        </w:rPr>
      </w:pPr>
      <w:r>
        <w:rPr>
          <w:rFonts w:hint="eastAsia" w:ascii="宋体" w:hAnsi="宋体" w:eastAsia="宋体" w:cs="宋体"/>
          <w:color w:val="auto"/>
        </w:rPr>
        <w:t>3.第9行＝第7+8行。</w:t>
      </w:r>
    </w:p>
    <w:p>
      <w:pPr>
        <w:pStyle w:val="16"/>
        <w:bidi w:val="0"/>
        <w:rPr>
          <w:rFonts w:hint="eastAsia" w:ascii="宋体" w:hAnsi="宋体" w:eastAsia="宋体" w:cs="宋体"/>
          <w:color w:val="auto"/>
        </w:rPr>
      </w:pPr>
      <w:r>
        <w:rPr>
          <w:rFonts w:hint="eastAsia" w:ascii="宋体" w:hAnsi="宋体" w:eastAsia="宋体" w:cs="宋体"/>
          <w:color w:val="auto"/>
        </w:rPr>
        <w:t>4.第12行＝第10+11行。</w:t>
      </w:r>
    </w:p>
    <w:p>
      <w:pPr>
        <w:pStyle w:val="16"/>
        <w:bidi w:val="0"/>
        <w:rPr>
          <w:rFonts w:hint="eastAsia" w:ascii="宋体" w:hAnsi="宋体" w:eastAsia="宋体" w:cs="宋体"/>
          <w:color w:val="auto"/>
        </w:rPr>
      </w:pPr>
      <w:r>
        <w:rPr>
          <w:rFonts w:hint="eastAsia" w:ascii="宋体" w:hAnsi="宋体" w:eastAsia="宋体" w:cs="宋体"/>
          <w:color w:val="auto"/>
        </w:rPr>
        <w:t>5.第15行＝第13+14行。</w:t>
      </w:r>
    </w:p>
    <w:p>
      <w:pPr>
        <w:pStyle w:val="16"/>
        <w:bidi w:val="0"/>
        <w:rPr>
          <w:rFonts w:hint="eastAsia" w:ascii="宋体" w:hAnsi="宋体" w:eastAsia="宋体" w:cs="宋体"/>
          <w:color w:val="auto"/>
        </w:rPr>
      </w:pPr>
      <w:r>
        <w:rPr>
          <w:rFonts w:hint="eastAsia" w:ascii="宋体" w:hAnsi="宋体" w:eastAsia="宋体" w:cs="宋体"/>
          <w:color w:val="auto"/>
        </w:rPr>
        <w:t>6.第18行＝第16+17行。</w:t>
      </w:r>
    </w:p>
    <w:p>
      <w:pPr>
        <w:pStyle w:val="16"/>
        <w:bidi w:val="0"/>
        <w:rPr>
          <w:rFonts w:hint="eastAsia" w:ascii="宋体" w:hAnsi="宋体" w:eastAsia="宋体" w:cs="宋体"/>
          <w:color w:val="auto"/>
        </w:rPr>
      </w:pPr>
      <w:r>
        <w:rPr>
          <w:rFonts w:hint="eastAsia" w:ascii="宋体" w:hAnsi="宋体" w:eastAsia="宋体" w:cs="宋体"/>
          <w:color w:val="auto"/>
        </w:rPr>
        <w:t>7.第21行＝第19+20行。</w:t>
      </w:r>
    </w:p>
    <w:p>
      <w:pPr>
        <w:pStyle w:val="16"/>
        <w:bidi w:val="0"/>
        <w:rPr>
          <w:rFonts w:hint="eastAsia" w:ascii="宋体" w:hAnsi="宋体" w:eastAsia="宋体" w:cs="宋体"/>
          <w:color w:val="auto"/>
        </w:rPr>
      </w:pPr>
      <w:r>
        <w:rPr>
          <w:rFonts w:hint="eastAsia" w:ascii="宋体" w:hAnsi="宋体" w:eastAsia="宋体" w:cs="宋体"/>
          <w:color w:val="auto"/>
        </w:rPr>
        <w:t>8.第24行＝第22+23行。</w:t>
      </w:r>
    </w:p>
    <w:p>
      <w:pPr>
        <w:pStyle w:val="16"/>
        <w:bidi w:val="0"/>
        <w:rPr>
          <w:rFonts w:hint="eastAsia" w:ascii="宋体" w:hAnsi="宋体" w:eastAsia="宋体" w:cs="宋体"/>
          <w:color w:val="auto"/>
        </w:rPr>
      </w:pPr>
      <w:r>
        <w:rPr>
          <w:rFonts w:hint="eastAsia" w:ascii="宋体" w:hAnsi="宋体" w:eastAsia="宋体" w:cs="宋体"/>
          <w:color w:val="auto"/>
        </w:rPr>
        <w:t>9.第27行＝第25+26行。</w:t>
      </w:r>
    </w:p>
    <w:p>
      <w:pPr>
        <w:pStyle w:val="16"/>
        <w:bidi w:val="0"/>
        <w:rPr>
          <w:rFonts w:hint="eastAsia" w:ascii="宋体" w:hAnsi="宋体" w:eastAsia="宋体" w:cs="宋体"/>
          <w:color w:val="auto"/>
        </w:rPr>
      </w:pPr>
      <w:r>
        <w:rPr>
          <w:rFonts w:hint="eastAsia" w:ascii="宋体" w:hAnsi="宋体" w:eastAsia="宋体" w:cs="宋体"/>
          <w:color w:val="auto"/>
        </w:rPr>
        <w:t>10.第30行＝第28+29行。</w:t>
      </w:r>
    </w:p>
    <w:p>
      <w:pPr>
        <w:pStyle w:val="16"/>
        <w:bidi w:val="0"/>
        <w:rPr>
          <w:rFonts w:hint="eastAsia" w:ascii="宋体" w:hAnsi="宋体" w:eastAsia="宋体" w:cs="宋体"/>
          <w:color w:val="auto"/>
        </w:rPr>
      </w:pPr>
      <w:r>
        <w:rPr>
          <w:rFonts w:hint="eastAsia" w:ascii="宋体" w:hAnsi="宋体" w:eastAsia="宋体" w:cs="宋体"/>
          <w:color w:val="auto"/>
        </w:rPr>
        <w:t>11.第31行＝第3+6+9+12+15+18+21+24+27+30行。</w:t>
      </w:r>
    </w:p>
    <w:p>
      <w:pPr>
        <w:pStyle w:val="16"/>
        <w:bidi w:val="0"/>
        <w:rPr>
          <w:rFonts w:hint="eastAsia" w:ascii="宋体" w:hAnsi="宋体" w:eastAsia="宋体" w:cs="宋体"/>
          <w:color w:val="auto"/>
        </w:rPr>
      </w:pPr>
      <w:r>
        <w:rPr>
          <w:rFonts w:hint="eastAsia" w:ascii="宋体" w:hAnsi="宋体" w:eastAsia="宋体" w:cs="宋体"/>
          <w:color w:val="auto"/>
        </w:rPr>
        <w:t>12.当第3列选择“免税”时，第9列＝第4-5-6-7+8列；当第4-5-6-7+8列＜0时，第9列＝0。</w:t>
      </w:r>
    </w:p>
    <w:p>
      <w:pPr>
        <w:pStyle w:val="16"/>
        <w:bidi w:val="0"/>
        <w:rPr>
          <w:rFonts w:hint="eastAsia" w:ascii="宋体" w:hAnsi="宋体" w:eastAsia="宋体" w:cs="宋体"/>
          <w:color w:val="auto"/>
        </w:rPr>
      </w:pPr>
      <w:r>
        <w:rPr>
          <w:rFonts w:hint="eastAsia" w:ascii="宋体" w:hAnsi="宋体" w:eastAsia="宋体" w:cs="宋体"/>
          <w:color w:val="auto"/>
        </w:rPr>
        <w:t>第12行第2列选择“一般技术专项项目”：当第12行第4-5-6-7+8列≤5000000时，第12行第9列＝第4-5-6-7+8列；当第12行第4-5-6-7+8列＞5000000时，第12行第9列＝5000000。</w:t>
      </w:r>
    </w:p>
    <w:p>
      <w:pPr>
        <w:pStyle w:val="16"/>
        <w:bidi w:val="0"/>
        <w:rPr>
          <w:rFonts w:hint="eastAsia" w:ascii="宋体" w:hAnsi="宋体" w:eastAsia="宋体" w:cs="宋体"/>
          <w:color w:val="auto"/>
        </w:rPr>
      </w:pPr>
      <w:r>
        <w:rPr>
          <w:rFonts w:hint="eastAsia" w:ascii="宋体" w:hAnsi="宋体" w:eastAsia="宋体" w:cs="宋体"/>
          <w:color w:val="auto"/>
        </w:rPr>
        <w:t>第12行第2列选择“中关村国家自主创新示范区特定区域技术转让项目”：当第12行第4-5-6-7+8列≤20000000时，第12行第9列＝第4-5-6-7+8列；当第12行第4-5-6-7+8列＞20000000时，第12行第9列＝20000000。</w:t>
      </w:r>
    </w:p>
    <w:p>
      <w:pPr>
        <w:pStyle w:val="16"/>
        <w:bidi w:val="0"/>
        <w:rPr>
          <w:rFonts w:hint="eastAsia" w:ascii="宋体" w:hAnsi="宋体" w:eastAsia="宋体" w:cs="宋体"/>
          <w:color w:val="auto"/>
        </w:rPr>
      </w:pPr>
      <w:r>
        <w:rPr>
          <w:rFonts w:hint="eastAsia" w:ascii="宋体" w:hAnsi="宋体" w:eastAsia="宋体" w:cs="宋体"/>
          <w:color w:val="auto"/>
        </w:rPr>
        <w:t>13.当第3列选择“减半征税”时，第10列＝第4-5-6-7+8列；当第4-5-6-7+8列＜0时，第10列＝0。</w:t>
      </w:r>
    </w:p>
    <w:p>
      <w:pPr>
        <w:pStyle w:val="16"/>
        <w:bidi w:val="0"/>
        <w:rPr>
          <w:rFonts w:hint="eastAsia" w:ascii="宋体" w:hAnsi="宋体" w:eastAsia="宋体" w:cs="宋体"/>
          <w:color w:val="auto"/>
        </w:rPr>
      </w:pPr>
      <w:r>
        <w:rPr>
          <w:rFonts w:hint="eastAsia" w:ascii="宋体" w:hAnsi="宋体" w:eastAsia="宋体" w:cs="宋体"/>
          <w:color w:val="auto"/>
        </w:rPr>
        <w:t>第12行第2列选择“一般技术专项项目”：当第12行第4-5-6-7+8列≤5000000时，第12行第10列＝0；当第12行第4-5-6-7+8列＞5000000时，第12行第10列＝第4-5-6-7+8列-5000000。</w:t>
      </w:r>
    </w:p>
    <w:p>
      <w:pPr>
        <w:pStyle w:val="16"/>
        <w:bidi w:val="0"/>
        <w:rPr>
          <w:rFonts w:hint="eastAsia" w:ascii="宋体" w:hAnsi="宋体" w:eastAsia="宋体" w:cs="宋体"/>
          <w:color w:val="auto"/>
        </w:rPr>
      </w:pPr>
      <w:r>
        <w:rPr>
          <w:rFonts w:hint="eastAsia" w:ascii="宋体" w:hAnsi="宋体" w:eastAsia="宋体" w:cs="宋体"/>
          <w:color w:val="auto"/>
        </w:rPr>
        <w:t>第12行第2列选择“中关村国家自主创新示范区特定区域技术转让项目”：当第12行第4-5-6-7+8列≤20000000时，第12行第10列＝0；当第12行第4-5-6-7+8列＞20000000时，第12行第10列＝第4-5-6-7+8列-20000000。</w:t>
      </w:r>
    </w:p>
    <w:p>
      <w:pPr>
        <w:pStyle w:val="16"/>
        <w:bidi w:val="0"/>
        <w:rPr>
          <w:rFonts w:hint="eastAsia" w:ascii="宋体" w:hAnsi="宋体" w:eastAsia="宋体" w:cs="宋体"/>
          <w:color w:val="auto"/>
        </w:rPr>
      </w:pPr>
      <w:r>
        <w:rPr>
          <w:rFonts w:hint="eastAsia" w:ascii="宋体" w:hAnsi="宋体" w:eastAsia="宋体" w:cs="宋体"/>
          <w:color w:val="auto"/>
        </w:rPr>
        <w:t>14.第11列＝第9列+第10列×50%；当第9列+第10列×50%＜0时，第11列＝0。</w:t>
      </w:r>
    </w:p>
    <w:p>
      <w:pPr>
        <w:pStyle w:val="16"/>
        <w:rPr>
          <w:rFonts w:hint="eastAsia" w:ascii="楷体_GB2312" w:hAnsi="楷体_GB2312" w:eastAsia="楷体_GB2312" w:cs="楷体_GB2312"/>
          <w:color w:val="auto"/>
        </w:rPr>
      </w:pPr>
      <w:bookmarkStart w:id="291" w:name="_Toc676784895_WPSOffice_Level2"/>
      <w:bookmarkStart w:id="292" w:name="_Toc1015399474_WPSOffice_Level2"/>
      <w:bookmarkStart w:id="293" w:name="_Toc54267955"/>
      <w:r>
        <w:rPr>
          <w:rFonts w:hint="eastAsia" w:ascii="楷体_GB2312" w:hAnsi="楷体_GB2312" w:eastAsia="楷体_GB2312" w:cs="楷体_GB2312"/>
          <w:color w:val="auto"/>
        </w:rPr>
        <w:t>（二）表间关系</w:t>
      </w:r>
      <w:bookmarkEnd w:id="291"/>
      <w:bookmarkEnd w:id="292"/>
      <w:bookmarkEnd w:id="293"/>
    </w:p>
    <w:p>
      <w:pPr>
        <w:pStyle w:val="16"/>
        <w:bidi w:val="0"/>
        <w:rPr>
          <w:rFonts w:hint="eastAsia" w:ascii="宋体" w:hAnsi="宋体" w:eastAsia="宋体" w:cs="宋体"/>
          <w:color w:val="auto"/>
        </w:rPr>
      </w:pPr>
      <w:r>
        <w:rPr>
          <w:rFonts w:hint="eastAsia" w:ascii="宋体" w:hAnsi="宋体" w:eastAsia="宋体" w:cs="宋体"/>
          <w:color w:val="auto"/>
          <w:szCs w:val="22"/>
        </w:rPr>
        <w:t>1</w:t>
      </w:r>
      <w:r>
        <w:rPr>
          <w:rFonts w:hint="eastAsia" w:ascii="宋体" w:hAnsi="宋体" w:eastAsia="宋体" w:cs="宋体"/>
          <w:color w:val="auto"/>
        </w:rPr>
        <w:t>.当本表合计行第11列≥0，且本表合计行第11列≤表A100000第</w:t>
      </w:r>
      <w:r>
        <w:rPr>
          <w:rFonts w:hint="eastAsia" w:ascii="宋体" w:hAnsi="宋体" w:eastAsia="宋体" w:cs="宋体"/>
          <w:color w:val="auto"/>
          <w:lang w:val="en-US" w:eastAsia="zh-CN"/>
        </w:rPr>
        <w:t>24</w:t>
      </w:r>
      <w:r>
        <w:rPr>
          <w:rFonts w:hint="eastAsia" w:ascii="宋体" w:hAnsi="宋体" w:eastAsia="宋体" w:cs="宋体"/>
          <w:color w:val="auto"/>
        </w:rPr>
        <w:t>行时， 合计行第11列＝表A100000第2</w:t>
      </w:r>
      <w:r>
        <w:rPr>
          <w:rFonts w:hint="eastAsia" w:ascii="宋体" w:hAnsi="宋体" w:eastAsia="宋体" w:cs="宋体"/>
          <w:color w:val="auto"/>
          <w:lang w:val="en-US" w:eastAsia="zh-CN"/>
        </w:rPr>
        <w:t>5</w:t>
      </w:r>
      <w:r>
        <w:rPr>
          <w:rFonts w:hint="eastAsia" w:ascii="宋体" w:hAnsi="宋体" w:eastAsia="宋体" w:cs="宋体"/>
          <w:color w:val="auto"/>
        </w:rPr>
        <w:t>行。</w:t>
      </w:r>
    </w:p>
    <w:p>
      <w:pPr>
        <w:pStyle w:val="16"/>
        <w:bidi w:val="0"/>
        <w:rPr>
          <w:rFonts w:hint="eastAsia" w:ascii="宋体" w:hAnsi="宋体"/>
          <w:color w:val="auto"/>
          <w:sz w:val="24"/>
        </w:rPr>
      </w:pPr>
      <w:r>
        <w:rPr>
          <w:rFonts w:hint="eastAsia" w:ascii="宋体" w:hAnsi="宋体" w:eastAsia="宋体" w:cs="宋体"/>
          <w:color w:val="auto"/>
        </w:rPr>
        <w:t>2.当本表合计行第11列≥0，且本表合计行第11列＞表A100000第</w:t>
      </w:r>
      <w:r>
        <w:rPr>
          <w:rFonts w:hint="eastAsia" w:ascii="宋体" w:hAnsi="宋体" w:eastAsia="宋体" w:cs="宋体"/>
          <w:color w:val="auto"/>
          <w:lang w:val="en-US" w:eastAsia="zh-CN"/>
        </w:rPr>
        <w:t>24</w:t>
      </w:r>
      <w:r>
        <w:rPr>
          <w:rFonts w:hint="eastAsia" w:ascii="宋体" w:hAnsi="宋体" w:eastAsia="宋体" w:cs="宋体"/>
          <w:color w:val="auto"/>
        </w:rPr>
        <w:t>行时，合计行第11列＝表A100000第</w:t>
      </w:r>
      <w:r>
        <w:rPr>
          <w:rFonts w:hint="eastAsia" w:ascii="宋体" w:hAnsi="宋体" w:eastAsia="宋体" w:cs="宋体"/>
          <w:color w:val="auto"/>
          <w:lang w:val="en-US" w:eastAsia="zh-CN"/>
        </w:rPr>
        <w:t>24</w:t>
      </w:r>
      <w:r>
        <w:rPr>
          <w:rFonts w:hint="eastAsia" w:ascii="宋体" w:hAnsi="宋体" w:eastAsia="宋体" w:cs="宋体"/>
          <w:color w:val="auto"/>
        </w:rPr>
        <w:t>行。</w:t>
      </w:r>
      <w:r>
        <w:rPr>
          <w:rFonts w:hint="eastAsia" w:ascii="宋体" w:hAnsi="宋体"/>
          <w:color w:val="auto"/>
          <w:sz w:val="24"/>
        </w:rPr>
        <w:br w:type="page"/>
      </w:r>
    </w:p>
    <w:p>
      <w:pPr>
        <w:pStyle w:val="24"/>
        <w:tabs>
          <w:tab w:val="clear" w:pos="4200"/>
        </w:tabs>
        <w:spacing w:before="156" w:after="156"/>
        <w:rPr>
          <w:rFonts w:hint="eastAsia" w:ascii="宋体" w:hAnsi="宋体" w:eastAsia="宋体" w:cs="宋体"/>
          <w:color w:val="auto"/>
          <w:lang w:val="zh-CN"/>
        </w:rPr>
      </w:pPr>
      <w:bookmarkStart w:id="294" w:name="_Toc611685524"/>
      <w:bookmarkStart w:id="295" w:name="_Toc176972067"/>
      <w:bookmarkStart w:id="296" w:name="_Toc1568476699"/>
      <w:r>
        <w:rPr>
          <w:rFonts w:hint="eastAsia" w:ascii="宋体" w:hAnsi="宋体" w:eastAsia="宋体" w:cs="宋体"/>
          <w:color w:val="auto"/>
          <w:lang w:val="zh-CN"/>
        </w:rPr>
        <w:t>A107030</w:t>
      </w:r>
      <w:r>
        <w:rPr>
          <w:rFonts w:hint="eastAsia" w:ascii="宋体" w:hAnsi="宋体" w:eastAsia="宋体" w:cs="宋体"/>
          <w:color w:val="auto"/>
          <w:lang w:val="zh-CN"/>
        </w:rPr>
        <w:tab/>
      </w:r>
      <w:r>
        <w:rPr>
          <w:rFonts w:hint="eastAsia" w:ascii="宋体" w:hAnsi="宋体" w:eastAsia="宋体" w:cs="宋体"/>
          <w:color w:val="auto"/>
          <w:lang w:val="zh-CN"/>
        </w:rPr>
        <w:t>《抵扣应纳税所得额明细表》填报说明</w:t>
      </w:r>
      <w:bookmarkEnd w:id="294"/>
      <w:bookmarkEnd w:id="295"/>
      <w:bookmarkEnd w:id="296"/>
    </w:p>
    <w:p>
      <w:pPr>
        <w:pStyle w:val="12"/>
        <w:ind w:firstLine="0"/>
        <w:rPr>
          <w:rFonts w:hint="eastAsia"/>
          <w:color w:val="auto"/>
        </w:rPr>
      </w:pPr>
      <w:r>
        <w:rPr>
          <w:rFonts w:hint="eastAsia"/>
          <w:color w:val="auto"/>
        </w:rPr>
        <w:t>本表适用于享受创业投资企业抵扣应纳税所得额优惠（含结转）的纳税人填报。纳税人根据税法、《国家税务总局关于实施创业投资企业所得税优惠问题的通知》（国税发〔2009〕87号）、《财政部 国家税务总局关于执行企业所得税优惠政策若干问题的通知》（财税〔2009〕69号）、《财政部 国家税务总局关于将国家自主创新示范区有关税收试点政策推广到全国范围实施的通知》（财税〔2015〕116号）、《国家税务总局关于有限合伙制创业投资企业法人合伙人企业所得税有关问题的公告》（2015年第81号）、《财政部 税务总局关于创业投资企业和天使投资个人有关税收试点政策的通知》（财税〔2017〕38号）、《国家税务总局关于创业投资企业和天使投资个人税收试点政策有关问题的公告》（2017年第20号）</w:t>
      </w:r>
      <w:r>
        <w:rPr>
          <w:rFonts w:hint="eastAsia"/>
          <w:color w:val="auto"/>
          <w:lang w:eastAsia="zh-CN"/>
        </w:rPr>
        <w:t>、《财政部 税务总局关于创业投资企业和天使投资个人有关税收政策的通知》（财税〔2018〕55号）、《财政部 税务总局关于延续执行创业投资企业和天使投资个人投资初创科技型企业有关政策条件的公告》（2023年第17号）</w:t>
      </w:r>
      <w:r>
        <w:rPr>
          <w:rFonts w:hint="eastAsia"/>
          <w:color w:val="auto"/>
        </w:rPr>
        <w:t>等规定，填报本年度发生的创业投资企业抵扣应纳税所得额优惠情况。企业只要本年有新增符合条件的投资额、从有限合伙制创业投资企业分得的应纳税所得额或以前年度结转的尚未抵扣的股权投资余额，无论本年是否抵扣应纳税所得额，均需填报本表。</w:t>
      </w:r>
    </w:p>
    <w:p>
      <w:pPr>
        <w:pStyle w:val="23"/>
        <w:ind w:firstLine="482"/>
        <w:rPr>
          <w:rFonts w:hint="eastAsia"/>
          <w:color w:val="auto"/>
        </w:rPr>
      </w:pPr>
      <w:r>
        <w:rPr>
          <w:rFonts w:hint="eastAsia"/>
          <w:color w:val="auto"/>
        </w:rPr>
        <w:t>一、有关项目填报说明</w:t>
      </w:r>
    </w:p>
    <w:p>
      <w:pPr>
        <w:pStyle w:val="12"/>
        <w:ind w:firstLine="480"/>
        <w:rPr>
          <w:rFonts w:hint="eastAsia"/>
          <w:color w:val="auto"/>
        </w:rPr>
      </w:pPr>
      <w:r>
        <w:rPr>
          <w:rFonts w:hint="eastAsia"/>
          <w:color w:val="auto"/>
        </w:rPr>
        <w:t>企业同时存在创业投资企业直接投资和通过有限合伙制创业投资企业投资两种情形的，应先填写本表的“二、通过有限合伙制创业投资企业投资按一定比例抵扣分得的应纳税所得额”。</w:t>
      </w:r>
    </w:p>
    <w:p>
      <w:pPr>
        <w:pStyle w:val="12"/>
        <w:ind w:firstLine="480"/>
        <w:rPr>
          <w:rFonts w:hint="eastAsia"/>
          <w:color w:val="auto"/>
        </w:rPr>
      </w:pPr>
      <w:r>
        <w:rPr>
          <w:rFonts w:hint="eastAsia"/>
          <w:color w:val="auto"/>
        </w:rPr>
        <w:t>（一）“创业投资企业直接投资按投资额一定比例抵扣应纳税所得额”：由创业投资企业（非合伙制）纳税人填报其以股权投资方式直接投资未上市的中小高新技术企业和投资于种子期、初创期科技型企业2年（24个月，下同）以上限额抵免应纳税所得额的金额。对于通过有限合伙制创业投资企业间接投资未上市的中小高新技术企业和投资于种子期、初创期科技型企业享受优惠政策填写本表第9行至第14行。具体行次如下：</w:t>
      </w:r>
    </w:p>
    <w:p>
      <w:pPr>
        <w:pStyle w:val="12"/>
        <w:ind w:firstLine="480"/>
        <w:rPr>
          <w:rFonts w:hint="eastAsia"/>
          <w:color w:val="auto"/>
        </w:rPr>
      </w:pPr>
      <w:r>
        <w:rPr>
          <w:rFonts w:hint="eastAsia"/>
          <w:color w:val="auto"/>
        </w:rPr>
        <w:t>1.第1行“本年新增的符合条件的股权投资额”：填报创业投资企业采取股权投资方式投资于未上市的中小高新技术企业和投资于种子期、初创期科技型企业满2年的，本年新增的符合条件的股权投资额。本行第1列＝本行第2列＋本行第3列。无论企业本年是否盈利，有符合条件的投资额即填报本表，以后年度盈利时填写第4行“以前年度结转的尚未抵扣的股权投资余额”。</w:t>
      </w:r>
    </w:p>
    <w:p>
      <w:pPr>
        <w:pStyle w:val="12"/>
        <w:ind w:firstLine="480"/>
        <w:rPr>
          <w:rFonts w:hint="eastAsia"/>
          <w:color w:val="auto"/>
        </w:rPr>
      </w:pPr>
      <w:r>
        <w:rPr>
          <w:rFonts w:hint="eastAsia"/>
          <w:color w:val="auto"/>
        </w:rPr>
        <w:t>2.第3行“本年新增的可抵扣的股权投资额”：本行填报第1×2行金额。本行第1列＝本行第2列＋本行第3列。</w:t>
      </w:r>
    </w:p>
    <w:p>
      <w:pPr>
        <w:pStyle w:val="12"/>
        <w:ind w:firstLine="480"/>
        <w:rPr>
          <w:rFonts w:hint="eastAsia"/>
          <w:color w:val="auto"/>
        </w:rPr>
      </w:pPr>
      <w:r>
        <w:rPr>
          <w:rFonts w:hint="eastAsia"/>
          <w:color w:val="auto"/>
        </w:rPr>
        <w:t>3.第4行“以前年度结转的尚未抵扣的股权投资余额”：填报以前年度符合条件的尚未抵扣的股权投资余额。</w:t>
      </w:r>
    </w:p>
    <w:p>
      <w:pPr>
        <w:pStyle w:val="12"/>
        <w:ind w:firstLine="480"/>
        <w:rPr>
          <w:rFonts w:hint="eastAsia"/>
          <w:color w:val="auto"/>
        </w:rPr>
      </w:pPr>
      <w:r>
        <w:rPr>
          <w:rFonts w:hint="eastAsia"/>
          <w:color w:val="auto"/>
        </w:rPr>
        <w:t>4.第5行“本年可抵扣的股权投资额”：本行填报第3＋4行的合计金额。</w:t>
      </w:r>
    </w:p>
    <w:p>
      <w:pPr>
        <w:pStyle w:val="12"/>
        <w:ind w:firstLine="480"/>
        <w:rPr>
          <w:rFonts w:hint="eastAsia"/>
          <w:color w:val="auto"/>
        </w:rPr>
      </w:pPr>
      <w:r>
        <w:rPr>
          <w:rFonts w:hint="eastAsia"/>
          <w:color w:val="auto"/>
        </w:rPr>
        <w:t>5.第6行“本年可用于抵扣的应纳税所得额合计金额”：本行第1列填报表A100000第</w:t>
      </w:r>
      <w:r>
        <w:rPr>
          <w:rFonts w:hint="eastAsia"/>
          <w:color w:val="auto"/>
          <w:lang w:val="en-US" w:eastAsia="zh-CN"/>
        </w:rPr>
        <w:t>24</w:t>
      </w:r>
      <w:r>
        <w:rPr>
          <w:rFonts w:hint="eastAsia"/>
          <w:color w:val="auto"/>
        </w:rPr>
        <w:t>－</w:t>
      </w:r>
      <w:r>
        <w:rPr>
          <w:rFonts w:hint="eastAsia"/>
          <w:color w:val="auto"/>
          <w:lang w:val="en-US" w:eastAsia="zh-CN"/>
        </w:rPr>
        <w:t>25</w:t>
      </w:r>
      <w:r>
        <w:rPr>
          <w:rFonts w:hint="eastAsia"/>
          <w:color w:val="auto"/>
        </w:rPr>
        <w:t>－</w:t>
      </w:r>
      <w:r>
        <w:rPr>
          <w:rFonts w:hint="eastAsia"/>
          <w:color w:val="auto"/>
          <w:lang w:val="en-US" w:eastAsia="zh-CN"/>
        </w:rPr>
        <w:t>26</w:t>
      </w:r>
      <w:r>
        <w:rPr>
          <w:rFonts w:hint="eastAsia"/>
          <w:color w:val="auto"/>
        </w:rPr>
        <w:t>行－本表第13行第1列“本年实际抵扣应分得的应纳税所得额”的金额，若金额小于零，则填报零。</w:t>
      </w:r>
    </w:p>
    <w:p>
      <w:pPr>
        <w:pStyle w:val="12"/>
        <w:ind w:firstLine="480"/>
        <w:rPr>
          <w:rFonts w:hint="eastAsia"/>
          <w:color w:val="auto"/>
        </w:rPr>
      </w:pPr>
      <w:r>
        <w:rPr>
          <w:rFonts w:hint="eastAsia"/>
          <w:color w:val="auto"/>
        </w:rPr>
        <w:t>6.第7行“本年实际抵扣应纳税所得额”：若第5行第1列≤第6行第1列，则本行第1列＝第5行第1列；若第5行第1列＞第6行第1列，则本行第1列＝第6行第1列。本行第1列＝本行第2列＋本行第3列。</w:t>
      </w:r>
    </w:p>
    <w:p>
      <w:pPr>
        <w:pStyle w:val="12"/>
        <w:ind w:firstLine="480"/>
        <w:rPr>
          <w:rFonts w:hint="eastAsia"/>
          <w:color w:val="auto"/>
        </w:rPr>
      </w:pPr>
      <w:r>
        <w:rPr>
          <w:rFonts w:hint="eastAsia"/>
          <w:color w:val="auto"/>
        </w:rPr>
        <w:t>7.第8行“结转以后年度抵扣的股权投资余额”：填报本年可抵扣的股权投资额大于本年实际抵扣应纳税所得额时，抵扣后余额部分结转以后年度抵扣的金额。</w:t>
      </w:r>
    </w:p>
    <w:p>
      <w:pPr>
        <w:pStyle w:val="12"/>
        <w:ind w:firstLine="480"/>
        <w:rPr>
          <w:rFonts w:hint="eastAsia"/>
          <w:color w:val="auto"/>
        </w:rPr>
      </w:pPr>
      <w:r>
        <w:rPr>
          <w:rFonts w:hint="eastAsia"/>
          <w:color w:val="auto"/>
        </w:rPr>
        <w:t>（二）“通过有限合伙制创业投资企业投资按一定比例抵扣分得的应纳税所得额”：企业作为有限合伙制创业投资企业的合伙人，通过合伙企业间接投资未上市中小高新技术企业和种子期、初创期科技型企业，享受有限合伙制创业投资企业法人合伙人按投资额的一定比例抵扣应纳税所得额政策，在本部分填报。</w:t>
      </w:r>
    </w:p>
    <w:p>
      <w:pPr>
        <w:pStyle w:val="12"/>
        <w:ind w:firstLine="480"/>
        <w:rPr>
          <w:rFonts w:hint="eastAsia"/>
          <w:color w:val="auto"/>
        </w:rPr>
      </w:pPr>
      <w:r>
        <w:rPr>
          <w:rFonts w:hint="eastAsia"/>
          <w:color w:val="auto"/>
        </w:rPr>
        <w:t>1.第9行“本年从有限合伙创投企业应分得的应纳税所得额”：填写企业作为法人合伙人，通过有限合伙制创业投资企业投资未上市的中小高新技术企业或者投资于种子期、初创期科技型企业，无论本年是否盈利、是否抵扣应纳税所得额，只要本年从有限合伙制创业投资企业中分配归属于该法人合伙人的应纳税所得额，需填写本行。本行第1列＝本行第2列＋本行第3列。</w:t>
      </w:r>
    </w:p>
    <w:p>
      <w:pPr>
        <w:pStyle w:val="12"/>
        <w:ind w:firstLine="480"/>
        <w:rPr>
          <w:rFonts w:hint="eastAsia"/>
          <w:color w:val="auto"/>
        </w:rPr>
      </w:pPr>
      <w:r>
        <w:rPr>
          <w:rFonts w:hint="eastAsia"/>
          <w:color w:val="auto"/>
        </w:rPr>
        <w:t>2.第10行“本年新增的可抵扣投资额”：填写企业作为法人合伙人，通过有限合伙制创业投资企业投资未上市中小高新技术企业和种子期、初创期科技型企业，本年投资满2年符合条件的可抵扣投资额中归属于该法人合伙人的本年新增可抵扣投资额。无论本年是否盈利、是否需要抵扣应纳税所得额，均需填写本行。本行第1列＝本行第2列＋本行第3列。</w:t>
      </w:r>
    </w:p>
    <w:p>
      <w:pPr>
        <w:pStyle w:val="12"/>
        <w:ind w:firstLine="480"/>
        <w:rPr>
          <w:rFonts w:hint="eastAsia"/>
          <w:color w:val="auto"/>
        </w:rPr>
      </w:pPr>
      <w:r>
        <w:rPr>
          <w:rFonts w:hint="eastAsia"/>
          <w:color w:val="auto"/>
        </w:rPr>
        <w:t>有限合伙制创业投资企业的法人合伙人对未上市中小高新技术企业和种子期、初创期科技型企业的投资额，按照有限合伙制创业投资企业的投资额和合伙协议约定的法人合伙人占有限合伙制创业投资企业的出资比例计算确定。其中，有限合伙制创业投资企业的投资额按实缴投资额计算；法人合伙人占有限合伙制创业投资企业的出资比例按法人合伙人对有限合伙制创业投资企业的实缴出资额占该有限合伙制创业投资企业的全部实缴出资额的比例计算。</w:t>
      </w:r>
    </w:p>
    <w:p>
      <w:pPr>
        <w:pStyle w:val="12"/>
        <w:ind w:firstLine="480"/>
        <w:rPr>
          <w:rFonts w:hint="eastAsia"/>
          <w:color w:val="auto"/>
        </w:rPr>
      </w:pPr>
      <w:r>
        <w:rPr>
          <w:rFonts w:hint="eastAsia"/>
          <w:color w:val="auto"/>
        </w:rPr>
        <w:t>3.第11行“以前年度结转的可抵扣投资额”：填写法人合伙人上年度未抵扣，可以结转到本年及以后年度的抵扣投资额。</w:t>
      </w:r>
    </w:p>
    <w:p>
      <w:pPr>
        <w:pStyle w:val="12"/>
        <w:ind w:firstLine="480"/>
        <w:rPr>
          <w:rFonts w:hint="eastAsia"/>
          <w:color w:val="auto"/>
        </w:rPr>
      </w:pPr>
      <w:r>
        <w:rPr>
          <w:rFonts w:hint="eastAsia"/>
          <w:color w:val="auto"/>
        </w:rPr>
        <w:t>4.第12行“本年可抵扣投资额”：填写本年法人合伙人可用于抵扣的投资额合计，包括本年新增和以前年度结转两部分</w:t>
      </w:r>
      <w:r>
        <w:rPr>
          <w:rFonts w:hint="eastAsia"/>
          <w:color w:val="auto"/>
          <w:lang w:eastAsia="zh-CN"/>
        </w:rPr>
        <w:t>。本项</w:t>
      </w:r>
      <w:r>
        <w:rPr>
          <w:rFonts w:hint="eastAsia"/>
          <w:color w:val="auto"/>
          <w:lang w:val="en-US" w:eastAsia="zh-CN"/>
        </w:rPr>
        <w:t>=</w:t>
      </w:r>
      <w:r>
        <w:rPr>
          <w:rFonts w:hint="eastAsia"/>
          <w:color w:val="auto"/>
        </w:rPr>
        <w:t>第10行＋第11行。</w:t>
      </w:r>
    </w:p>
    <w:p>
      <w:pPr>
        <w:pStyle w:val="12"/>
        <w:ind w:firstLine="480"/>
        <w:rPr>
          <w:rFonts w:hint="eastAsia"/>
          <w:color w:val="auto"/>
        </w:rPr>
      </w:pPr>
      <w:r>
        <w:rPr>
          <w:rFonts w:hint="eastAsia"/>
          <w:color w:val="auto"/>
        </w:rPr>
        <w:t>5.第13行“本年实际抵扣应分得的应纳税所得额”：填写本年法人合伙人享受优惠实际抵扣的投资额，本行第1列为第9行第1列“本年从有限合伙创投企业应分得的应纳税所得额”、第12行第1列“本年可抵扣投资额”、表</w:t>
      </w:r>
      <w:r>
        <w:rPr>
          <w:rFonts w:hint="eastAsia"/>
          <w:color w:val="auto"/>
          <w:lang w:val="en-US" w:eastAsia="zh-CN"/>
        </w:rPr>
        <w:t>A100000</w:t>
      </w:r>
      <w:r>
        <w:rPr>
          <w:rFonts w:hint="eastAsia"/>
          <w:color w:val="auto"/>
        </w:rPr>
        <w:t>第</w:t>
      </w:r>
      <w:r>
        <w:rPr>
          <w:rFonts w:hint="eastAsia"/>
          <w:color w:val="auto"/>
          <w:lang w:val="en-US" w:eastAsia="zh-CN"/>
        </w:rPr>
        <w:t>24</w:t>
      </w:r>
      <w:r>
        <w:rPr>
          <w:rFonts w:hint="eastAsia"/>
          <w:color w:val="auto"/>
        </w:rPr>
        <w:t>－</w:t>
      </w:r>
      <w:r>
        <w:rPr>
          <w:rFonts w:hint="eastAsia"/>
          <w:color w:val="auto"/>
          <w:lang w:val="en-US" w:eastAsia="zh-CN"/>
        </w:rPr>
        <w:t>25</w:t>
      </w:r>
      <w:r>
        <w:rPr>
          <w:rFonts w:hint="eastAsia"/>
          <w:color w:val="auto"/>
        </w:rPr>
        <w:t>－</w:t>
      </w:r>
      <w:r>
        <w:rPr>
          <w:rFonts w:hint="eastAsia"/>
          <w:color w:val="auto"/>
          <w:lang w:val="en-US" w:eastAsia="zh-CN"/>
        </w:rPr>
        <w:t>26</w:t>
      </w:r>
      <w:r>
        <w:rPr>
          <w:rFonts w:hint="eastAsia"/>
          <w:color w:val="auto"/>
        </w:rPr>
        <w:t>行的三者孰小值，若金额小于零，则填报零。本行第1列＝第2＋3列。</w:t>
      </w:r>
    </w:p>
    <w:p>
      <w:pPr>
        <w:pStyle w:val="12"/>
        <w:ind w:firstLine="480"/>
        <w:rPr>
          <w:rFonts w:hint="eastAsia"/>
          <w:color w:val="auto"/>
        </w:rPr>
      </w:pPr>
      <w:r>
        <w:rPr>
          <w:rFonts w:hint="eastAsia"/>
          <w:color w:val="auto"/>
        </w:rPr>
        <w:t>6.第14行“结转以后年度抵扣的投资额余额”：本年可抵扣投资额大于应分得的应纳税所得额时，抵扣后余额部分结转以后年度抵扣的金额。</w:t>
      </w:r>
    </w:p>
    <w:p>
      <w:pPr>
        <w:pStyle w:val="12"/>
        <w:ind w:firstLine="480"/>
        <w:rPr>
          <w:rFonts w:hint="eastAsia"/>
          <w:color w:val="auto"/>
        </w:rPr>
      </w:pPr>
      <w:r>
        <w:rPr>
          <w:rFonts w:hint="eastAsia"/>
          <w:color w:val="auto"/>
        </w:rPr>
        <w:t>（三）“抵扣应纳税所得额合计”：上述优惠合计额，带入表A100000计算应纳税所得额。</w:t>
      </w:r>
    </w:p>
    <w:p>
      <w:pPr>
        <w:pStyle w:val="12"/>
        <w:ind w:firstLine="480"/>
        <w:rPr>
          <w:rFonts w:hint="eastAsia"/>
          <w:color w:val="auto"/>
        </w:rPr>
      </w:pPr>
      <w:r>
        <w:rPr>
          <w:rFonts w:hint="eastAsia"/>
          <w:color w:val="auto"/>
        </w:rPr>
        <w:t>第15行“合计”＝</w:t>
      </w:r>
      <w:r>
        <w:rPr>
          <w:rFonts w:hint="eastAsia"/>
          <w:color w:val="auto"/>
          <w:lang w:eastAsia="zh-CN"/>
        </w:rPr>
        <w:t>第</w:t>
      </w:r>
      <w:r>
        <w:rPr>
          <w:rFonts w:hint="eastAsia"/>
          <w:color w:val="auto"/>
        </w:rPr>
        <w:t>7＋13行。本行第1列＝本行第2列＋本行第3列。</w:t>
      </w:r>
    </w:p>
    <w:p>
      <w:pPr>
        <w:pStyle w:val="12"/>
        <w:ind w:firstLine="480"/>
        <w:rPr>
          <w:rFonts w:hint="eastAsia"/>
          <w:color w:val="auto"/>
        </w:rPr>
      </w:pPr>
      <w:r>
        <w:rPr>
          <w:rFonts w:hint="eastAsia"/>
          <w:color w:val="auto"/>
        </w:rPr>
        <w:t>（四）列次填报：第1列填报抵扣应纳税所得额的整体情况，第2列填报投资于未上市中小高新技术企业部分，第3列填报投资于种子期、初创期科技型企业部分。</w:t>
      </w:r>
    </w:p>
    <w:p>
      <w:pPr>
        <w:pStyle w:val="23"/>
        <w:ind w:firstLine="482"/>
        <w:rPr>
          <w:rFonts w:hint="eastAsia"/>
          <w:color w:val="auto"/>
        </w:rPr>
      </w:pPr>
      <w:r>
        <w:rPr>
          <w:rFonts w:hint="eastAsia"/>
          <w:color w:val="auto"/>
        </w:rPr>
        <w:t>二、表内、表间关系</w:t>
      </w:r>
    </w:p>
    <w:p>
      <w:pPr>
        <w:pStyle w:val="22"/>
        <w:rPr>
          <w:rFonts w:hint="eastAsia"/>
          <w:color w:val="auto"/>
        </w:rPr>
      </w:pPr>
      <w:r>
        <w:rPr>
          <w:rFonts w:hint="eastAsia"/>
          <w:color w:val="auto"/>
        </w:rPr>
        <w:t>（一）表内关系</w:t>
      </w:r>
    </w:p>
    <w:p>
      <w:pPr>
        <w:pStyle w:val="12"/>
        <w:ind w:firstLine="480"/>
        <w:rPr>
          <w:rFonts w:hint="eastAsia"/>
          <w:color w:val="auto"/>
        </w:rPr>
      </w:pPr>
      <w:r>
        <w:rPr>
          <w:rFonts w:hint="eastAsia"/>
          <w:color w:val="auto"/>
        </w:rPr>
        <w:t>1.第3行＝第1×2行。</w:t>
      </w:r>
    </w:p>
    <w:p>
      <w:pPr>
        <w:pStyle w:val="12"/>
        <w:ind w:firstLine="480"/>
        <w:rPr>
          <w:rFonts w:hint="eastAsia"/>
          <w:color w:val="auto"/>
        </w:rPr>
      </w:pPr>
      <w:r>
        <w:rPr>
          <w:rFonts w:hint="eastAsia"/>
          <w:color w:val="auto"/>
        </w:rPr>
        <w:t>2.第5行＝第3＋4行。</w:t>
      </w:r>
    </w:p>
    <w:p>
      <w:pPr>
        <w:pStyle w:val="12"/>
        <w:ind w:firstLine="480"/>
        <w:rPr>
          <w:rFonts w:hint="eastAsia"/>
          <w:color w:val="auto"/>
        </w:rPr>
      </w:pPr>
      <w:r>
        <w:rPr>
          <w:rFonts w:hint="eastAsia"/>
          <w:color w:val="auto"/>
        </w:rPr>
        <w:t>3.第7行：若第5行≤第6行，则本行第1列＝第5行；第5行＞第6行，则本行第1列＝第6行。</w:t>
      </w:r>
    </w:p>
    <w:p>
      <w:pPr>
        <w:pStyle w:val="12"/>
        <w:ind w:firstLine="480"/>
        <w:rPr>
          <w:rFonts w:hint="eastAsia"/>
          <w:color w:val="auto"/>
        </w:rPr>
      </w:pPr>
      <w:r>
        <w:rPr>
          <w:rFonts w:hint="eastAsia"/>
          <w:color w:val="auto"/>
        </w:rPr>
        <w:t>4.第8行：第5行＞第6行时，本行＝第5－7行；第5行≤第6行时，本行＝0。</w:t>
      </w:r>
    </w:p>
    <w:p>
      <w:pPr>
        <w:pStyle w:val="12"/>
        <w:ind w:firstLine="480"/>
        <w:rPr>
          <w:rFonts w:hint="eastAsia"/>
          <w:color w:val="auto"/>
        </w:rPr>
      </w:pPr>
      <w:r>
        <w:rPr>
          <w:rFonts w:hint="eastAsia"/>
          <w:color w:val="auto"/>
        </w:rPr>
        <w:t>5.第12行＝第10＋11行。</w:t>
      </w:r>
    </w:p>
    <w:p>
      <w:pPr>
        <w:pStyle w:val="12"/>
        <w:ind w:firstLine="480"/>
        <w:rPr>
          <w:rFonts w:hint="eastAsia"/>
          <w:color w:val="auto"/>
        </w:rPr>
      </w:pPr>
      <w:r>
        <w:rPr>
          <w:rFonts w:hint="eastAsia"/>
          <w:color w:val="auto"/>
        </w:rPr>
        <w:t>6.第14行＝第12－13行。</w:t>
      </w:r>
    </w:p>
    <w:p>
      <w:pPr>
        <w:pStyle w:val="12"/>
        <w:ind w:firstLine="480"/>
        <w:rPr>
          <w:rFonts w:hint="eastAsia"/>
          <w:color w:val="auto"/>
        </w:rPr>
      </w:pPr>
      <w:r>
        <w:rPr>
          <w:rFonts w:hint="eastAsia"/>
          <w:color w:val="auto"/>
        </w:rPr>
        <w:t>7.第15行＝第7＋13行。</w:t>
      </w:r>
    </w:p>
    <w:p>
      <w:pPr>
        <w:pStyle w:val="12"/>
        <w:ind w:firstLine="480"/>
        <w:rPr>
          <w:rFonts w:hint="eastAsia"/>
          <w:color w:val="auto"/>
        </w:rPr>
      </w:pPr>
      <w:r>
        <w:rPr>
          <w:rFonts w:hint="eastAsia"/>
          <w:color w:val="auto"/>
        </w:rPr>
        <w:t>8.第1列＝第2＋3列。</w:t>
      </w:r>
    </w:p>
    <w:p>
      <w:pPr>
        <w:pStyle w:val="22"/>
        <w:rPr>
          <w:rFonts w:hint="eastAsia"/>
          <w:color w:val="auto"/>
        </w:rPr>
      </w:pPr>
      <w:r>
        <w:rPr>
          <w:rFonts w:hint="eastAsia"/>
          <w:color w:val="auto"/>
        </w:rPr>
        <w:t>（二）表间关系</w:t>
      </w:r>
    </w:p>
    <w:p>
      <w:pPr>
        <w:pStyle w:val="12"/>
        <w:ind w:firstLine="480"/>
        <w:rPr>
          <w:rFonts w:hint="eastAsia"/>
          <w:color w:val="auto"/>
        </w:rPr>
      </w:pPr>
      <w:r>
        <w:rPr>
          <w:rFonts w:hint="eastAsia"/>
          <w:color w:val="auto"/>
        </w:rPr>
        <w:t>1.第6行第1列＝表A100000第24－25－26行－本表第13行第1列；若表A100000第24－25－26行－本表第13行第1列＜0，第6行第1列＝0。</w:t>
      </w:r>
    </w:p>
    <w:p>
      <w:pPr>
        <w:pStyle w:val="12"/>
        <w:ind w:firstLine="480"/>
        <w:rPr>
          <w:rFonts w:hint="eastAsia"/>
          <w:color w:val="auto"/>
        </w:rPr>
      </w:pPr>
      <w:r>
        <w:rPr>
          <w:rFonts w:hint="eastAsia"/>
          <w:color w:val="auto"/>
        </w:rPr>
        <w:t>2.第15行第1列＝表A100000第27行。</w:t>
      </w:r>
    </w:p>
    <w:p>
      <w:pPr>
        <w:spacing w:line="360" w:lineRule="auto"/>
        <w:ind w:firstLine="480" w:firstLineChars="200"/>
        <w:rPr>
          <w:rFonts w:hint="eastAsia" w:ascii="宋体" w:hAnsi="宋体"/>
          <w:color w:val="auto"/>
          <w:sz w:val="24"/>
        </w:rPr>
      </w:pPr>
      <w:r>
        <w:rPr>
          <w:rFonts w:hint="eastAsia" w:ascii="宋体" w:hAnsi="宋体"/>
          <w:color w:val="auto"/>
          <w:sz w:val="24"/>
        </w:rPr>
        <w:t>3.第13行第1列＝本表第9行第1列、第12行第1列、表A100000第24－25－26行三者的孰小值；若上述孰小值＜0，第13行第1列＝0。</w:t>
      </w:r>
    </w:p>
    <w:p>
      <w:pPr>
        <w:widowControl/>
        <w:jc w:val="left"/>
        <w:rPr>
          <w:rFonts w:hint="eastAsia" w:ascii="宋体" w:hAnsi="宋体"/>
          <w:color w:val="auto"/>
          <w:sz w:val="24"/>
        </w:rPr>
        <w:sectPr>
          <w:pgSz w:w="11906" w:h="16838"/>
          <w:pgMar w:top="1440" w:right="1800" w:bottom="1440" w:left="1800" w:header="851" w:footer="992" w:gutter="0"/>
          <w:pgNumType w:fmt="decimal"/>
          <w:cols w:space="720" w:num="1"/>
          <w:docGrid w:type="linesAndChars" w:linePitch="312" w:charSpace="0"/>
        </w:sectPr>
      </w:pPr>
    </w:p>
    <w:p>
      <w:pPr>
        <w:keepNext/>
        <w:keepLines/>
        <w:spacing w:before="0" w:beforeLines="0" w:after="0" w:afterLines="0" w:line="360" w:lineRule="auto"/>
        <w:jc w:val="center"/>
        <w:outlineLvl w:val="0"/>
        <w:rPr>
          <w:rFonts w:ascii="宋体" w:hAnsi="宋体" w:eastAsia="宋体" w:cs="Times New Roman"/>
          <w:b/>
          <w:color w:val="auto"/>
          <w:kern w:val="44"/>
          <w:sz w:val="28"/>
          <w:szCs w:val="28"/>
        </w:rPr>
      </w:pPr>
      <w:bookmarkStart w:id="297" w:name="_Toc14363"/>
      <w:bookmarkStart w:id="298" w:name="_Toc527722757"/>
      <w:bookmarkStart w:id="299" w:name="_Toc21426"/>
      <w:bookmarkStart w:id="300" w:name="_Toc27657"/>
      <w:bookmarkStart w:id="301" w:name="_Toc31847"/>
      <w:bookmarkStart w:id="302" w:name="_Toc21172"/>
      <w:bookmarkStart w:id="303" w:name="_Toc164008877"/>
      <w:bookmarkStart w:id="304" w:name="_Toc1891395006"/>
      <w:bookmarkStart w:id="305" w:name="_Toc18675"/>
      <w:bookmarkStart w:id="306" w:name="_Toc23003"/>
      <w:bookmarkStart w:id="307" w:name="_Toc22218"/>
      <w:bookmarkStart w:id="308" w:name="_Toc24783"/>
      <w:bookmarkStart w:id="309" w:name="_Toc20136"/>
      <w:bookmarkStart w:id="310" w:name="_Toc25101"/>
      <w:bookmarkStart w:id="311" w:name="_Toc60824595"/>
      <w:bookmarkStart w:id="312" w:name="_Toc2117364348_WPSOffice_Level1"/>
      <w:bookmarkStart w:id="313" w:name="_Toc164008880"/>
      <w:bookmarkStart w:id="314" w:name="_Toc15795"/>
      <w:bookmarkStart w:id="315" w:name="_Toc25929"/>
      <w:bookmarkStart w:id="316" w:name="_Toc33406561_WPSOffice_Level1"/>
      <w:bookmarkStart w:id="317" w:name="_Toc17578"/>
      <w:bookmarkStart w:id="318" w:name="_Toc15612"/>
      <w:bookmarkStart w:id="319" w:name="_Toc12200"/>
      <w:bookmarkStart w:id="320" w:name="_Toc20818"/>
      <w:bookmarkStart w:id="321" w:name="_Toc17224"/>
      <w:bookmarkStart w:id="322" w:name="_Toc27315"/>
      <w:bookmarkStart w:id="323" w:name="_Toc29068"/>
      <w:bookmarkStart w:id="324" w:name="_Toc176972068"/>
      <w:r>
        <w:rPr>
          <w:rFonts w:ascii="宋体" w:hAnsi="宋体" w:eastAsia="宋体" w:cs="方正小标宋简体"/>
          <w:b/>
          <w:color w:val="auto"/>
          <w:kern w:val="44"/>
          <w:sz w:val="28"/>
          <w:szCs w:val="28"/>
        </w:rPr>
        <w:t>A107041</w:t>
      </w:r>
      <w:r>
        <w:rPr>
          <w:rFonts w:ascii="宋体" w:hAnsi="宋体" w:eastAsia="宋体" w:cs="方正小标宋简体"/>
          <w:b/>
          <w:color w:val="auto"/>
          <w:kern w:val="44"/>
          <w:sz w:val="28"/>
          <w:szCs w:val="28"/>
        </w:rPr>
        <w:tab/>
      </w:r>
      <w:r>
        <w:rPr>
          <w:rFonts w:hint="eastAsia" w:ascii="宋体" w:hAnsi="宋体" w:eastAsia="宋体" w:cs="方正小标宋简体"/>
          <w:b/>
          <w:color w:val="auto"/>
          <w:kern w:val="44"/>
          <w:sz w:val="28"/>
          <w:szCs w:val="28"/>
        </w:rPr>
        <w:t>《高新技术企业优惠情况及明细表》填报说明</w:t>
      </w:r>
      <w:bookmarkEnd w:id="297"/>
      <w:bookmarkEnd w:id="298"/>
      <w:bookmarkEnd w:id="299"/>
    </w:p>
    <w:p>
      <w:pPr>
        <w:spacing w:line="360" w:lineRule="auto"/>
        <w:ind w:firstLine="523" w:firstLineChars="218"/>
        <w:rPr>
          <w:rFonts w:ascii="宋体"/>
          <w:color w:val="auto"/>
          <w:sz w:val="24"/>
        </w:rPr>
      </w:pPr>
      <w:r>
        <w:rPr>
          <w:rFonts w:hint="eastAsia" w:ascii="宋体" w:hAnsi="宋体" w:cs="宋体"/>
          <w:color w:val="auto"/>
          <w:sz w:val="24"/>
        </w:rPr>
        <w:t>本表适用于具备高新技术企业资格的纳税人填报。纳税人根据税法、《科技部</w:t>
      </w:r>
      <w:r>
        <w:rPr>
          <w:rFonts w:ascii="宋体" w:hAnsi="宋体" w:cs="宋体"/>
          <w:color w:val="auto"/>
          <w:sz w:val="24"/>
        </w:rPr>
        <w:t xml:space="preserve"> </w:t>
      </w:r>
      <w:r>
        <w:rPr>
          <w:rFonts w:hint="eastAsia" w:ascii="宋体" w:hAnsi="宋体" w:cs="宋体"/>
          <w:color w:val="auto"/>
          <w:sz w:val="24"/>
        </w:rPr>
        <w:t>财政部</w:t>
      </w:r>
      <w:r>
        <w:rPr>
          <w:rFonts w:ascii="宋体" w:hAnsi="宋体" w:cs="宋体"/>
          <w:color w:val="auto"/>
          <w:sz w:val="24"/>
        </w:rPr>
        <w:t xml:space="preserve"> </w:t>
      </w:r>
      <w:r>
        <w:rPr>
          <w:rFonts w:hint="eastAsia" w:ascii="宋体" w:hAnsi="宋体" w:cs="宋体"/>
          <w:color w:val="auto"/>
          <w:sz w:val="24"/>
        </w:rPr>
        <w:t>国家税务总局关于修订印发〈高新技术企业认定管理办法〉的通知》（国科发火〔</w:t>
      </w:r>
      <w:r>
        <w:rPr>
          <w:rFonts w:ascii="宋体" w:hAnsi="宋体" w:cs="宋体"/>
          <w:color w:val="auto"/>
          <w:sz w:val="24"/>
        </w:rPr>
        <w:t>2016</w:t>
      </w:r>
      <w:r>
        <w:rPr>
          <w:rFonts w:hint="eastAsia" w:ascii="宋体" w:hAnsi="宋体" w:cs="宋体"/>
          <w:color w:val="auto"/>
          <w:sz w:val="24"/>
        </w:rPr>
        <w:t>〕</w:t>
      </w:r>
      <w:r>
        <w:rPr>
          <w:rFonts w:ascii="宋体" w:hAnsi="宋体" w:cs="宋体"/>
          <w:color w:val="auto"/>
          <w:sz w:val="24"/>
        </w:rPr>
        <w:t>32</w:t>
      </w:r>
      <w:r>
        <w:rPr>
          <w:rFonts w:hint="eastAsia" w:ascii="宋体" w:hAnsi="宋体" w:cs="宋体"/>
          <w:color w:val="auto"/>
          <w:sz w:val="24"/>
        </w:rPr>
        <w:t>号）、《科学技术部</w:t>
      </w:r>
      <w:r>
        <w:rPr>
          <w:rFonts w:ascii="宋体" w:hAnsi="宋体" w:cs="宋体"/>
          <w:color w:val="auto"/>
          <w:sz w:val="24"/>
        </w:rPr>
        <w:t xml:space="preserve"> </w:t>
      </w:r>
      <w:r>
        <w:rPr>
          <w:rFonts w:hint="eastAsia" w:ascii="宋体" w:hAnsi="宋体" w:cs="宋体"/>
          <w:color w:val="auto"/>
          <w:sz w:val="24"/>
        </w:rPr>
        <w:t>财政部</w:t>
      </w:r>
      <w:r>
        <w:rPr>
          <w:rFonts w:ascii="宋体" w:hAnsi="宋体" w:cs="宋体"/>
          <w:color w:val="auto"/>
          <w:sz w:val="24"/>
        </w:rPr>
        <w:t xml:space="preserve"> </w:t>
      </w:r>
      <w:r>
        <w:rPr>
          <w:rFonts w:hint="eastAsia" w:ascii="宋体" w:hAnsi="宋体" w:cs="宋体"/>
          <w:color w:val="auto"/>
          <w:sz w:val="24"/>
        </w:rPr>
        <w:t>国家税务总局关于修订印发〈高新技术企业认定管理工作指引〉的通知》（国科发火〔</w:t>
      </w:r>
      <w:r>
        <w:rPr>
          <w:rFonts w:ascii="宋体" w:hAnsi="宋体" w:cs="宋体"/>
          <w:color w:val="auto"/>
          <w:sz w:val="24"/>
        </w:rPr>
        <w:t>2016</w:t>
      </w:r>
      <w:r>
        <w:rPr>
          <w:rFonts w:hint="eastAsia" w:ascii="宋体" w:hAnsi="宋体" w:cs="宋体"/>
          <w:color w:val="auto"/>
          <w:sz w:val="24"/>
        </w:rPr>
        <w:t>〕</w:t>
      </w:r>
      <w:r>
        <w:rPr>
          <w:rFonts w:ascii="宋体" w:hAnsi="宋体" w:cs="宋体"/>
          <w:color w:val="auto"/>
          <w:sz w:val="24"/>
        </w:rPr>
        <w:t>195</w:t>
      </w:r>
      <w:r>
        <w:rPr>
          <w:rFonts w:hint="eastAsia" w:ascii="宋体" w:hAnsi="宋体" w:cs="宋体"/>
          <w:color w:val="auto"/>
          <w:sz w:val="24"/>
        </w:rPr>
        <w:t>号）、《国家税务总局关于实施高新技术企业所得税优惠政策有关问题的公告》（国家税务总局公告</w:t>
      </w:r>
      <w:r>
        <w:rPr>
          <w:rFonts w:ascii="宋体" w:hAnsi="宋体" w:cs="宋体"/>
          <w:color w:val="auto"/>
          <w:sz w:val="24"/>
        </w:rPr>
        <w:t>2017</w:t>
      </w:r>
      <w:r>
        <w:rPr>
          <w:rFonts w:hint="eastAsia" w:ascii="宋体" w:hAnsi="宋体" w:cs="宋体"/>
          <w:color w:val="auto"/>
          <w:sz w:val="24"/>
        </w:rPr>
        <w:t>年第</w:t>
      </w:r>
      <w:r>
        <w:rPr>
          <w:rFonts w:ascii="宋体" w:hAnsi="宋体" w:cs="宋体"/>
          <w:color w:val="auto"/>
          <w:sz w:val="24"/>
        </w:rPr>
        <w:t>24</w:t>
      </w:r>
      <w:r>
        <w:rPr>
          <w:rFonts w:hint="eastAsia" w:ascii="宋体" w:hAnsi="宋体" w:cs="宋体"/>
          <w:color w:val="auto"/>
          <w:sz w:val="24"/>
        </w:rPr>
        <w:t>号）等相关税收政策规定，填报高新技术企业基本信息和本年优惠情况。不论是否享受优惠政策，高新技术企业资格在有效期内的纳税人均需填报本表。</w:t>
      </w:r>
    </w:p>
    <w:p>
      <w:pPr>
        <w:spacing w:before="0" w:beforeLines="0" w:line="360" w:lineRule="auto"/>
        <w:ind w:firstLine="480" w:firstLineChars="200"/>
        <w:jc w:val="left"/>
        <w:outlineLvl w:val="1"/>
        <w:rPr>
          <w:rFonts w:hint="eastAsia" w:ascii="黑体" w:hAnsi="黑体" w:eastAsia="黑体" w:cs="黑体"/>
          <w:b w:val="0"/>
          <w:bCs w:val="0"/>
          <w:color w:val="auto"/>
          <w:sz w:val="24"/>
        </w:rPr>
      </w:pPr>
      <w:r>
        <w:rPr>
          <w:rFonts w:hint="eastAsia" w:ascii="黑体" w:hAnsi="黑体" w:eastAsia="黑体" w:cs="黑体"/>
          <w:b w:val="0"/>
          <w:bCs w:val="0"/>
          <w:color w:val="auto"/>
          <w:sz w:val="24"/>
        </w:rPr>
        <w:t>一、有关项目填报说明</w:t>
      </w:r>
    </w:p>
    <w:p>
      <w:pPr>
        <w:spacing w:line="360" w:lineRule="auto"/>
        <w:ind w:firstLine="523" w:firstLineChars="218"/>
        <w:rPr>
          <w:rFonts w:ascii="Times New Roman" w:hAnsi="Times New Roman" w:eastAsia="宋体" w:cs="Times New Roman"/>
          <w:snapToGrid w:val="0"/>
          <w:color w:val="auto"/>
          <w:kern w:val="0"/>
          <w:sz w:val="24"/>
        </w:rPr>
      </w:pPr>
      <w:r>
        <w:rPr>
          <w:rFonts w:ascii="宋体" w:hAnsi="宋体" w:eastAsia="宋体" w:cs="宋体"/>
          <w:color w:val="auto"/>
          <w:sz w:val="24"/>
        </w:rPr>
        <w:t>1</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1</w:t>
      </w:r>
      <w:r>
        <w:rPr>
          <w:rFonts w:hint="eastAsia" w:ascii="宋体" w:hAnsi="宋体" w:eastAsia="宋体" w:cs="宋体"/>
          <w:color w:val="auto"/>
          <w:sz w:val="24"/>
        </w:rPr>
        <w:t>行至第</w:t>
      </w:r>
      <w:r>
        <w:rPr>
          <w:rFonts w:ascii="宋体" w:hAnsi="宋体" w:eastAsia="宋体" w:cs="宋体"/>
          <w:color w:val="auto"/>
          <w:sz w:val="24"/>
        </w:rPr>
        <w:t>3</w:t>
      </w:r>
      <w:r>
        <w:rPr>
          <w:rFonts w:hint="eastAsia" w:ascii="宋体" w:hAnsi="宋体" w:eastAsia="宋体" w:cs="宋体"/>
          <w:color w:val="auto"/>
          <w:sz w:val="24"/>
        </w:rPr>
        <w:t>行：“企业主要产品（服务）发挥核心支持作用的技术所属范围”：填报对企业主要产品（服务）发挥核心支持作用的技术属于《国家重点支持的高新技术领域》规定的具体范围，填报至三级明细领域，如“一、电子信息技术（一）软件</w:t>
      </w:r>
      <w:r>
        <w:rPr>
          <w:rFonts w:ascii="宋体" w:hAnsi="宋体" w:eastAsia="宋体" w:cs="宋体"/>
          <w:color w:val="auto"/>
          <w:sz w:val="24"/>
        </w:rPr>
        <w:t>1</w:t>
      </w:r>
      <w:r>
        <w:rPr>
          <w:rFonts w:ascii="宋体" w:hAnsi="Times New Roman" w:eastAsia="宋体" w:cs="宋体"/>
          <w:color w:val="auto"/>
          <w:sz w:val="24"/>
        </w:rPr>
        <w:t>.</w:t>
      </w:r>
      <w:r>
        <w:rPr>
          <w:rFonts w:hint="eastAsia" w:ascii="宋体" w:hAnsi="宋体" w:eastAsia="宋体" w:cs="宋体"/>
          <w:color w:val="auto"/>
          <w:sz w:val="24"/>
        </w:rPr>
        <w:t>系统软件”。</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2</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4</w:t>
      </w:r>
      <w:r>
        <w:rPr>
          <w:rFonts w:hint="eastAsia" w:ascii="宋体" w:hAnsi="宋体" w:eastAsia="宋体" w:cs="宋体"/>
          <w:color w:val="auto"/>
          <w:sz w:val="24"/>
        </w:rPr>
        <w:t>行“本年高新技术产品（服务）收入”：填报第</w:t>
      </w:r>
      <w:r>
        <w:rPr>
          <w:rFonts w:ascii="宋体" w:hAnsi="宋体" w:eastAsia="宋体" w:cs="宋体"/>
          <w:color w:val="auto"/>
          <w:sz w:val="24"/>
        </w:rPr>
        <w:t>5+6</w:t>
      </w:r>
      <w:r>
        <w:rPr>
          <w:rFonts w:hint="eastAsia" w:ascii="宋体" w:hAnsi="宋体" w:eastAsia="宋体" w:cs="宋体"/>
          <w:color w:val="auto"/>
          <w:sz w:val="24"/>
        </w:rPr>
        <w:t>行金额。</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3</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5</w:t>
      </w:r>
      <w:r>
        <w:rPr>
          <w:rFonts w:hint="eastAsia" w:ascii="宋体" w:hAnsi="宋体" w:eastAsia="宋体" w:cs="宋体"/>
          <w:color w:val="auto"/>
          <w:sz w:val="24"/>
        </w:rPr>
        <w:t>行“产品（服务）收入”：填报纳税人本年发挥核心支持作用的技术属于《国家重点支持的高新技术领域》规定范围的产品（服务）收入。</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4</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6</w:t>
      </w:r>
      <w:r>
        <w:rPr>
          <w:rFonts w:hint="eastAsia" w:ascii="宋体" w:hAnsi="宋体" w:eastAsia="宋体" w:cs="宋体"/>
          <w:color w:val="auto"/>
          <w:sz w:val="24"/>
        </w:rPr>
        <w:t>行“技术性收入”：包括技术转让收入、技术服务收入和接受委托研究开发收入。</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5</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7</w:t>
      </w:r>
      <w:r>
        <w:rPr>
          <w:rFonts w:hint="eastAsia" w:ascii="宋体" w:hAnsi="宋体" w:eastAsia="宋体" w:cs="宋体"/>
          <w:color w:val="auto"/>
          <w:sz w:val="24"/>
        </w:rPr>
        <w:t>行“本年企业总收入”：填报第</w:t>
      </w:r>
      <w:r>
        <w:rPr>
          <w:rFonts w:ascii="宋体" w:hAnsi="宋体" w:eastAsia="宋体" w:cs="宋体"/>
          <w:color w:val="auto"/>
          <w:sz w:val="24"/>
        </w:rPr>
        <w:t>8-9</w:t>
      </w:r>
      <w:r>
        <w:rPr>
          <w:rFonts w:hint="eastAsia" w:ascii="宋体" w:hAnsi="宋体" w:eastAsia="宋体" w:cs="宋体"/>
          <w:color w:val="auto"/>
          <w:sz w:val="24"/>
        </w:rPr>
        <w:t>行金额。</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6</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8</w:t>
      </w:r>
      <w:r>
        <w:rPr>
          <w:rFonts w:hint="eastAsia" w:ascii="宋体" w:hAnsi="宋体" w:eastAsia="宋体" w:cs="宋体"/>
          <w:color w:val="auto"/>
          <w:sz w:val="24"/>
        </w:rPr>
        <w:t>行“收入总额”：填报纳税人本年以货币形式和非货币形式从各种来源取得的收入总额。包括：销售货物收入，提供劳务收入，转让财产收入，股息、红利等权益性投资收益，利息收入，租金收入，特许权使用费收入，接受捐赠收入，其他收入。</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7</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9</w:t>
      </w:r>
      <w:r>
        <w:rPr>
          <w:rFonts w:hint="eastAsia" w:ascii="宋体" w:hAnsi="宋体" w:eastAsia="宋体" w:cs="宋体"/>
          <w:color w:val="auto"/>
          <w:sz w:val="24"/>
        </w:rPr>
        <w:t>行“不征税收入”：填报纳税人本年符合相关政策规定的不征税收入。</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8</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10</w:t>
      </w:r>
      <w:r>
        <w:rPr>
          <w:rFonts w:hint="eastAsia" w:ascii="宋体" w:hAnsi="宋体" w:eastAsia="宋体" w:cs="宋体"/>
          <w:color w:val="auto"/>
          <w:sz w:val="24"/>
        </w:rPr>
        <w:t>行“本年高新技术产品（服务）收入占企业总收入的比例”：填报第</w:t>
      </w:r>
      <w:r>
        <w:rPr>
          <w:rFonts w:ascii="宋体" w:hAnsi="宋体" w:eastAsia="宋体" w:cs="宋体"/>
          <w:color w:val="auto"/>
          <w:sz w:val="24"/>
        </w:rPr>
        <w:t>4</w:t>
      </w:r>
      <w:r>
        <w:rPr>
          <w:rFonts w:hint="eastAsia" w:ascii="宋体" w:hAnsi="宋体" w:eastAsia="宋体" w:cs="宋体"/>
          <w:color w:val="auto"/>
          <w:sz w:val="24"/>
        </w:rPr>
        <w:t>÷</w:t>
      </w:r>
      <w:r>
        <w:rPr>
          <w:rFonts w:ascii="宋体" w:hAnsi="宋体" w:eastAsia="宋体" w:cs="宋体"/>
          <w:color w:val="auto"/>
          <w:sz w:val="24"/>
        </w:rPr>
        <w:t>7</w:t>
      </w:r>
      <w:r>
        <w:rPr>
          <w:rFonts w:hint="eastAsia" w:ascii="宋体" w:hAnsi="宋体" w:eastAsia="宋体" w:cs="宋体"/>
          <w:color w:val="auto"/>
          <w:sz w:val="24"/>
        </w:rPr>
        <w:t>行计算后的比例。</w:t>
      </w:r>
    </w:p>
    <w:p>
      <w:pPr>
        <w:spacing w:line="360" w:lineRule="auto"/>
        <w:ind w:firstLine="523" w:firstLineChars="218"/>
        <w:jc w:val="left"/>
        <w:rPr>
          <w:rFonts w:ascii="宋体" w:hAnsi="Times New Roman" w:eastAsia="宋体" w:cs="Times New Roman"/>
          <w:color w:val="auto"/>
          <w:sz w:val="24"/>
        </w:rPr>
      </w:pPr>
      <w:r>
        <w:rPr>
          <w:rFonts w:ascii="宋体" w:hAnsi="宋体" w:eastAsia="宋体" w:cs="宋体"/>
          <w:color w:val="auto"/>
          <w:sz w:val="24"/>
        </w:rPr>
        <w:t>9</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11</w:t>
      </w:r>
      <w:r>
        <w:rPr>
          <w:rFonts w:hint="eastAsia" w:ascii="宋体" w:hAnsi="宋体" w:eastAsia="宋体" w:cs="宋体"/>
          <w:color w:val="auto"/>
          <w:sz w:val="24"/>
        </w:rPr>
        <w:t>行“本年科技人员数”：填报纳税人直接从事研发和相关技术创新活动，以及专门从事上述活动的管理和提供直接技术服务的，累计实际工作时间在</w:t>
      </w:r>
      <w:r>
        <w:rPr>
          <w:rFonts w:ascii="宋体" w:hAnsi="宋体" w:eastAsia="宋体" w:cs="宋体"/>
          <w:color w:val="auto"/>
          <w:sz w:val="24"/>
        </w:rPr>
        <w:t>183</w:t>
      </w:r>
      <w:r>
        <w:rPr>
          <w:rFonts w:hint="eastAsia" w:ascii="宋体" w:hAnsi="宋体" w:eastAsia="宋体" w:cs="宋体"/>
          <w:color w:val="auto"/>
          <w:sz w:val="24"/>
        </w:rPr>
        <w:t>天以上的人员，包括在职、兼职和临时聘用人员。</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1</w:t>
      </w:r>
      <w:r>
        <w:rPr>
          <w:rFonts w:ascii="宋体" w:hAnsi="Times New Roman" w:eastAsia="宋体" w:cs="宋体"/>
          <w:color w:val="auto"/>
          <w:sz w:val="24"/>
        </w:rPr>
        <w:t>0.</w:t>
      </w:r>
      <w:r>
        <w:rPr>
          <w:rFonts w:hint="eastAsia" w:ascii="宋体" w:hAnsi="宋体" w:eastAsia="宋体" w:cs="宋体"/>
          <w:color w:val="auto"/>
          <w:sz w:val="24"/>
        </w:rPr>
        <w:t>第</w:t>
      </w:r>
      <w:r>
        <w:rPr>
          <w:rFonts w:ascii="宋体" w:hAnsi="宋体" w:eastAsia="宋体" w:cs="宋体"/>
          <w:color w:val="auto"/>
          <w:sz w:val="24"/>
        </w:rPr>
        <w:t>12</w:t>
      </w:r>
      <w:r>
        <w:rPr>
          <w:rFonts w:hint="eastAsia" w:ascii="宋体" w:hAnsi="宋体" w:eastAsia="宋体" w:cs="宋体"/>
          <w:color w:val="auto"/>
          <w:sz w:val="24"/>
        </w:rPr>
        <w:t>行“本年职工总数”：填报纳税人本年在职、兼职和临时聘用人员。在职人员可以通过企业是否签订劳动合同或缴纳社会保险费来判断。兼职、临时聘用人员全年须在企业累计工作</w:t>
      </w:r>
      <w:r>
        <w:rPr>
          <w:rFonts w:ascii="宋体" w:hAnsi="宋体" w:eastAsia="宋体" w:cs="宋体"/>
          <w:color w:val="auto"/>
          <w:sz w:val="24"/>
        </w:rPr>
        <w:t>183</w:t>
      </w:r>
      <w:r>
        <w:rPr>
          <w:rFonts w:hint="eastAsia" w:ascii="宋体" w:hAnsi="宋体" w:eastAsia="宋体" w:cs="宋体"/>
          <w:color w:val="auto"/>
          <w:sz w:val="24"/>
        </w:rPr>
        <w:t>天以上。</w:t>
      </w:r>
    </w:p>
    <w:p>
      <w:pPr>
        <w:spacing w:line="360" w:lineRule="auto"/>
        <w:ind w:firstLine="523" w:firstLineChars="218"/>
        <w:jc w:val="left"/>
        <w:rPr>
          <w:rFonts w:ascii="宋体" w:hAnsi="Times New Roman" w:eastAsia="宋体" w:cs="Times New Roman"/>
          <w:color w:val="auto"/>
          <w:sz w:val="24"/>
        </w:rPr>
      </w:pPr>
      <w:r>
        <w:rPr>
          <w:rFonts w:ascii="宋体" w:hAnsi="宋体" w:eastAsia="宋体" w:cs="宋体"/>
          <w:color w:val="auto"/>
          <w:sz w:val="24"/>
        </w:rPr>
        <w:t>11</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13</w:t>
      </w:r>
      <w:r>
        <w:rPr>
          <w:rFonts w:hint="eastAsia" w:ascii="宋体" w:hAnsi="宋体" w:eastAsia="宋体" w:cs="宋体"/>
          <w:color w:val="auto"/>
          <w:sz w:val="24"/>
        </w:rPr>
        <w:t>行“本年科技人员占企业当年职工总数的比例”：填报第</w:t>
      </w:r>
      <w:r>
        <w:rPr>
          <w:rFonts w:ascii="宋体" w:hAnsi="宋体" w:eastAsia="宋体" w:cs="宋体"/>
          <w:color w:val="auto"/>
          <w:sz w:val="24"/>
        </w:rPr>
        <w:t>11</w:t>
      </w:r>
      <w:r>
        <w:rPr>
          <w:rFonts w:hint="eastAsia" w:ascii="宋体" w:hAnsi="宋体" w:eastAsia="宋体" w:cs="宋体"/>
          <w:color w:val="auto"/>
          <w:sz w:val="24"/>
        </w:rPr>
        <w:t>÷</w:t>
      </w:r>
      <w:r>
        <w:rPr>
          <w:rFonts w:ascii="宋体" w:hAnsi="宋体" w:eastAsia="宋体" w:cs="宋体"/>
          <w:color w:val="auto"/>
          <w:sz w:val="24"/>
        </w:rPr>
        <w:t>12</w:t>
      </w:r>
      <w:r>
        <w:rPr>
          <w:rFonts w:hint="eastAsia" w:ascii="宋体" w:hAnsi="宋体" w:eastAsia="宋体" w:cs="宋体"/>
          <w:color w:val="auto"/>
          <w:sz w:val="24"/>
        </w:rPr>
        <w:t>行的比例。</w:t>
      </w:r>
    </w:p>
    <w:p>
      <w:pPr>
        <w:spacing w:line="360" w:lineRule="auto"/>
        <w:ind w:firstLine="523" w:firstLineChars="218"/>
        <w:jc w:val="left"/>
        <w:rPr>
          <w:rFonts w:hint="eastAsia" w:ascii="宋体" w:hAnsi="宋体" w:eastAsia="宋体" w:cs="宋体"/>
          <w:color w:val="auto"/>
          <w:sz w:val="24"/>
        </w:rPr>
      </w:pPr>
      <w:r>
        <w:rPr>
          <w:rFonts w:ascii="宋体" w:hAnsi="宋体" w:eastAsia="宋体" w:cs="宋体"/>
          <w:color w:val="auto"/>
          <w:sz w:val="24"/>
        </w:rPr>
        <w:t>12</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14</w:t>
      </w:r>
      <w:r>
        <w:rPr>
          <w:rFonts w:hint="eastAsia" w:ascii="宋体" w:hAnsi="宋体" w:eastAsia="宋体" w:cs="宋体"/>
          <w:color w:val="auto"/>
          <w:sz w:val="24"/>
        </w:rPr>
        <w:t>行“高新研发费用归集年度”：本行无填报事项。</w:t>
      </w:r>
    </w:p>
    <w:p>
      <w:pPr>
        <w:spacing w:line="360" w:lineRule="auto"/>
        <w:ind w:firstLine="523" w:firstLineChars="218"/>
        <w:jc w:val="left"/>
        <w:rPr>
          <w:rFonts w:ascii="宋体" w:hAnsi="Times New Roman" w:eastAsia="宋体" w:cs="Times New Roman"/>
          <w:color w:val="auto"/>
          <w:sz w:val="24"/>
        </w:rPr>
      </w:pPr>
      <w:r>
        <w:rPr>
          <w:rFonts w:hint="eastAsia" w:ascii="宋体" w:hAnsi="宋体" w:eastAsia="宋体" w:cs="宋体"/>
          <w:color w:val="auto"/>
          <w:sz w:val="24"/>
        </w:rPr>
        <w:t>与计算研发费比例相关的第</w:t>
      </w:r>
      <w:r>
        <w:rPr>
          <w:rFonts w:ascii="宋体" w:hAnsi="宋体" w:eastAsia="宋体" w:cs="宋体"/>
          <w:color w:val="auto"/>
          <w:sz w:val="24"/>
        </w:rPr>
        <w:t>15</w:t>
      </w:r>
      <w:r>
        <w:rPr>
          <w:rFonts w:hint="eastAsia" w:ascii="宋体" w:hAnsi="宋体" w:eastAsia="宋体" w:cs="宋体"/>
          <w:color w:val="auto"/>
          <w:sz w:val="24"/>
        </w:rPr>
        <w:t>行至第</w:t>
      </w:r>
      <w:r>
        <w:rPr>
          <w:rFonts w:ascii="宋体" w:hAnsi="宋体" w:eastAsia="宋体" w:cs="宋体"/>
          <w:color w:val="auto"/>
          <w:sz w:val="24"/>
        </w:rPr>
        <w:t>29</w:t>
      </w:r>
      <w:r>
        <w:rPr>
          <w:rFonts w:hint="eastAsia" w:ascii="宋体" w:hAnsi="宋体" w:eastAsia="宋体" w:cs="宋体"/>
          <w:color w:val="auto"/>
          <w:sz w:val="24"/>
        </w:rPr>
        <w:t>行需填报三年数据，实际经营不满三年的按实际经营时间填报。</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13</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15</w:t>
      </w:r>
      <w:r>
        <w:rPr>
          <w:rFonts w:hint="eastAsia" w:ascii="宋体" w:hAnsi="宋体" w:eastAsia="宋体" w:cs="宋体"/>
          <w:color w:val="auto"/>
          <w:sz w:val="24"/>
        </w:rPr>
        <w:t>行“本年归集的高新研发费用金额”：填报第</w:t>
      </w:r>
      <w:r>
        <w:rPr>
          <w:rFonts w:ascii="宋体" w:hAnsi="宋体" w:eastAsia="宋体" w:cs="宋体"/>
          <w:color w:val="auto"/>
          <w:sz w:val="24"/>
        </w:rPr>
        <w:t>16+25</w:t>
      </w:r>
      <w:r>
        <w:rPr>
          <w:rFonts w:hint="eastAsia" w:ascii="宋体" w:hAnsi="宋体" w:eastAsia="宋体" w:cs="宋体"/>
          <w:color w:val="auto"/>
          <w:sz w:val="24"/>
        </w:rPr>
        <w:t>行金额。</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14</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16</w:t>
      </w:r>
      <w:r>
        <w:rPr>
          <w:rFonts w:hint="eastAsia" w:ascii="宋体" w:hAnsi="宋体" w:eastAsia="宋体" w:cs="宋体"/>
          <w:color w:val="auto"/>
          <w:sz w:val="24"/>
        </w:rPr>
        <w:t>行“内部研究开发投入”：填报第</w:t>
      </w:r>
      <w:r>
        <w:rPr>
          <w:rFonts w:ascii="宋体" w:hAnsi="宋体" w:eastAsia="宋体" w:cs="宋体"/>
          <w:color w:val="auto"/>
          <w:sz w:val="24"/>
        </w:rPr>
        <w:t>17+18+19+20+21+22+24</w:t>
      </w:r>
      <w:r>
        <w:rPr>
          <w:rFonts w:hint="eastAsia" w:ascii="宋体" w:hAnsi="宋体" w:eastAsia="宋体" w:cs="宋体"/>
          <w:color w:val="auto"/>
          <w:sz w:val="24"/>
        </w:rPr>
        <w:t>行金额。</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15</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17</w:t>
      </w:r>
      <w:r>
        <w:rPr>
          <w:rFonts w:hint="eastAsia" w:ascii="宋体" w:hAnsi="宋体" w:eastAsia="宋体" w:cs="宋体"/>
          <w:color w:val="auto"/>
          <w:sz w:val="24"/>
        </w:rPr>
        <w:t>行“人员人工费用”：填报纳税人科技人员的工资薪金、基本养老保险费、基本医疗保险费、失业保险费、工伤保险费、生育保险费和住房公积金，以及外聘科技人员的劳务费用。</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16</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18</w:t>
      </w:r>
      <w:r>
        <w:rPr>
          <w:rFonts w:hint="eastAsia" w:ascii="宋体" w:hAnsi="宋体" w:eastAsia="宋体" w:cs="宋体"/>
          <w:color w:val="auto"/>
          <w:sz w:val="24"/>
        </w:rPr>
        <w:t>行“直接投入费用”：填报纳税人为实施研究开发活动而实际发生的相关支出。包括：直接消耗的材料、燃料和动力费用；用于中间试验和产品试制的模具、工艺装备开发及制造费，不构成固定资产的样品、样机及一般测试手段购置费，试制产品的检验费；用于研究开发活动的仪器、设备的运行维护、调整、检验、检测、维修等费用，以及通过经营租赁方式租入的用于研发活动的固定资产租赁费。</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17</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19</w:t>
      </w:r>
      <w:r>
        <w:rPr>
          <w:rFonts w:hint="eastAsia" w:ascii="宋体" w:hAnsi="宋体" w:eastAsia="宋体" w:cs="宋体"/>
          <w:color w:val="auto"/>
          <w:sz w:val="24"/>
        </w:rPr>
        <w:t>行“折旧费用与长期待摊费用”：填报纳税人用于研究开发活动的仪器、设备和在用建筑物的折旧费；研发设施的改建、改装、装修和修理过程中发生的长期待摊费用。</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18</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20</w:t>
      </w:r>
      <w:r>
        <w:rPr>
          <w:rFonts w:hint="eastAsia" w:ascii="宋体" w:hAnsi="宋体" w:eastAsia="宋体" w:cs="宋体"/>
          <w:color w:val="auto"/>
          <w:sz w:val="24"/>
        </w:rPr>
        <w:t>行“无形资产摊销费用”：填报纳税人用于研究开发活动的软件、知识产权、非专利技术（专有技术、许可证、设计和计算方法等）的摊销费用。</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19</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21</w:t>
      </w:r>
      <w:r>
        <w:rPr>
          <w:rFonts w:hint="eastAsia" w:ascii="宋体" w:hAnsi="宋体" w:eastAsia="宋体" w:cs="宋体"/>
          <w:color w:val="auto"/>
          <w:sz w:val="24"/>
        </w:rPr>
        <w:t>行“设计费用”：填报纳税人为新产品和新工艺进行构思、开发和制造，进行工序、技术规范、规程制定、操作特性方面的设计等发生的费用，包括为获得创新性、创意性、突破性产品进行的创意设计活动发生的相关费用。</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2</w:t>
      </w:r>
      <w:r>
        <w:rPr>
          <w:rFonts w:ascii="宋体" w:hAnsi="Times New Roman" w:eastAsia="宋体" w:cs="宋体"/>
          <w:color w:val="auto"/>
          <w:sz w:val="24"/>
        </w:rPr>
        <w:t>0.</w:t>
      </w:r>
      <w:r>
        <w:rPr>
          <w:rFonts w:hint="eastAsia" w:ascii="宋体" w:hAnsi="宋体" w:eastAsia="宋体" w:cs="宋体"/>
          <w:color w:val="auto"/>
          <w:sz w:val="24"/>
        </w:rPr>
        <w:t>第</w:t>
      </w:r>
      <w:r>
        <w:rPr>
          <w:rFonts w:ascii="宋体" w:hAnsi="宋体" w:eastAsia="宋体" w:cs="宋体"/>
          <w:color w:val="auto"/>
          <w:sz w:val="24"/>
        </w:rPr>
        <w:t>22</w:t>
      </w:r>
      <w:r>
        <w:rPr>
          <w:rFonts w:hint="eastAsia" w:ascii="宋体" w:hAnsi="宋体" w:eastAsia="宋体" w:cs="宋体"/>
          <w:color w:val="auto"/>
          <w:sz w:val="24"/>
        </w:rPr>
        <w:t>行“装备调试费与实验费用”：填报纳税人工装准备过程中研究开发活动所发生的费用，包括研制特殊、专用的生产机器，改变生产和质量控制程序，或制定新方法及标准等活动所发生的费用。</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21</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23</w:t>
      </w:r>
      <w:r>
        <w:rPr>
          <w:rFonts w:hint="eastAsia" w:ascii="宋体" w:hAnsi="宋体" w:eastAsia="宋体" w:cs="宋体"/>
          <w:color w:val="auto"/>
          <w:sz w:val="24"/>
        </w:rPr>
        <w:t>行“其他费用”：填报纳税人与研究开发活动直接相关的其他费用，包括技术图书资料费、资料翻译费、专家咨询费、高新科技研发保险费，研发成果的检索、论证、评审、鉴定、验收费用，知识产权的申请费、注册费、代理费，会议费、差旅费、通讯费等。</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22</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24</w:t>
      </w:r>
      <w:r>
        <w:rPr>
          <w:rFonts w:hint="eastAsia" w:ascii="宋体" w:hAnsi="宋体" w:eastAsia="宋体" w:cs="宋体"/>
          <w:color w:val="auto"/>
          <w:sz w:val="24"/>
        </w:rPr>
        <w:t>行“可计入研发费用的其他费用”：填报</w:t>
      </w:r>
      <w:r>
        <w:rPr>
          <w:rFonts w:hint="eastAsia" w:ascii="Times New Roman" w:hAnsi="Times New Roman" w:eastAsia="宋体" w:cs="宋体"/>
          <w:color w:val="auto"/>
          <w:sz w:val="24"/>
        </w:rPr>
        <w:t>纳税人为研究开发活动所发生的</w:t>
      </w:r>
      <w:r>
        <w:rPr>
          <w:rFonts w:hint="eastAsia" w:ascii="宋体" w:hAnsi="宋体" w:eastAsia="宋体" w:cs="宋体"/>
          <w:color w:val="auto"/>
          <w:sz w:val="24"/>
        </w:rPr>
        <w:t>其他费用中不超过研究开发总费用的</w:t>
      </w:r>
      <w:r>
        <w:rPr>
          <w:rFonts w:ascii="宋体" w:hAnsi="宋体" w:eastAsia="宋体" w:cs="宋体"/>
          <w:color w:val="auto"/>
          <w:sz w:val="24"/>
        </w:rPr>
        <w:t>20%</w:t>
      </w:r>
      <w:r>
        <w:rPr>
          <w:rFonts w:hint="eastAsia" w:ascii="宋体" w:hAnsi="宋体" w:eastAsia="宋体" w:cs="宋体"/>
          <w:color w:val="auto"/>
          <w:sz w:val="24"/>
        </w:rPr>
        <w:t>的金额，按第</w:t>
      </w:r>
      <w:r>
        <w:rPr>
          <w:rFonts w:ascii="宋体" w:hAnsi="宋体" w:eastAsia="宋体" w:cs="宋体"/>
          <w:color w:val="auto"/>
          <w:sz w:val="24"/>
        </w:rPr>
        <w:t>17</w:t>
      </w:r>
      <w:r>
        <w:rPr>
          <w:rFonts w:hint="eastAsia" w:ascii="宋体" w:hAnsi="宋体" w:eastAsia="宋体" w:cs="宋体"/>
          <w:color w:val="auto"/>
          <w:sz w:val="24"/>
        </w:rPr>
        <w:t>行至第</w:t>
      </w:r>
      <w:r>
        <w:rPr>
          <w:rFonts w:ascii="宋体" w:hAnsi="宋体" w:eastAsia="宋体" w:cs="宋体"/>
          <w:color w:val="auto"/>
          <w:sz w:val="24"/>
        </w:rPr>
        <w:t>22</w:t>
      </w:r>
      <w:r>
        <w:rPr>
          <w:rFonts w:hint="eastAsia" w:ascii="宋体" w:hAnsi="宋体" w:eastAsia="宋体" w:cs="宋体"/>
          <w:color w:val="auto"/>
          <w:sz w:val="24"/>
        </w:rPr>
        <w:t>行之和×</w:t>
      </w:r>
      <w:r>
        <w:rPr>
          <w:rFonts w:ascii="宋体" w:hAnsi="宋体" w:eastAsia="宋体" w:cs="宋体"/>
          <w:color w:val="auto"/>
          <w:sz w:val="24"/>
        </w:rPr>
        <w:t>20%</w:t>
      </w:r>
      <w:r>
        <w:rPr>
          <w:rFonts w:hint="eastAsia" w:ascii="宋体" w:hAnsi="宋体" w:eastAsia="宋体" w:cs="宋体"/>
          <w:color w:val="auto"/>
          <w:sz w:val="24"/>
        </w:rPr>
        <w:t>÷</w:t>
      </w:r>
      <w:r>
        <w:rPr>
          <w:rFonts w:ascii="宋体" w:hAnsi="宋体" w:eastAsia="宋体" w:cs="宋体"/>
          <w:color w:val="auto"/>
          <w:sz w:val="24"/>
        </w:rPr>
        <w:t>(1-20%)</w:t>
      </w:r>
      <w:r>
        <w:rPr>
          <w:rFonts w:hint="eastAsia" w:ascii="宋体" w:hAnsi="宋体" w:eastAsia="宋体" w:cs="宋体"/>
          <w:color w:val="auto"/>
          <w:sz w:val="24"/>
        </w:rPr>
        <w:t>与第</w:t>
      </w:r>
      <w:r>
        <w:rPr>
          <w:rFonts w:ascii="宋体" w:hAnsi="宋体" w:eastAsia="宋体" w:cs="宋体"/>
          <w:color w:val="auto"/>
          <w:sz w:val="24"/>
        </w:rPr>
        <w:t>23</w:t>
      </w:r>
      <w:r>
        <w:rPr>
          <w:rFonts w:hint="eastAsia" w:ascii="宋体" w:hAnsi="宋体" w:eastAsia="宋体" w:cs="宋体"/>
          <w:color w:val="auto"/>
          <w:sz w:val="24"/>
        </w:rPr>
        <w:t>行的孰小值填报。</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23</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25</w:t>
      </w:r>
      <w:r>
        <w:rPr>
          <w:rFonts w:hint="eastAsia" w:ascii="宋体" w:hAnsi="宋体" w:eastAsia="宋体" w:cs="宋体"/>
          <w:color w:val="auto"/>
          <w:sz w:val="24"/>
        </w:rPr>
        <w:t>行“委托外部研发费用”：填报纳税人委托境内外其他机构或个人进行研究开发活动所发生的费用（研究开发活动成果为委托方企业拥有，且与该企业的主要经营业务紧密相关）。委托外部研发费用的实际发生额应按照独立交易原则确定，实际发生额的</w:t>
      </w:r>
      <w:r>
        <w:rPr>
          <w:rFonts w:ascii="宋体" w:hAnsi="宋体" w:eastAsia="宋体" w:cs="宋体"/>
          <w:color w:val="auto"/>
          <w:sz w:val="24"/>
        </w:rPr>
        <w:t>80%</w:t>
      </w:r>
      <w:r>
        <w:rPr>
          <w:rFonts w:hint="eastAsia" w:ascii="宋体" w:hAnsi="宋体" w:eastAsia="宋体" w:cs="宋体"/>
          <w:color w:val="auto"/>
          <w:sz w:val="24"/>
        </w:rPr>
        <w:t>可计入委托方研发费用总额。本行填报（第</w:t>
      </w:r>
      <w:r>
        <w:rPr>
          <w:rFonts w:ascii="宋体" w:hAnsi="宋体" w:eastAsia="宋体" w:cs="宋体"/>
          <w:color w:val="auto"/>
          <w:sz w:val="24"/>
        </w:rPr>
        <w:t>26+28</w:t>
      </w:r>
      <w:r>
        <w:rPr>
          <w:rFonts w:hint="eastAsia" w:ascii="宋体" w:hAnsi="宋体" w:eastAsia="宋体" w:cs="宋体"/>
          <w:color w:val="auto"/>
          <w:sz w:val="24"/>
        </w:rPr>
        <w:t>行）×</w:t>
      </w:r>
      <w:r>
        <w:rPr>
          <w:rFonts w:ascii="宋体" w:hAnsi="宋体" w:eastAsia="宋体" w:cs="宋体"/>
          <w:color w:val="auto"/>
          <w:sz w:val="24"/>
        </w:rPr>
        <w:t>80%</w:t>
      </w:r>
      <w:r>
        <w:rPr>
          <w:rFonts w:hint="eastAsia" w:ascii="宋体" w:hAnsi="宋体" w:eastAsia="宋体" w:cs="宋体"/>
          <w:color w:val="auto"/>
          <w:sz w:val="24"/>
        </w:rPr>
        <w:t>的金额。</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24</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26</w:t>
      </w:r>
      <w:r>
        <w:rPr>
          <w:rFonts w:hint="eastAsia" w:ascii="宋体" w:hAnsi="宋体" w:eastAsia="宋体" w:cs="宋体"/>
          <w:color w:val="auto"/>
          <w:sz w:val="24"/>
        </w:rPr>
        <w:t>行“境内的外部研发费用”：填报纳税人委托境内其他机构或个人进行的研究开发活动所支出的费用。本行填报实际发生境内的外部研发费用。</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25</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27</w:t>
      </w:r>
      <w:r>
        <w:rPr>
          <w:rFonts w:hint="eastAsia" w:ascii="宋体" w:hAnsi="宋体" w:eastAsia="宋体" w:cs="宋体"/>
          <w:color w:val="auto"/>
          <w:sz w:val="24"/>
        </w:rPr>
        <w:t>行“境外的外部研发费用”：填报纳税人委托境外机构或个人完成的研究开发活动所发生的费用。受托研发的境外机构是指依照外国</w:t>
      </w:r>
      <w:r>
        <w:rPr>
          <w:rFonts w:ascii="宋体" w:hAnsi="宋体" w:eastAsia="宋体" w:cs="宋体"/>
          <w:color w:val="auto"/>
          <w:sz w:val="24"/>
        </w:rPr>
        <w:t>(</w:t>
      </w:r>
      <w:r>
        <w:rPr>
          <w:rFonts w:hint="eastAsia" w:ascii="宋体" w:hAnsi="宋体" w:eastAsia="宋体" w:cs="宋体"/>
          <w:color w:val="auto"/>
          <w:sz w:val="24"/>
        </w:rPr>
        <w:t>地区</w:t>
      </w:r>
      <w:r>
        <w:rPr>
          <w:rFonts w:ascii="宋体" w:hAnsi="宋体" w:eastAsia="宋体" w:cs="宋体"/>
          <w:color w:val="auto"/>
          <w:sz w:val="24"/>
        </w:rPr>
        <w:t>)</w:t>
      </w:r>
      <w:r>
        <w:rPr>
          <w:rFonts w:hint="eastAsia" w:ascii="宋体" w:hAnsi="宋体" w:eastAsia="宋体" w:cs="宋体"/>
          <w:color w:val="auto"/>
          <w:sz w:val="24"/>
        </w:rPr>
        <w:t>及港澳台法律成立的企业和其他取得收入的组织；受托研发的境外个人是指外籍及港澳台个人。本行填报实际发生境外的外部研发费用。</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26</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28</w:t>
      </w:r>
      <w:r>
        <w:rPr>
          <w:rFonts w:hint="eastAsia" w:ascii="宋体" w:hAnsi="宋体" w:eastAsia="宋体" w:cs="宋体"/>
          <w:color w:val="auto"/>
          <w:sz w:val="24"/>
        </w:rPr>
        <w:t>行“可计入研发费用的境外的外部研发费用”：根据《高新技术企业认定管理办法》等规定，纳税人在中国境内发生的研发费用总额占全部研发费用总额的比例不低于</w:t>
      </w:r>
      <w:r>
        <w:rPr>
          <w:rFonts w:ascii="宋体" w:hAnsi="宋体" w:eastAsia="宋体" w:cs="宋体"/>
          <w:color w:val="auto"/>
          <w:sz w:val="24"/>
        </w:rPr>
        <w:t>60%</w:t>
      </w:r>
      <w:r>
        <w:rPr>
          <w:rFonts w:hint="eastAsia" w:ascii="宋体" w:hAnsi="宋体" w:eastAsia="宋体" w:cs="宋体"/>
          <w:color w:val="auto"/>
          <w:sz w:val="24"/>
        </w:rPr>
        <w:t>，即境外发生的研发费用总额占全部研发费用总额的比例不超过</w:t>
      </w:r>
      <w:r>
        <w:rPr>
          <w:rFonts w:ascii="宋体" w:hAnsi="宋体" w:eastAsia="宋体" w:cs="宋体"/>
          <w:color w:val="auto"/>
          <w:sz w:val="24"/>
        </w:rPr>
        <w:t>40%</w:t>
      </w:r>
      <w:r>
        <w:rPr>
          <w:rFonts w:hint="eastAsia" w:ascii="宋体" w:hAnsi="宋体" w:eastAsia="宋体" w:cs="宋体"/>
          <w:color w:val="auto"/>
          <w:sz w:val="24"/>
        </w:rPr>
        <w:t>。本行填报（第</w:t>
      </w:r>
      <w:r>
        <w:rPr>
          <w:rFonts w:ascii="宋体" w:hAnsi="宋体" w:eastAsia="宋体" w:cs="宋体"/>
          <w:color w:val="auto"/>
          <w:sz w:val="24"/>
        </w:rPr>
        <w:t>17+18+</w:t>
      </w:r>
      <w:r>
        <w:rPr>
          <w:rFonts w:hint="eastAsia" w:ascii="宋体" w:hAnsi="宋体" w:eastAsia="宋体" w:cs="宋体"/>
          <w:color w:val="auto"/>
          <w:sz w:val="24"/>
        </w:rPr>
        <w:t>…</w:t>
      </w:r>
      <w:r>
        <w:rPr>
          <w:rFonts w:ascii="宋体" w:hAnsi="宋体" w:eastAsia="宋体" w:cs="宋体"/>
          <w:color w:val="auto"/>
          <w:sz w:val="24"/>
        </w:rPr>
        <w:t>+22+23+26</w:t>
      </w:r>
      <w:r>
        <w:rPr>
          <w:rFonts w:hint="eastAsia" w:ascii="宋体" w:hAnsi="宋体" w:eastAsia="宋体" w:cs="宋体"/>
          <w:color w:val="auto"/>
          <w:sz w:val="24"/>
        </w:rPr>
        <w:t>行）×</w:t>
      </w:r>
      <w:r>
        <w:rPr>
          <w:rFonts w:ascii="宋体" w:hAnsi="宋体" w:eastAsia="宋体" w:cs="宋体"/>
          <w:color w:val="auto"/>
          <w:sz w:val="24"/>
        </w:rPr>
        <w:t>40%</w:t>
      </w:r>
      <w:r>
        <w:rPr>
          <w:rFonts w:hint="eastAsia" w:ascii="宋体" w:hAnsi="宋体" w:eastAsia="宋体" w:cs="宋体"/>
          <w:color w:val="auto"/>
          <w:sz w:val="24"/>
        </w:rPr>
        <w:t>÷</w:t>
      </w:r>
      <w:r>
        <w:rPr>
          <w:rFonts w:ascii="宋体" w:hAnsi="宋体" w:eastAsia="宋体" w:cs="宋体"/>
          <w:color w:val="auto"/>
          <w:sz w:val="24"/>
        </w:rPr>
        <w:t>(1-40%)</w:t>
      </w:r>
      <w:r>
        <w:rPr>
          <w:rFonts w:hint="eastAsia" w:ascii="宋体" w:hAnsi="宋体" w:eastAsia="宋体" w:cs="宋体"/>
          <w:color w:val="auto"/>
          <w:sz w:val="24"/>
        </w:rPr>
        <w:t>与第</w:t>
      </w:r>
      <w:r>
        <w:rPr>
          <w:rFonts w:ascii="宋体" w:hAnsi="宋体" w:eastAsia="宋体" w:cs="宋体"/>
          <w:color w:val="auto"/>
          <w:sz w:val="24"/>
        </w:rPr>
        <w:t>27</w:t>
      </w:r>
      <w:r>
        <w:rPr>
          <w:rFonts w:hint="eastAsia" w:ascii="宋体" w:hAnsi="宋体" w:eastAsia="宋体" w:cs="宋体"/>
          <w:color w:val="auto"/>
          <w:sz w:val="24"/>
        </w:rPr>
        <w:t>行的孰小值。</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27</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29</w:t>
      </w:r>
      <w:r>
        <w:rPr>
          <w:rFonts w:hint="eastAsia" w:ascii="宋体" w:hAnsi="宋体" w:eastAsia="宋体" w:cs="宋体"/>
          <w:color w:val="auto"/>
          <w:sz w:val="24"/>
        </w:rPr>
        <w:t>行“销售（营业）收入”：填报纳税人主营业务收入与其他业务收入之和。</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28</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30</w:t>
      </w:r>
      <w:r>
        <w:rPr>
          <w:rFonts w:hint="eastAsia" w:ascii="宋体" w:hAnsi="宋体" w:eastAsia="宋体" w:cs="宋体"/>
          <w:color w:val="auto"/>
          <w:sz w:val="24"/>
        </w:rPr>
        <w:t>行“三年研发费用占销售（营业）收入的比例”：填报第</w:t>
      </w:r>
      <w:r>
        <w:rPr>
          <w:rFonts w:ascii="宋体" w:hAnsi="宋体" w:eastAsia="宋体" w:cs="宋体"/>
          <w:color w:val="auto"/>
          <w:sz w:val="24"/>
        </w:rPr>
        <w:t>15</w:t>
      </w:r>
      <w:r>
        <w:rPr>
          <w:rFonts w:hint="eastAsia" w:ascii="宋体" w:hAnsi="宋体" w:eastAsia="宋体" w:cs="宋体"/>
          <w:color w:val="auto"/>
          <w:sz w:val="24"/>
        </w:rPr>
        <w:t>行</w:t>
      </w:r>
      <w:r>
        <w:rPr>
          <w:rFonts w:ascii="宋体" w:hAnsi="宋体" w:eastAsia="宋体" w:cs="宋体"/>
          <w:color w:val="auto"/>
          <w:sz w:val="24"/>
        </w:rPr>
        <w:t>4</w:t>
      </w:r>
      <w:r>
        <w:rPr>
          <w:rFonts w:hint="eastAsia" w:ascii="宋体" w:hAnsi="宋体" w:eastAsia="宋体" w:cs="宋体"/>
          <w:color w:val="auto"/>
          <w:sz w:val="24"/>
        </w:rPr>
        <w:t>列</w:t>
      </w:r>
      <w:r>
        <w:rPr>
          <w:rFonts w:hint="eastAsia" w:ascii="Times New Roman" w:hAnsi="Times New Roman" w:eastAsia="宋体" w:cs="宋体"/>
          <w:color w:val="auto"/>
          <w:szCs w:val="21"/>
        </w:rPr>
        <w:t>÷</w:t>
      </w:r>
      <w:r>
        <w:rPr>
          <w:rFonts w:hint="eastAsia" w:ascii="宋体" w:hAnsi="宋体" w:eastAsia="宋体" w:cs="宋体"/>
          <w:color w:val="auto"/>
          <w:sz w:val="24"/>
        </w:rPr>
        <w:t>第</w:t>
      </w:r>
      <w:r>
        <w:rPr>
          <w:rFonts w:ascii="宋体" w:hAnsi="宋体" w:eastAsia="宋体" w:cs="宋体"/>
          <w:color w:val="auto"/>
          <w:sz w:val="24"/>
        </w:rPr>
        <w:t>29</w:t>
      </w:r>
      <w:r>
        <w:rPr>
          <w:rFonts w:hint="eastAsia" w:ascii="宋体" w:hAnsi="宋体" w:eastAsia="宋体" w:cs="宋体"/>
          <w:color w:val="auto"/>
          <w:sz w:val="24"/>
        </w:rPr>
        <w:t>行</w:t>
      </w:r>
      <w:r>
        <w:rPr>
          <w:rFonts w:ascii="宋体" w:hAnsi="宋体" w:eastAsia="宋体" w:cs="宋体"/>
          <w:color w:val="auto"/>
          <w:sz w:val="24"/>
        </w:rPr>
        <w:t>4</w:t>
      </w:r>
      <w:r>
        <w:rPr>
          <w:rFonts w:hint="eastAsia" w:ascii="宋体" w:hAnsi="宋体" w:eastAsia="宋体" w:cs="宋体"/>
          <w:color w:val="auto"/>
          <w:sz w:val="24"/>
        </w:rPr>
        <w:t>列的比例。</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29</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31</w:t>
      </w:r>
      <w:r>
        <w:rPr>
          <w:rFonts w:hint="eastAsia" w:ascii="宋体" w:hAnsi="宋体" w:eastAsia="宋体" w:cs="宋体"/>
          <w:color w:val="auto"/>
          <w:sz w:val="24"/>
        </w:rPr>
        <w:t>行“国家需要重点扶持的高新技术企业减征企业所得税”：本行填报经济特区和上海浦东新区外的高新技术企业或虽是经济特区和上海浦东新区新设的高新技术企业但取得区外所得的减免税金额。经济特区和上海浦东新区新设的高新技术企业定期减免政策期满后，只享受</w:t>
      </w:r>
      <w:r>
        <w:rPr>
          <w:rFonts w:ascii="宋体" w:hAnsi="宋体" w:eastAsia="宋体" w:cs="宋体"/>
          <w:color w:val="auto"/>
          <w:sz w:val="24"/>
        </w:rPr>
        <w:t>15%</w:t>
      </w:r>
      <w:r>
        <w:rPr>
          <w:rFonts w:hint="eastAsia" w:ascii="宋体" w:hAnsi="宋体" w:eastAsia="宋体" w:cs="宋体"/>
          <w:color w:val="auto"/>
          <w:sz w:val="24"/>
        </w:rPr>
        <w:t>税率优惠政策的，减免税金额也在本行填报。</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3</w:t>
      </w:r>
      <w:r>
        <w:rPr>
          <w:rFonts w:ascii="宋体" w:hAnsi="Times New Roman" w:eastAsia="宋体" w:cs="宋体"/>
          <w:color w:val="auto"/>
          <w:sz w:val="24"/>
        </w:rPr>
        <w:t>0.</w:t>
      </w:r>
      <w:r>
        <w:rPr>
          <w:rFonts w:hint="eastAsia" w:ascii="宋体" w:hAnsi="宋体" w:eastAsia="宋体" w:cs="宋体"/>
          <w:color w:val="auto"/>
          <w:sz w:val="24"/>
        </w:rPr>
        <w:t>第</w:t>
      </w:r>
      <w:r>
        <w:rPr>
          <w:rFonts w:ascii="宋体" w:hAnsi="宋体" w:eastAsia="宋体" w:cs="宋体"/>
          <w:color w:val="auto"/>
          <w:sz w:val="24"/>
        </w:rPr>
        <w:t>32</w:t>
      </w:r>
      <w:r>
        <w:rPr>
          <w:rFonts w:hint="eastAsia" w:ascii="宋体" w:hAnsi="宋体" w:eastAsia="宋体" w:cs="宋体"/>
          <w:color w:val="auto"/>
          <w:sz w:val="24"/>
        </w:rPr>
        <w:t>行“经济特区和上海浦东新区新设立的高新技术企业定期减免”：本行填报在经济特区和上海浦东新区新设的高新技术企业区内所得的减免税金额。</w:t>
      </w:r>
    </w:p>
    <w:p>
      <w:pPr>
        <w:spacing w:before="0" w:beforeLines="0" w:line="360" w:lineRule="auto"/>
        <w:ind w:firstLine="480" w:firstLineChars="200"/>
        <w:jc w:val="left"/>
        <w:outlineLvl w:val="1"/>
        <w:rPr>
          <w:rFonts w:hint="eastAsia" w:ascii="黑体" w:hAnsi="黑体" w:eastAsia="黑体" w:cs="黑体"/>
          <w:b w:val="0"/>
          <w:bCs w:val="0"/>
          <w:color w:val="auto"/>
          <w:sz w:val="24"/>
        </w:rPr>
      </w:pPr>
      <w:r>
        <w:rPr>
          <w:rFonts w:hint="eastAsia" w:ascii="黑体" w:hAnsi="黑体" w:eastAsia="黑体" w:cs="黑体"/>
          <w:b w:val="0"/>
          <w:bCs w:val="0"/>
          <w:color w:val="auto"/>
          <w:sz w:val="24"/>
        </w:rPr>
        <w:t>二、表内、表间关系</w:t>
      </w:r>
    </w:p>
    <w:p>
      <w:pPr>
        <w:spacing w:line="360" w:lineRule="auto"/>
        <w:ind w:firstLine="480" w:firstLineChars="200"/>
        <w:outlineLvl w:val="2"/>
        <w:rPr>
          <w:rFonts w:hint="eastAsia" w:ascii="楷体_GB2312" w:hAnsi="楷体_GB2312" w:eastAsia="楷体_GB2312" w:cs="楷体_GB2312"/>
          <w:color w:val="auto"/>
          <w:sz w:val="24"/>
        </w:rPr>
      </w:pPr>
      <w:r>
        <w:rPr>
          <w:rFonts w:hint="eastAsia" w:ascii="楷体_GB2312" w:hAnsi="楷体_GB2312" w:eastAsia="楷体_GB2312" w:cs="楷体_GB2312"/>
          <w:color w:val="auto"/>
          <w:sz w:val="24"/>
        </w:rPr>
        <w:t>（一）表内关系</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1</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4</w:t>
      </w:r>
      <w:r>
        <w:rPr>
          <w:rFonts w:hint="eastAsia" w:ascii="宋体" w:hAnsi="宋体" w:eastAsia="宋体" w:cs="宋体"/>
          <w:color w:val="auto"/>
          <w:sz w:val="24"/>
        </w:rPr>
        <w:t>行＝第</w:t>
      </w:r>
      <w:r>
        <w:rPr>
          <w:rFonts w:ascii="宋体" w:hAnsi="宋体" w:eastAsia="宋体" w:cs="宋体"/>
          <w:color w:val="auto"/>
          <w:sz w:val="24"/>
        </w:rPr>
        <w:t>5+6</w:t>
      </w:r>
      <w:r>
        <w:rPr>
          <w:rFonts w:hint="eastAsia" w:ascii="宋体" w:hAnsi="宋体" w:eastAsia="宋体" w:cs="宋体"/>
          <w:color w:val="auto"/>
          <w:sz w:val="24"/>
        </w:rPr>
        <w:t>行。</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2.</w:t>
      </w:r>
      <w:r>
        <w:rPr>
          <w:rFonts w:hint="eastAsia" w:ascii="宋体" w:hAnsi="宋体" w:eastAsia="宋体" w:cs="宋体"/>
          <w:color w:val="auto"/>
          <w:sz w:val="24"/>
        </w:rPr>
        <w:t>第</w:t>
      </w:r>
      <w:r>
        <w:rPr>
          <w:rFonts w:ascii="宋体" w:hAnsi="宋体" w:eastAsia="宋体" w:cs="宋体"/>
          <w:color w:val="auto"/>
          <w:sz w:val="24"/>
        </w:rPr>
        <w:t>7</w:t>
      </w:r>
      <w:r>
        <w:rPr>
          <w:rFonts w:hint="eastAsia" w:ascii="宋体" w:hAnsi="宋体" w:eastAsia="宋体" w:cs="宋体"/>
          <w:color w:val="auto"/>
          <w:sz w:val="24"/>
        </w:rPr>
        <w:t>行＝第</w:t>
      </w:r>
      <w:r>
        <w:rPr>
          <w:rFonts w:ascii="宋体" w:hAnsi="宋体" w:eastAsia="宋体" w:cs="宋体"/>
          <w:color w:val="auto"/>
          <w:sz w:val="24"/>
        </w:rPr>
        <w:t>8-9</w:t>
      </w:r>
      <w:r>
        <w:rPr>
          <w:rFonts w:hint="eastAsia" w:ascii="宋体" w:hAnsi="宋体" w:eastAsia="宋体" w:cs="宋体"/>
          <w:color w:val="auto"/>
          <w:sz w:val="24"/>
        </w:rPr>
        <w:t>行。</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3</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10</w:t>
      </w:r>
      <w:r>
        <w:rPr>
          <w:rFonts w:hint="eastAsia" w:ascii="宋体" w:hAnsi="宋体" w:eastAsia="宋体" w:cs="宋体"/>
          <w:color w:val="auto"/>
          <w:sz w:val="24"/>
        </w:rPr>
        <w:t>行＝第</w:t>
      </w:r>
      <w:r>
        <w:rPr>
          <w:rFonts w:ascii="宋体" w:hAnsi="宋体" w:eastAsia="宋体" w:cs="宋体"/>
          <w:color w:val="auto"/>
          <w:sz w:val="24"/>
        </w:rPr>
        <w:t>4</w:t>
      </w:r>
      <w:r>
        <w:rPr>
          <w:rFonts w:hint="eastAsia" w:ascii="宋体" w:hAnsi="宋体" w:eastAsia="宋体" w:cs="宋体"/>
          <w:color w:val="auto"/>
          <w:sz w:val="24"/>
        </w:rPr>
        <w:t>÷</w:t>
      </w:r>
      <w:r>
        <w:rPr>
          <w:rFonts w:ascii="宋体" w:hAnsi="宋体" w:eastAsia="宋体" w:cs="宋体"/>
          <w:color w:val="auto"/>
          <w:sz w:val="24"/>
        </w:rPr>
        <w:t>7</w:t>
      </w:r>
      <w:r>
        <w:rPr>
          <w:rFonts w:hint="eastAsia" w:ascii="宋体" w:hAnsi="宋体" w:eastAsia="宋体" w:cs="宋体"/>
          <w:color w:val="auto"/>
          <w:sz w:val="24"/>
        </w:rPr>
        <w:t>行。</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4</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13</w:t>
      </w:r>
      <w:r>
        <w:rPr>
          <w:rFonts w:hint="eastAsia" w:ascii="宋体" w:hAnsi="宋体" w:eastAsia="宋体" w:cs="宋体"/>
          <w:color w:val="auto"/>
          <w:sz w:val="24"/>
        </w:rPr>
        <w:t>行＝第</w:t>
      </w:r>
      <w:r>
        <w:rPr>
          <w:rFonts w:ascii="宋体" w:hAnsi="宋体" w:eastAsia="宋体" w:cs="宋体"/>
          <w:color w:val="auto"/>
          <w:sz w:val="24"/>
        </w:rPr>
        <w:t>11</w:t>
      </w:r>
      <w:r>
        <w:rPr>
          <w:rFonts w:hint="eastAsia" w:ascii="宋体" w:hAnsi="宋体" w:eastAsia="宋体" w:cs="宋体"/>
          <w:color w:val="auto"/>
          <w:sz w:val="24"/>
        </w:rPr>
        <w:t>÷</w:t>
      </w:r>
      <w:r>
        <w:rPr>
          <w:rFonts w:ascii="宋体" w:hAnsi="宋体" w:eastAsia="宋体" w:cs="宋体"/>
          <w:color w:val="auto"/>
          <w:sz w:val="24"/>
        </w:rPr>
        <w:t>12</w:t>
      </w:r>
      <w:r>
        <w:rPr>
          <w:rFonts w:hint="eastAsia" w:ascii="宋体" w:hAnsi="宋体" w:eastAsia="宋体" w:cs="宋体"/>
          <w:color w:val="auto"/>
          <w:sz w:val="24"/>
        </w:rPr>
        <w:t>行。</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5</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15</w:t>
      </w:r>
      <w:r>
        <w:rPr>
          <w:rFonts w:hint="eastAsia" w:ascii="宋体" w:hAnsi="宋体" w:eastAsia="宋体" w:cs="宋体"/>
          <w:color w:val="auto"/>
          <w:sz w:val="24"/>
        </w:rPr>
        <w:t>行＝第</w:t>
      </w:r>
      <w:r>
        <w:rPr>
          <w:rFonts w:ascii="宋体" w:hAnsi="宋体" w:eastAsia="宋体" w:cs="宋体"/>
          <w:color w:val="auto"/>
          <w:sz w:val="24"/>
        </w:rPr>
        <w:t>16+25</w:t>
      </w:r>
      <w:r>
        <w:rPr>
          <w:rFonts w:hint="eastAsia" w:ascii="宋体" w:hAnsi="宋体" w:eastAsia="宋体" w:cs="宋体"/>
          <w:color w:val="auto"/>
          <w:sz w:val="24"/>
        </w:rPr>
        <w:t>行。</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6</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16</w:t>
      </w:r>
      <w:r>
        <w:rPr>
          <w:rFonts w:hint="eastAsia" w:ascii="宋体" w:hAnsi="宋体" w:eastAsia="宋体" w:cs="宋体"/>
          <w:color w:val="auto"/>
          <w:sz w:val="24"/>
        </w:rPr>
        <w:t>行＝第</w:t>
      </w:r>
      <w:r>
        <w:rPr>
          <w:rFonts w:ascii="宋体" w:hAnsi="宋体" w:eastAsia="宋体" w:cs="宋体"/>
          <w:color w:val="auto"/>
          <w:sz w:val="24"/>
        </w:rPr>
        <w:t>17+18+19+20+21+22+24</w:t>
      </w:r>
      <w:r>
        <w:rPr>
          <w:rFonts w:hint="eastAsia" w:ascii="宋体" w:hAnsi="宋体" w:eastAsia="宋体" w:cs="宋体"/>
          <w:color w:val="auto"/>
          <w:sz w:val="24"/>
        </w:rPr>
        <w:t>行。</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7</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25</w:t>
      </w:r>
      <w:r>
        <w:rPr>
          <w:rFonts w:hint="eastAsia" w:ascii="宋体" w:hAnsi="宋体" w:eastAsia="宋体" w:cs="宋体"/>
          <w:color w:val="auto"/>
          <w:sz w:val="24"/>
        </w:rPr>
        <w:t>行＝（第</w:t>
      </w:r>
      <w:r>
        <w:rPr>
          <w:rFonts w:ascii="宋体" w:hAnsi="宋体" w:eastAsia="宋体" w:cs="宋体"/>
          <w:color w:val="auto"/>
          <w:sz w:val="24"/>
        </w:rPr>
        <w:t>26+28</w:t>
      </w:r>
      <w:r>
        <w:rPr>
          <w:rFonts w:hint="eastAsia" w:ascii="宋体" w:hAnsi="宋体" w:eastAsia="宋体" w:cs="宋体"/>
          <w:color w:val="auto"/>
          <w:sz w:val="24"/>
        </w:rPr>
        <w:t>行）×</w:t>
      </w:r>
      <w:r>
        <w:rPr>
          <w:rFonts w:ascii="宋体" w:hAnsi="宋体" w:eastAsia="宋体" w:cs="宋体"/>
          <w:color w:val="auto"/>
          <w:sz w:val="24"/>
        </w:rPr>
        <w:t>80%</w:t>
      </w:r>
      <w:r>
        <w:rPr>
          <w:rFonts w:hint="eastAsia" w:ascii="宋体" w:hAnsi="宋体" w:eastAsia="宋体" w:cs="宋体"/>
          <w:color w:val="auto"/>
          <w:sz w:val="24"/>
        </w:rPr>
        <w:t>。</w:t>
      </w:r>
    </w:p>
    <w:p>
      <w:pPr>
        <w:spacing w:line="360" w:lineRule="auto"/>
        <w:ind w:firstLine="523" w:firstLineChars="218"/>
        <w:rPr>
          <w:rFonts w:ascii="宋体" w:hAnsi="Times New Roman" w:eastAsia="宋体" w:cs="Times New Roman"/>
          <w:color w:val="auto"/>
          <w:sz w:val="24"/>
        </w:rPr>
      </w:pPr>
      <w:r>
        <w:rPr>
          <w:rFonts w:ascii="宋体" w:hAnsi="宋体" w:eastAsia="宋体" w:cs="宋体"/>
          <w:color w:val="auto"/>
          <w:sz w:val="24"/>
        </w:rPr>
        <w:t>8</w:t>
      </w:r>
      <w:r>
        <w:rPr>
          <w:rFonts w:ascii="宋体" w:hAnsi="Times New Roman" w:eastAsia="宋体" w:cs="宋体"/>
          <w:color w:val="auto"/>
          <w:sz w:val="24"/>
        </w:rPr>
        <w:t>.</w:t>
      </w:r>
      <w:r>
        <w:rPr>
          <w:rFonts w:hint="eastAsia" w:ascii="宋体" w:hAnsi="宋体" w:eastAsia="宋体" w:cs="宋体"/>
          <w:color w:val="auto"/>
          <w:sz w:val="24"/>
        </w:rPr>
        <w:t>第</w:t>
      </w:r>
      <w:r>
        <w:rPr>
          <w:rFonts w:ascii="宋体" w:hAnsi="宋体" w:eastAsia="宋体" w:cs="宋体"/>
          <w:color w:val="auto"/>
          <w:sz w:val="24"/>
        </w:rPr>
        <w:t>30</w:t>
      </w:r>
      <w:r>
        <w:rPr>
          <w:rFonts w:hint="eastAsia" w:ascii="宋体" w:hAnsi="宋体" w:eastAsia="宋体" w:cs="宋体"/>
          <w:color w:val="auto"/>
          <w:sz w:val="24"/>
        </w:rPr>
        <w:t>行＝第</w:t>
      </w:r>
      <w:r>
        <w:rPr>
          <w:rFonts w:ascii="宋体" w:hAnsi="宋体" w:eastAsia="宋体" w:cs="宋体"/>
          <w:color w:val="auto"/>
          <w:sz w:val="24"/>
        </w:rPr>
        <w:t>15</w:t>
      </w:r>
      <w:r>
        <w:rPr>
          <w:rFonts w:hint="eastAsia" w:ascii="宋体" w:hAnsi="宋体" w:eastAsia="宋体" w:cs="宋体"/>
          <w:color w:val="auto"/>
          <w:sz w:val="24"/>
        </w:rPr>
        <w:t>行第</w:t>
      </w:r>
      <w:r>
        <w:rPr>
          <w:rFonts w:ascii="宋体" w:hAnsi="宋体" w:eastAsia="宋体" w:cs="宋体"/>
          <w:color w:val="auto"/>
          <w:sz w:val="24"/>
        </w:rPr>
        <w:t>4</w:t>
      </w:r>
      <w:r>
        <w:rPr>
          <w:rFonts w:hint="eastAsia" w:ascii="宋体" w:hAnsi="宋体" w:eastAsia="宋体" w:cs="宋体"/>
          <w:color w:val="auto"/>
          <w:sz w:val="24"/>
        </w:rPr>
        <w:t>列÷第</w:t>
      </w:r>
      <w:r>
        <w:rPr>
          <w:rFonts w:ascii="宋体" w:hAnsi="宋体" w:eastAsia="宋体" w:cs="宋体"/>
          <w:color w:val="auto"/>
          <w:sz w:val="24"/>
        </w:rPr>
        <w:t>29</w:t>
      </w:r>
      <w:r>
        <w:rPr>
          <w:rFonts w:hint="eastAsia" w:ascii="宋体" w:hAnsi="宋体" w:eastAsia="宋体" w:cs="宋体"/>
          <w:color w:val="auto"/>
          <w:sz w:val="24"/>
        </w:rPr>
        <w:t>行第</w:t>
      </w:r>
      <w:r>
        <w:rPr>
          <w:rFonts w:ascii="宋体" w:hAnsi="宋体" w:eastAsia="宋体" w:cs="宋体"/>
          <w:color w:val="auto"/>
          <w:sz w:val="24"/>
        </w:rPr>
        <w:t>4</w:t>
      </w:r>
      <w:r>
        <w:rPr>
          <w:rFonts w:hint="eastAsia" w:ascii="宋体" w:hAnsi="宋体" w:eastAsia="宋体" w:cs="宋体"/>
          <w:color w:val="auto"/>
          <w:sz w:val="24"/>
        </w:rPr>
        <w:t>列。</w:t>
      </w:r>
    </w:p>
    <w:p>
      <w:pPr>
        <w:spacing w:line="360" w:lineRule="auto"/>
        <w:ind w:firstLine="480" w:firstLineChars="200"/>
        <w:outlineLvl w:val="2"/>
        <w:rPr>
          <w:rFonts w:hint="eastAsia" w:ascii="楷体_GB2312" w:hAnsi="楷体_GB2312" w:eastAsia="楷体_GB2312" w:cs="楷体_GB2312"/>
          <w:color w:val="auto"/>
          <w:sz w:val="24"/>
        </w:rPr>
      </w:pPr>
      <w:r>
        <w:rPr>
          <w:rFonts w:hint="eastAsia" w:ascii="楷体_GB2312" w:hAnsi="楷体_GB2312" w:eastAsia="楷体_GB2312" w:cs="楷体_GB2312"/>
          <w:color w:val="auto"/>
          <w:sz w:val="24"/>
        </w:rPr>
        <w:t>（二）表间关系</w:t>
      </w:r>
    </w:p>
    <w:bookmarkEnd w:id="300"/>
    <w:bookmarkEnd w:id="301"/>
    <w:bookmarkEnd w:id="302"/>
    <w:bookmarkEnd w:id="303"/>
    <w:bookmarkEnd w:id="304"/>
    <w:bookmarkEnd w:id="305"/>
    <w:bookmarkEnd w:id="306"/>
    <w:bookmarkEnd w:id="307"/>
    <w:p>
      <w:pPr>
        <w:pStyle w:val="12"/>
        <w:ind w:firstLine="480"/>
        <w:rPr>
          <w:color w:val="auto"/>
          <w:highlight w:val="none"/>
        </w:rPr>
      </w:pPr>
      <w:r>
        <w:rPr>
          <w:rFonts w:hint="eastAsia"/>
          <w:color w:val="auto"/>
          <w:highlight w:val="none"/>
        </w:rPr>
        <w:t>第</w:t>
      </w:r>
      <w:r>
        <w:rPr>
          <w:rFonts w:hint="eastAsia"/>
          <w:color w:val="auto"/>
          <w:highlight w:val="none"/>
          <w:lang w:eastAsia="zh-CN"/>
        </w:rPr>
        <w:t>3</w:t>
      </w:r>
      <w:r>
        <w:rPr>
          <w:rFonts w:hint="eastAsia"/>
          <w:color w:val="auto"/>
          <w:highlight w:val="none"/>
          <w:lang w:val="en-US" w:eastAsia="zh-CN"/>
        </w:rPr>
        <w:t>1</w:t>
      </w:r>
      <w:r>
        <w:rPr>
          <w:rFonts w:hint="eastAsia"/>
          <w:color w:val="auto"/>
          <w:highlight w:val="none"/>
        </w:rPr>
        <w:t>行</w:t>
      </w:r>
      <w:r>
        <w:rPr>
          <w:rFonts w:hint="eastAsia"/>
          <w:color w:val="auto"/>
          <w:highlight w:val="none"/>
          <w:lang w:eastAsia="zh-CN"/>
        </w:rPr>
        <w:t>至第</w:t>
      </w:r>
      <w:r>
        <w:rPr>
          <w:rFonts w:hint="eastAsia"/>
          <w:color w:val="auto"/>
          <w:highlight w:val="none"/>
          <w:lang w:val="en-US" w:eastAsia="zh-CN"/>
        </w:rPr>
        <w:t>32行</w:t>
      </w:r>
      <w:r>
        <w:rPr>
          <w:rFonts w:hint="eastAsia"/>
          <w:color w:val="auto"/>
          <w:highlight w:val="none"/>
        </w:rPr>
        <w:t>＝表</w:t>
      </w:r>
      <w:r>
        <w:rPr>
          <w:color w:val="auto"/>
          <w:highlight w:val="none"/>
        </w:rPr>
        <w:t>A100000</w:t>
      </w:r>
      <w:r>
        <w:rPr>
          <w:rFonts w:hint="eastAsia"/>
          <w:color w:val="auto"/>
          <w:highlight w:val="none"/>
        </w:rPr>
        <w:t>第</w:t>
      </w:r>
      <w:r>
        <w:rPr>
          <w:color w:val="auto"/>
          <w:highlight w:val="none"/>
        </w:rPr>
        <w:t>31</w:t>
      </w:r>
      <w:r>
        <w:rPr>
          <w:rFonts w:hint="eastAsia"/>
          <w:color w:val="auto"/>
          <w:highlight w:val="none"/>
        </w:rPr>
        <w:t>行下</w:t>
      </w:r>
      <w:r>
        <w:rPr>
          <w:rFonts w:hint="eastAsia"/>
          <w:color w:val="auto"/>
          <w:highlight w:val="none"/>
          <w:lang w:eastAsia="zh-CN"/>
        </w:rPr>
        <w:t>对应的</w:t>
      </w:r>
      <w:r>
        <w:rPr>
          <w:color w:val="auto"/>
          <w:highlight w:val="none"/>
        </w:rPr>
        <w:t>项目金额。</w:t>
      </w:r>
    </w:p>
    <w:p>
      <w:pPr>
        <w:rPr>
          <w:rFonts w:hint="eastAsia" w:ascii="方正小标宋_GBK" w:hAnsi="方正小标宋_GBK" w:eastAsia="方正小标宋_GBK" w:cs="方正小标宋_GBK"/>
          <w:bCs/>
          <w:color w:val="auto"/>
          <w:kern w:val="0"/>
          <w:sz w:val="28"/>
          <w:szCs w:val="28"/>
          <w:highlight w:val="none"/>
          <w:lang w:val="en-US" w:eastAsia="zh-CN" w:bidi="ar-SA"/>
        </w:rPr>
      </w:pPr>
      <w:r>
        <w:rPr>
          <w:rFonts w:hint="eastAsia" w:ascii="方正小标宋_GBK" w:hAnsi="方正小标宋_GBK" w:eastAsia="方正小标宋_GBK" w:cs="方正小标宋_GBK"/>
          <w:bCs/>
          <w:color w:val="auto"/>
          <w:kern w:val="0"/>
          <w:sz w:val="28"/>
          <w:szCs w:val="28"/>
          <w:highlight w:val="none"/>
          <w:lang w:val="en-US" w:eastAsia="zh-CN" w:bidi="ar-SA"/>
        </w:rPr>
        <w:br w:type="page"/>
      </w:r>
    </w:p>
    <w:p>
      <w:pPr>
        <w:widowControl w:val="0"/>
        <w:spacing w:before="0" w:beforeLines="0" w:after="0" w:afterLines="0" w:line="360" w:lineRule="auto"/>
        <w:jc w:val="center"/>
        <w:outlineLvl w:val="0"/>
        <w:rPr>
          <w:rFonts w:hint="eastAsia" w:ascii="宋体" w:hAnsi="宋体" w:eastAsia="宋体" w:cs="Times New Roman"/>
          <w:b/>
          <w:bCs/>
          <w:color w:val="auto"/>
          <w:kern w:val="2"/>
          <w:sz w:val="28"/>
          <w:szCs w:val="28"/>
          <w:lang w:val="en-US" w:eastAsia="zh-CN" w:bidi="ar-SA"/>
        </w:rPr>
      </w:pPr>
      <w:bookmarkStart w:id="325" w:name="_Toc10981"/>
      <w:bookmarkStart w:id="326" w:name="_Toc31322"/>
      <w:bookmarkStart w:id="327" w:name="_Toc1848792324"/>
      <w:r>
        <w:rPr>
          <w:rFonts w:hint="eastAsia" w:ascii="宋体" w:hAnsi="宋体" w:eastAsia="宋体" w:cs="Times New Roman"/>
          <w:b/>
          <w:bCs/>
          <w:color w:val="auto"/>
          <w:kern w:val="2"/>
          <w:sz w:val="28"/>
          <w:szCs w:val="28"/>
          <w:lang w:val="en-US" w:eastAsia="zh-CN" w:bidi="ar-SA"/>
        </w:rPr>
        <w:t>A107042</w:t>
      </w:r>
      <w:r>
        <w:rPr>
          <w:rFonts w:hint="eastAsia" w:ascii="宋体" w:hAnsi="宋体" w:eastAsia="宋体" w:cs="Times New Roman"/>
          <w:b/>
          <w:bCs/>
          <w:color w:val="auto"/>
          <w:kern w:val="2"/>
          <w:sz w:val="28"/>
          <w:szCs w:val="28"/>
          <w:lang w:val="en-US" w:eastAsia="zh-CN" w:bidi="ar-SA"/>
        </w:rPr>
        <w:tab/>
      </w:r>
      <w:r>
        <w:rPr>
          <w:rFonts w:hint="eastAsia" w:ascii="宋体" w:hAnsi="宋体" w:eastAsia="宋体" w:cs="Times New Roman"/>
          <w:b/>
          <w:bCs/>
          <w:color w:val="auto"/>
          <w:kern w:val="2"/>
          <w:sz w:val="28"/>
          <w:szCs w:val="28"/>
          <w:lang w:val="en-US" w:eastAsia="zh-CN" w:bidi="ar-SA"/>
        </w:rPr>
        <w:t>《软件、集成电路企业优惠情况及明细表》填报说明</w:t>
      </w:r>
      <w:bookmarkEnd w:id="325"/>
      <w:bookmarkEnd w:id="326"/>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本表适用于享受软件、集成电路企业优惠政策的纳税人填报。纳税人根据税法、《财政部 国家税务总局关于进一步鼓励软件产业和集成电路产业发展企业所得税政策的通知》（财税〔2012〕27号）、《财政部 国家税务总局 发展改革委 工业和信息化部关于软件和集成电路产业企业所得税优惠政策有关问题的通知》（财税〔2016〕49号）、《财政部 国家税务总局 发展改革委 工业和信息化部关于进一步鼓励集成电路产业发展企业所得税政策的通知》（财税〔2015〕6号）、《国家发展和改革委员会 工业和信息化部 财政部 国家税务总局关于印发国家规划布局内重点软件和集成电路设计领域的通知》（发改高技〔2016〕1056号）、《财政部 税务总局 国家发展改革委 工业和信息化部关于集成电路生产企业有关企业所得税政策问题的通知》（财税〔2018〕27号）、《财政部 税务总局关于集成电路设计和软件产业企业所得税政策的公告》（2019年第68号）、《财政部 税务总局关于集成电路设计企业和软件企业2019年度企业所得税汇算清缴适用政策的公告》（2020年第29号）、《财政部 税务总局 发展改革委 工业和信息化部关于促进集成电路和软件产业高质量发展企业所得税政策的公告》（2020年第45号）、《国家发展改革委等五部门关于做好享受税收优惠政策的集成电路企业或项目、软件企业清单制定工作有关要求的通知》（发改高技〔2021〕413号）、《国家发展改革委等部门关于做好2024年享受税收优惠政策的集成电路企业或项目、软件企业清单制定工作有关要求的通知》（发改高技〔2024〕351号）等相关政策规定，填报本年发生的软件、集成电路企业优惠有关情况。</w:t>
      </w:r>
    </w:p>
    <w:p>
      <w:pPr>
        <w:widowControl w:val="0"/>
        <w:spacing w:line="480" w:lineRule="exact"/>
        <w:ind w:firstLine="480" w:firstLineChars="200"/>
        <w:jc w:val="both"/>
        <w:rPr>
          <w:rFonts w:hint="eastAsia" w:ascii="黑体" w:hAnsi="黑体" w:eastAsia="黑体" w:cs="黑体"/>
          <w:color w:val="auto"/>
          <w:kern w:val="2"/>
          <w:sz w:val="24"/>
          <w:szCs w:val="24"/>
          <w:lang w:val="en-US" w:eastAsia="zh-CN" w:bidi="ar-SA"/>
        </w:rPr>
      </w:pPr>
      <w:bookmarkStart w:id="328" w:name="_Toc1615982050_WPSOffice_Level1"/>
      <w:bookmarkEnd w:id="328"/>
      <w:bookmarkStart w:id="329" w:name="_Toc1236951293_WPSOffice_Level1"/>
      <w:r>
        <w:rPr>
          <w:rFonts w:hint="eastAsia" w:ascii="黑体" w:hAnsi="黑体" w:eastAsia="黑体" w:cs="黑体"/>
          <w:color w:val="auto"/>
          <w:kern w:val="2"/>
          <w:sz w:val="24"/>
          <w:szCs w:val="24"/>
          <w:lang w:val="en-US" w:eastAsia="zh-CN" w:bidi="ar-SA"/>
        </w:rPr>
        <w:t>一、总体填报说明</w:t>
      </w:r>
      <w:bookmarkEnd w:id="329"/>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享受软件、集成电路企业优惠政策的纳税人均需按照企业整体情况填报本表，其中填报《所得减免优惠明细表》（A107020）“线宽小于130纳米（含）的集成电路生产项目”“线宽小于65纳米（含）或投资额超过150亿元的集成电路生产项目”“线宽小于28纳米（含）的集成电路生产项目减免企业所得税”减免项目的纳税人，应当填报除本表第16行“减免税额”以外的本表其他相应项目。</w:t>
      </w:r>
    </w:p>
    <w:p>
      <w:pPr>
        <w:widowControl w:val="0"/>
        <w:spacing w:line="480" w:lineRule="exact"/>
        <w:ind w:firstLine="480" w:firstLineChars="200"/>
        <w:jc w:val="both"/>
        <w:rPr>
          <w:rFonts w:hint="eastAsia" w:ascii="黑体" w:hAnsi="黑体" w:eastAsia="黑体" w:cs="黑体"/>
          <w:color w:val="auto"/>
          <w:kern w:val="2"/>
          <w:sz w:val="24"/>
          <w:szCs w:val="24"/>
          <w:lang w:val="en-US" w:eastAsia="zh-CN" w:bidi="ar-SA"/>
        </w:rPr>
      </w:pPr>
      <w:r>
        <w:rPr>
          <w:rFonts w:hint="eastAsia" w:ascii="黑体" w:hAnsi="黑体" w:eastAsia="黑体" w:cs="黑体"/>
          <w:color w:val="auto"/>
          <w:kern w:val="2"/>
          <w:sz w:val="24"/>
          <w:szCs w:val="24"/>
          <w:lang w:val="en-US" w:eastAsia="zh-CN" w:bidi="ar-SA"/>
        </w:rPr>
        <w:t>二、有关项目填报说明</w:t>
      </w:r>
    </w:p>
    <w:p>
      <w:pPr>
        <w:widowControl w:val="0"/>
        <w:spacing w:line="480" w:lineRule="exact"/>
        <w:ind w:firstLine="480" w:firstLineChars="200"/>
        <w:jc w:val="both"/>
        <w:rPr>
          <w:rFonts w:hint="eastAsia" w:ascii="楷体_GB2312" w:hAnsi="楷体_GB2312" w:eastAsia="楷体_GB2312" w:cs="楷体_GB2312"/>
          <w:color w:val="auto"/>
          <w:kern w:val="2"/>
          <w:sz w:val="24"/>
          <w:szCs w:val="24"/>
          <w:lang w:val="en-US" w:eastAsia="zh-CN" w:bidi="ar-SA"/>
        </w:rPr>
      </w:pPr>
      <w:bookmarkStart w:id="330" w:name="_Toc196068932_WPSOffice_Level2"/>
      <w:r>
        <w:rPr>
          <w:rFonts w:hint="eastAsia" w:ascii="楷体_GB2312" w:hAnsi="楷体_GB2312" w:eastAsia="楷体_GB2312" w:cs="楷体_GB2312"/>
          <w:color w:val="auto"/>
          <w:kern w:val="2"/>
          <w:sz w:val="24"/>
          <w:szCs w:val="24"/>
          <w:lang w:val="en-US" w:eastAsia="zh-CN" w:bidi="ar-SA"/>
        </w:rPr>
        <w:t>（一）税收优惠基本信息</w:t>
      </w:r>
      <w:bookmarkEnd w:id="330"/>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企业以前年度符合软件、集成电路税收优惠政策条件且已开始享受优惠政策的，可选择延续适用原有优惠政策；符合最新软件、集成电路税收优惠政策条件的，可选择适用新出台的优惠政策。企业根据实际情况在“选择适用优惠政策”中勾选“延续适用原有优惠政策”或“适用新出台优惠政策”；集成电路生产企业只享受集成电路项目所得优惠政策，无需勾选。</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当集成电路生产企业享受集成电路项目所得优惠政策时，可根据实际情况填报“减免方式1” “减免方式2”…，并同时填报对应的“获利年度\开始计算优惠期年度1” “获利年度\开始计算优惠期年度2”。</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1.减免方式：纳税人根据《企业所得税年度纳税申报基础信息表》（A000000）“208软件、集成电路企业类型”填报的企业类型和实际经营情况，从《软件、集成电路企业优惠方式代码表》“代码”列中选择相应代码，填入本项。除集成电路生产企业纳税人存在按项目享受优惠的情况外，纳税人仅可从中选择一项填列；若集成电路生产企业纳税人存在多个项目的，应将所有享受优惠的项目减免方式等情况填入本表，项目数量可以增加。</w:t>
      </w:r>
    </w:p>
    <w:p>
      <w:pPr>
        <w:widowControl w:val="0"/>
        <w:spacing w:line="360" w:lineRule="auto"/>
        <w:ind w:firstLine="0" w:firstLineChars="0"/>
        <w:jc w:val="center"/>
        <w:rPr>
          <w:rFonts w:hint="eastAsia" w:ascii="宋体" w:hAnsi="宋体" w:eastAsia="宋体" w:cs="Times New Roman"/>
          <w:b/>
          <w:bCs/>
          <w:color w:val="auto"/>
          <w:kern w:val="2"/>
          <w:sz w:val="24"/>
          <w:szCs w:val="24"/>
          <w:lang w:val="en-US" w:eastAsia="zh-CN" w:bidi="ar-SA"/>
        </w:rPr>
      </w:pPr>
      <w:bookmarkStart w:id="331" w:name="_Toc1680581618_WPSOffice_Level2"/>
      <w:r>
        <w:rPr>
          <w:rFonts w:hint="eastAsia" w:ascii="宋体" w:hAnsi="宋体" w:eastAsia="宋体" w:cs="Times New Roman"/>
          <w:b/>
          <w:bCs/>
          <w:color w:val="auto"/>
          <w:kern w:val="2"/>
          <w:sz w:val="24"/>
          <w:szCs w:val="24"/>
          <w:lang w:val="en-US" w:eastAsia="zh-CN" w:bidi="ar-SA"/>
        </w:rPr>
        <w:t>软件、集成电路企业优惠方式代码表</w:t>
      </w:r>
      <w:bookmarkEnd w:id="331"/>
    </w:p>
    <w:tbl>
      <w:tblPr>
        <w:tblStyle w:val="7"/>
        <w:tblW w:w="9872"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45"/>
        <w:gridCol w:w="2170"/>
        <w:gridCol w:w="852"/>
        <w:gridCol w:w="921"/>
        <w:gridCol w:w="590"/>
        <w:gridCol w:w="459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tcBorders>
              <w:top w:val="single" w:color="auto" w:sz="12" w:space="0"/>
              <w:left w:val="single" w:color="auto" w:sz="12" w:space="0"/>
              <w:bottom w:val="single" w:color="auto" w:sz="4" w:space="0"/>
              <w:right w:val="single" w:color="auto" w:sz="4" w:space="0"/>
            </w:tcBorders>
            <w:noWrap/>
            <w:vAlign w:val="center"/>
          </w:tcPr>
          <w:p>
            <w:pPr>
              <w:widowControl/>
              <w:jc w:val="center"/>
              <w:rPr>
                <w:rFonts w:ascii="宋体" w:hAnsi="宋体" w:eastAsia="宋体" w:cs="Times New Roman"/>
                <w:b/>
                <w:bCs/>
                <w:color w:val="auto"/>
                <w:kern w:val="0"/>
              </w:rPr>
            </w:pPr>
            <w:r>
              <w:rPr>
                <w:rFonts w:hint="eastAsia" w:ascii="宋体" w:hAnsi="宋体" w:eastAsia="宋体" w:cs="Times New Roman"/>
                <w:b/>
                <w:bCs/>
                <w:color w:val="auto"/>
                <w:kern w:val="0"/>
              </w:rPr>
              <w:t>代码</w:t>
            </w:r>
          </w:p>
        </w:tc>
        <w:tc>
          <w:tcPr>
            <w:tcW w:w="2170" w:type="dxa"/>
            <w:tcBorders>
              <w:top w:val="single" w:color="auto" w:sz="12"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b/>
                <w:bCs/>
                <w:color w:val="auto"/>
                <w:kern w:val="0"/>
              </w:rPr>
            </w:pPr>
            <w:r>
              <w:rPr>
                <w:rFonts w:hint="eastAsia" w:ascii="宋体" w:hAnsi="宋体" w:eastAsia="宋体" w:cs="Times New Roman"/>
                <w:b/>
                <w:bCs/>
                <w:color w:val="auto"/>
                <w:kern w:val="0"/>
              </w:rPr>
              <w:t>减免方式类型</w:t>
            </w:r>
          </w:p>
        </w:tc>
        <w:tc>
          <w:tcPr>
            <w:tcW w:w="852" w:type="dxa"/>
            <w:tcBorders>
              <w:top w:val="single" w:color="auto" w:sz="12"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b/>
                <w:bCs/>
                <w:color w:val="auto"/>
                <w:kern w:val="0"/>
              </w:rPr>
            </w:pPr>
            <w:r>
              <w:rPr>
                <w:rFonts w:hint="eastAsia" w:ascii="宋体" w:hAnsi="宋体" w:eastAsia="宋体" w:cs="Times New Roman"/>
                <w:b/>
                <w:bCs/>
                <w:color w:val="auto"/>
                <w:kern w:val="0"/>
              </w:rPr>
              <w:t>原政策</w:t>
            </w:r>
          </w:p>
        </w:tc>
        <w:tc>
          <w:tcPr>
            <w:tcW w:w="921" w:type="dxa"/>
            <w:tcBorders>
              <w:top w:val="single" w:color="auto" w:sz="12"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b/>
                <w:bCs/>
                <w:color w:val="auto"/>
                <w:kern w:val="0"/>
              </w:rPr>
            </w:pPr>
            <w:r>
              <w:rPr>
                <w:rFonts w:hint="eastAsia" w:ascii="宋体" w:hAnsi="宋体" w:eastAsia="宋体" w:cs="Times New Roman"/>
                <w:b/>
                <w:bCs/>
                <w:color w:val="auto"/>
                <w:kern w:val="0"/>
              </w:rPr>
              <w:t>新政策</w:t>
            </w:r>
          </w:p>
        </w:tc>
        <w:tc>
          <w:tcPr>
            <w:tcW w:w="5184" w:type="dxa"/>
            <w:gridSpan w:val="2"/>
            <w:tcBorders>
              <w:top w:val="single" w:color="auto" w:sz="12" w:space="0"/>
              <w:left w:val="single" w:color="auto" w:sz="4" w:space="0"/>
              <w:bottom w:val="single" w:color="auto" w:sz="4" w:space="0"/>
              <w:right w:val="single" w:color="auto" w:sz="12" w:space="0"/>
            </w:tcBorders>
            <w:noWrap/>
            <w:vAlign w:val="center"/>
          </w:tcPr>
          <w:p>
            <w:pPr>
              <w:widowControl/>
              <w:jc w:val="center"/>
              <w:rPr>
                <w:rFonts w:ascii="宋体" w:hAnsi="宋体" w:eastAsia="宋体" w:cs="Times New Roman"/>
                <w:b/>
                <w:bCs/>
                <w:color w:val="auto"/>
                <w:kern w:val="0"/>
              </w:rPr>
            </w:pPr>
            <w:r>
              <w:rPr>
                <w:rFonts w:hint="eastAsia" w:ascii="宋体" w:hAnsi="宋体" w:eastAsia="宋体" w:cs="Times New Roman"/>
                <w:b/>
                <w:bCs/>
                <w:color w:val="auto"/>
                <w:kern w:val="0"/>
              </w:rPr>
              <w:t>软件、集成电路企业类型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restart"/>
            <w:tcBorders>
              <w:top w:val="single" w:color="auto" w:sz="4" w:space="0"/>
              <w:left w:val="single" w:color="auto" w:sz="12" w:space="0"/>
              <w:bottom w:val="single" w:color="auto" w:sz="4" w:space="0"/>
              <w:right w:val="single" w:color="auto" w:sz="4" w:space="0"/>
            </w:tcBorders>
            <w:noWrap/>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110</w:t>
            </w:r>
          </w:p>
        </w:tc>
        <w:tc>
          <w:tcPr>
            <w:tcW w:w="2170"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企业二免三减半（免税）</w:t>
            </w: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140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集成电路生产企业（线宽小于130纳米的企业）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continue"/>
            <w:tcBorders>
              <w:top w:val="single" w:color="auto" w:sz="4" w:space="0"/>
              <w:left w:val="single" w:color="auto" w:sz="12" w:space="0"/>
              <w:bottom w:val="single" w:color="auto" w:sz="4" w:space="0"/>
              <w:right w:val="single" w:color="auto" w:sz="4" w:space="0"/>
            </w:tcBorders>
            <w:shd w:val="clear" w:color="auto" w:fill="auto"/>
            <w:noWrap w:val="0"/>
            <w:vAlign w:val="center"/>
          </w:tcPr>
          <w:p>
            <w:pPr>
              <w:widowControl/>
              <w:jc w:val="left"/>
              <w:rPr>
                <w:rFonts w:ascii="宋体" w:hAnsi="宋体" w:eastAsia="宋体" w:cs="Times New Roman"/>
                <w:color w:val="auto"/>
                <w:kern w:val="0"/>
              </w:rPr>
            </w:pPr>
          </w:p>
        </w:tc>
        <w:tc>
          <w:tcPr>
            <w:tcW w:w="217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eastAsia="宋体" w:cs="Times New Roman"/>
                <w:color w:val="auto"/>
                <w:kern w:val="0"/>
              </w:rPr>
            </w:pPr>
          </w:p>
        </w:tc>
        <w:tc>
          <w:tcPr>
            <w:tcW w:w="852"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宋体" w:hAnsi="宋体" w:eastAsia="宋体" w:cs="Times New Roman"/>
                <w:color w:val="auto"/>
                <w:kern w:val="0"/>
              </w:rPr>
            </w:pP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240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集成电路设计企业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continue"/>
            <w:tcBorders>
              <w:top w:val="single" w:color="auto" w:sz="4" w:space="0"/>
              <w:left w:val="single" w:color="auto" w:sz="12" w:space="0"/>
              <w:bottom w:val="single" w:color="auto" w:sz="4" w:space="0"/>
              <w:right w:val="single" w:color="auto" w:sz="4" w:space="0"/>
            </w:tcBorders>
            <w:shd w:val="clear" w:color="auto" w:fill="auto"/>
            <w:noWrap w:val="0"/>
            <w:vAlign w:val="center"/>
          </w:tcPr>
          <w:p>
            <w:pPr>
              <w:widowControl/>
              <w:jc w:val="left"/>
              <w:rPr>
                <w:rFonts w:ascii="宋体" w:hAnsi="宋体" w:eastAsia="宋体" w:cs="Times New Roman"/>
                <w:color w:val="auto"/>
                <w:kern w:val="0"/>
              </w:rPr>
            </w:pPr>
          </w:p>
        </w:tc>
        <w:tc>
          <w:tcPr>
            <w:tcW w:w="217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eastAsia="宋体" w:cs="Times New Roman"/>
                <w:color w:val="auto"/>
                <w:kern w:val="0"/>
              </w:rPr>
            </w:pPr>
          </w:p>
        </w:tc>
        <w:tc>
          <w:tcPr>
            <w:tcW w:w="852"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宋体" w:hAnsi="宋体" w:eastAsia="宋体" w:cs="Times New Roman"/>
                <w:color w:val="auto"/>
                <w:kern w:val="0"/>
              </w:rPr>
            </w:pP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330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软件企业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continue"/>
            <w:tcBorders>
              <w:top w:val="single" w:color="auto" w:sz="4" w:space="0"/>
              <w:left w:val="single" w:color="auto" w:sz="12" w:space="0"/>
              <w:bottom w:val="single" w:color="auto" w:sz="4" w:space="0"/>
              <w:right w:val="single" w:color="auto" w:sz="4" w:space="0"/>
            </w:tcBorders>
            <w:shd w:val="clear" w:color="auto" w:fill="auto"/>
            <w:noWrap w:val="0"/>
            <w:vAlign w:val="center"/>
          </w:tcPr>
          <w:p>
            <w:pPr>
              <w:widowControl/>
              <w:jc w:val="left"/>
              <w:rPr>
                <w:rFonts w:ascii="宋体" w:hAnsi="宋体" w:eastAsia="宋体" w:cs="Times New Roman"/>
                <w:color w:val="auto"/>
                <w:kern w:val="0"/>
              </w:rPr>
            </w:pPr>
          </w:p>
        </w:tc>
        <w:tc>
          <w:tcPr>
            <w:tcW w:w="217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eastAsia="宋体" w:cs="Times New Roman"/>
                <w:color w:val="auto"/>
                <w:kern w:val="0"/>
              </w:rPr>
            </w:pPr>
          </w:p>
        </w:tc>
        <w:tc>
          <w:tcPr>
            <w:tcW w:w="852"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宋体" w:hAnsi="宋体" w:eastAsia="宋体" w:cs="Times New Roman"/>
                <w:color w:val="auto"/>
                <w:kern w:val="0"/>
              </w:rPr>
            </w:pP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400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集成电路封装、测试（含封装测试）企业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continue"/>
            <w:tcBorders>
              <w:top w:val="single" w:color="auto" w:sz="4" w:space="0"/>
              <w:left w:val="single" w:color="auto" w:sz="12" w:space="0"/>
              <w:bottom w:val="single" w:color="auto" w:sz="4" w:space="0"/>
              <w:right w:val="single" w:color="auto" w:sz="4" w:space="0"/>
            </w:tcBorders>
            <w:shd w:val="clear" w:color="auto" w:fill="auto"/>
            <w:noWrap w:val="0"/>
            <w:vAlign w:val="center"/>
          </w:tcPr>
          <w:p>
            <w:pPr>
              <w:widowControl/>
              <w:jc w:val="left"/>
              <w:rPr>
                <w:rFonts w:ascii="宋体" w:hAnsi="宋体" w:eastAsia="宋体" w:cs="Times New Roman"/>
                <w:color w:val="auto"/>
                <w:kern w:val="0"/>
              </w:rPr>
            </w:pPr>
          </w:p>
        </w:tc>
        <w:tc>
          <w:tcPr>
            <w:tcW w:w="217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eastAsia="宋体" w:cs="Times New Roman"/>
                <w:color w:val="auto"/>
                <w:kern w:val="0"/>
              </w:rPr>
            </w:pPr>
          </w:p>
        </w:tc>
        <w:tc>
          <w:tcPr>
            <w:tcW w:w="852"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宋体" w:hAnsi="宋体" w:eastAsia="宋体" w:cs="Times New Roman"/>
                <w:color w:val="auto"/>
                <w:kern w:val="0"/>
              </w:rPr>
            </w:pP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500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集成电路材料（含关键专用材料）企业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continue"/>
            <w:tcBorders>
              <w:top w:val="single" w:color="auto" w:sz="4" w:space="0"/>
              <w:left w:val="single" w:color="auto" w:sz="12" w:space="0"/>
              <w:bottom w:val="single" w:color="auto" w:sz="4" w:space="0"/>
              <w:right w:val="single" w:color="auto" w:sz="4" w:space="0"/>
            </w:tcBorders>
            <w:shd w:val="clear" w:color="auto" w:fill="auto"/>
            <w:noWrap w:val="0"/>
            <w:vAlign w:val="center"/>
          </w:tcPr>
          <w:p>
            <w:pPr>
              <w:widowControl/>
              <w:jc w:val="left"/>
              <w:rPr>
                <w:rFonts w:ascii="宋体" w:hAnsi="宋体" w:eastAsia="宋体" w:cs="Times New Roman"/>
                <w:color w:val="auto"/>
                <w:kern w:val="0"/>
              </w:rPr>
            </w:pPr>
          </w:p>
        </w:tc>
        <w:tc>
          <w:tcPr>
            <w:tcW w:w="217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eastAsia="宋体" w:cs="Times New Roman"/>
                <w:color w:val="auto"/>
                <w:kern w:val="0"/>
              </w:rPr>
            </w:pPr>
          </w:p>
        </w:tc>
        <w:tc>
          <w:tcPr>
            <w:tcW w:w="852"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宋体" w:hAnsi="宋体" w:eastAsia="宋体" w:cs="Times New Roman"/>
                <w:color w:val="auto"/>
                <w:kern w:val="0"/>
              </w:rPr>
            </w:pP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600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集成电路装备（含专用设备）企业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restart"/>
            <w:tcBorders>
              <w:top w:val="single" w:color="auto" w:sz="4" w:space="0"/>
              <w:left w:val="single" w:color="auto" w:sz="12" w:space="0"/>
              <w:right w:val="single" w:color="auto" w:sz="4" w:space="0"/>
            </w:tcBorders>
            <w:noWrap w:val="0"/>
            <w:vAlign w:val="center"/>
          </w:tcPr>
          <w:p>
            <w:pPr>
              <w:widowControl/>
              <w:jc w:val="center"/>
              <w:rPr>
                <w:rFonts w:ascii="宋体" w:hAnsi="宋体" w:eastAsia="宋体" w:cs="Times New Roman"/>
                <w:color w:val="auto"/>
                <w:kern w:val="0"/>
                <w:sz w:val="21"/>
                <w:szCs w:val="24"/>
                <w:lang w:val="en-US" w:eastAsia="zh-CN" w:bidi="ar-SA"/>
              </w:rPr>
            </w:pPr>
            <w:r>
              <w:rPr>
                <w:rFonts w:hint="eastAsia" w:ascii="宋体" w:hAnsi="宋体" w:eastAsia="宋体" w:cs="Times New Roman"/>
                <w:color w:val="auto"/>
                <w:kern w:val="0"/>
              </w:rPr>
              <w:t>120</w:t>
            </w:r>
          </w:p>
        </w:tc>
        <w:tc>
          <w:tcPr>
            <w:tcW w:w="2170" w:type="dxa"/>
            <w:vMerge w:val="restart"/>
            <w:tcBorders>
              <w:top w:val="single" w:color="auto" w:sz="4" w:space="0"/>
              <w:left w:val="single" w:color="auto" w:sz="4" w:space="0"/>
              <w:right w:val="single" w:color="auto" w:sz="4" w:space="0"/>
            </w:tcBorders>
            <w:noWrap w:val="0"/>
            <w:vAlign w:val="center"/>
          </w:tcPr>
          <w:p>
            <w:pPr>
              <w:widowControl/>
              <w:jc w:val="center"/>
              <w:rPr>
                <w:rFonts w:ascii="宋体" w:hAnsi="宋体" w:eastAsia="宋体" w:cs="Times New Roman"/>
                <w:color w:val="auto"/>
                <w:kern w:val="0"/>
                <w:sz w:val="21"/>
                <w:szCs w:val="24"/>
                <w:lang w:val="en-US" w:eastAsia="zh-CN" w:bidi="ar-SA"/>
              </w:rPr>
            </w:pPr>
            <w:r>
              <w:rPr>
                <w:rFonts w:hint="eastAsia" w:ascii="宋体" w:hAnsi="宋体" w:eastAsia="宋体" w:cs="Times New Roman"/>
                <w:color w:val="auto"/>
                <w:kern w:val="0"/>
              </w:rPr>
              <w:t>企业二免三减半（减半征收）</w:t>
            </w: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140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集成电路生产企业（线宽小于130纳米的企业）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continue"/>
            <w:tcBorders>
              <w:left w:val="single" w:color="auto" w:sz="12" w:space="0"/>
              <w:right w:val="single" w:color="auto" w:sz="4" w:space="0"/>
            </w:tcBorders>
            <w:noWrap w:val="0"/>
            <w:vAlign w:val="center"/>
          </w:tcPr>
          <w:p>
            <w:pPr>
              <w:widowControl/>
              <w:jc w:val="left"/>
              <w:rPr>
                <w:rFonts w:ascii="宋体" w:hAnsi="宋体" w:eastAsia="宋体" w:cs="Times New Roman"/>
                <w:color w:val="auto"/>
                <w:kern w:val="0"/>
              </w:rPr>
            </w:pPr>
          </w:p>
        </w:tc>
        <w:tc>
          <w:tcPr>
            <w:tcW w:w="2170" w:type="dxa"/>
            <w:vMerge w:val="continue"/>
            <w:tcBorders>
              <w:left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240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集成电路设计企业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continue"/>
            <w:tcBorders>
              <w:left w:val="single" w:color="auto" w:sz="12" w:space="0"/>
              <w:right w:val="single" w:color="auto" w:sz="4" w:space="0"/>
            </w:tcBorders>
            <w:noWrap w:val="0"/>
            <w:vAlign w:val="center"/>
          </w:tcPr>
          <w:p>
            <w:pPr>
              <w:widowControl/>
              <w:jc w:val="left"/>
              <w:rPr>
                <w:rFonts w:ascii="宋体" w:hAnsi="宋体" w:eastAsia="宋体" w:cs="Times New Roman"/>
                <w:color w:val="auto"/>
                <w:kern w:val="0"/>
              </w:rPr>
            </w:pPr>
          </w:p>
        </w:tc>
        <w:tc>
          <w:tcPr>
            <w:tcW w:w="2170" w:type="dxa"/>
            <w:vMerge w:val="continue"/>
            <w:tcBorders>
              <w:left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330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软件企业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continue"/>
            <w:tcBorders>
              <w:left w:val="single" w:color="auto" w:sz="12" w:space="0"/>
              <w:right w:val="single" w:color="auto" w:sz="4" w:space="0"/>
            </w:tcBorders>
            <w:noWrap w:val="0"/>
            <w:vAlign w:val="center"/>
          </w:tcPr>
          <w:p>
            <w:pPr>
              <w:widowControl/>
              <w:jc w:val="left"/>
              <w:rPr>
                <w:rFonts w:ascii="宋体" w:hAnsi="宋体" w:eastAsia="宋体" w:cs="Times New Roman"/>
                <w:color w:val="auto"/>
                <w:kern w:val="0"/>
              </w:rPr>
            </w:pPr>
          </w:p>
        </w:tc>
        <w:tc>
          <w:tcPr>
            <w:tcW w:w="2170" w:type="dxa"/>
            <w:vMerge w:val="continue"/>
            <w:tcBorders>
              <w:left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400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集成电路封装、测试（含封装测试）企业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continue"/>
            <w:tcBorders>
              <w:left w:val="single" w:color="auto" w:sz="12" w:space="0"/>
              <w:right w:val="single" w:color="auto" w:sz="4" w:space="0"/>
            </w:tcBorders>
            <w:noWrap w:val="0"/>
            <w:vAlign w:val="center"/>
          </w:tcPr>
          <w:p>
            <w:pPr>
              <w:widowControl/>
              <w:jc w:val="left"/>
              <w:rPr>
                <w:rFonts w:ascii="宋体" w:hAnsi="宋体" w:eastAsia="宋体" w:cs="Times New Roman"/>
                <w:color w:val="auto"/>
                <w:kern w:val="0"/>
              </w:rPr>
            </w:pPr>
          </w:p>
        </w:tc>
        <w:tc>
          <w:tcPr>
            <w:tcW w:w="2170" w:type="dxa"/>
            <w:vMerge w:val="continue"/>
            <w:tcBorders>
              <w:left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500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集成电路材料（含关键专用材料）企业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continue"/>
            <w:tcBorders>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2170" w:type="dxa"/>
            <w:vMerge w:val="continue"/>
            <w:tcBorders>
              <w:left w:val="single" w:color="auto" w:sz="4"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600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集成电路装备（含专用设备）企业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restart"/>
            <w:tcBorders>
              <w:top w:val="single" w:color="auto" w:sz="4" w:space="0"/>
              <w:left w:val="single" w:color="auto" w:sz="12" w:space="0"/>
              <w:bottom w:val="single" w:color="auto" w:sz="4" w:space="0"/>
              <w:right w:val="single" w:color="auto" w:sz="4" w:space="0"/>
            </w:tcBorders>
            <w:noWrap/>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210</w:t>
            </w:r>
          </w:p>
        </w:tc>
        <w:tc>
          <w:tcPr>
            <w:tcW w:w="2170"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企业五免五减半（免税）</w:t>
            </w: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120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集成电路生产企业（线宽小于0.25微米的企业）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continue"/>
            <w:tcBorders>
              <w:top w:val="single" w:color="auto" w:sz="4"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217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130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集成电路生产企业（投资额超过80亿元的企业）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continue"/>
            <w:tcBorders>
              <w:top w:val="single" w:color="auto" w:sz="4"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217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921"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eastAsia="宋体" w:cs="Times New Roman"/>
                <w:color w:val="auto"/>
                <w:kern w:val="0"/>
              </w:rPr>
            </w:pPr>
          </w:p>
        </w:tc>
        <w:tc>
          <w:tcPr>
            <w:tcW w:w="59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131</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集成电路生产企业（</w:t>
            </w:r>
            <w:r>
              <w:rPr>
                <w:rFonts w:hint="eastAsia" w:ascii="宋体" w:hAnsi="宋体" w:eastAsia="宋体" w:cs="Times New Roman"/>
                <w:color w:val="auto"/>
                <w:kern w:val="0"/>
                <w:lang w:eastAsia="zh-CN"/>
              </w:rPr>
              <w:t>投</w:t>
            </w:r>
            <w:r>
              <w:rPr>
                <w:rFonts w:hint="eastAsia" w:ascii="宋体" w:hAnsi="宋体" w:eastAsia="宋体" w:cs="Times New Roman"/>
                <w:color w:val="auto"/>
                <w:kern w:val="0"/>
              </w:rPr>
              <w:t>资额超过150亿元的企业）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continue"/>
            <w:tcBorders>
              <w:top w:val="single" w:color="auto" w:sz="4"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217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151</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集成电路生产企业（线宽小于65纳米的企业）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restart"/>
            <w:tcBorders>
              <w:top w:val="single" w:color="auto" w:sz="4" w:space="0"/>
              <w:left w:val="single" w:color="auto" w:sz="12" w:space="0"/>
              <w:bottom w:val="single" w:color="auto" w:sz="4" w:space="0"/>
              <w:right w:val="single" w:color="auto" w:sz="4" w:space="0"/>
            </w:tcBorders>
            <w:noWrap/>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220</w:t>
            </w:r>
          </w:p>
        </w:tc>
        <w:tc>
          <w:tcPr>
            <w:tcW w:w="2170"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企业五免五减半（减半征收）</w:t>
            </w: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120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集成电路生产企业（线宽小于0.25微米的企业）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continue"/>
            <w:tcBorders>
              <w:top w:val="single" w:color="auto" w:sz="4"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217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130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集成电路生产企业（投资额超过80亿元的企业）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continue"/>
            <w:tcBorders>
              <w:top w:val="single" w:color="auto" w:sz="4"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217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921"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eastAsia="宋体" w:cs="Times New Roman"/>
                <w:color w:val="auto"/>
                <w:kern w:val="0"/>
              </w:rPr>
            </w:pPr>
          </w:p>
        </w:tc>
        <w:tc>
          <w:tcPr>
            <w:tcW w:w="59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131</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集成电路生产企业（</w:t>
            </w:r>
            <w:r>
              <w:rPr>
                <w:rFonts w:hint="eastAsia" w:ascii="宋体" w:hAnsi="宋体" w:eastAsia="宋体" w:cs="Times New Roman"/>
                <w:color w:val="auto"/>
                <w:kern w:val="0"/>
                <w:lang w:eastAsia="zh-CN"/>
              </w:rPr>
              <w:t>投</w:t>
            </w:r>
            <w:r>
              <w:rPr>
                <w:rFonts w:hint="eastAsia" w:ascii="宋体" w:hAnsi="宋体" w:eastAsia="宋体" w:cs="Times New Roman"/>
                <w:color w:val="auto"/>
                <w:kern w:val="0"/>
              </w:rPr>
              <w:t>资额超过150亿元的企业）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continue"/>
            <w:tcBorders>
              <w:top w:val="single" w:color="auto" w:sz="4"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217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151</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集成电路生产企业（线宽小于65纳米的企业）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restart"/>
            <w:tcBorders>
              <w:top w:val="single" w:color="auto" w:sz="4" w:space="0"/>
              <w:left w:val="single" w:color="auto" w:sz="12"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300</w:t>
            </w:r>
          </w:p>
        </w:tc>
        <w:tc>
          <w:tcPr>
            <w:tcW w:w="2170"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企业减按10%税率征收企业所得税</w:t>
            </w: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250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重点集成电路设计企业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continue"/>
            <w:tcBorders>
              <w:top w:val="single" w:color="auto" w:sz="4"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217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340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重点软件企业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tcBorders>
              <w:top w:val="single" w:color="auto" w:sz="4" w:space="0"/>
              <w:left w:val="single" w:color="auto" w:sz="12"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510</w:t>
            </w:r>
          </w:p>
        </w:tc>
        <w:tc>
          <w:tcPr>
            <w:tcW w:w="217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项目所得二免三减半（免税）</w:t>
            </w: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140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集成电路生产企业（线宽小于130纳米的企业）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tcBorders>
              <w:top w:val="single" w:color="auto" w:sz="4" w:space="0"/>
              <w:left w:val="single" w:color="auto" w:sz="12"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520</w:t>
            </w:r>
          </w:p>
        </w:tc>
        <w:tc>
          <w:tcPr>
            <w:tcW w:w="217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项目所得二免三减半（减半征收）</w:t>
            </w: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140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集成电路生产企业（线宽小于130纳米的企业）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restart"/>
            <w:tcBorders>
              <w:top w:val="single" w:color="auto" w:sz="4" w:space="0"/>
              <w:left w:val="single" w:color="auto" w:sz="12"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610</w:t>
            </w:r>
          </w:p>
        </w:tc>
        <w:tc>
          <w:tcPr>
            <w:tcW w:w="2170"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项目所得五免五减半（免税）</w:t>
            </w: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921"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eastAsia="宋体" w:cs="Times New Roman"/>
                <w:color w:val="auto"/>
                <w:kern w:val="0"/>
              </w:rPr>
            </w:pPr>
          </w:p>
        </w:tc>
        <w:tc>
          <w:tcPr>
            <w:tcW w:w="59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131</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集成电路生产企业（</w:t>
            </w:r>
            <w:r>
              <w:rPr>
                <w:rFonts w:hint="eastAsia" w:ascii="宋体" w:hAnsi="宋体" w:eastAsia="宋体" w:cs="Times New Roman"/>
                <w:color w:val="auto"/>
                <w:kern w:val="0"/>
                <w:lang w:eastAsia="zh-CN"/>
              </w:rPr>
              <w:t>投</w:t>
            </w:r>
            <w:r>
              <w:rPr>
                <w:rFonts w:hint="eastAsia" w:ascii="宋体" w:hAnsi="宋体" w:eastAsia="宋体" w:cs="Times New Roman"/>
                <w:color w:val="auto"/>
                <w:kern w:val="0"/>
              </w:rPr>
              <w:t>资额超过150亿元的企业）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continue"/>
            <w:tcBorders>
              <w:top w:val="single" w:color="auto" w:sz="4"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217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151</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集成电路生产企业（线宽小于65纳米的企业）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restart"/>
            <w:tcBorders>
              <w:top w:val="single" w:color="auto" w:sz="4" w:space="0"/>
              <w:left w:val="single" w:color="auto" w:sz="12"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620</w:t>
            </w:r>
          </w:p>
        </w:tc>
        <w:tc>
          <w:tcPr>
            <w:tcW w:w="2170"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项目所得五免五减半（减半征收）</w:t>
            </w: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921"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eastAsia="宋体" w:cs="Times New Roman"/>
                <w:color w:val="auto"/>
                <w:kern w:val="0"/>
              </w:rPr>
            </w:pPr>
          </w:p>
        </w:tc>
        <w:tc>
          <w:tcPr>
            <w:tcW w:w="59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131</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集成电路生产企业（</w:t>
            </w:r>
            <w:r>
              <w:rPr>
                <w:rFonts w:hint="eastAsia" w:ascii="宋体" w:hAnsi="宋体" w:eastAsia="宋体" w:cs="Times New Roman"/>
                <w:color w:val="auto"/>
                <w:kern w:val="0"/>
                <w:lang w:eastAsia="zh-CN"/>
              </w:rPr>
              <w:t>投</w:t>
            </w:r>
            <w:r>
              <w:rPr>
                <w:rFonts w:hint="eastAsia" w:ascii="宋体" w:hAnsi="宋体" w:eastAsia="宋体" w:cs="Times New Roman"/>
                <w:color w:val="auto"/>
                <w:kern w:val="0"/>
              </w:rPr>
              <w:t>资额超过150亿元的企业）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continue"/>
            <w:tcBorders>
              <w:top w:val="single" w:color="auto" w:sz="4"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217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151</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集成电路生产企业（线宽小于65纳米的企业）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tcBorders>
              <w:top w:val="single" w:color="auto" w:sz="4" w:space="0"/>
              <w:left w:val="single" w:color="auto" w:sz="12"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700</w:t>
            </w:r>
          </w:p>
        </w:tc>
        <w:tc>
          <w:tcPr>
            <w:tcW w:w="217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项目所得十免（免税）</w:t>
            </w: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160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集成电路生产企业（线宽小于28纳米的企业）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restart"/>
            <w:tcBorders>
              <w:top w:val="single" w:color="auto" w:sz="4" w:space="0"/>
              <w:left w:val="single" w:color="auto" w:sz="12"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800</w:t>
            </w:r>
          </w:p>
        </w:tc>
        <w:tc>
          <w:tcPr>
            <w:tcW w:w="2170"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企业五免（免税）</w:t>
            </w: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250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重点集成电路设计企业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vMerge w:val="continue"/>
            <w:tcBorders>
              <w:top w:val="single" w:color="auto" w:sz="4"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217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52"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p>
        </w:tc>
        <w:tc>
          <w:tcPr>
            <w:tcW w:w="92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340</w:t>
            </w:r>
          </w:p>
        </w:tc>
        <w:tc>
          <w:tcPr>
            <w:tcW w:w="4594" w:type="dxa"/>
            <w:tcBorders>
              <w:top w:val="single" w:color="auto" w:sz="4" w:space="0"/>
              <w:left w:val="single" w:color="auto" w:sz="4" w:space="0"/>
              <w:bottom w:val="single" w:color="auto" w:sz="4"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重点软件企业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45" w:type="dxa"/>
            <w:tcBorders>
              <w:top w:val="single" w:color="auto" w:sz="4" w:space="0"/>
              <w:left w:val="single" w:color="auto" w:sz="12" w:space="0"/>
              <w:bottom w:val="single" w:color="auto" w:sz="12" w:space="0"/>
              <w:right w:val="single" w:color="auto" w:sz="4" w:space="0"/>
            </w:tcBorders>
            <w:noWrap/>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900</w:t>
            </w:r>
          </w:p>
        </w:tc>
        <w:tc>
          <w:tcPr>
            <w:tcW w:w="2170" w:type="dxa"/>
            <w:tcBorders>
              <w:top w:val="single" w:color="auto" w:sz="4" w:space="0"/>
              <w:left w:val="single" w:color="auto" w:sz="4" w:space="0"/>
              <w:bottom w:val="single" w:color="auto" w:sz="12"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企业十免（免税）</w:t>
            </w:r>
          </w:p>
        </w:tc>
        <w:tc>
          <w:tcPr>
            <w:tcW w:w="852" w:type="dxa"/>
            <w:tcBorders>
              <w:top w:val="single" w:color="auto" w:sz="4" w:space="0"/>
              <w:left w:val="single" w:color="auto" w:sz="4" w:space="0"/>
              <w:bottom w:val="single" w:color="auto" w:sz="12" w:space="0"/>
              <w:right w:val="single" w:color="auto" w:sz="4" w:space="0"/>
            </w:tcBorders>
            <w:noWrap w:val="0"/>
            <w:vAlign w:val="center"/>
          </w:tcPr>
          <w:p>
            <w:pPr>
              <w:widowControl/>
              <w:jc w:val="center"/>
              <w:rPr>
                <w:rFonts w:ascii="宋体" w:hAnsi="宋体" w:eastAsia="宋体" w:cs="Times New Roman"/>
                <w:color w:val="auto"/>
                <w:kern w:val="0"/>
              </w:rPr>
            </w:pPr>
          </w:p>
        </w:tc>
        <w:tc>
          <w:tcPr>
            <w:tcW w:w="921" w:type="dxa"/>
            <w:tcBorders>
              <w:top w:val="single" w:color="auto" w:sz="4" w:space="0"/>
              <w:left w:val="single" w:color="auto" w:sz="4" w:space="0"/>
              <w:bottom w:val="single" w:color="auto" w:sz="12"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w:t>
            </w:r>
          </w:p>
        </w:tc>
        <w:tc>
          <w:tcPr>
            <w:tcW w:w="590" w:type="dxa"/>
            <w:tcBorders>
              <w:top w:val="single" w:color="auto" w:sz="4" w:space="0"/>
              <w:left w:val="single" w:color="auto" w:sz="4" w:space="0"/>
              <w:bottom w:val="single" w:color="auto" w:sz="12" w:space="0"/>
              <w:right w:val="single" w:color="auto" w:sz="4" w:space="0"/>
            </w:tcBorders>
            <w:noWrap w:val="0"/>
            <w:vAlign w:val="center"/>
          </w:tcPr>
          <w:p>
            <w:pPr>
              <w:widowControl/>
              <w:jc w:val="center"/>
              <w:rPr>
                <w:rFonts w:ascii="宋体" w:hAnsi="宋体" w:eastAsia="宋体" w:cs="Times New Roman"/>
                <w:color w:val="auto"/>
                <w:kern w:val="0"/>
              </w:rPr>
            </w:pPr>
            <w:r>
              <w:rPr>
                <w:rFonts w:hint="eastAsia" w:ascii="宋体" w:hAnsi="宋体" w:eastAsia="宋体" w:cs="Times New Roman"/>
                <w:color w:val="auto"/>
                <w:kern w:val="0"/>
              </w:rPr>
              <w:t>160</w:t>
            </w:r>
          </w:p>
        </w:tc>
        <w:tc>
          <w:tcPr>
            <w:tcW w:w="4594" w:type="dxa"/>
            <w:tcBorders>
              <w:top w:val="single" w:color="auto" w:sz="4" w:space="0"/>
              <w:left w:val="single" w:color="auto" w:sz="4" w:space="0"/>
              <w:bottom w:val="single" w:color="auto" w:sz="12" w:space="0"/>
              <w:right w:val="single" w:color="auto" w:sz="12" w:space="0"/>
            </w:tcBorders>
            <w:noWrap w:val="0"/>
            <w:vAlign w:val="center"/>
          </w:tcPr>
          <w:p>
            <w:pPr>
              <w:widowControl/>
              <w:jc w:val="left"/>
              <w:rPr>
                <w:rFonts w:ascii="宋体" w:hAnsi="宋体" w:eastAsia="宋体" w:cs="Times New Roman"/>
                <w:color w:val="auto"/>
                <w:kern w:val="0"/>
              </w:rPr>
            </w:pPr>
            <w:r>
              <w:rPr>
                <w:rFonts w:hint="eastAsia" w:ascii="宋体" w:hAnsi="宋体" w:eastAsia="宋体" w:cs="Times New Roman"/>
                <w:color w:val="auto"/>
                <w:kern w:val="0"/>
              </w:rPr>
              <w:t>集成电路生产企业（线宽小于28纳米的企业）</w:t>
            </w:r>
          </w:p>
        </w:tc>
      </w:tr>
    </w:tbl>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2.“获利年度\开始计算优惠期年度”：适用选择“二免三减半”“五免五减半”“五免”“十免”等定期减免类型的纳税人填报。其中，“开始计算优惠期年度”按照财税〔2012〕27号、财税〔2015〕6号、财税〔2018〕27号、《财政部 税务总局 发展改革委 工业和信息化部关于促进集成电路和软件产业高质量发展企业所得税政策的公告》（2020年第45号）等文件的相关规定确定。</w:t>
      </w:r>
    </w:p>
    <w:p>
      <w:pPr>
        <w:widowControl w:val="0"/>
        <w:spacing w:line="480" w:lineRule="exact"/>
        <w:ind w:firstLine="480" w:firstLineChars="200"/>
        <w:jc w:val="both"/>
        <w:rPr>
          <w:rFonts w:hint="eastAsia" w:ascii="楷体_GB2312" w:hAnsi="楷体_GB2312" w:eastAsia="楷体_GB2312" w:cs="楷体_GB2312"/>
          <w:color w:val="auto"/>
          <w:kern w:val="2"/>
          <w:sz w:val="24"/>
          <w:szCs w:val="24"/>
          <w:lang w:val="en-US" w:eastAsia="zh-CN" w:bidi="ar-SA"/>
        </w:rPr>
      </w:pPr>
      <w:bookmarkStart w:id="332" w:name="_Toc1480810185_WPSOffice_Level2"/>
      <w:r>
        <w:rPr>
          <w:rFonts w:hint="eastAsia" w:ascii="楷体_GB2312" w:hAnsi="楷体_GB2312" w:eastAsia="楷体_GB2312" w:cs="楷体_GB2312"/>
          <w:color w:val="auto"/>
          <w:kern w:val="2"/>
          <w:sz w:val="24"/>
          <w:szCs w:val="24"/>
          <w:lang w:val="en-US" w:eastAsia="zh-CN" w:bidi="ar-SA"/>
        </w:rPr>
        <w:t>（二）税收优惠有关情况</w:t>
      </w:r>
      <w:bookmarkEnd w:id="332"/>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1.第1行“企业本年月平均职工总人数”：填报纳税人本年月平均职工总人数。本年月平均职工总人数计算方法：</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月平均人数＝（月初数+月末数）÷2</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全年月平均职工总人数＝全年各月平均数之和÷12</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2.第2行“签订劳动合同关系且具有大学专\本科以上学历的职工人数”：填报纳税人符合政策规定的大学专\本科以上学历的职工人数。</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3.第3行“研究开发人员人数”：填报纳税人本年研究开发人员人数。</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4.第4行“研发费用总额”：填报企业按照《财政部 国家税务总局 科技部关于完善研发费用税前加计扣除政策的通知》（财税〔2015〕119号）、《国家税务总局关于企业研究开发费用税前加计扣除政策有关问题的公告》(2015年第97号)、《国家税务总局关于研发费用税前加计扣除归集范围有关问题的公告》(2017年第40号)等文件规定口径归集的研发费用。</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5.第5行“企业在中国境内发生的研发费用金额”：填报纳税人本年在中国境内发生的研发费用。</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6.第6行“企业收入总额”：填报纳税人本年以货币形式和非货币形式从各种来源取得的收入总额。包括：销售货物收入，提供劳务收入，转让财产收入，股息、红利等权益性投资收益，利息收入，租金收入，特许权使用费收入，接受捐赠收入，其他收入。</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7.第7行“符合条件的销售（营业）收入”：根据企业类型分析填报，具体如下：</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（1）集成电路生产企业：填报本年度集成电路制造销售（营业）收入；</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（2）集成电路设计企业：填报本年度集成电路设计销售（营业）收入；</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（3）软件企业：一般软件企业填报本年软件产品开发销售（营业）收入；嵌入式或信息系统集成软件企业填报嵌入式软件产品和信息系统集成产品开发销售（营业）收入；</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（4）集成电路封装、测试（含封装测试）企业：填报本年集成电路封装、测试（含封装测试）销售（营业）收入；</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（5）集成电路材料（含关键专用材料）企业：填报本年集成电路材料（含关键专用材料）销售（营业）收入；</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（6）集成电路装备（含专用设备）企业：填报本年集成电路装备（含专用设备）销售（营业）收入。</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8.第8行“其中：自主设计、自主开发销售及服务收入”：根据企业类型分析填报，具体如下：</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（1）集成电路设计企业：填报本年度集成电路自主设计销售（营业）收入。</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（2）软件企业：软件企业填报本年软件产品自主开发销售（营业）收入；嵌入式或信息系统集成软件企业填报本年自主开发嵌入式软件产品和信息系统集成产品开发销售（营业）收入。</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9.第9行“拥有核心关键技术和属于本企业的知识产权总数”：填报拥有核心关键技术和属于本企业的知识产权的数量。</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10.第10行“其中：发明专利”：填报拥有核心关键技术和属于本企业的知识产权中属于发明专利的数量。</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11.第11行“集成电路布图设计登记”：由集成电路设计企业填报集成电路布图设计登记数量。</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12.第12行“计算机软件著作权”：填报计算机软件著作权数量。</w:t>
      </w:r>
      <w:r>
        <w:rPr>
          <w:rFonts w:hint="eastAsia" w:ascii="宋体" w:hAnsi="宋体" w:eastAsia="宋体" w:cs="Times New Roman"/>
          <w:color w:val="auto"/>
          <w:kern w:val="2"/>
          <w:sz w:val="24"/>
          <w:szCs w:val="24"/>
          <w:lang w:val="en-US" w:eastAsia="zh-CN" w:bidi="ar-SA"/>
        </w:rPr>
        <w:tab/>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13.第13行“是否从事 8 英寸及以下集成电路生产”：由集成电路生产企业根据企业经营情况勾选。</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14.第14行“是否按照开发、销售嵌入式软件企业条件享受政策”：由软件企业根据企业生产经营情况勾选。</w:t>
      </w:r>
    </w:p>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15.第15行“重点集成电路设计领域和重点软件领域”：由重点集成电路设计企业和软件企业根据企业实际情况，从《重点集成电路设计和软件企业领域表》中选择所属领域填入本项</w:t>
      </w:r>
      <w:r>
        <w:rPr>
          <w:rFonts w:hint="eastAsia" w:ascii="宋体" w:hAnsi="宋体" w:cs="Times New Roman"/>
          <w:color w:val="auto"/>
          <w:kern w:val="2"/>
          <w:sz w:val="24"/>
          <w:szCs w:val="24"/>
          <w:lang w:val="en-US" w:eastAsia="zh-CN" w:bidi="ar-SA"/>
        </w:rPr>
        <w:t>（下表部分软件名词涵盖范围可参考国家标准GB/T 36475软件产品分类）</w:t>
      </w:r>
      <w:r>
        <w:rPr>
          <w:rFonts w:hint="eastAsia" w:ascii="宋体" w:hAnsi="宋体" w:eastAsia="宋体" w:cs="Times New Roman"/>
          <w:color w:val="auto"/>
          <w:kern w:val="2"/>
          <w:sz w:val="24"/>
          <w:szCs w:val="24"/>
          <w:lang w:val="en-US" w:eastAsia="zh-CN" w:bidi="ar-SA"/>
        </w:rPr>
        <w:t>。</w:t>
      </w:r>
    </w:p>
    <w:p>
      <w:pPr>
        <w:widowControl w:val="0"/>
        <w:snapToGrid w:val="0"/>
        <w:spacing w:line="520" w:lineRule="exact"/>
        <w:jc w:val="center"/>
        <w:rPr>
          <w:rFonts w:hint="eastAsia" w:ascii="宋体" w:hAnsi="宋体" w:eastAsia="宋体" w:cs="Times New Roman"/>
          <w:b/>
          <w:bCs/>
          <w:color w:val="auto"/>
          <w:kern w:val="2"/>
          <w:sz w:val="24"/>
          <w:szCs w:val="24"/>
          <w:lang w:val="en-US" w:eastAsia="zh-CN" w:bidi="ar-SA"/>
        </w:rPr>
      </w:pPr>
      <w:bookmarkStart w:id="333" w:name="_Toc1129106312_WPSOffice_Level2"/>
      <w:bookmarkEnd w:id="333"/>
      <w:bookmarkStart w:id="334" w:name="_Toc964388059_WPSOffice_Level2"/>
      <w:r>
        <w:rPr>
          <w:rFonts w:hint="eastAsia" w:ascii="宋体" w:hAnsi="宋体" w:eastAsia="宋体" w:cs="Times New Roman"/>
          <w:b/>
          <w:bCs/>
          <w:color w:val="auto"/>
          <w:kern w:val="2"/>
          <w:sz w:val="24"/>
          <w:szCs w:val="24"/>
          <w:lang w:val="en-US" w:eastAsia="zh-CN" w:bidi="ar-SA"/>
        </w:rPr>
        <w:t>重点集成电路设计和软件企业领域表</w:t>
      </w:r>
      <w:bookmarkEnd w:id="334"/>
    </w:p>
    <w:tbl>
      <w:tblPr>
        <w:tblStyle w:val="7"/>
        <w:tblW w:w="9160" w:type="dxa"/>
        <w:tblInd w:w="94"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808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080" w:type="dxa"/>
            <w:vMerge w:val="restart"/>
            <w:tcBorders>
              <w:top w:val="single" w:color="auto" w:sz="12" w:space="0"/>
              <w:left w:val="single" w:color="auto" w:sz="12" w:space="0"/>
              <w:bottom w:val="single" w:color="auto" w:sz="4" w:space="0"/>
              <w:right w:val="single" w:color="auto" w:sz="4" w:space="0"/>
            </w:tcBorders>
            <w:noWrap w:val="0"/>
            <w:vAlign w:val="center"/>
          </w:tcPr>
          <w:p>
            <w:pPr>
              <w:widowControl/>
              <w:autoSpaceDE w:val="0"/>
              <w:spacing w:line="240" w:lineRule="exact"/>
              <w:jc w:val="center"/>
              <w:rPr>
                <w:rFonts w:ascii="宋体" w:hAnsi="宋体" w:eastAsia="宋体" w:cs="Times New Roman"/>
                <w:color w:val="auto"/>
                <w:kern w:val="0"/>
              </w:rPr>
            </w:pPr>
            <w:r>
              <w:rPr>
                <w:rFonts w:hint="eastAsia" w:ascii="宋体" w:hAnsi="宋体" w:eastAsia="宋体" w:cs="Times New Roman"/>
                <w:color w:val="auto"/>
                <w:kern w:val="0"/>
              </w:rPr>
              <w:t>一、重点集成电路设计领域</w:t>
            </w:r>
          </w:p>
        </w:tc>
        <w:tc>
          <w:tcPr>
            <w:tcW w:w="8080" w:type="dxa"/>
            <w:tcBorders>
              <w:top w:val="single" w:color="auto" w:sz="12" w:space="0"/>
              <w:left w:val="single" w:color="auto" w:sz="4" w:space="0"/>
              <w:bottom w:val="single" w:color="auto" w:sz="4" w:space="0"/>
              <w:right w:val="single" w:color="auto" w:sz="12" w:space="0"/>
            </w:tcBorders>
            <w:noWrap w:val="0"/>
            <w:vAlign w:val="center"/>
          </w:tcPr>
          <w:p>
            <w:pPr>
              <w:widowControl/>
              <w:autoSpaceDE w:val="0"/>
              <w:spacing w:line="240" w:lineRule="exact"/>
              <w:jc w:val="left"/>
              <w:rPr>
                <w:rFonts w:ascii="宋体" w:hAnsi="宋体" w:eastAsia="宋体" w:cs="Times New Roman"/>
                <w:color w:val="auto"/>
                <w:kern w:val="0"/>
              </w:rPr>
            </w:pPr>
            <w:r>
              <w:rPr>
                <w:rFonts w:hint="eastAsia" w:ascii="宋体" w:hAnsi="宋体" w:eastAsia="宋体" w:cs="Times New Roman"/>
                <w:color w:val="auto"/>
                <w:kern w:val="0"/>
              </w:rPr>
              <w:t>（一）高性能处理器和 FPGA 芯片；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0" w:type="auto"/>
            <w:vMerge w:val="continue"/>
            <w:tcBorders>
              <w:top w:val="single" w:color="auto" w:sz="12"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080" w:type="dxa"/>
            <w:tcBorders>
              <w:top w:val="single" w:color="auto" w:sz="4" w:space="0"/>
              <w:left w:val="single" w:color="auto" w:sz="4" w:space="0"/>
              <w:bottom w:val="single" w:color="auto" w:sz="4" w:space="0"/>
              <w:right w:val="single" w:color="auto" w:sz="12" w:space="0"/>
            </w:tcBorders>
            <w:noWrap w:val="0"/>
            <w:vAlign w:val="center"/>
          </w:tcPr>
          <w:p>
            <w:pPr>
              <w:widowControl/>
              <w:autoSpaceDE w:val="0"/>
              <w:spacing w:line="240" w:lineRule="exact"/>
              <w:jc w:val="left"/>
              <w:rPr>
                <w:rFonts w:ascii="宋体" w:hAnsi="宋体" w:eastAsia="宋体" w:cs="Times New Roman"/>
                <w:color w:val="auto"/>
                <w:kern w:val="0"/>
              </w:rPr>
            </w:pPr>
            <w:r>
              <w:rPr>
                <w:rFonts w:hint="eastAsia" w:ascii="宋体" w:hAnsi="宋体" w:eastAsia="宋体" w:cs="Times New Roman"/>
                <w:color w:val="auto"/>
                <w:kern w:val="0"/>
              </w:rPr>
              <w:t>（二）存储芯片；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0" w:type="auto"/>
            <w:vMerge w:val="continue"/>
            <w:tcBorders>
              <w:top w:val="single" w:color="auto" w:sz="12"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080" w:type="dxa"/>
            <w:tcBorders>
              <w:top w:val="single" w:color="auto" w:sz="4" w:space="0"/>
              <w:left w:val="single" w:color="auto" w:sz="4" w:space="0"/>
              <w:bottom w:val="single" w:color="auto" w:sz="4" w:space="0"/>
              <w:right w:val="single" w:color="auto" w:sz="12" w:space="0"/>
            </w:tcBorders>
            <w:noWrap w:val="0"/>
            <w:vAlign w:val="center"/>
          </w:tcPr>
          <w:p>
            <w:pPr>
              <w:widowControl/>
              <w:autoSpaceDE w:val="0"/>
              <w:spacing w:line="240" w:lineRule="exact"/>
              <w:jc w:val="left"/>
              <w:rPr>
                <w:rFonts w:ascii="宋体" w:hAnsi="宋体" w:eastAsia="宋体" w:cs="Times New Roman"/>
                <w:color w:val="auto"/>
                <w:kern w:val="0"/>
              </w:rPr>
            </w:pPr>
            <w:r>
              <w:rPr>
                <w:rFonts w:hint="eastAsia" w:ascii="宋体" w:hAnsi="宋体" w:eastAsia="宋体" w:cs="Times New Roman"/>
                <w:color w:val="auto"/>
                <w:kern w:val="0"/>
              </w:rPr>
              <w:t>（三）智能传感器；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0" w:type="auto"/>
            <w:vMerge w:val="continue"/>
            <w:tcBorders>
              <w:top w:val="single" w:color="auto" w:sz="12"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080" w:type="dxa"/>
            <w:tcBorders>
              <w:top w:val="single" w:color="auto" w:sz="4" w:space="0"/>
              <w:left w:val="single" w:color="auto" w:sz="4" w:space="0"/>
              <w:bottom w:val="single" w:color="auto" w:sz="4" w:space="0"/>
              <w:right w:val="single" w:color="auto" w:sz="12" w:space="0"/>
            </w:tcBorders>
            <w:noWrap w:val="0"/>
            <w:vAlign w:val="center"/>
          </w:tcPr>
          <w:p>
            <w:pPr>
              <w:widowControl/>
              <w:autoSpaceDE w:val="0"/>
              <w:spacing w:line="240" w:lineRule="exact"/>
              <w:jc w:val="left"/>
              <w:rPr>
                <w:rFonts w:ascii="宋体" w:hAnsi="宋体" w:eastAsia="宋体" w:cs="Times New Roman"/>
                <w:color w:val="auto"/>
                <w:kern w:val="0"/>
              </w:rPr>
            </w:pPr>
            <w:r>
              <w:rPr>
                <w:rFonts w:hint="eastAsia" w:ascii="宋体" w:hAnsi="宋体" w:eastAsia="宋体" w:cs="Times New Roman"/>
                <w:color w:val="auto"/>
                <w:kern w:val="0"/>
              </w:rPr>
              <w:t>（四）工业、通信、汽车和安全芯片；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0" w:type="auto"/>
            <w:vMerge w:val="continue"/>
            <w:tcBorders>
              <w:top w:val="single" w:color="auto" w:sz="12"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080" w:type="dxa"/>
            <w:tcBorders>
              <w:top w:val="single" w:color="auto" w:sz="4" w:space="0"/>
              <w:left w:val="single" w:color="auto" w:sz="4" w:space="0"/>
              <w:bottom w:val="single" w:color="auto" w:sz="4" w:space="0"/>
              <w:right w:val="single" w:color="auto" w:sz="12" w:space="0"/>
            </w:tcBorders>
            <w:noWrap w:val="0"/>
            <w:vAlign w:val="center"/>
          </w:tcPr>
          <w:p>
            <w:pPr>
              <w:widowControl/>
              <w:autoSpaceDE w:val="0"/>
              <w:spacing w:line="240" w:lineRule="exact"/>
              <w:jc w:val="left"/>
              <w:rPr>
                <w:rFonts w:ascii="宋体" w:hAnsi="宋体" w:eastAsia="宋体" w:cs="Times New Roman"/>
                <w:color w:val="auto"/>
                <w:kern w:val="0"/>
              </w:rPr>
            </w:pPr>
            <w:r>
              <w:rPr>
                <w:rFonts w:hint="eastAsia" w:ascii="宋体" w:hAnsi="宋体" w:eastAsia="宋体" w:cs="Times New Roman"/>
                <w:color w:val="auto"/>
                <w:kern w:val="0"/>
              </w:rPr>
              <w:t>（五）EDA、IP和设计服务。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080" w:type="dxa"/>
            <w:vMerge w:val="restart"/>
            <w:tcBorders>
              <w:top w:val="single" w:color="auto" w:sz="4" w:space="0"/>
              <w:left w:val="single" w:color="auto" w:sz="12" w:space="0"/>
              <w:bottom w:val="single" w:color="auto" w:sz="4" w:space="0"/>
              <w:right w:val="single" w:color="auto" w:sz="4" w:space="0"/>
            </w:tcBorders>
            <w:noWrap w:val="0"/>
            <w:vAlign w:val="center"/>
          </w:tcPr>
          <w:p>
            <w:pPr>
              <w:widowControl/>
              <w:autoSpaceDE w:val="0"/>
              <w:spacing w:line="240" w:lineRule="exact"/>
              <w:jc w:val="center"/>
              <w:rPr>
                <w:rFonts w:ascii="宋体" w:hAnsi="宋体" w:eastAsia="宋体" w:cs="Times New Roman"/>
                <w:color w:val="auto"/>
                <w:kern w:val="0"/>
              </w:rPr>
            </w:pPr>
            <w:r>
              <w:rPr>
                <w:rFonts w:hint="eastAsia" w:ascii="宋体" w:hAnsi="宋体" w:eastAsia="宋体" w:cs="Times New Roman"/>
                <w:color w:val="auto"/>
                <w:kern w:val="0"/>
              </w:rPr>
              <w:t>二、重点软件领域</w:t>
            </w:r>
          </w:p>
        </w:tc>
        <w:tc>
          <w:tcPr>
            <w:tcW w:w="8080" w:type="dxa"/>
            <w:tcBorders>
              <w:top w:val="single" w:color="auto" w:sz="4" w:space="0"/>
              <w:left w:val="single" w:color="auto" w:sz="4" w:space="0"/>
              <w:bottom w:val="single" w:color="auto" w:sz="4" w:space="0"/>
              <w:right w:val="single" w:color="auto" w:sz="12" w:space="0"/>
            </w:tcBorders>
            <w:noWrap w:val="0"/>
            <w:vAlign w:val="center"/>
          </w:tcPr>
          <w:p>
            <w:pPr>
              <w:widowControl/>
              <w:autoSpaceDE w:val="0"/>
              <w:spacing w:line="240" w:lineRule="exact"/>
              <w:jc w:val="left"/>
              <w:rPr>
                <w:rFonts w:ascii="宋体" w:hAnsi="宋体" w:eastAsia="宋体" w:cs="Times New Roman"/>
                <w:color w:val="auto"/>
                <w:kern w:val="0"/>
              </w:rPr>
            </w:pPr>
            <w:r>
              <w:rPr>
                <w:rFonts w:hint="eastAsia" w:ascii="宋体" w:hAnsi="宋体" w:eastAsia="宋体" w:cs="Times New Roman"/>
                <w:color w:val="auto"/>
                <w:kern w:val="0"/>
              </w:rPr>
              <w:t>（一）基础软件：操作系统（含工业操作系统）、数据库管理系统、中间件、通用办公软件、固件（BIOS）、开发支撑软件、少数民族语言文字编辑处理软件。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25" w:hRule="atLeast"/>
        </w:trPr>
        <w:tc>
          <w:tcPr>
            <w:tcW w:w="0" w:type="auto"/>
            <w:vMerge w:val="continue"/>
            <w:tcBorders>
              <w:top w:val="single" w:color="auto" w:sz="4"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080" w:type="dxa"/>
            <w:tcBorders>
              <w:top w:val="single" w:color="auto" w:sz="4" w:space="0"/>
              <w:left w:val="single" w:color="auto" w:sz="4" w:space="0"/>
              <w:bottom w:val="single" w:color="auto" w:sz="4" w:space="0"/>
              <w:right w:val="single" w:color="auto" w:sz="12" w:space="0"/>
            </w:tcBorders>
            <w:noWrap w:val="0"/>
            <w:vAlign w:val="center"/>
          </w:tcPr>
          <w:p>
            <w:pPr>
              <w:widowControl/>
              <w:autoSpaceDE w:val="0"/>
              <w:spacing w:line="240" w:lineRule="exact"/>
              <w:jc w:val="left"/>
              <w:rPr>
                <w:rFonts w:ascii="宋体" w:hAnsi="宋体" w:eastAsia="宋体" w:cs="Times New Roman"/>
                <w:color w:val="auto"/>
                <w:kern w:val="0"/>
              </w:rPr>
            </w:pPr>
            <w:r>
              <w:rPr>
                <w:rFonts w:hint="eastAsia" w:ascii="宋体" w:hAnsi="宋体" w:eastAsia="宋体" w:cs="Times New Roman"/>
                <w:color w:val="auto"/>
                <w:kern w:val="0"/>
              </w:rPr>
              <w:t>（二）研发设计类工业软件：虚拟仿真系统、计算机辅助设计（CAD）、计算机辅助工程（CAE）、计算机辅助制造（CAM）、计算机辅助工艺规划（CAPP）、建筑信息模型（BIM）、产品数据管理（PDM）软件。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25" w:hRule="atLeast"/>
        </w:trPr>
        <w:tc>
          <w:tcPr>
            <w:tcW w:w="0" w:type="auto"/>
            <w:vMerge w:val="continue"/>
            <w:tcBorders>
              <w:top w:val="single" w:color="auto" w:sz="4"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080" w:type="dxa"/>
            <w:tcBorders>
              <w:top w:val="single" w:color="auto" w:sz="4" w:space="0"/>
              <w:left w:val="single" w:color="auto" w:sz="4" w:space="0"/>
              <w:bottom w:val="single" w:color="auto" w:sz="4" w:space="0"/>
              <w:right w:val="single" w:color="auto" w:sz="12" w:space="0"/>
            </w:tcBorders>
            <w:noWrap w:val="0"/>
            <w:vAlign w:val="center"/>
          </w:tcPr>
          <w:p>
            <w:pPr>
              <w:widowControl/>
              <w:autoSpaceDE w:val="0"/>
              <w:spacing w:line="240" w:lineRule="exact"/>
              <w:jc w:val="left"/>
              <w:rPr>
                <w:rFonts w:ascii="宋体" w:hAnsi="宋体" w:eastAsia="宋体" w:cs="Times New Roman"/>
                <w:color w:val="auto"/>
                <w:kern w:val="0"/>
              </w:rPr>
            </w:pPr>
            <w:r>
              <w:rPr>
                <w:rFonts w:hint="eastAsia" w:ascii="宋体" w:hAnsi="宋体" w:eastAsia="宋体" w:cs="Times New Roman"/>
                <w:color w:val="auto"/>
                <w:kern w:val="0"/>
              </w:rPr>
              <w:t>（三）人工智能软件：人机交互、通用算法软件、基础算法库、工具链、机器学习、知识图谱、深度学习框架、自然语言处理软件、智能语音、计算机视觉、通用及行业大模型。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38" w:hRule="atLeast"/>
        </w:trPr>
        <w:tc>
          <w:tcPr>
            <w:tcW w:w="0" w:type="auto"/>
            <w:vMerge w:val="continue"/>
            <w:tcBorders>
              <w:top w:val="single" w:color="auto" w:sz="4"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080" w:type="dxa"/>
            <w:tcBorders>
              <w:top w:val="single" w:color="auto" w:sz="4" w:space="0"/>
              <w:left w:val="single" w:color="auto" w:sz="4" w:space="0"/>
              <w:bottom w:val="single" w:color="auto" w:sz="4" w:space="0"/>
              <w:right w:val="single" w:color="auto" w:sz="12" w:space="0"/>
            </w:tcBorders>
            <w:noWrap w:val="0"/>
            <w:vAlign w:val="center"/>
          </w:tcPr>
          <w:p>
            <w:pPr>
              <w:widowControl/>
              <w:autoSpaceDE w:val="0"/>
              <w:spacing w:line="240" w:lineRule="exact"/>
              <w:jc w:val="left"/>
              <w:rPr>
                <w:rFonts w:ascii="宋体" w:hAnsi="宋体" w:eastAsia="宋体" w:cs="Times New Roman"/>
                <w:color w:val="auto"/>
                <w:kern w:val="0"/>
              </w:rPr>
            </w:pPr>
            <w:r>
              <w:rPr>
                <w:rFonts w:hint="eastAsia" w:ascii="宋体" w:hAnsi="宋体" w:eastAsia="宋体" w:cs="Times New Roman"/>
                <w:color w:val="auto"/>
                <w:kern w:val="0"/>
              </w:rPr>
              <w:t>（四）生产控制类工业软件：工业控制系统、制造执行系统（MES）、制造运行管理（MOM）、调度优化系统（ORION）、先进控制系统（APC）、分布式控制系统（DCS）、数据采集与监视控制系统（SCADA）、安全仪表系统（SIS）、可编程控制器（PLC）。</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0" w:type="auto"/>
            <w:vMerge w:val="continue"/>
            <w:tcBorders>
              <w:top w:val="single" w:color="auto" w:sz="4"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080" w:type="dxa"/>
            <w:tcBorders>
              <w:top w:val="single" w:color="auto" w:sz="4" w:space="0"/>
              <w:left w:val="single" w:color="auto" w:sz="4" w:space="0"/>
              <w:bottom w:val="single" w:color="auto" w:sz="4" w:space="0"/>
              <w:right w:val="single" w:color="auto" w:sz="12" w:space="0"/>
            </w:tcBorders>
            <w:noWrap w:val="0"/>
            <w:vAlign w:val="center"/>
          </w:tcPr>
          <w:p>
            <w:pPr>
              <w:widowControl/>
              <w:autoSpaceDE w:val="0"/>
              <w:spacing w:line="240" w:lineRule="exact"/>
              <w:jc w:val="left"/>
              <w:rPr>
                <w:rFonts w:ascii="宋体" w:hAnsi="宋体" w:eastAsia="宋体" w:cs="Times New Roman"/>
                <w:color w:val="auto"/>
                <w:kern w:val="0"/>
              </w:rPr>
            </w:pPr>
            <w:r>
              <w:rPr>
                <w:rFonts w:hint="eastAsia" w:ascii="宋体" w:hAnsi="宋体" w:eastAsia="宋体" w:cs="Times New Roman"/>
                <w:color w:val="auto"/>
                <w:kern w:val="0"/>
              </w:rPr>
              <w:t>（五）新兴技术软件：分布式计算、数据分析挖掘、可视化、数据采集清洗等大数据软件，信息系统运行维护软件，超级计算软件，区块链软件，工业互联网平台软件，云管理软件，虚拟化软件。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92" w:hRule="atLeast"/>
        </w:trPr>
        <w:tc>
          <w:tcPr>
            <w:tcW w:w="0" w:type="auto"/>
            <w:vMerge w:val="continue"/>
            <w:tcBorders>
              <w:top w:val="single" w:color="auto" w:sz="4"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080" w:type="dxa"/>
            <w:tcBorders>
              <w:top w:val="single" w:color="auto" w:sz="4" w:space="0"/>
              <w:left w:val="single" w:color="auto" w:sz="4" w:space="0"/>
              <w:bottom w:val="single" w:color="auto" w:sz="4" w:space="0"/>
              <w:right w:val="single" w:color="auto" w:sz="12" w:space="0"/>
            </w:tcBorders>
            <w:noWrap w:val="0"/>
            <w:vAlign w:val="center"/>
          </w:tcPr>
          <w:p>
            <w:pPr>
              <w:widowControl/>
              <w:autoSpaceDE w:val="0"/>
              <w:spacing w:line="240" w:lineRule="exact"/>
              <w:jc w:val="left"/>
              <w:rPr>
                <w:rFonts w:ascii="宋体" w:hAnsi="宋体" w:eastAsia="宋体" w:cs="Times New Roman"/>
                <w:color w:val="auto"/>
                <w:kern w:val="0"/>
              </w:rPr>
            </w:pPr>
            <w:r>
              <w:rPr>
                <w:rFonts w:hint="eastAsia" w:ascii="宋体" w:hAnsi="宋体" w:eastAsia="宋体" w:cs="Times New Roman"/>
                <w:color w:val="auto"/>
                <w:kern w:val="0"/>
              </w:rPr>
              <w:t>（六）信息安全软件：信息系统安全、网络安全、密码算法、数据安全、安全测试等方面的软件。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25" w:hRule="atLeast"/>
        </w:trPr>
        <w:tc>
          <w:tcPr>
            <w:tcW w:w="0" w:type="auto"/>
            <w:vMerge w:val="continue"/>
            <w:tcBorders>
              <w:top w:val="single" w:color="auto" w:sz="4"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080" w:type="dxa"/>
            <w:tcBorders>
              <w:top w:val="single" w:color="auto" w:sz="4" w:space="0"/>
              <w:left w:val="single" w:color="auto" w:sz="4" w:space="0"/>
              <w:bottom w:val="single" w:color="auto" w:sz="4" w:space="0"/>
              <w:right w:val="single" w:color="auto" w:sz="12" w:space="0"/>
            </w:tcBorders>
            <w:noWrap w:val="0"/>
            <w:vAlign w:val="center"/>
          </w:tcPr>
          <w:p>
            <w:pPr>
              <w:widowControl/>
              <w:autoSpaceDE w:val="0"/>
              <w:spacing w:line="240" w:lineRule="exact"/>
              <w:jc w:val="left"/>
              <w:rPr>
                <w:rFonts w:ascii="宋体" w:hAnsi="宋体" w:eastAsia="宋体" w:cs="Times New Roman"/>
                <w:color w:val="auto"/>
                <w:kern w:val="0"/>
              </w:rPr>
            </w:pPr>
            <w:r>
              <w:rPr>
                <w:rFonts w:hint="eastAsia" w:ascii="宋体" w:hAnsi="宋体" w:eastAsia="宋体" w:cs="Times New Roman"/>
                <w:color w:val="auto"/>
                <w:kern w:val="0"/>
              </w:rPr>
              <w:t>（七）重点行业应用软件：面向党政机关、国防、能源、交通、物流、通信、广电、医疗、建筑、制造业、应急、社保、农业、水利、教育、金融财税、知识产权、检验检测、科学研究、公共安全、节能环保、自然资源、城市管理、地理信息领域的专业应用软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0" w:type="auto"/>
            <w:vMerge w:val="continue"/>
            <w:tcBorders>
              <w:top w:val="single" w:color="auto" w:sz="4"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080" w:type="dxa"/>
            <w:tcBorders>
              <w:top w:val="single" w:color="auto" w:sz="4" w:space="0"/>
              <w:left w:val="single" w:color="auto" w:sz="4" w:space="0"/>
              <w:bottom w:val="single" w:color="auto" w:sz="4" w:space="0"/>
              <w:right w:val="single" w:color="auto" w:sz="12" w:space="0"/>
            </w:tcBorders>
            <w:noWrap w:val="0"/>
            <w:vAlign w:val="center"/>
          </w:tcPr>
          <w:p>
            <w:pPr>
              <w:widowControl/>
              <w:autoSpaceDE w:val="0"/>
              <w:spacing w:line="240" w:lineRule="exact"/>
              <w:rPr>
                <w:rFonts w:ascii="宋体" w:hAnsi="宋体" w:eastAsia="宋体" w:cs="Times New Roman"/>
                <w:color w:val="auto"/>
                <w:kern w:val="0"/>
              </w:rPr>
            </w:pPr>
            <w:r>
              <w:rPr>
                <w:rFonts w:hint="eastAsia" w:ascii="宋体" w:hAnsi="宋体" w:eastAsia="宋体" w:cs="Times New Roman"/>
                <w:color w:val="auto"/>
                <w:kern w:val="0"/>
              </w:rPr>
              <w:t>（八）经营管理类工业软件：企业资源计划（ERP）、供应链管理（SCM）、客户关系管理（CRM）、人力资源管理（HEM）、企业资产管理（EAM）、产品生命周期管理（PLM）、运维综合保障管理（MRO）软件及相关云服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0" w:type="auto"/>
            <w:vMerge w:val="continue"/>
            <w:tcBorders>
              <w:top w:val="single" w:color="auto" w:sz="4"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080" w:type="dxa"/>
            <w:tcBorders>
              <w:top w:val="single" w:color="auto" w:sz="4" w:space="0"/>
              <w:left w:val="single" w:color="auto" w:sz="4" w:space="0"/>
              <w:bottom w:val="single" w:color="auto" w:sz="4" w:space="0"/>
              <w:right w:val="single" w:color="auto" w:sz="12" w:space="0"/>
            </w:tcBorders>
            <w:noWrap w:val="0"/>
            <w:vAlign w:val="center"/>
          </w:tcPr>
          <w:p>
            <w:pPr>
              <w:widowControl/>
              <w:autoSpaceDE w:val="0"/>
              <w:spacing w:line="240" w:lineRule="exact"/>
              <w:rPr>
                <w:rFonts w:hint="eastAsia" w:ascii="宋体" w:hAnsi="宋体" w:eastAsia="宋体" w:cs="Times New Roman"/>
                <w:color w:val="auto"/>
                <w:kern w:val="0"/>
              </w:rPr>
            </w:pPr>
            <w:r>
              <w:rPr>
                <w:rFonts w:hint="eastAsia" w:ascii="宋体" w:hAnsi="宋体" w:eastAsia="宋体" w:cs="Times New Roman"/>
                <w:color w:val="auto"/>
                <w:kern w:val="0"/>
              </w:rPr>
              <w:t>（九）公有云服务软件：大型公有云 IaaS、PaaS 服务软件。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25" w:hRule="atLeast"/>
        </w:trPr>
        <w:tc>
          <w:tcPr>
            <w:tcW w:w="0" w:type="auto"/>
            <w:vMerge w:val="continue"/>
            <w:tcBorders>
              <w:top w:val="single" w:color="auto" w:sz="4" w:space="0"/>
              <w:left w:val="single" w:color="auto" w:sz="12" w:space="0"/>
              <w:bottom w:val="single" w:color="auto" w:sz="4" w:space="0"/>
              <w:right w:val="single" w:color="auto" w:sz="4" w:space="0"/>
            </w:tcBorders>
            <w:noWrap w:val="0"/>
            <w:vAlign w:val="center"/>
          </w:tcPr>
          <w:p>
            <w:pPr>
              <w:widowControl/>
              <w:jc w:val="left"/>
              <w:rPr>
                <w:rFonts w:ascii="宋体" w:hAnsi="宋体" w:eastAsia="宋体" w:cs="Times New Roman"/>
                <w:color w:val="auto"/>
                <w:kern w:val="0"/>
              </w:rPr>
            </w:pPr>
          </w:p>
        </w:tc>
        <w:tc>
          <w:tcPr>
            <w:tcW w:w="8080" w:type="dxa"/>
            <w:tcBorders>
              <w:top w:val="single" w:color="auto" w:sz="4" w:space="0"/>
              <w:left w:val="single" w:color="auto" w:sz="4" w:space="0"/>
              <w:bottom w:val="single" w:color="auto" w:sz="4" w:space="0"/>
              <w:right w:val="single" w:color="auto" w:sz="12" w:space="0"/>
            </w:tcBorders>
            <w:noWrap w:val="0"/>
            <w:vAlign w:val="center"/>
          </w:tcPr>
          <w:p>
            <w:pPr>
              <w:widowControl/>
              <w:autoSpaceDE w:val="0"/>
              <w:spacing w:line="240" w:lineRule="exact"/>
              <w:rPr>
                <w:rFonts w:ascii="宋体" w:hAnsi="宋体" w:eastAsia="宋体" w:cs="Times New Roman"/>
                <w:color w:val="auto"/>
                <w:kern w:val="0"/>
              </w:rPr>
            </w:pPr>
            <w:r>
              <w:rPr>
                <w:rFonts w:hint="eastAsia" w:ascii="宋体" w:hAnsi="宋体" w:eastAsia="宋体" w:cs="Times New Roman"/>
                <w:color w:val="auto"/>
                <w:kern w:val="0"/>
              </w:rPr>
              <w:t>（十）嵌入式软件（软件收入比例不低于 50%）：通信设备、汽车电子、交通监控设备、电子测量仪器、装备自动控制、电子医疗器械、计算机应用产品、终端设备等嵌入式软件及嵌入式软件开发环境相关软件。</w:t>
            </w:r>
          </w:p>
        </w:tc>
      </w:tr>
    </w:tbl>
    <w:p>
      <w:pPr>
        <w:widowControl w:val="0"/>
        <w:spacing w:line="480" w:lineRule="exact"/>
        <w:ind w:firstLine="480" w:firstLineChars="200"/>
        <w:jc w:val="both"/>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kern w:val="2"/>
          <w:sz w:val="24"/>
          <w:szCs w:val="24"/>
          <w:lang w:val="en-US" w:eastAsia="zh-CN" w:bidi="ar-SA"/>
        </w:rPr>
        <w:t>16.第16行“减免税额”：填报本年享受集成电路、软件企业优惠的金额。当减免方式为“项目所得二免三减半（免税）”“项目所得二免三减半（减半征收）”“项目所得五免五减半（免税）”“项目所得五免五减半（减半征收）”“项目所得十免（免税）”时，本行无需填报。</w:t>
      </w:r>
    </w:p>
    <w:bookmarkEnd w:id="308"/>
    <w:bookmarkEnd w:id="309"/>
    <w:bookmarkEnd w:id="310"/>
    <w:bookmarkEnd w:id="311"/>
    <w:bookmarkEnd w:id="312"/>
    <w:bookmarkEnd w:id="313"/>
    <w:bookmarkEnd w:id="314"/>
    <w:bookmarkEnd w:id="315"/>
    <w:bookmarkEnd w:id="316"/>
    <w:bookmarkEnd w:id="317"/>
    <w:bookmarkEnd w:id="327"/>
    <w:p>
      <w:pPr>
        <w:pStyle w:val="23"/>
        <w:ind w:firstLine="480"/>
        <w:outlineLvl w:val="1"/>
        <w:rPr>
          <w:rFonts w:ascii="黑体" w:hAnsi="黑体" w:eastAsia="黑体" w:cs="黑体"/>
          <w:b w:val="0"/>
          <w:bCs/>
          <w:color w:val="auto"/>
          <w:highlight w:val="none"/>
        </w:rPr>
      </w:pPr>
      <w:bookmarkStart w:id="335" w:name="_Toc2035009352_WPSOffice_Level1"/>
      <w:bookmarkStart w:id="336" w:name="_Toc54267969"/>
      <w:bookmarkStart w:id="337" w:name="_Toc11826"/>
      <w:bookmarkStart w:id="338" w:name="_Toc1912222916_WPSOffice_Level1"/>
      <w:bookmarkStart w:id="339" w:name="_Toc163974827"/>
      <w:r>
        <w:rPr>
          <w:rFonts w:hint="eastAsia" w:ascii="黑体" w:hAnsi="黑体" w:eastAsia="黑体" w:cs="黑体"/>
          <w:b w:val="0"/>
          <w:bCs/>
          <w:color w:val="auto"/>
          <w:highlight w:val="none"/>
          <w:lang w:eastAsia="zh-CN"/>
        </w:rPr>
        <w:t>三、</w:t>
      </w:r>
      <w:r>
        <w:rPr>
          <w:rFonts w:hint="eastAsia" w:ascii="黑体" w:hAnsi="黑体" w:eastAsia="黑体" w:cs="黑体"/>
          <w:b w:val="0"/>
          <w:bCs/>
          <w:color w:val="auto"/>
          <w:highlight w:val="none"/>
        </w:rPr>
        <w:t>表内、表间关系</w:t>
      </w:r>
      <w:bookmarkEnd w:id="335"/>
      <w:bookmarkEnd w:id="336"/>
      <w:bookmarkEnd w:id="337"/>
      <w:bookmarkEnd w:id="338"/>
      <w:bookmarkEnd w:id="339"/>
    </w:p>
    <w:p>
      <w:pPr>
        <w:pStyle w:val="12"/>
        <w:tabs>
          <w:tab w:val="center" w:pos="4153"/>
        </w:tabs>
        <w:spacing w:line="360" w:lineRule="auto"/>
        <w:ind w:firstLine="480" w:firstLineChars="200"/>
        <w:rPr>
          <w:color w:val="auto"/>
          <w:highlight w:val="none"/>
        </w:rPr>
        <w:sectPr>
          <w:pgSz w:w="11906" w:h="16838"/>
          <w:pgMar w:top="1440" w:right="1800" w:bottom="1440" w:left="1800" w:header="851" w:footer="992" w:gutter="0"/>
          <w:pgNumType w:fmt="decimal"/>
          <w:cols w:space="720" w:num="1"/>
          <w:rtlGutter w:val="0"/>
          <w:docGrid w:type="lines" w:linePitch="312" w:charSpace="0"/>
        </w:sectPr>
      </w:pPr>
      <w:r>
        <w:rPr>
          <w:rFonts w:hint="eastAsia"/>
          <w:color w:val="auto"/>
          <w:highlight w:val="none"/>
        </w:rPr>
        <w:t>第</w:t>
      </w:r>
      <w:r>
        <w:rPr>
          <w:color w:val="auto"/>
          <w:highlight w:val="none"/>
        </w:rPr>
        <w:t>16行</w:t>
      </w:r>
      <w:r>
        <w:rPr>
          <w:rFonts w:hint="eastAsia"/>
          <w:color w:val="auto"/>
          <w:highlight w:val="none"/>
        </w:rPr>
        <w:t>＝表</w:t>
      </w:r>
      <w:r>
        <w:rPr>
          <w:color w:val="auto"/>
          <w:highlight w:val="none"/>
        </w:rPr>
        <w:t>A100000第31行</w:t>
      </w:r>
      <w:r>
        <w:rPr>
          <w:rFonts w:hint="eastAsia"/>
          <w:color w:val="auto"/>
          <w:highlight w:val="none"/>
        </w:rPr>
        <w:t>下</w:t>
      </w:r>
      <w:r>
        <w:rPr>
          <w:color w:val="auto"/>
          <w:highlight w:val="none"/>
        </w:rPr>
        <w:t>对应项目金额。</w:t>
      </w:r>
    </w:p>
    <w:p>
      <w:pPr>
        <w:pStyle w:val="13"/>
        <w:tabs>
          <w:tab w:val="center" w:pos="6300"/>
          <w:tab w:val="clear" w:pos="4678"/>
        </w:tabs>
        <w:ind w:firstLine="480"/>
        <w:jc w:val="both"/>
        <w:rPr>
          <w:rFonts w:hint="eastAsia" w:ascii="方正小标宋_GBK" w:hAnsi="方正小标宋_GBK" w:eastAsia="方正小标宋_GBK" w:cs="方正小标宋_GBK"/>
          <w:color w:val="auto"/>
        </w:rPr>
      </w:pPr>
      <w:bookmarkStart w:id="340" w:name="_Toc740233375"/>
      <w:r>
        <w:rPr>
          <w:rFonts w:hint="eastAsia" w:ascii="方正小标宋_GBK" w:hAnsi="方正小标宋_GBK" w:eastAsia="方正小标宋_GBK" w:cs="方正小标宋_GBK"/>
          <w:color w:val="auto"/>
        </w:rPr>
        <w:t>A107050</w:t>
      </w:r>
      <w:r>
        <w:rPr>
          <w:rFonts w:hint="eastAsia" w:ascii="方正小标宋_GBK" w:hAnsi="方正小标宋_GBK" w:eastAsia="方正小标宋_GBK" w:cs="方正小标宋_GBK"/>
          <w:color w:val="auto"/>
        </w:rPr>
        <w:tab/>
      </w:r>
      <w:r>
        <w:rPr>
          <w:rFonts w:hint="eastAsia" w:ascii="方正小标宋_GBK" w:hAnsi="方正小标宋_GBK" w:eastAsia="方正小标宋_GBK" w:cs="方正小标宋_GBK"/>
          <w:color w:val="auto"/>
        </w:rPr>
        <w:t>税额抵免优惠明细表</w:t>
      </w:r>
      <w:bookmarkEnd w:id="318"/>
      <w:bookmarkEnd w:id="319"/>
      <w:bookmarkEnd w:id="320"/>
      <w:bookmarkEnd w:id="321"/>
      <w:bookmarkEnd w:id="322"/>
      <w:bookmarkEnd w:id="323"/>
      <w:bookmarkEnd w:id="324"/>
      <w:bookmarkEnd w:id="340"/>
    </w:p>
    <w:tbl>
      <w:tblPr>
        <w:tblStyle w:val="7"/>
        <w:tblW w:w="15084"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07"/>
        <w:gridCol w:w="707"/>
        <w:gridCol w:w="1171"/>
        <w:gridCol w:w="1237"/>
        <w:gridCol w:w="1877"/>
        <w:gridCol w:w="1877"/>
        <w:gridCol w:w="1877"/>
        <w:gridCol w:w="1877"/>
        <w:gridCol w:w="1877"/>
        <w:gridCol w:w="187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707" w:type="dxa"/>
            <w:vMerge w:val="restart"/>
            <w:tcBorders>
              <w:tl2br w:val="nil"/>
              <w:tr2bl w:val="nil"/>
            </w:tcBorders>
            <w:noWrap w:val="0"/>
            <w:vAlign w:val="center"/>
          </w:tcPr>
          <w:p>
            <w:pPr>
              <w:widowControl/>
              <w:jc w:val="center"/>
              <w:rPr>
                <w:rFonts w:hint="eastAsia" w:ascii="宋体" w:hAnsi="宋体" w:cs="宋体"/>
                <w:b/>
                <w:bCs/>
                <w:color w:val="auto"/>
                <w:kern w:val="0"/>
                <w:sz w:val="20"/>
                <w:szCs w:val="20"/>
              </w:rPr>
            </w:pPr>
            <w:r>
              <w:rPr>
                <w:rFonts w:hint="eastAsia" w:ascii="宋体" w:hAnsi="宋体" w:cs="宋体"/>
                <w:b/>
                <w:bCs/>
                <w:color w:val="auto"/>
                <w:kern w:val="0"/>
                <w:sz w:val="20"/>
                <w:szCs w:val="20"/>
              </w:rPr>
              <w:t>行次</w:t>
            </w:r>
          </w:p>
        </w:tc>
        <w:tc>
          <w:tcPr>
            <w:tcW w:w="707" w:type="dxa"/>
            <w:vMerge w:val="restart"/>
            <w:tcBorders>
              <w:tl2br w:val="nil"/>
              <w:tr2bl w:val="nil"/>
            </w:tcBorders>
            <w:noWrap w:val="0"/>
            <w:vAlign w:val="center"/>
          </w:tcPr>
          <w:p>
            <w:pPr>
              <w:widowControl/>
              <w:jc w:val="center"/>
              <w:rPr>
                <w:rFonts w:hint="eastAsia" w:ascii="宋体" w:hAnsi="宋体" w:cs="宋体"/>
                <w:b/>
                <w:bCs/>
                <w:color w:val="auto"/>
                <w:kern w:val="0"/>
                <w:sz w:val="20"/>
                <w:szCs w:val="20"/>
              </w:rPr>
            </w:pPr>
            <w:r>
              <w:rPr>
                <w:rFonts w:hint="eastAsia" w:ascii="宋体" w:hAnsi="宋体" w:cs="宋体"/>
                <w:b/>
                <w:bCs/>
                <w:color w:val="auto"/>
                <w:kern w:val="0"/>
                <w:sz w:val="20"/>
                <w:szCs w:val="20"/>
              </w:rPr>
              <w:t>类别</w:t>
            </w:r>
          </w:p>
        </w:tc>
        <w:tc>
          <w:tcPr>
            <w:tcW w:w="1171" w:type="dxa"/>
            <w:vMerge w:val="restart"/>
            <w:tcBorders>
              <w:tl2br w:val="nil"/>
              <w:tr2bl w:val="nil"/>
            </w:tcBorders>
            <w:noWrap w:val="0"/>
            <w:vAlign w:val="center"/>
          </w:tcPr>
          <w:p>
            <w:pPr>
              <w:widowControl/>
              <w:jc w:val="center"/>
              <w:rPr>
                <w:rFonts w:hint="eastAsia" w:ascii="宋体" w:hAnsi="宋体" w:cs="宋体"/>
                <w:b/>
                <w:bCs/>
                <w:color w:val="auto"/>
                <w:kern w:val="0"/>
                <w:sz w:val="20"/>
                <w:szCs w:val="20"/>
              </w:rPr>
            </w:pPr>
            <w:r>
              <w:rPr>
                <w:rFonts w:hint="eastAsia" w:ascii="宋体" w:hAnsi="宋体" w:cs="宋体"/>
                <w:b/>
                <w:bCs/>
                <w:color w:val="auto"/>
                <w:kern w:val="0"/>
                <w:sz w:val="20"/>
                <w:szCs w:val="20"/>
              </w:rPr>
              <w:t>项目</w:t>
            </w:r>
          </w:p>
        </w:tc>
        <w:tc>
          <w:tcPr>
            <w:tcW w:w="1237" w:type="dxa"/>
            <w:tcBorders>
              <w:tl2br w:val="nil"/>
              <w:tr2bl w:val="nil"/>
            </w:tcBorders>
            <w:noWrap w:val="0"/>
            <w:vAlign w:val="center"/>
          </w:tcPr>
          <w:p>
            <w:pPr>
              <w:widowControl/>
              <w:jc w:val="center"/>
              <w:rPr>
                <w:rFonts w:hint="eastAsia" w:ascii="宋体" w:hAnsi="宋体" w:cs="宋体"/>
                <w:b/>
                <w:bCs/>
                <w:color w:val="auto"/>
                <w:kern w:val="0"/>
                <w:sz w:val="20"/>
                <w:szCs w:val="20"/>
              </w:rPr>
            </w:pPr>
            <w:r>
              <w:rPr>
                <w:rFonts w:hint="eastAsia" w:ascii="宋体" w:hAnsi="宋体" w:cs="宋体"/>
                <w:b/>
                <w:bCs/>
                <w:color w:val="auto"/>
                <w:kern w:val="0"/>
                <w:sz w:val="20"/>
                <w:szCs w:val="20"/>
              </w:rPr>
              <w:t>年度</w:t>
            </w:r>
          </w:p>
        </w:tc>
        <w:tc>
          <w:tcPr>
            <w:tcW w:w="1877" w:type="dxa"/>
            <w:tcBorders>
              <w:tl2br w:val="nil"/>
              <w:tr2bl w:val="nil"/>
            </w:tcBorders>
            <w:noWrap w:val="0"/>
            <w:vAlign w:val="center"/>
          </w:tcPr>
          <w:p>
            <w:pPr>
              <w:widowControl/>
              <w:jc w:val="center"/>
              <w:rPr>
                <w:rFonts w:hint="eastAsia" w:ascii="宋体" w:hAnsi="宋体" w:cs="宋体"/>
                <w:b/>
                <w:bCs/>
                <w:color w:val="auto"/>
                <w:kern w:val="0"/>
                <w:sz w:val="20"/>
                <w:szCs w:val="20"/>
              </w:rPr>
            </w:pPr>
            <w:r>
              <w:rPr>
                <w:rFonts w:hint="eastAsia" w:ascii="宋体" w:hAnsi="宋体" w:cs="宋体"/>
                <w:b/>
                <w:bCs/>
                <w:color w:val="auto"/>
                <w:kern w:val="0"/>
                <w:sz w:val="20"/>
                <w:szCs w:val="20"/>
              </w:rPr>
              <w:t>当年抵免前应纳税额</w:t>
            </w:r>
          </w:p>
        </w:tc>
        <w:tc>
          <w:tcPr>
            <w:tcW w:w="1877" w:type="dxa"/>
            <w:tcBorders>
              <w:tl2br w:val="nil"/>
              <w:tr2bl w:val="nil"/>
            </w:tcBorders>
            <w:noWrap w:val="0"/>
            <w:vAlign w:val="center"/>
          </w:tcPr>
          <w:p>
            <w:pPr>
              <w:widowControl/>
              <w:jc w:val="center"/>
              <w:rPr>
                <w:rFonts w:hint="eastAsia" w:ascii="宋体" w:hAnsi="宋体" w:cs="宋体"/>
                <w:b/>
                <w:bCs/>
                <w:color w:val="auto"/>
                <w:kern w:val="0"/>
                <w:sz w:val="20"/>
                <w:szCs w:val="20"/>
              </w:rPr>
            </w:pPr>
            <w:r>
              <w:rPr>
                <w:rFonts w:hint="eastAsia"/>
                <w:b/>
                <w:bCs/>
                <w:color w:val="auto"/>
                <w:sz w:val="20"/>
                <w:szCs w:val="20"/>
              </w:rPr>
              <w:t>当年允许抵免的专用设备投资额</w:t>
            </w:r>
          </w:p>
        </w:tc>
        <w:tc>
          <w:tcPr>
            <w:tcW w:w="1877" w:type="dxa"/>
            <w:tcBorders>
              <w:tl2br w:val="nil"/>
              <w:tr2bl w:val="nil"/>
            </w:tcBorders>
            <w:noWrap w:val="0"/>
            <w:vAlign w:val="center"/>
          </w:tcPr>
          <w:p>
            <w:pPr>
              <w:widowControl/>
              <w:jc w:val="center"/>
              <w:rPr>
                <w:rFonts w:hint="eastAsia" w:ascii="宋体" w:hAnsi="宋体" w:cs="宋体"/>
                <w:b/>
                <w:bCs/>
                <w:color w:val="auto"/>
                <w:kern w:val="0"/>
                <w:sz w:val="20"/>
                <w:szCs w:val="20"/>
              </w:rPr>
            </w:pPr>
            <w:r>
              <w:rPr>
                <w:rFonts w:hint="eastAsia" w:ascii="宋体" w:hAnsi="宋体" w:cs="宋体"/>
                <w:b/>
                <w:bCs/>
                <w:color w:val="auto"/>
                <w:kern w:val="0"/>
                <w:sz w:val="20"/>
                <w:szCs w:val="20"/>
              </w:rPr>
              <w:t>当年实际可抵免税额</w:t>
            </w:r>
          </w:p>
        </w:tc>
        <w:tc>
          <w:tcPr>
            <w:tcW w:w="1877" w:type="dxa"/>
            <w:tcBorders>
              <w:tl2br w:val="nil"/>
              <w:tr2bl w:val="nil"/>
            </w:tcBorders>
            <w:noWrap w:val="0"/>
            <w:vAlign w:val="center"/>
          </w:tcPr>
          <w:p>
            <w:pPr>
              <w:widowControl/>
              <w:jc w:val="center"/>
              <w:rPr>
                <w:rFonts w:hint="eastAsia" w:ascii="宋体" w:hAnsi="宋体" w:cs="宋体"/>
                <w:b/>
                <w:bCs/>
                <w:color w:val="auto"/>
                <w:kern w:val="0"/>
                <w:sz w:val="20"/>
                <w:szCs w:val="20"/>
              </w:rPr>
            </w:pPr>
            <w:r>
              <w:rPr>
                <w:rFonts w:hint="eastAsia" w:ascii="宋体" w:hAnsi="宋体" w:cs="宋体"/>
                <w:b/>
                <w:bCs/>
                <w:color w:val="auto"/>
                <w:kern w:val="0"/>
                <w:sz w:val="20"/>
                <w:szCs w:val="20"/>
              </w:rPr>
              <w:t>以前年度已抵免额小计</w:t>
            </w:r>
          </w:p>
        </w:tc>
        <w:tc>
          <w:tcPr>
            <w:tcW w:w="1877" w:type="dxa"/>
            <w:tcBorders>
              <w:tl2br w:val="nil"/>
              <w:tr2bl w:val="nil"/>
            </w:tcBorders>
            <w:noWrap w:val="0"/>
            <w:vAlign w:val="center"/>
          </w:tcPr>
          <w:p>
            <w:pPr>
              <w:widowControl/>
              <w:jc w:val="center"/>
              <w:rPr>
                <w:rFonts w:hint="eastAsia" w:ascii="宋体" w:hAnsi="宋体" w:cs="宋体"/>
                <w:b/>
                <w:bCs/>
                <w:color w:val="auto"/>
                <w:kern w:val="0"/>
                <w:sz w:val="20"/>
                <w:szCs w:val="20"/>
              </w:rPr>
            </w:pPr>
            <w:r>
              <w:rPr>
                <w:rFonts w:hint="eastAsia" w:ascii="宋体" w:hAnsi="宋体" w:cs="宋体"/>
                <w:b/>
                <w:bCs/>
                <w:color w:val="auto"/>
                <w:kern w:val="0"/>
                <w:sz w:val="20"/>
                <w:szCs w:val="20"/>
              </w:rPr>
              <w:t>本年实际抵免的各年度税额</w:t>
            </w:r>
          </w:p>
        </w:tc>
        <w:tc>
          <w:tcPr>
            <w:tcW w:w="1877" w:type="dxa"/>
            <w:tcBorders>
              <w:tl2br w:val="nil"/>
              <w:tr2bl w:val="nil"/>
            </w:tcBorders>
            <w:noWrap w:val="0"/>
            <w:vAlign w:val="center"/>
          </w:tcPr>
          <w:p>
            <w:pPr>
              <w:widowControl/>
              <w:jc w:val="center"/>
              <w:rPr>
                <w:rFonts w:hint="eastAsia" w:ascii="宋体" w:hAnsi="宋体" w:cs="宋体"/>
                <w:b/>
                <w:bCs/>
                <w:color w:val="auto"/>
                <w:kern w:val="0"/>
                <w:sz w:val="20"/>
                <w:szCs w:val="20"/>
              </w:rPr>
            </w:pPr>
            <w:r>
              <w:rPr>
                <w:rFonts w:hint="eastAsia" w:ascii="宋体" w:hAnsi="宋体" w:cs="宋体"/>
                <w:b/>
                <w:bCs/>
                <w:color w:val="auto"/>
                <w:kern w:val="0"/>
                <w:sz w:val="20"/>
                <w:szCs w:val="20"/>
              </w:rPr>
              <w:t>可结转以后年度抵免的税额</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707" w:type="dxa"/>
            <w:vMerge w:val="continue"/>
            <w:tcBorders>
              <w:tl2br w:val="nil"/>
              <w:tr2bl w:val="nil"/>
            </w:tcBorders>
            <w:noWrap w:val="0"/>
            <w:vAlign w:val="center"/>
          </w:tcPr>
          <w:p>
            <w:pPr>
              <w:widowControl/>
              <w:jc w:val="center"/>
              <w:rPr>
                <w:rFonts w:hint="eastAsia" w:ascii="宋体" w:hAnsi="宋体" w:cs="宋体"/>
                <w:b/>
                <w:bCs/>
                <w:color w:val="auto"/>
                <w:kern w:val="0"/>
                <w:sz w:val="20"/>
                <w:szCs w:val="20"/>
              </w:rPr>
            </w:pPr>
          </w:p>
        </w:tc>
        <w:tc>
          <w:tcPr>
            <w:tcW w:w="707" w:type="dxa"/>
            <w:vMerge w:val="continue"/>
            <w:tcBorders>
              <w:tl2br w:val="nil"/>
              <w:tr2bl w:val="nil"/>
            </w:tcBorders>
            <w:noWrap w:val="0"/>
            <w:vAlign w:val="center"/>
          </w:tcPr>
          <w:p>
            <w:pPr>
              <w:widowControl/>
              <w:jc w:val="center"/>
              <w:rPr>
                <w:rFonts w:hint="eastAsia" w:ascii="宋体" w:hAnsi="宋体" w:cs="宋体"/>
                <w:b/>
                <w:bCs/>
                <w:color w:val="auto"/>
                <w:kern w:val="0"/>
                <w:sz w:val="20"/>
                <w:szCs w:val="20"/>
              </w:rPr>
            </w:pPr>
          </w:p>
        </w:tc>
        <w:tc>
          <w:tcPr>
            <w:tcW w:w="1171" w:type="dxa"/>
            <w:vMerge w:val="continue"/>
            <w:tcBorders>
              <w:tl2br w:val="nil"/>
              <w:tr2bl w:val="nil"/>
            </w:tcBorders>
            <w:noWrap w:val="0"/>
            <w:vAlign w:val="center"/>
          </w:tcPr>
          <w:p>
            <w:pPr>
              <w:widowControl/>
              <w:jc w:val="center"/>
              <w:rPr>
                <w:rFonts w:hint="eastAsia" w:ascii="宋体" w:hAnsi="宋体" w:cs="宋体"/>
                <w:b/>
                <w:bCs/>
                <w:color w:val="auto"/>
                <w:kern w:val="0"/>
                <w:sz w:val="20"/>
                <w:szCs w:val="20"/>
              </w:rPr>
            </w:pPr>
          </w:p>
        </w:tc>
        <w:tc>
          <w:tcPr>
            <w:tcW w:w="1237" w:type="dxa"/>
            <w:tcBorders>
              <w:tl2br w:val="nil"/>
              <w:tr2bl w:val="nil"/>
            </w:tcBorders>
            <w:noWrap w:val="0"/>
            <w:vAlign w:val="center"/>
          </w:tcPr>
          <w:p>
            <w:pPr>
              <w:widowControl/>
              <w:jc w:val="center"/>
              <w:rPr>
                <w:rFonts w:hint="eastAsia" w:ascii="宋体" w:hAnsi="宋体" w:cs="宋体"/>
                <w:b/>
                <w:bCs/>
                <w:color w:val="auto"/>
                <w:kern w:val="0"/>
                <w:sz w:val="20"/>
                <w:szCs w:val="20"/>
              </w:rPr>
            </w:pPr>
            <w:r>
              <w:rPr>
                <w:rFonts w:ascii="宋体" w:hAnsi="宋体" w:cs="宋体"/>
                <w:b/>
                <w:bCs/>
                <w:color w:val="auto"/>
                <w:kern w:val="0"/>
                <w:sz w:val="20"/>
                <w:szCs w:val="20"/>
              </w:rPr>
              <w:t>1</w:t>
            </w:r>
          </w:p>
        </w:tc>
        <w:tc>
          <w:tcPr>
            <w:tcW w:w="1877" w:type="dxa"/>
            <w:tcBorders>
              <w:tl2br w:val="nil"/>
              <w:tr2bl w:val="nil"/>
            </w:tcBorders>
            <w:noWrap w:val="0"/>
            <w:vAlign w:val="center"/>
          </w:tcPr>
          <w:p>
            <w:pPr>
              <w:widowControl/>
              <w:jc w:val="center"/>
              <w:rPr>
                <w:rFonts w:hint="eastAsia" w:ascii="宋体" w:hAnsi="宋体" w:cs="宋体"/>
                <w:b/>
                <w:bCs/>
                <w:color w:val="auto"/>
                <w:kern w:val="0"/>
                <w:sz w:val="20"/>
                <w:szCs w:val="20"/>
              </w:rPr>
            </w:pPr>
            <w:r>
              <w:rPr>
                <w:rFonts w:ascii="宋体" w:hAnsi="宋体" w:cs="宋体"/>
                <w:b/>
                <w:bCs/>
                <w:color w:val="auto"/>
                <w:kern w:val="0"/>
                <w:sz w:val="20"/>
                <w:szCs w:val="20"/>
              </w:rPr>
              <w:t>2</w:t>
            </w:r>
          </w:p>
        </w:tc>
        <w:tc>
          <w:tcPr>
            <w:tcW w:w="1877" w:type="dxa"/>
            <w:tcBorders>
              <w:tl2br w:val="nil"/>
              <w:tr2bl w:val="nil"/>
            </w:tcBorders>
            <w:noWrap w:val="0"/>
            <w:vAlign w:val="center"/>
          </w:tcPr>
          <w:p>
            <w:pPr>
              <w:widowControl/>
              <w:jc w:val="center"/>
              <w:rPr>
                <w:rFonts w:hint="eastAsia" w:ascii="宋体" w:hAnsi="宋体" w:cs="宋体"/>
                <w:b/>
                <w:bCs/>
                <w:color w:val="auto"/>
                <w:kern w:val="0"/>
                <w:sz w:val="20"/>
                <w:szCs w:val="20"/>
              </w:rPr>
            </w:pPr>
            <w:r>
              <w:rPr>
                <w:rFonts w:ascii="宋体" w:hAnsi="宋体" w:cs="宋体"/>
                <w:b/>
                <w:bCs/>
                <w:color w:val="auto"/>
                <w:kern w:val="0"/>
                <w:sz w:val="20"/>
                <w:szCs w:val="20"/>
              </w:rPr>
              <w:t>3</w:t>
            </w:r>
          </w:p>
        </w:tc>
        <w:tc>
          <w:tcPr>
            <w:tcW w:w="1877" w:type="dxa"/>
            <w:tcBorders>
              <w:tl2br w:val="nil"/>
              <w:tr2bl w:val="nil"/>
            </w:tcBorders>
            <w:noWrap w:val="0"/>
            <w:vAlign w:val="center"/>
          </w:tcPr>
          <w:p>
            <w:pPr>
              <w:widowControl/>
              <w:jc w:val="center"/>
              <w:rPr>
                <w:rFonts w:hint="eastAsia" w:ascii="宋体" w:hAnsi="宋体" w:cs="宋体"/>
                <w:b/>
                <w:bCs/>
                <w:color w:val="auto"/>
                <w:kern w:val="0"/>
                <w:sz w:val="20"/>
                <w:szCs w:val="20"/>
              </w:rPr>
            </w:pPr>
            <w:r>
              <w:rPr>
                <w:rFonts w:ascii="宋体" w:hAnsi="宋体" w:cs="宋体"/>
                <w:b/>
                <w:bCs/>
                <w:color w:val="auto"/>
                <w:kern w:val="0"/>
                <w:sz w:val="20"/>
                <w:szCs w:val="20"/>
              </w:rPr>
              <w:t>4</w:t>
            </w:r>
          </w:p>
        </w:tc>
        <w:tc>
          <w:tcPr>
            <w:tcW w:w="1877" w:type="dxa"/>
            <w:tcBorders>
              <w:tl2br w:val="nil"/>
              <w:tr2bl w:val="nil"/>
            </w:tcBorders>
            <w:noWrap w:val="0"/>
            <w:vAlign w:val="center"/>
          </w:tcPr>
          <w:p>
            <w:pPr>
              <w:widowControl/>
              <w:jc w:val="center"/>
              <w:rPr>
                <w:rFonts w:hint="eastAsia" w:ascii="宋体" w:hAnsi="宋体" w:cs="宋体"/>
                <w:b/>
                <w:bCs/>
                <w:color w:val="auto"/>
                <w:kern w:val="0"/>
                <w:sz w:val="20"/>
                <w:szCs w:val="20"/>
              </w:rPr>
            </w:pPr>
            <w:r>
              <w:rPr>
                <w:rFonts w:ascii="宋体" w:hAnsi="宋体" w:cs="宋体"/>
                <w:b/>
                <w:bCs/>
                <w:color w:val="auto"/>
                <w:kern w:val="0"/>
                <w:sz w:val="20"/>
                <w:szCs w:val="20"/>
              </w:rPr>
              <w:t>5</w:t>
            </w:r>
          </w:p>
        </w:tc>
        <w:tc>
          <w:tcPr>
            <w:tcW w:w="1877" w:type="dxa"/>
            <w:tcBorders>
              <w:tl2br w:val="nil"/>
              <w:tr2bl w:val="nil"/>
            </w:tcBorders>
            <w:noWrap w:val="0"/>
            <w:vAlign w:val="center"/>
          </w:tcPr>
          <w:p>
            <w:pPr>
              <w:widowControl/>
              <w:jc w:val="center"/>
              <w:rPr>
                <w:rFonts w:hint="eastAsia" w:ascii="宋体" w:hAnsi="宋体" w:cs="宋体"/>
                <w:b/>
                <w:bCs/>
                <w:color w:val="auto"/>
                <w:kern w:val="0"/>
                <w:sz w:val="20"/>
                <w:szCs w:val="20"/>
              </w:rPr>
            </w:pPr>
            <w:r>
              <w:rPr>
                <w:rFonts w:ascii="宋体" w:hAnsi="宋体" w:cs="宋体"/>
                <w:b/>
                <w:bCs/>
                <w:color w:val="auto"/>
                <w:kern w:val="0"/>
                <w:sz w:val="20"/>
                <w:szCs w:val="20"/>
              </w:rPr>
              <w:t>6</w:t>
            </w:r>
          </w:p>
        </w:tc>
        <w:tc>
          <w:tcPr>
            <w:tcW w:w="1877" w:type="dxa"/>
            <w:tcBorders>
              <w:tl2br w:val="nil"/>
              <w:tr2bl w:val="nil"/>
            </w:tcBorders>
            <w:noWrap w:val="0"/>
            <w:vAlign w:val="center"/>
          </w:tcPr>
          <w:p>
            <w:pPr>
              <w:widowControl/>
              <w:jc w:val="center"/>
              <w:rPr>
                <w:rFonts w:hint="eastAsia" w:ascii="宋体" w:hAnsi="宋体" w:cs="宋体"/>
                <w:b/>
                <w:bCs/>
                <w:color w:val="auto"/>
                <w:kern w:val="0"/>
                <w:sz w:val="20"/>
                <w:szCs w:val="20"/>
              </w:rPr>
            </w:pPr>
            <w:r>
              <w:rPr>
                <w:rFonts w:ascii="宋体" w:hAnsi="宋体" w:cs="宋体"/>
                <w:b/>
                <w:bCs/>
                <w:color w:val="auto"/>
                <w:kern w:val="0"/>
                <w:sz w:val="20"/>
                <w:szCs w:val="20"/>
              </w:rPr>
              <w:t>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707" w:type="dxa"/>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1</w:t>
            </w:r>
          </w:p>
        </w:tc>
        <w:tc>
          <w:tcPr>
            <w:tcW w:w="707" w:type="dxa"/>
            <w:vMerge w:val="restart"/>
            <w:tcBorders>
              <w:tl2br w:val="nil"/>
              <w:tr2bl w:val="nil"/>
            </w:tcBorders>
            <w:noWrap w:val="0"/>
            <w:vAlign w:val="center"/>
          </w:tcPr>
          <w:p>
            <w:pPr>
              <w:jc w:val="center"/>
              <w:rPr>
                <w:rFonts w:hint="eastAsia" w:ascii="宋体" w:hAnsi="宋体" w:cs="宋体"/>
                <w:color w:val="auto"/>
                <w:kern w:val="0"/>
                <w:sz w:val="20"/>
                <w:szCs w:val="20"/>
              </w:rPr>
            </w:pPr>
            <w:r>
              <w:rPr>
                <w:rFonts w:hint="eastAsia" w:ascii="宋体" w:hAnsi="宋体" w:cs="宋体"/>
                <w:color w:val="auto"/>
                <w:kern w:val="0"/>
                <w:sz w:val="20"/>
                <w:szCs w:val="20"/>
              </w:rPr>
              <w:t>抵免情况</w:t>
            </w:r>
          </w:p>
        </w:tc>
        <w:tc>
          <w:tcPr>
            <w:tcW w:w="1171" w:type="dxa"/>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前五年度</w:t>
            </w:r>
          </w:p>
        </w:tc>
        <w:tc>
          <w:tcPr>
            <w:tcW w:w="123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707" w:type="dxa"/>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2</w:t>
            </w:r>
          </w:p>
        </w:tc>
        <w:tc>
          <w:tcPr>
            <w:tcW w:w="707" w:type="dxa"/>
            <w:vMerge w:val="continue"/>
            <w:tcBorders>
              <w:tl2br w:val="nil"/>
              <w:tr2bl w:val="nil"/>
            </w:tcBorders>
            <w:noWrap w:val="0"/>
            <w:vAlign w:val="center"/>
          </w:tcPr>
          <w:p>
            <w:pPr>
              <w:jc w:val="center"/>
              <w:rPr>
                <w:rFonts w:hint="eastAsia" w:ascii="宋体" w:hAnsi="宋体" w:cs="宋体"/>
                <w:color w:val="auto"/>
                <w:kern w:val="0"/>
                <w:sz w:val="20"/>
                <w:szCs w:val="20"/>
              </w:rPr>
            </w:pPr>
          </w:p>
        </w:tc>
        <w:tc>
          <w:tcPr>
            <w:tcW w:w="1171" w:type="dxa"/>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前四年度</w:t>
            </w:r>
          </w:p>
        </w:tc>
        <w:tc>
          <w:tcPr>
            <w:tcW w:w="123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707" w:type="dxa"/>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3</w:t>
            </w:r>
          </w:p>
        </w:tc>
        <w:tc>
          <w:tcPr>
            <w:tcW w:w="707" w:type="dxa"/>
            <w:vMerge w:val="continue"/>
            <w:tcBorders>
              <w:tl2br w:val="nil"/>
              <w:tr2bl w:val="nil"/>
            </w:tcBorders>
            <w:noWrap w:val="0"/>
            <w:vAlign w:val="center"/>
          </w:tcPr>
          <w:p>
            <w:pPr>
              <w:jc w:val="center"/>
              <w:rPr>
                <w:rFonts w:hint="eastAsia" w:ascii="宋体" w:hAnsi="宋体" w:cs="宋体"/>
                <w:color w:val="auto"/>
                <w:kern w:val="0"/>
                <w:sz w:val="20"/>
                <w:szCs w:val="20"/>
              </w:rPr>
            </w:pPr>
          </w:p>
        </w:tc>
        <w:tc>
          <w:tcPr>
            <w:tcW w:w="1171" w:type="dxa"/>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前三年度</w:t>
            </w:r>
          </w:p>
        </w:tc>
        <w:tc>
          <w:tcPr>
            <w:tcW w:w="123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18"/>
                <w:szCs w:val="18"/>
              </w:rPr>
            </w:pPr>
          </w:p>
        </w:tc>
        <w:tc>
          <w:tcPr>
            <w:tcW w:w="1877" w:type="dxa"/>
            <w:tcBorders>
              <w:tl2br w:val="nil"/>
              <w:tr2bl w:val="nil"/>
            </w:tcBorders>
            <w:noWrap w:val="0"/>
            <w:vAlign w:val="center"/>
          </w:tcPr>
          <w:p>
            <w:pPr>
              <w:widowControl/>
              <w:jc w:val="center"/>
              <w:rPr>
                <w:rFonts w:hint="eastAsia" w:ascii="宋体" w:hAnsi="宋体" w:cs="宋体"/>
                <w:color w:val="auto"/>
                <w:kern w:val="0"/>
                <w:sz w:val="18"/>
                <w:szCs w:val="18"/>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707" w:type="dxa"/>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4</w:t>
            </w:r>
          </w:p>
        </w:tc>
        <w:tc>
          <w:tcPr>
            <w:tcW w:w="707" w:type="dxa"/>
            <w:vMerge w:val="continue"/>
            <w:tcBorders>
              <w:tl2br w:val="nil"/>
              <w:tr2bl w:val="nil"/>
            </w:tcBorders>
            <w:noWrap w:val="0"/>
            <w:vAlign w:val="center"/>
          </w:tcPr>
          <w:p>
            <w:pPr>
              <w:widowControl/>
              <w:jc w:val="center"/>
              <w:rPr>
                <w:rFonts w:hint="eastAsia" w:ascii="宋体" w:hAnsi="宋体" w:cs="宋体"/>
                <w:color w:val="auto"/>
                <w:kern w:val="0"/>
                <w:sz w:val="20"/>
                <w:szCs w:val="20"/>
              </w:rPr>
            </w:pPr>
          </w:p>
        </w:tc>
        <w:tc>
          <w:tcPr>
            <w:tcW w:w="1171" w:type="dxa"/>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前二年度</w:t>
            </w:r>
          </w:p>
        </w:tc>
        <w:tc>
          <w:tcPr>
            <w:tcW w:w="123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18"/>
                <w:szCs w:val="18"/>
              </w:rPr>
            </w:pPr>
          </w:p>
        </w:tc>
        <w:tc>
          <w:tcPr>
            <w:tcW w:w="1877" w:type="dxa"/>
            <w:tcBorders>
              <w:tl2br w:val="nil"/>
              <w:tr2bl w:val="nil"/>
            </w:tcBorders>
            <w:noWrap w:val="0"/>
            <w:vAlign w:val="center"/>
          </w:tcPr>
          <w:p>
            <w:pPr>
              <w:widowControl/>
              <w:jc w:val="center"/>
              <w:rPr>
                <w:rFonts w:hint="eastAsia" w:ascii="宋体" w:hAnsi="宋体" w:cs="宋体"/>
                <w:color w:val="auto"/>
                <w:kern w:val="0"/>
                <w:sz w:val="18"/>
                <w:szCs w:val="18"/>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707" w:type="dxa"/>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5</w:t>
            </w:r>
          </w:p>
        </w:tc>
        <w:tc>
          <w:tcPr>
            <w:tcW w:w="707" w:type="dxa"/>
            <w:vMerge w:val="continue"/>
            <w:tcBorders>
              <w:tl2br w:val="nil"/>
              <w:tr2bl w:val="nil"/>
            </w:tcBorders>
            <w:noWrap w:val="0"/>
            <w:vAlign w:val="center"/>
          </w:tcPr>
          <w:p>
            <w:pPr>
              <w:widowControl/>
              <w:jc w:val="center"/>
              <w:rPr>
                <w:rFonts w:hint="eastAsia" w:ascii="宋体" w:hAnsi="宋体" w:cs="宋体"/>
                <w:color w:val="auto"/>
                <w:kern w:val="0"/>
                <w:sz w:val="20"/>
                <w:szCs w:val="20"/>
              </w:rPr>
            </w:pPr>
          </w:p>
        </w:tc>
        <w:tc>
          <w:tcPr>
            <w:tcW w:w="1171" w:type="dxa"/>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前一年度</w:t>
            </w:r>
          </w:p>
        </w:tc>
        <w:tc>
          <w:tcPr>
            <w:tcW w:w="123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18"/>
                <w:szCs w:val="18"/>
              </w:rPr>
            </w:pPr>
          </w:p>
        </w:tc>
        <w:tc>
          <w:tcPr>
            <w:tcW w:w="1877" w:type="dxa"/>
            <w:tcBorders>
              <w:tl2br w:val="nil"/>
              <w:tr2bl w:val="nil"/>
            </w:tcBorders>
            <w:noWrap w:val="0"/>
            <w:vAlign w:val="center"/>
          </w:tcPr>
          <w:p>
            <w:pPr>
              <w:widowControl/>
              <w:jc w:val="center"/>
              <w:rPr>
                <w:rFonts w:hint="eastAsia" w:ascii="宋体" w:hAnsi="宋体" w:cs="宋体"/>
                <w:color w:val="auto"/>
                <w:kern w:val="0"/>
                <w:sz w:val="18"/>
                <w:szCs w:val="18"/>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707" w:type="dxa"/>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6</w:t>
            </w:r>
          </w:p>
        </w:tc>
        <w:tc>
          <w:tcPr>
            <w:tcW w:w="707" w:type="dxa"/>
            <w:vMerge w:val="continue"/>
            <w:tcBorders>
              <w:tl2br w:val="nil"/>
              <w:tr2bl w:val="nil"/>
            </w:tcBorders>
            <w:noWrap w:val="0"/>
            <w:vAlign w:val="center"/>
          </w:tcPr>
          <w:p>
            <w:pPr>
              <w:widowControl/>
              <w:jc w:val="center"/>
              <w:rPr>
                <w:rFonts w:hint="eastAsia" w:ascii="宋体" w:hAnsi="宋体" w:cs="宋体"/>
                <w:color w:val="auto"/>
                <w:kern w:val="0"/>
                <w:sz w:val="20"/>
                <w:szCs w:val="20"/>
              </w:rPr>
            </w:pPr>
          </w:p>
        </w:tc>
        <w:tc>
          <w:tcPr>
            <w:tcW w:w="1171" w:type="dxa"/>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本年度</w:t>
            </w:r>
          </w:p>
        </w:tc>
        <w:tc>
          <w:tcPr>
            <w:tcW w:w="123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eastAsia="宋体" w:cs="宋体"/>
                <w:color w:val="auto"/>
                <w:kern w:val="0"/>
                <w:sz w:val="20"/>
                <w:szCs w:val="20"/>
                <w:lang w:val="en-US" w:eastAsia="zh-CN" w:bidi="ar-SA"/>
              </w:rPr>
            </w:pPr>
            <w:r>
              <w:rPr>
                <w:rFonts w:hint="eastAsia" w:ascii="宋体" w:hAnsi="宋体" w:cs="宋体"/>
                <w:color w:val="auto"/>
                <w:kern w:val="0"/>
                <w:sz w:val="20"/>
                <w:szCs w:val="20"/>
              </w:rPr>
              <w:t>*</w:t>
            </w: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707" w:type="dxa"/>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7</w:t>
            </w:r>
          </w:p>
        </w:tc>
        <w:tc>
          <w:tcPr>
            <w:tcW w:w="707" w:type="dxa"/>
            <w:vMerge w:val="continue"/>
            <w:tcBorders>
              <w:tl2br w:val="nil"/>
              <w:tr2bl w:val="nil"/>
            </w:tcBorders>
            <w:noWrap w:val="0"/>
            <w:vAlign w:val="center"/>
          </w:tcPr>
          <w:p>
            <w:pPr>
              <w:widowControl/>
              <w:jc w:val="center"/>
              <w:rPr>
                <w:rFonts w:hint="eastAsia" w:ascii="宋体" w:hAnsi="宋体" w:cs="宋体"/>
                <w:color w:val="auto"/>
                <w:kern w:val="0"/>
                <w:sz w:val="20"/>
                <w:szCs w:val="20"/>
              </w:rPr>
            </w:pPr>
          </w:p>
        </w:tc>
        <w:tc>
          <w:tcPr>
            <w:tcW w:w="9916" w:type="dxa"/>
            <w:gridSpan w:val="6"/>
            <w:tcBorders>
              <w:tl2br w:val="nil"/>
              <w:tr2bl w:val="nil"/>
            </w:tcBorders>
            <w:noWrap w:val="0"/>
            <w:vAlign w:val="center"/>
          </w:tcPr>
          <w:p>
            <w:pPr>
              <w:widowControl/>
              <w:jc w:val="left"/>
              <w:rPr>
                <w:rFonts w:hint="eastAsia" w:ascii="宋体" w:hAnsi="宋体" w:cs="宋体"/>
                <w:color w:val="auto"/>
                <w:kern w:val="0"/>
                <w:sz w:val="20"/>
                <w:szCs w:val="20"/>
              </w:rPr>
            </w:pPr>
            <w:r>
              <w:rPr>
                <w:rFonts w:hint="eastAsia" w:ascii="宋体" w:hAnsi="宋体" w:cs="宋体"/>
                <w:color w:val="auto"/>
                <w:kern w:val="0"/>
                <w:sz w:val="20"/>
                <w:szCs w:val="20"/>
              </w:rPr>
              <w:t>本年实际抵免税额合计</w:t>
            </w:r>
          </w:p>
        </w:tc>
        <w:tc>
          <w:tcPr>
            <w:tcW w:w="1877" w:type="dxa"/>
            <w:tcBorders>
              <w:tl2br w:val="nil"/>
              <w:tr2bl w:val="nil"/>
            </w:tcBorders>
            <w:noWrap w:val="0"/>
            <w:vAlign w:val="center"/>
          </w:tcPr>
          <w:p>
            <w:pPr>
              <w:widowControl/>
              <w:jc w:val="left"/>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707" w:type="dxa"/>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8</w:t>
            </w:r>
          </w:p>
        </w:tc>
        <w:tc>
          <w:tcPr>
            <w:tcW w:w="707" w:type="dxa"/>
            <w:vMerge w:val="continue"/>
            <w:tcBorders>
              <w:tl2br w:val="nil"/>
              <w:tr2bl w:val="nil"/>
            </w:tcBorders>
            <w:noWrap w:val="0"/>
            <w:vAlign w:val="center"/>
          </w:tcPr>
          <w:p>
            <w:pPr>
              <w:widowControl/>
              <w:jc w:val="center"/>
              <w:rPr>
                <w:rFonts w:hint="eastAsia" w:ascii="宋体" w:hAnsi="宋体" w:cs="宋体"/>
                <w:color w:val="auto"/>
                <w:kern w:val="0"/>
                <w:sz w:val="20"/>
                <w:szCs w:val="20"/>
              </w:rPr>
            </w:pPr>
          </w:p>
        </w:tc>
        <w:tc>
          <w:tcPr>
            <w:tcW w:w="11793" w:type="dxa"/>
            <w:gridSpan w:val="7"/>
            <w:tcBorders>
              <w:tl2br w:val="nil"/>
              <w:tr2bl w:val="nil"/>
            </w:tcBorders>
            <w:noWrap w:val="0"/>
            <w:vAlign w:val="center"/>
          </w:tcPr>
          <w:p>
            <w:pPr>
              <w:widowControl/>
              <w:jc w:val="left"/>
              <w:rPr>
                <w:rFonts w:hint="eastAsia" w:ascii="宋体" w:hAnsi="宋体" w:cs="宋体"/>
                <w:color w:val="auto"/>
                <w:kern w:val="0"/>
                <w:sz w:val="20"/>
                <w:szCs w:val="20"/>
              </w:rPr>
            </w:pPr>
            <w:r>
              <w:rPr>
                <w:rFonts w:hint="eastAsia" w:ascii="宋体" w:hAnsi="宋体" w:cs="宋体"/>
                <w:color w:val="auto"/>
                <w:kern w:val="0"/>
                <w:sz w:val="20"/>
                <w:szCs w:val="20"/>
              </w:rPr>
              <w:t>可结转以后年度抵免的税额合计</w:t>
            </w: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707" w:type="dxa"/>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9</w:t>
            </w:r>
          </w:p>
        </w:tc>
        <w:tc>
          <w:tcPr>
            <w:tcW w:w="707" w:type="dxa"/>
            <w:vMerge w:val="restart"/>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本年允许抵免专用设备投资情况</w:t>
            </w:r>
          </w:p>
        </w:tc>
        <w:tc>
          <w:tcPr>
            <w:tcW w:w="4285" w:type="dxa"/>
            <w:gridSpan w:val="3"/>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投资类型</w:t>
            </w:r>
          </w:p>
        </w:tc>
        <w:tc>
          <w:tcPr>
            <w:tcW w:w="3754" w:type="dxa"/>
            <w:gridSpan w:val="2"/>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投资额</w:t>
            </w: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抵免比例</w:t>
            </w:r>
          </w:p>
        </w:tc>
        <w:tc>
          <w:tcPr>
            <w:tcW w:w="3754" w:type="dxa"/>
            <w:gridSpan w:val="2"/>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可抵免税额</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707" w:type="dxa"/>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9</w:t>
            </w:r>
            <w:r>
              <w:rPr>
                <w:rFonts w:ascii="宋体" w:hAnsi="宋体" w:cs="宋体"/>
                <w:color w:val="auto"/>
                <w:kern w:val="0"/>
                <w:sz w:val="20"/>
                <w:szCs w:val="20"/>
              </w:rPr>
              <w:t>.1</w:t>
            </w:r>
          </w:p>
        </w:tc>
        <w:tc>
          <w:tcPr>
            <w:tcW w:w="707" w:type="dxa"/>
            <w:vMerge w:val="continue"/>
            <w:tcBorders>
              <w:tl2br w:val="nil"/>
              <w:tr2bl w:val="nil"/>
            </w:tcBorders>
            <w:noWrap w:val="0"/>
            <w:vAlign w:val="center"/>
          </w:tcPr>
          <w:p>
            <w:pPr>
              <w:widowControl/>
              <w:jc w:val="center"/>
              <w:rPr>
                <w:rFonts w:hint="eastAsia" w:ascii="宋体" w:hAnsi="宋体" w:cs="宋体"/>
                <w:color w:val="auto"/>
                <w:kern w:val="0"/>
                <w:sz w:val="20"/>
                <w:szCs w:val="20"/>
              </w:rPr>
            </w:pPr>
          </w:p>
        </w:tc>
        <w:tc>
          <w:tcPr>
            <w:tcW w:w="4285" w:type="dxa"/>
            <w:gridSpan w:val="3"/>
            <w:tcBorders>
              <w:tl2br w:val="nil"/>
              <w:tr2bl w:val="nil"/>
            </w:tcBorders>
            <w:noWrap w:val="0"/>
            <w:vAlign w:val="center"/>
          </w:tcPr>
          <w:p>
            <w:pPr>
              <w:widowControl/>
              <w:jc w:val="center"/>
              <w:rPr>
                <w:rFonts w:hint="eastAsia" w:ascii="宋体" w:hAnsi="宋体" w:cs="宋体"/>
                <w:color w:val="auto"/>
                <w:kern w:val="0"/>
                <w:sz w:val="20"/>
                <w:szCs w:val="20"/>
              </w:rPr>
            </w:pPr>
          </w:p>
        </w:tc>
        <w:tc>
          <w:tcPr>
            <w:tcW w:w="3754" w:type="dxa"/>
            <w:gridSpan w:val="2"/>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3754" w:type="dxa"/>
            <w:gridSpan w:val="2"/>
            <w:tcBorders>
              <w:tl2br w:val="nil"/>
              <w:tr2bl w:val="nil"/>
            </w:tcBorders>
            <w:noWrap w:val="0"/>
            <w:vAlign w:val="center"/>
          </w:tcPr>
          <w:p>
            <w:pPr>
              <w:widowControl/>
              <w:jc w:val="center"/>
              <w:rPr>
                <w:rFonts w:hint="eastAsia" w:ascii="宋体" w:hAnsi="宋体" w:cs="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707" w:type="dxa"/>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9</w:t>
            </w:r>
            <w:r>
              <w:rPr>
                <w:rFonts w:ascii="宋体" w:hAnsi="宋体" w:cs="宋体"/>
                <w:color w:val="auto"/>
                <w:kern w:val="0"/>
                <w:sz w:val="20"/>
                <w:szCs w:val="20"/>
              </w:rPr>
              <w:t>.2</w:t>
            </w:r>
          </w:p>
        </w:tc>
        <w:tc>
          <w:tcPr>
            <w:tcW w:w="707" w:type="dxa"/>
            <w:vMerge w:val="continue"/>
            <w:tcBorders>
              <w:tl2br w:val="nil"/>
              <w:tr2bl w:val="nil"/>
            </w:tcBorders>
            <w:noWrap w:val="0"/>
            <w:vAlign w:val="center"/>
          </w:tcPr>
          <w:p>
            <w:pPr>
              <w:widowControl/>
              <w:jc w:val="center"/>
              <w:rPr>
                <w:rFonts w:hint="eastAsia" w:ascii="宋体" w:hAnsi="宋体" w:cs="宋体"/>
                <w:color w:val="auto"/>
                <w:kern w:val="0"/>
                <w:sz w:val="20"/>
                <w:szCs w:val="20"/>
              </w:rPr>
            </w:pPr>
          </w:p>
        </w:tc>
        <w:tc>
          <w:tcPr>
            <w:tcW w:w="4285" w:type="dxa"/>
            <w:gridSpan w:val="3"/>
            <w:tcBorders>
              <w:tl2br w:val="nil"/>
              <w:tr2bl w:val="nil"/>
            </w:tcBorders>
            <w:noWrap w:val="0"/>
            <w:vAlign w:val="center"/>
          </w:tcPr>
          <w:p>
            <w:pPr>
              <w:widowControl/>
              <w:jc w:val="center"/>
              <w:rPr>
                <w:rFonts w:hint="eastAsia" w:ascii="宋体" w:hAnsi="宋体" w:cs="宋体"/>
                <w:color w:val="auto"/>
                <w:kern w:val="0"/>
                <w:sz w:val="20"/>
                <w:szCs w:val="20"/>
              </w:rPr>
            </w:pPr>
          </w:p>
        </w:tc>
        <w:tc>
          <w:tcPr>
            <w:tcW w:w="3754" w:type="dxa"/>
            <w:gridSpan w:val="2"/>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3754" w:type="dxa"/>
            <w:gridSpan w:val="2"/>
            <w:tcBorders>
              <w:tl2br w:val="nil"/>
              <w:tr2bl w:val="nil"/>
            </w:tcBorders>
            <w:noWrap w:val="0"/>
            <w:vAlign w:val="center"/>
          </w:tcPr>
          <w:p>
            <w:pPr>
              <w:widowControl/>
              <w:jc w:val="center"/>
              <w:rPr>
                <w:rFonts w:hint="eastAsia" w:ascii="宋体" w:hAnsi="宋体" w:cs="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707" w:type="dxa"/>
            <w:tcBorders>
              <w:tl2br w:val="nil"/>
              <w:tr2bl w:val="nil"/>
            </w:tcBorders>
            <w:noWrap w:val="0"/>
            <w:vAlign w:val="center"/>
          </w:tcPr>
          <w:p>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9.3</w:t>
            </w:r>
          </w:p>
        </w:tc>
        <w:tc>
          <w:tcPr>
            <w:tcW w:w="707" w:type="dxa"/>
            <w:vMerge w:val="continue"/>
            <w:tcBorders>
              <w:tl2br w:val="nil"/>
              <w:tr2bl w:val="nil"/>
            </w:tcBorders>
            <w:noWrap w:val="0"/>
            <w:vAlign w:val="center"/>
          </w:tcPr>
          <w:p>
            <w:pPr>
              <w:widowControl/>
              <w:jc w:val="center"/>
              <w:rPr>
                <w:rFonts w:hint="eastAsia" w:ascii="宋体" w:hAnsi="宋体" w:cs="宋体"/>
                <w:color w:val="auto"/>
                <w:kern w:val="0"/>
                <w:sz w:val="20"/>
                <w:szCs w:val="20"/>
              </w:rPr>
            </w:pPr>
          </w:p>
        </w:tc>
        <w:tc>
          <w:tcPr>
            <w:tcW w:w="4285" w:type="dxa"/>
            <w:gridSpan w:val="3"/>
            <w:tcBorders>
              <w:tl2br w:val="nil"/>
              <w:tr2bl w:val="nil"/>
            </w:tcBorders>
            <w:noWrap w:val="0"/>
            <w:vAlign w:val="center"/>
          </w:tcPr>
          <w:p>
            <w:pPr>
              <w:widowControl/>
              <w:jc w:val="center"/>
              <w:rPr>
                <w:rFonts w:hint="eastAsia" w:ascii="宋体" w:hAnsi="宋体" w:cs="宋体"/>
                <w:color w:val="auto"/>
                <w:kern w:val="0"/>
                <w:sz w:val="20"/>
                <w:szCs w:val="20"/>
              </w:rPr>
            </w:pPr>
          </w:p>
        </w:tc>
        <w:tc>
          <w:tcPr>
            <w:tcW w:w="3754" w:type="dxa"/>
            <w:gridSpan w:val="2"/>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3754" w:type="dxa"/>
            <w:gridSpan w:val="2"/>
            <w:tcBorders>
              <w:tl2br w:val="nil"/>
              <w:tr2bl w:val="nil"/>
            </w:tcBorders>
            <w:noWrap w:val="0"/>
            <w:vAlign w:val="center"/>
          </w:tcPr>
          <w:p>
            <w:pPr>
              <w:widowControl/>
              <w:jc w:val="center"/>
              <w:rPr>
                <w:rFonts w:hint="eastAsia" w:ascii="宋体" w:hAnsi="宋体" w:cs="宋体"/>
                <w:color w:val="auto"/>
                <w:kern w:val="0"/>
                <w:sz w:val="20"/>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707" w:type="dxa"/>
            <w:tcBorders>
              <w:tl2br w:val="nil"/>
              <w:tr2bl w:val="nil"/>
            </w:tcBorders>
            <w:noWrap w:val="0"/>
            <w:vAlign w:val="center"/>
          </w:tcPr>
          <w:p>
            <w:pPr>
              <w:widowControl/>
              <w:jc w:val="center"/>
              <w:rPr>
                <w:rFonts w:hint="eastAsia" w:ascii="宋体" w:hAnsi="宋体" w:eastAsia="宋体" w:cs="宋体"/>
                <w:color w:val="auto"/>
                <w:kern w:val="0"/>
                <w:sz w:val="20"/>
                <w:szCs w:val="20"/>
              </w:rPr>
            </w:pPr>
            <w:r>
              <w:rPr>
                <w:rFonts w:hint="eastAsia" w:ascii="宋体" w:hAnsi="宋体" w:cs="宋体"/>
                <w:color w:val="auto"/>
                <w:w w:val="69"/>
                <w:kern w:val="0"/>
                <w:sz w:val="20"/>
                <w:szCs w:val="20"/>
              </w:rPr>
              <w:t>......</w:t>
            </w:r>
          </w:p>
        </w:tc>
        <w:tc>
          <w:tcPr>
            <w:tcW w:w="707" w:type="dxa"/>
            <w:vMerge w:val="continue"/>
            <w:tcBorders>
              <w:tl2br w:val="nil"/>
              <w:tr2bl w:val="nil"/>
            </w:tcBorders>
            <w:noWrap w:val="0"/>
            <w:vAlign w:val="center"/>
          </w:tcPr>
          <w:p>
            <w:pPr>
              <w:widowControl/>
              <w:jc w:val="center"/>
              <w:rPr>
                <w:rFonts w:hint="eastAsia" w:ascii="宋体" w:hAnsi="宋体" w:cs="宋体"/>
                <w:color w:val="auto"/>
                <w:kern w:val="0"/>
                <w:sz w:val="20"/>
                <w:szCs w:val="20"/>
              </w:rPr>
            </w:pPr>
          </w:p>
        </w:tc>
        <w:tc>
          <w:tcPr>
            <w:tcW w:w="4285" w:type="dxa"/>
            <w:gridSpan w:val="3"/>
            <w:tcBorders>
              <w:tl2br w:val="nil"/>
              <w:tr2bl w:val="nil"/>
            </w:tcBorders>
            <w:noWrap w:val="0"/>
            <w:vAlign w:val="center"/>
          </w:tcPr>
          <w:p>
            <w:pPr>
              <w:widowControl/>
              <w:jc w:val="center"/>
              <w:rPr>
                <w:rFonts w:hint="eastAsia" w:ascii="宋体" w:hAnsi="宋体" w:cs="宋体"/>
                <w:color w:val="auto"/>
                <w:kern w:val="0"/>
                <w:sz w:val="20"/>
                <w:szCs w:val="20"/>
              </w:rPr>
            </w:pPr>
          </w:p>
        </w:tc>
        <w:tc>
          <w:tcPr>
            <w:tcW w:w="3754" w:type="dxa"/>
            <w:gridSpan w:val="2"/>
            <w:tcBorders>
              <w:tl2br w:val="nil"/>
              <w:tr2bl w:val="nil"/>
            </w:tcBorders>
            <w:noWrap w:val="0"/>
            <w:vAlign w:val="center"/>
          </w:tcPr>
          <w:p>
            <w:pPr>
              <w:widowControl/>
              <w:jc w:val="center"/>
              <w:rPr>
                <w:rFonts w:hint="eastAsia" w:ascii="宋体" w:hAnsi="宋体" w:cs="宋体"/>
                <w:color w:val="auto"/>
                <w:kern w:val="0"/>
                <w:sz w:val="20"/>
                <w:szCs w:val="20"/>
              </w:rPr>
            </w:pPr>
          </w:p>
        </w:tc>
        <w:tc>
          <w:tcPr>
            <w:tcW w:w="1877" w:type="dxa"/>
            <w:tcBorders>
              <w:tl2br w:val="nil"/>
              <w:tr2bl w:val="nil"/>
            </w:tcBorders>
            <w:noWrap w:val="0"/>
            <w:vAlign w:val="center"/>
          </w:tcPr>
          <w:p>
            <w:pPr>
              <w:widowControl/>
              <w:jc w:val="center"/>
              <w:rPr>
                <w:rFonts w:hint="eastAsia" w:ascii="宋体" w:hAnsi="宋体" w:cs="宋体"/>
                <w:color w:val="auto"/>
                <w:kern w:val="0"/>
                <w:sz w:val="20"/>
                <w:szCs w:val="20"/>
              </w:rPr>
            </w:pPr>
          </w:p>
        </w:tc>
        <w:tc>
          <w:tcPr>
            <w:tcW w:w="3754" w:type="dxa"/>
            <w:gridSpan w:val="2"/>
            <w:tcBorders>
              <w:tl2br w:val="nil"/>
              <w:tr2bl w:val="nil"/>
            </w:tcBorders>
            <w:noWrap w:val="0"/>
            <w:vAlign w:val="center"/>
          </w:tcPr>
          <w:p>
            <w:pPr>
              <w:widowControl/>
              <w:jc w:val="center"/>
              <w:rPr>
                <w:rFonts w:hint="eastAsia" w:ascii="宋体" w:hAnsi="宋体" w:cs="宋体"/>
                <w:color w:val="auto"/>
                <w:kern w:val="0"/>
                <w:sz w:val="20"/>
                <w:szCs w:val="20"/>
              </w:rPr>
            </w:pPr>
          </w:p>
        </w:tc>
      </w:tr>
    </w:tbl>
    <w:p>
      <w:pPr>
        <w:widowControl/>
        <w:jc w:val="left"/>
        <w:rPr>
          <w:rFonts w:hint="eastAsia" w:ascii="方正小标宋_GBK" w:hAnsi="方正小标宋_GBK" w:eastAsia="方正小标宋_GBK" w:cs="方正小标宋_GBK"/>
          <w:color w:val="auto"/>
        </w:rPr>
        <w:sectPr>
          <w:pgSz w:w="16838" w:h="11906" w:orient="landscape"/>
          <w:pgMar w:top="1418" w:right="1985" w:bottom="1418" w:left="1928" w:header="851" w:footer="992" w:gutter="113"/>
          <w:pgNumType w:fmt="decimal"/>
          <w:cols w:space="720" w:num="1"/>
          <w:docGrid w:linePitch="312" w:charSpace="0"/>
        </w:sectPr>
      </w:pPr>
    </w:p>
    <w:p>
      <w:pPr>
        <w:pStyle w:val="13"/>
        <w:jc w:val="center"/>
        <w:rPr>
          <w:rFonts w:hint="eastAsia" w:ascii="方正小标宋_GBK" w:hAnsi="方正小标宋_GBK" w:eastAsia="方正小标宋_GBK" w:cs="方正小标宋_GBK"/>
          <w:color w:val="auto"/>
        </w:rPr>
      </w:pPr>
      <w:bookmarkStart w:id="341" w:name="_Toc1336290980"/>
      <w:bookmarkStart w:id="342" w:name="_Toc176972069"/>
      <w:bookmarkStart w:id="343" w:name="_Hlk176969967"/>
      <w:bookmarkStart w:id="344" w:name="_Toc1371501501_WPSOffice_Level1"/>
      <w:bookmarkStart w:id="345" w:name="_Toc30534"/>
      <w:bookmarkStart w:id="346" w:name="_Toc24762"/>
      <w:bookmarkStart w:id="347" w:name="_Toc13816"/>
      <w:bookmarkStart w:id="348" w:name="_Toc391487835_WPSOffice_Level1"/>
      <w:bookmarkStart w:id="349" w:name="_Toc32077"/>
      <w:bookmarkStart w:id="350" w:name="_Toc12811"/>
      <w:bookmarkStart w:id="351" w:name="_Toc13090"/>
      <w:bookmarkStart w:id="352" w:name="_Toc25837"/>
      <w:r>
        <w:rPr>
          <w:rFonts w:hint="eastAsia" w:ascii="方正小标宋_GBK" w:hAnsi="方正小标宋_GBK" w:eastAsia="方正小标宋_GBK" w:cs="方正小标宋_GBK"/>
          <w:color w:val="auto"/>
        </w:rPr>
        <w:t>A107050《税额抵免优惠明细表》填报说明</w:t>
      </w:r>
      <w:bookmarkEnd w:id="341"/>
      <w:bookmarkEnd w:id="342"/>
    </w:p>
    <w:p>
      <w:pPr>
        <w:pStyle w:val="12"/>
        <w:ind w:firstLine="480"/>
        <w:rPr>
          <w:rFonts w:hint="eastAsia" w:ascii="宋体" w:hAnsi="宋体" w:eastAsia="宋体" w:cs="Times New Roman"/>
          <w:color w:val="auto"/>
          <w:sz w:val="24"/>
          <w:szCs w:val="24"/>
        </w:rPr>
      </w:pPr>
      <w:r>
        <w:rPr>
          <w:rFonts w:hint="eastAsia"/>
          <w:color w:val="auto"/>
        </w:rPr>
        <w:t>本表适用于享受专用设备投资额抵免优惠（含结转）的纳税人填报。纳税人根据税法、《</w:t>
      </w:r>
      <w:r>
        <w:rPr>
          <w:color w:val="auto"/>
        </w:rPr>
        <w:t>财政部　国家税务总局关于执行环境保护专用设备企业所得税优惠目录、节能节水专用设备企业所得税优惠目录和安全生产专用设备企业所得税优惠目录有关问题的通知</w:t>
      </w:r>
      <w:r>
        <w:rPr>
          <w:rFonts w:hint="eastAsia"/>
          <w:color w:val="auto"/>
        </w:rPr>
        <w:t>》（财税〔</w:t>
      </w:r>
      <w:r>
        <w:rPr>
          <w:color w:val="auto"/>
        </w:rPr>
        <w:t>2008〕48号</w:t>
      </w:r>
      <w:r>
        <w:rPr>
          <w:rFonts w:hint="eastAsia"/>
          <w:color w:val="auto"/>
        </w:rPr>
        <w:t>）、《财政部　国家税务总局　国家发展改革委关于公布节能节水专用设备企业所得税优惠目录（2008年版）和环境保护专用设备企业所得税优惠目录（2008年版）的通知》（财税〔</w:t>
      </w:r>
      <w:r>
        <w:rPr>
          <w:color w:val="auto"/>
        </w:rPr>
        <w:t>2008〕115号</w:t>
      </w:r>
      <w:r>
        <w:rPr>
          <w:rFonts w:hint="eastAsia"/>
          <w:color w:val="auto"/>
        </w:rPr>
        <w:t>）、《财政部　国家税务总局　安全监管总局关于公布〈安全生产专用设备企业所得税优惠目录（2008年版）〉的通知》（财税〔</w:t>
      </w:r>
      <w:r>
        <w:rPr>
          <w:color w:val="auto"/>
        </w:rPr>
        <w:t>2008〕118号</w:t>
      </w:r>
      <w:r>
        <w:rPr>
          <w:rFonts w:hint="eastAsia"/>
          <w:color w:val="auto"/>
        </w:rPr>
        <w:t>）、《财政部　国家税务总局关于执行企业所得税优惠政策若干问题的通知》（财税〔2009〕69号）、《国家税务总局关于环境保护、节能节水、安全生产等专用设备投资抵免企业所得税有关问题的通知》（国税函〔2010〕256号）、《财政部 税务总局 国家发展改革委 工业和信息化部 环境保护部关于印发节能节水和环境保护专用设备企业所得税优惠目录（2017年版）的通知》（财税〔2017〕71号）</w:t>
      </w:r>
      <w:r>
        <w:rPr>
          <w:rFonts w:hint="eastAsia"/>
          <w:color w:val="auto"/>
          <w:lang w:eastAsia="zh-CN"/>
        </w:rPr>
        <w:t>、《财政部 国家税务总局 应急管理部关于印发〈安全生产专用设备企业所得税优惠目录（2018年版）〉的通知》（财税〔2018〕84号）、《财政部 税务总局关于节能节水、环境保护、安全生产专用设备数字化智能化改造企业所得税政策的公告》（2024年第9号）</w:t>
      </w:r>
      <w:r>
        <w:rPr>
          <w:rFonts w:hint="eastAsia"/>
          <w:color w:val="auto"/>
        </w:rPr>
        <w:t>等相关税收政策规定，填报本年发生的专用设备投资额抵免优惠（含结转）情况。</w:t>
      </w:r>
      <w:bookmarkStart w:id="353" w:name="_Toc25608"/>
      <w:bookmarkStart w:id="354" w:name="_Toc32478"/>
      <w:bookmarkStart w:id="355" w:name="_Toc164008883"/>
      <w:bookmarkStart w:id="356" w:name="_Toc176972070"/>
      <w:bookmarkStart w:id="357" w:name="_Toc2285"/>
      <w:bookmarkStart w:id="358" w:name="_Toc163974829"/>
      <w:bookmarkStart w:id="359" w:name="_Toc25903"/>
      <w:bookmarkStart w:id="360" w:name="_Toc25597"/>
      <w:bookmarkStart w:id="361" w:name="_Toc7339"/>
      <w:bookmarkStart w:id="362" w:name="_Toc9086"/>
      <w:bookmarkStart w:id="363" w:name="_Toc137332209"/>
    </w:p>
    <w:p>
      <w:pPr>
        <w:pStyle w:val="17"/>
        <w:ind w:firstLine="482"/>
        <w:jc w:val="both"/>
        <w:outlineLvl w:val="1"/>
        <w:rPr>
          <w:rFonts w:hint="eastAsia" w:ascii="黑体" w:hAnsi="黑体" w:eastAsia="黑体" w:cs="黑体"/>
          <w:color w:val="auto"/>
          <w:sz w:val="24"/>
          <w:szCs w:val="24"/>
        </w:rPr>
      </w:pPr>
      <w:r>
        <w:rPr>
          <w:rFonts w:hint="eastAsia" w:ascii="黑体" w:hAnsi="黑体" w:eastAsia="黑体" w:cs="黑体"/>
          <w:color w:val="auto"/>
          <w:sz w:val="24"/>
          <w:szCs w:val="24"/>
        </w:rPr>
        <w:t>一、有关项目填报说明</w:t>
      </w:r>
      <w:bookmarkEnd w:id="353"/>
      <w:bookmarkEnd w:id="354"/>
      <w:bookmarkEnd w:id="355"/>
      <w:bookmarkEnd w:id="356"/>
      <w:bookmarkEnd w:id="357"/>
      <w:bookmarkEnd w:id="358"/>
      <w:bookmarkEnd w:id="359"/>
      <w:bookmarkEnd w:id="360"/>
      <w:bookmarkEnd w:id="361"/>
      <w:bookmarkEnd w:id="362"/>
      <w:bookmarkEnd w:id="363"/>
    </w:p>
    <w:p>
      <w:pPr>
        <w:pStyle w:val="12"/>
        <w:ind w:firstLine="480"/>
        <w:rPr>
          <w:rFonts w:hint="eastAsia"/>
          <w:color w:val="auto"/>
        </w:rPr>
      </w:pPr>
      <w:r>
        <w:rPr>
          <w:rFonts w:hint="eastAsia"/>
          <w:color w:val="auto"/>
        </w:rPr>
        <w:t>纳税人抵免税额时，按照“先到期先抵免”的原则处理。</w:t>
      </w:r>
    </w:p>
    <w:p>
      <w:pPr>
        <w:pStyle w:val="21"/>
        <w:spacing w:before="120" w:after="120"/>
        <w:ind w:firstLine="480"/>
        <w:rPr>
          <w:rFonts w:hint="eastAsia"/>
          <w:b/>
          <w:color w:val="auto"/>
        </w:rPr>
      </w:pPr>
      <w:r>
        <w:rPr>
          <w:rFonts w:hint="eastAsia"/>
          <w:color w:val="auto"/>
        </w:rPr>
        <w:t>（一）抵免情况</w:t>
      </w:r>
    </w:p>
    <w:p>
      <w:pPr>
        <w:pStyle w:val="12"/>
        <w:ind w:firstLine="480"/>
        <w:rPr>
          <w:rFonts w:hint="eastAsia"/>
          <w:color w:val="auto"/>
        </w:rPr>
      </w:pPr>
      <w:r>
        <w:rPr>
          <w:color w:val="auto"/>
        </w:rPr>
        <w:t>1.</w:t>
      </w:r>
      <w:r>
        <w:rPr>
          <w:rFonts w:hint="eastAsia"/>
          <w:color w:val="auto"/>
        </w:rPr>
        <w:t>第</w:t>
      </w:r>
      <w:r>
        <w:rPr>
          <w:color w:val="auto"/>
        </w:rPr>
        <w:t>1列“年度”：填报公历年份。第6行为本年，第5</w:t>
      </w:r>
      <w:r>
        <w:rPr>
          <w:rFonts w:hint="eastAsia"/>
          <w:color w:val="auto"/>
        </w:rPr>
        <w:t>行</w:t>
      </w:r>
      <w:r>
        <w:rPr>
          <w:color w:val="auto"/>
        </w:rPr>
        <w:t>至第1行依次</w:t>
      </w:r>
      <w:r>
        <w:rPr>
          <w:rFonts w:hint="eastAsia"/>
          <w:color w:val="auto"/>
        </w:rPr>
        <w:t>填报。</w:t>
      </w:r>
    </w:p>
    <w:p>
      <w:pPr>
        <w:pStyle w:val="12"/>
        <w:ind w:firstLine="480"/>
        <w:rPr>
          <w:rFonts w:hint="eastAsia" w:cs="宋体"/>
          <w:color w:val="auto"/>
        </w:rPr>
      </w:pPr>
      <w:r>
        <w:rPr>
          <w:color w:val="auto"/>
        </w:rPr>
        <w:t>2.</w:t>
      </w:r>
      <w:r>
        <w:rPr>
          <w:rFonts w:hint="eastAsia"/>
          <w:color w:val="auto"/>
        </w:rPr>
        <w:t>第</w:t>
      </w:r>
      <w:r>
        <w:rPr>
          <w:color w:val="auto"/>
        </w:rPr>
        <w:t>2列“</w:t>
      </w:r>
      <w:r>
        <w:rPr>
          <w:rFonts w:hint="eastAsia"/>
          <w:color w:val="auto"/>
        </w:rPr>
        <w:t>当年抵免前应纳税额”：第6行填报表A100000第30行－第</w:t>
      </w:r>
      <w:r>
        <w:rPr>
          <w:color w:val="auto"/>
        </w:rPr>
        <w:t>3</w:t>
      </w:r>
      <w:r>
        <w:rPr>
          <w:rFonts w:hint="eastAsia"/>
          <w:color w:val="auto"/>
        </w:rPr>
        <w:t>1行余额。第1行至第5行填报以前年度表A100000</w:t>
      </w:r>
      <w:r>
        <w:rPr>
          <w:color w:val="auto"/>
        </w:rPr>
        <w:t>第25行</w:t>
      </w:r>
      <w:r>
        <w:rPr>
          <w:rFonts w:hint="eastAsia"/>
          <w:color w:val="auto"/>
        </w:rPr>
        <w:t>－</w:t>
      </w:r>
      <w:r>
        <w:rPr>
          <w:color w:val="auto"/>
        </w:rPr>
        <w:t>第26行余额</w:t>
      </w:r>
      <w:r>
        <w:rPr>
          <w:rFonts w:hint="eastAsia"/>
          <w:color w:val="auto"/>
        </w:rPr>
        <w:t>（2</w:t>
      </w:r>
      <w:r>
        <w:rPr>
          <w:color w:val="auto"/>
        </w:rPr>
        <w:t>018</w:t>
      </w:r>
      <w:r>
        <w:rPr>
          <w:rFonts w:hint="eastAsia"/>
          <w:color w:val="auto"/>
        </w:rPr>
        <w:t>至2</w:t>
      </w:r>
      <w:r>
        <w:rPr>
          <w:color w:val="auto"/>
        </w:rPr>
        <w:t>02</w:t>
      </w:r>
      <w:r>
        <w:rPr>
          <w:rFonts w:hint="eastAsia"/>
          <w:color w:val="auto"/>
        </w:rPr>
        <w:t>3纳税年度）。</w:t>
      </w:r>
      <w:r>
        <w:rPr>
          <w:rFonts w:hint="eastAsia" w:cs="宋体"/>
          <w:color w:val="auto"/>
        </w:rPr>
        <w:t xml:space="preserve"> </w:t>
      </w:r>
    </w:p>
    <w:p>
      <w:pPr>
        <w:pStyle w:val="12"/>
        <w:ind w:firstLine="480"/>
        <w:rPr>
          <w:rFonts w:hint="eastAsia"/>
          <w:color w:val="auto"/>
        </w:rPr>
      </w:pPr>
      <w:r>
        <w:rPr>
          <w:color w:val="auto"/>
        </w:rPr>
        <w:t>3.</w:t>
      </w:r>
      <w:r>
        <w:rPr>
          <w:rFonts w:hint="eastAsia"/>
          <w:color w:val="auto"/>
        </w:rPr>
        <w:t>第</w:t>
      </w:r>
      <w:r>
        <w:rPr>
          <w:color w:val="auto"/>
        </w:rPr>
        <w:t>3列“</w:t>
      </w:r>
      <w:r>
        <w:rPr>
          <w:rFonts w:hint="eastAsia"/>
          <w:color w:val="auto"/>
        </w:rPr>
        <w:t>当年允许抵免的专用设备投资额”：填报纳税人当年</w:t>
      </w:r>
      <w:r>
        <w:rPr>
          <w:rFonts w:hint="eastAsia"/>
          <w:color w:val="auto"/>
          <w:lang w:eastAsia="zh-CN"/>
        </w:rPr>
        <w:t>按照税收</w:t>
      </w:r>
      <w:r>
        <w:rPr>
          <w:rFonts w:hint="eastAsia"/>
          <w:color w:val="auto"/>
        </w:rPr>
        <w:t>政策规定的专用设备</w:t>
      </w:r>
      <w:r>
        <w:rPr>
          <w:rFonts w:hint="eastAsia"/>
          <w:color w:val="auto"/>
          <w:lang w:eastAsia="zh-CN"/>
        </w:rPr>
        <w:t>可享受抵免优惠的投资额</w:t>
      </w:r>
      <w:r>
        <w:rPr>
          <w:rFonts w:hint="eastAsia"/>
          <w:color w:val="auto"/>
        </w:rPr>
        <w:t>。</w:t>
      </w:r>
    </w:p>
    <w:p>
      <w:pPr>
        <w:pStyle w:val="12"/>
        <w:ind w:firstLine="480"/>
        <w:rPr>
          <w:rFonts w:hint="eastAsia"/>
          <w:color w:val="auto"/>
        </w:rPr>
      </w:pPr>
      <w:r>
        <w:rPr>
          <w:color w:val="auto"/>
        </w:rPr>
        <w:t>4第4列“</w:t>
      </w:r>
      <w:r>
        <w:rPr>
          <w:rFonts w:hint="eastAsia"/>
          <w:color w:val="auto"/>
        </w:rPr>
        <w:t>当年实际可抵免税额”：填报当年允许抵免的专用设备投资额×抵免比例的金额。</w:t>
      </w:r>
    </w:p>
    <w:p>
      <w:pPr>
        <w:pStyle w:val="12"/>
        <w:ind w:firstLine="480"/>
        <w:rPr>
          <w:rFonts w:hint="eastAsia"/>
          <w:color w:val="auto"/>
        </w:rPr>
      </w:pPr>
      <w:r>
        <w:rPr>
          <w:color w:val="auto"/>
        </w:rPr>
        <w:t>5.第5列</w:t>
      </w:r>
      <w:r>
        <w:rPr>
          <w:rFonts w:hint="eastAsia"/>
          <w:color w:val="auto"/>
        </w:rPr>
        <w:t>“以前年度已抵免额小计”：填报纳税人以前年度已抵免税额合计金额。</w:t>
      </w:r>
      <w:r>
        <w:rPr>
          <w:color w:val="auto"/>
        </w:rPr>
        <w:t xml:space="preserve"> </w:t>
      </w:r>
    </w:p>
    <w:p>
      <w:pPr>
        <w:pStyle w:val="12"/>
        <w:ind w:firstLine="480"/>
        <w:rPr>
          <w:rFonts w:hint="eastAsia"/>
          <w:color w:val="auto"/>
        </w:rPr>
      </w:pPr>
      <w:r>
        <w:rPr>
          <w:rFonts w:hint="eastAsia"/>
          <w:color w:val="auto"/>
        </w:rPr>
        <w:t>6</w:t>
      </w:r>
      <w:r>
        <w:rPr>
          <w:rFonts w:hint="eastAsia" w:cs="Calibri"/>
          <w:color w:val="auto"/>
        </w:rPr>
        <w:t>.</w:t>
      </w:r>
      <w:r>
        <w:rPr>
          <w:rFonts w:hint="eastAsia"/>
          <w:color w:val="auto"/>
        </w:rPr>
        <w:t>第</w:t>
      </w:r>
      <w:r>
        <w:rPr>
          <w:color w:val="auto"/>
        </w:rPr>
        <w:t>6</w:t>
      </w:r>
      <w:r>
        <w:rPr>
          <w:rFonts w:hint="eastAsia"/>
          <w:color w:val="auto"/>
        </w:rPr>
        <w:t>列“本年实际抵免的各年度税额”：第1行至第6行填报纳税人用于依次抵免前5个年度及本年尚未抵免的税额，第</w:t>
      </w:r>
      <w:r>
        <w:rPr>
          <w:color w:val="auto"/>
        </w:rPr>
        <w:t>6</w:t>
      </w:r>
      <w:r>
        <w:rPr>
          <w:rFonts w:hint="eastAsia"/>
          <w:color w:val="auto"/>
        </w:rPr>
        <w:t>列小于等于第4列－第</w:t>
      </w:r>
      <w:r>
        <w:rPr>
          <w:color w:val="auto"/>
        </w:rPr>
        <w:t>5</w:t>
      </w:r>
      <w:r>
        <w:rPr>
          <w:rFonts w:hint="eastAsia"/>
          <w:color w:val="auto"/>
        </w:rPr>
        <w:t>列，且第</w:t>
      </w:r>
      <w:r>
        <w:rPr>
          <w:color w:val="auto"/>
        </w:rPr>
        <w:t>6</w:t>
      </w:r>
      <w:r>
        <w:rPr>
          <w:rFonts w:hint="eastAsia"/>
          <w:color w:val="auto"/>
        </w:rPr>
        <w:t>列第1行至第6行合计金额不得大于第6行第2列的金额。</w:t>
      </w:r>
    </w:p>
    <w:p>
      <w:pPr>
        <w:pStyle w:val="12"/>
        <w:ind w:firstLine="480"/>
        <w:rPr>
          <w:rFonts w:hint="eastAsia"/>
          <w:color w:val="auto"/>
        </w:rPr>
      </w:pPr>
      <w:r>
        <w:rPr>
          <w:rFonts w:hint="eastAsia"/>
          <w:color w:val="auto"/>
        </w:rPr>
        <w:t>7</w:t>
      </w:r>
      <w:r>
        <w:rPr>
          <w:rFonts w:hint="eastAsia" w:cs="Calibri"/>
          <w:color w:val="auto"/>
        </w:rPr>
        <w:t>.</w:t>
      </w:r>
      <w:r>
        <w:rPr>
          <w:rFonts w:hint="eastAsia"/>
          <w:color w:val="auto"/>
        </w:rPr>
        <w:t>第</w:t>
      </w:r>
      <w:r>
        <w:rPr>
          <w:color w:val="auto"/>
        </w:rPr>
        <w:t>7</w:t>
      </w:r>
      <w:r>
        <w:rPr>
          <w:rFonts w:hint="eastAsia"/>
          <w:color w:val="auto"/>
        </w:rPr>
        <w:t>列“可结转以后年度抵免的税额”：填报第4列－第</w:t>
      </w:r>
      <w:r>
        <w:rPr>
          <w:color w:val="auto"/>
        </w:rPr>
        <w:t>5</w:t>
      </w:r>
      <w:r>
        <w:rPr>
          <w:rFonts w:hint="eastAsia"/>
          <w:color w:val="auto"/>
        </w:rPr>
        <w:t>列－第</w:t>
      </w:r>
      <w:r>
        <w:rPr>
          <w:color w:val="auto"/>
        </w:rPr>
        <w:t>6</w:t>
      </w:r>
      <w:r>
        <w:rPr>
          <w:rFonts w:hint="eastAsia"/>
          <w:color w:val="auto"/>
        </w:rPr>
        <w:t>列余额。</w:t>
      </w:r>
    </w:p>
    <w:p>
      <w:pPr>
        <w:pStyle w:val="12"/>
        <w:ind w:firstLine="480"/>
        <w:rPr>
          <w:rFonts w:hint="eastAsia"/>
          <w:color w:val="auto"/>
        </w:rPr>
      </w:pPr>
      <w:r>
        <w:rPr>
          <w:rFonts w:hint="eastAsia"/>
          <w:color w:val="auto"/>
        </w:rPr>
        <w:t>8</w:t>
      </w:r>
      <w:r>
        <w:rPr>
          <w:rFonts w:hint="eastAsia" w:cs="Calibri"/>
          <w:color w:val="auto"/>
        </w:rPr>
        <w:t>.</w:t>
      </w:r>
      <w:r>
        <w:rPr>
          <w:rFonts w:hint="eastAsia"/>
          <w:color w:val="auto"/>
        </w:rPr>
        <w:t>第7行第</w:t>
      </w:r>
      <w:r>
        <w:rPr>
          <w:color w:val="auto"/>
        </w:rPr>
        <w:t>6</w:t>
      </w:r>
      <w:r>
        <w:rPr>
          <w:rFonts w:hint="eastAsia"/>
          <w:color w:val="auto"/>
        </w:rPr>
        <w:t>列“本年实际抵免税额合计”：填报</w:t>
      </w:r>
      <w:r>
        <w:rPr>
          <w:color w:val="auto"/>
        </w:rPr>
        <w:t>第6列第1</w:t>
      </w:r>
      <w:r>
        <w:rPr>
          <w:rFonts w:hint="eastAsia"/>
          <w:color w:val="auto"/>
        </w:rPr>
        <w:t>行＋……＋第</w:t>
      </w:r>
      <w:r>
        <w:rPr>
          <w:color w:val="auto"/>
        </w:rPr>
        <w:t>6行</w:t>
      </w:r>
      <w:r>
        <w:rPr>
          <w:rFonts w:hint="eastAsia"/>
          <w:color w:val="auto"/>
        </w:rPr>
        <w:t>金额。</w:t>
      </w:r>
    </w:p>
    <w:p>
      <w:pPr>
        <w:pStyle w:val="12"/>
        <w:ind w:firstLine="480"/>
        <w:rPr>
          <w:rFonts w:hint="eastAsia"/>
          <w:color w:val="auto"/>
        </w:rPr>
      </w:pPr>
      <w:r>
        <w:rPr>
          <w:rFonts w:hint="eastAsia"/>
          <w:color w:val="auto"/>
        </w:rPr>
        <w:t>9</w:t>
      </w:r>
      <w:r>
        <w:rPr>
          <w:rFonts w:hint="eastAsia" w:cs="Calibri"/>
          <w:color w:val="auto"/>
        </w:rPr>
        <w:t>.</w:t>
      </w:r>
      <w:r>
        <w:rPr>
          <w:rFonts w:hint="eastAsia"/>
          <w:color w:val="auto"/>
        </w:rPr>
        <w:t>第8行第</w:t>
      </w:r>
      <w:r>
        <w:rPr>
          <w:color w:val="auto"/>
        </w:rPr>
        <w:t>7</w:t>
      </w:r>
      <w:r>
        <w:rPr>
          <w:rFonts w:hint="eastAsia"/>
          <w:color w:val="auto"/>
        </w:rPr>
        <w:t>列“可结转以后年度抵免的税额合计”：填报第</w:t>
      </w:r>
      <w:r>
        <w:rPr>
          <w:color w:val="auto"/>
        </w:rPr>
        <w:t>7</w:t>
      </w:r>
      <w:r>
        <w:rPr>
          <w:rFonts w:hint="eastAsia"/>
          <w:color w:val="auto"/>
        </w:rPr>
        <w:t>列第2行＋……＋第6行金额。</w:t>
      </w:r>
    </w:p>
    <w:p>
      <w:pPr>
        <w:pStyle w:val="22"/>
        <w:rPr>
          <w:rFonts w:hint="eastAsia"/>
          <w:color w:val="auto"/>
        </w:rPr>
      </w:pPr>
      <w:r>
        <w:rPr>
          <w:rFonts w:hint="eastAsia"/>
          <w:color w:val="auto"/>
        </w:rPr>
        <w:t>（二）本年允许抵免专用设备投资情况</w:t>
      </w:r>
    </w:p>
    <w:p>
      <w:pPr>
        <w:pStyle w:val="16"/>
        <w:spacing w:line="360" w:lineRule="auto"/>
        <w:ind w:firstLine="480"/>
        <w:rPr>
          <w:color w:val="auto"/>
        </w:rPr>
      </w:pPr>
      <w:r>
        <w:rPr>
          <w:rFonts w:hint="eastAsia" w:ascii="宋体" w:hAnsi="宋体" w:eastAsia="宋体"/>
          <w:color w:val="auto"/>
        </w:rPr>
        <w:t>填报纳税人</w:t>
      </w:r>
      <w:r>
        <w:rPr>
          <w:rFonts w:hint="eastAsia" w:ascii="宋体" w:hAnsi="宋体" w:eastAsia="宋体"/>
          <w:color w:val="auto"/>
          <w:lang w:eastAsia="zh-CN"/>
        </w:rPr>
        <w:t>本年按照税收政策规定可享受抵免优惠的</w:t>
      </w:r>
      <w:r>
        <w:rPr>
          <w:rFonts w:hint="eastAsia" w:ascii="宋体" w:hAnsi="宋体" w:eastAsia="宋体"/>
          <w:color w:val="auto"/>
        </w:rPr>
        <w:t>专用设备投资类型、投资额、抵免比例和可抵免税额。根据《企业所得税申报事项目录》，在第</w:t>
      </w:r>
      <w:r>
        <w:rPr>
          <w:rFonts w:ascii="宋体" w:hAnsi="宋体" w:eastAsia="宋体"/>
          <w:color w:val="auto"/>
        </w:rPr>
        <w:t>9</w:t>
      </w:r>
      <w:r>
        <w:rPr>
          <w:rFonts w:hint="eastAsia" w:ascii="宋体" w:hAnsi="宋体" w:eastAsia="宋体"/>
          <w:color w:val="auto"/>
        </w:rPr>
        <w:t>.1行、第</w:t>
      </w:r>
      <w:r>
        <w:rPr>
          <w:rFonts w:ascii="宋体" w:hAnsi="宋体" w:eastAsia="宋体"/>
          <w:color w:val="auto"/>
        </w:rPr>
        <w:t>9</w:t>
      </w:r>
      <w:r>
        <w:rPr>
          <w:rFonts w:hint="eastAsia" w:ascii="宋体" w:hAnsi="宋体" w:eastAsia="宋体"/>
          <w:color w:val="auto"/>
        </w:rPr>
        <w:t>.2行……填报</w:t>
      </w:r>
      <w:r>
        <w:rPr>
          <w:rFonts w:hint="eastAsia" w:ascii="宋体" w:hAnsi="宋体" w:eastAsia="宋体"/>
          <w:color w:val="auto"/>
          <w:lang w:eastAsia="zh-CN"/>
        </w:rPr>
        <w:t>专用设备</w:t>
      </w:r>
      <w:r>
        <w:rPr>
          <w:rFonts w:hint="eastAsia" w:ascii="宋体" w:hAnsi="宋体" w:eastAsia="宋体"/>
          <w:color w:val="auto"/>
        </w:rPr>
        <w:t>的具体信息。同时</w:t>
      </w:r>
      <w:r>
        <w:rPr>
          <w:rFonts w:hint="eastAsia" w:ascii="宋体" w:hAnsi="宋体" w:eastAsia="宋体"/>
          <w:color w:val="auto"/>
          <w:lang w:eastAsia="zh-CN"/>
        </w:rPr>
        <w:t>新增</w:t>
      </w:r>
      <w:r>
        <w:rPr>
          <w:rFonts w:hint="eastAsia" w:ascii="宋体" w:hAnsi="宋体" w:eastAsia="宋体"/>
          <w:color w:val="auto"/>
        </w:rPr>
        <w:t>多个</w:t>
      </w:r>
      <w:r>
        <w:rPr>
          <w:rFonts w:hint="eastAsia" w:ascii="宋体" w:hAnsi="宋体" w:eastAsia="宋体"/>
          <w:color w:val="auto"/>
          <w:lang w:eastAsia="zh-CN"/>
        </w:rPr>
        <w:t>设备</w:t>
      </w:r>
      <w:r>
        <w:rPr>
          <w:rFonts w:hint="eastAsia" w:ascii="宋体" w:hAnsi="宋体" w:eastAsia="宋体"/>
          <w:color w:val="auto"/>
        </w:rPr>
        <w:t>的可以增加行次，但每个</w:t>
      </w:r>
      <w:r>
        <w:rPr>
          <w:rFonts w:hint="eastAsia" w:ascii="宋体" w:hAnsi="宋体" w:eastAsia="宋体"/>
          <w:color w:val="auto"/>
          <w:lang w:eastAsia="zh-CN"/>
        </w:rPr>
        <w:t>设备</w:t>
      </w:r>
      <w:r>
        <w:rPr>
          <w:rFonts w:hint="eastAsia" w:ascii="宋体" w:hAnsi="宋体" w:eastAsia="宋体"/>
          <w:color w:val="auto"/>
        </w:rPr>
        <w:t>仅能填报一次。</w:t>
      </w:r>
    </w:p>
    <w:p>
      <w:pPr>
        <w:pStyle w:val="12"/>
        <w:ind w:firstLine="480"/>
        <w:rPr>
          <w:rFonts w:hint="eastAsia"/>
          <w:color w:val="auto"/>
        </w:rPr>
      </w:pPr>
      <w:r>
        <w:rPr>
          <w:rFonts w:hint="eastAsia"/>
          <w:color w:val="auto"/>
          <w:lang w:val="en-US" w:eastAsia="zh-CN"/>
        </w:rPr>
        <w:t>1</w:t>
      </w:r>
      <w:r>
        <w:rPr>
          <w:rFonts w:hint="eastAsia" w:cs="Calibri"/>
          <w:color w:val="auto"/>
        </w:rPr>
        <w:t>.“投资类型”：</w:t>
      </w:r>
      <w:r>
        <w:rPr>
          <w:rFonts w:hint="eastAsia"/>
          <w:color w:val="auto"/>
        </w:rPr>
        <w:t>根据《企业所得税申报事项目录》选择填报允许抵免的专用设备类型。</w:t>
      </w:r>
    </w:p>
    <w:p>
      <w:pPr>
        <w:pStyle w:val="12"/>
        <w:ind w:firstLine="480"/>
        <w:rPr>
          <w:rFonts w:hint="eastAsia"/>
          <w:color w:val="auto"/>
        </w:rPr>
      </w:pPr>
      <w:r>
        <w:rPr>
          <w:rFonts w:hint="eastAsia"/>
          <w:color w:val="auto"/>
        </w:rPr>
        <w:t>2</w:t>
      </w:r>
      <w:r>
        <w:rPr>
          <w:rFonts w:hint="eastAsia" w:cs="Calibri"/>
          <w:color w:val="auto"/>
        </w:rPr>
        <w:t>.</w:t>
      </w:r>
      <w:r>
        <w:rPr>
          <w:rFonts w:hint="eastAsia"/>
          <w:color w:val="auto"/>
        </w:rPr>
        <w:t>“投资额”：填报</w:t>
      </w:r>
      <w:r>
        <w:rPr>
          <w:rFonts w:hint="eastAsia"/>
          <w:color w:val="auto"/>
          <w:lang w:eastAsia="zh-CN"/>
        </w:rPr>
        <w:t>本年按照税收政策规定可享受抵免优惠的</w:t>
      </w:r>
      <w:r>
        <w:rPr>
          <w:rFonts w:hint="eastAsia"/>
          <w:color w:val="auto"/>
        </w:rPr>
        <w:t>专用设备</w:t>
      </w:r>
      <w:r>
        <w:rPr>
          <w:rFonts w:hint="eastAsia"/>
          <w:color w:val="auto"/>
          <w:lang w:eastAsia="zh-CN"/>
        </w:rPr>
        <w:t>的投资额</w:t>
      </w:r>
      <w:r>
        <w:rPr>
          <w:rFonts w:hint="eastAsia"/>
          <w:color w:val="auto"/>
        </w:rPr>
        <w:t>，但不包括</w:t>
      </w:r>
      <w:r>
        <w:rPr>
          <w:color w:val="auto"/>
        </w:rPr>
        <w:t>允许抵扣的增值税进项税额、</w:t>
      </w:r>
      <w:r>
        <w:rPr>
          <w:rFonts w:hint="eastAsia"/>
          <w:color w:val="auto"/>
        </w:rPr>
        <w:t>按有关规定退还的增值税税款以及设备运输、安装和调试等费用。</w:t>
      </w:r>
    </w:p>
    <w:p>
      <w:pPr>
        <w:pStyle w:val="12"/>
        <w:ind w:firstLine="480"/>
        <w:rPr>
          <w:rFonts w:hint="eastAsia"/>
          <w:color w:val="auto"/>
        </w:rPr>
      </w:pPr>
      <w:r>
        <w:rPr>
          <w:rFonts w:hint="eastAsia"/>
          <w:color w:val="auto"/>
        </w:rPr>
        <w:t>3</w:t>
      </w:r>
      <w:r>
        <w:rPr>
          <w:rFonts w:hint="eastAsia" w:cs="Calibri"/>
          <w:color w:val="auto"/>
        </w:rPr>
        <w:t>.</w:t>
      </w:r>
      <w:r>
        <w:rPr>
          <w:rFonts w:hint="eastAsia"/>
          <w:color w:val="auto"/>
        </w:rPr>
        <w:t>“抵免比例”：填报纳税人允许抵免专用设备投资的抵免比例。</w:t>
      </w:r>
    </w:p>
    <w:p>
      <w:pPr>
        <w:pStyle w:val="12"/>
        <w:ind w:firstLine="480"/>
        <w:rPr>
          <w:rFonts w:hint="eastAsia"/>
          <w:color w:val="auto"/>
        </w:rPr>
      </w:pPr>
      <w:r>
        <w:rPr>
          <w:color w:val="auto"/>
        </w:rPr>
        <w:t>4.</w:t>
      </w:r>
      <w:r>
        <w:rPr>
          <w:rFonts w:hint="eastAsia"/>
          <w:color w:val="auto"/>
        </w:rPr>
        <w:t>“可抵免税额”：填报“投资额”×“抵免比例”的金额。</w:t>
      </w:r>
    </w:p>
    <w:p>
      <w:pPr>
        <w:pStyle w:val="23"/>
        <w:ind w:firstLine="480"/>
        <w:rPr>
          <w:rFonts w:hint="eastAsia" w:ascii="黑体" w:hAnsi="黑体" w:eastAsia="黑体" w:cs="黑体"/>
          <w:b w:val="0"/>
          <w:bCs/>
          <w:color w:val="auto"/>
        </w:rPr>
      </w:pPr>
      <w:bookmarkStart w:id="364" w:name="_Toc9790"/>
      <w:bookmarkStart w:id="365" w:name="_Toc163974830"/>
      <w:r>
        <w:rPr>
          <w:rFonts w:hint="eastAsia" w:ascii="黑体" w:hAnsi="黑体" w:eastAsia="黑体" w:cs="黑体"/>
          <w:b w:val="0"/>
          <w:bCs/>
          <w:color w:val="auto"/>
        </w:rPr>
        <w:t>二、表内、表间关系</w:t>
      </w:r>
      <w:bookmarkEnd w:id="364"/>
      <w:bookmarkEnd w:id="365"/>
    </w:p>
    <w:p>
      <w:pPr>
        <w:pStyle w:val="22"/>
        <w:rPr>
          <w:rFonts w:hint="eastAsia"/>
          <w:color w:val="auto"/>
        </w:rPr>
      </w:pPr>
      <w:r>
        <w:rPr>
          <w:rFonts w:hint="eastAsia"/>
          <w:color w:val="auto"/>
        </w:rPr>
        <w:t>（一）表内关系</w:t>
      </w:r>
    </w:p>
    <w:p>
      <w:pPr>
        <w:pStyle w:val="12"/>
        <w:ind w:firstLine="480"/>
        <w:rPr>
          <w:rFonts w:hint="eastAsia" w:cs="Calibri"/>
          <w:color w:val="auto"/>
        </w:rPr>
      </w:pPr>
      <w:r>
        <w:rPr>
          <w:color w:val="auto"/>
        </w:rPr>
        <w:t>1</w:t>
      </w:r>
      <w:r>
        <w:rPr>
          <w:rFonts w:hint="eastAsia" w:cs="Calibri"/>
          <w:color w:val="auto"/>
        </w:rPr>
        <w:t>.</w:t>
      </w:r>
      <w:r>
        <w:rPr>
          <w:rFonts w:hint="eastAsia"/>
          <w:color w:val="auto"/>
        </w:rPr>
        <w:t>第</w:t>
      </w:r>
      <w:r>
        <w:rPr>
          <w:color w:val="auto"/>
        </w:rPr>
        <w:t>6</w:t>
      </w:r>
      <w:r>
        <w:rPr>
          <w:rFonts w:hint="eastAsia"/>
          <w:color w:val="auto"/>
        </w:rPr>
        <w:t>列≤第4－</w:t>
      </w:r>
      <w:r>
        <w:rPr>
          <w:color w:val="auto"/>
        </w:rPr>
        <w:t>5</w:t>
      </w:r>
      <w:r>
        <w:rPr>
          <w:rFonts w:hint="eastAsia"/>
          <w:color w:val="auto"/>
        </w:rPr>
        <w:t>列。</w:t>
      </w:r>
    </w:p>
    <w:p>
      <w:pPr>
        <w:pStyle w:val="12"/>
        <w:ind w:firstLine="480"/>
        <w:rPr>
          <w:rFonts w:hint="eastAsia"/>
          <w:color w:val="auto"/>
        </w:rPr>
      </w:pPr>
      <w:r>
        <w:rPr>
          <w:color w:val="auto"/>
        </w:rPr>
        <w:t>2</w:t>
      </w:r>
      <w:r>
        <w:rPr>
          <w:rFonts w:hint="eastAsia" w:cs="Calibri"/>
          <w:color w:val="auto"/>
        </w:rPr>
        <w:t>.</w:t>
      </w:r>
      <w:r>
        <w:rPr>
          <w:rFonts w:hint="eastAsia"/>
          <w:color w:val="auto"/>
        </w:rPr>
        <w:t>第</w:t>
      </w:r>
      <w:r>
        <w:rPr>
          <w:color w:val="auto"/>
        </w:rPr>
        <w:t>7</w:t>
      </w:r>
      <w:r>
        <w:rPr>
          <w:rFonts w:hint="eastAsia"/>
          <w:color w:val="auto"/>
        </w:rPr>
        <w:t>列＝第4－</w:t>
      </w:r>
      <w:r>
        <w:rPr>
          <w:color w:val="auto"/>
        </w:rPr>
        <w:t>5</w:t>
      </w:r>
      <w:r>
        <w:rPr>
          <w:rFonts w:hint="eastAsia"/>
          <w:color w:val="auto"/>
        </w:rPr>
        <w:t>－</w:t>
      </w:r>
      <w:r>
        <w:rPr>
          <w:color w:val="auto"/>
        </w:rPr>
        <w:t>6</w:t>
      </w:r>
      <w:r>
        <w:rPr>
          <w:rFonts w:hint="eastAsia"/>
          <w:color w:val="auto"/>
        </w:rPr>
        <w:t>列。</w:t>
      </w:r>
    </w:p>
    <w:p>
      <w:pPr>
        <w:pStyle w:val="12"/>
        <w:ind w:firstLine="480"/>
        <w:rPr>
          <w:rFonts w:hint="eastAsia"/>
          <w:color w:val="auto"/>
        </w:rPr>
      </w:pPr>
      <w:r>
        <w:rPr>
          <w:rFonts w:hint="eastAsia"/>
          <w:color w:val="auto"/>
        </w:rPr>
        <w:t>3</w:t>
      </w:r>
      <w:r>
        <w:rPr>
          <w:color w:val="auto"/>
        </w:rPr>
        <w:t>.</w:t>
      </w:r>
      <w:r>
        <w:rPr>
          <w:rFonts w:hint="eastAsia"/>
          <w:color w:val="auto"/>
        </w:rPr>
        <w:t>第6行第3列＝第9.</w:t>
      </w:r>
      <w:r>
        <w:rPr>
          <w:color w:val="auto"/>
        </w:rPr>
        <w:t>1</w:t>
      </w:r>
      <w:r>
        <w:rPr>
          <w:rFonts w:hint="eastAsia"/>
          <w:color w:val="auto"/>
        </w:rPr>
        <w:t>＋</w:t>
      </w:r>
      <w:r>
        <w:rPr>
          <w:color w:val="auto"/>
        </w:rPr>
        <w:t>9.2</w:t>
      </w:r>
      <w:r>
        <w:rPr>
          <w:rFonts w:hint="eastAsia"/>
          <w:color w:val="auto"/>
        </w:rPr>
        <w:t>＋…行“投资额”。</w:t>
      </w:r>
    </w:p>
    <w:p>
      <w:pPr>
        <w:pStyle w:val="12"/>
        <w:ind w:firstLine="480"/>
        <w:rPr>
          <w:rFonts w:hint="eastAsia"/>
          <w:color w:val="auto"/>
        </w:rPr>
      </w:pPr>
      <w:r>
        <w:rPr>
          <w:color w:val="auto"/>
        </w:rPr>
        <w:t>4</w:t>
      </w:r>
      <w:r>
        <w:rPr>
          <w:rFonts w:hint="eastAsia"/>
          <w:color w:val="auto"/>
        </w:rPr>
        <w:t>.第6行第</w:t>
      </w:r>
      <w:r>
        <w:rPr>
          <w:color w:val="auto"/>
        </w:rPr>
        <w:t>4</w:t>
      </w:r>
      <w:r>
        <w:rPr>
          <w:rFonts w:hint="eastAsia"/>
          <w:color w:val="auto"/>
        </w:rPr>
        <w:t>列＝第9.</w:t>
      </w:r>
      <w:r>
        <w:rPr>
          <w:color w:val="auto"/>
        </w:rPr>
        <w:t>1</w:t>
      </w:r>
      <w:r>
        <w:rPr>
          <w:rFonts w:hint="eastAsia"/>
          <w:color w:val="auto"/>
        </w:rPr>
        <w:t>＋</w:t>
      </w:r>
      <w:r>
        <w:rPr>
          <w:color w:val="auto"/>
        </w:rPr>
        <w:t>9.2</w:t>
      </w:r>
      <w:r>
        <w:rPr>
          <w:rFonts w:hint="eastAsia"/>
          <w:color w:val="auto"/>
        </w:rPr>
        <w:t>＋…行“可抵免税额”。</w:t>
      </w:r>
    </w:p>
    <w:p>
      <w:pPr>
        <w:pStyle w:val="12"/>
        <w:ind w:firstLine="480"/>
        <w:rPr>
          <w:rFonts w:hint="eastAsia"/>
          <w:color w:val="auto"/>
        </w:rPr>
      </w:pPr>
      <w:r>
        <w:rPr>
          <w:rFonts w:cs="Calibri"/>
          <w:color w:val="auto"/>
        </w:rPr>
        <w:t>5</w:t>
      </w:r>
      <w:r>
        <w:rPr>
          <w:rFonts w:hint="eastAsia" w:cs="Calibri"/>
          <w:color w:val="auto"/>
        </w:rPr>
        <w:t>.</w:t>
      </w:r>
      <w:r>
        <w:rPr>
          <w:color w:val="auto"/>
        </w:rPr>
        <w:t>第7行第6列＝第6列第1</w:t>
      </w:r>
      <w:r>
        <w:rPr>
          <w:rFonts w:hint="eastAsia"/>
          <w:color w:val="auto"/>
        </w:rPr>
        <w:t>＋</w:t>
      </w:r>
      <w:r>
        <w:rPr>
          <w:color w:val="auto"/>
        </w:rPr>
        <w:t>2</w:t>
      </w:r>
      <w:r>
        <w:rPr>
          <w:rFonts w:hint="eastAsia"/>
          <w:color w:val="auto"/>
        </w:rPr>
        <w:t>＋</w:t>
      </w:r>
      <w:r>
        <w:rPr>
          <w:color w:val="auto"/>
        </w:rPr>
        <w:t>…＋6行。</w:t>
      </w:r>
    </w:p>
    <w:p>
      <w:pPr>
        <w:pStyle w:val="12"/>
        <w:ind w:firstLine="480"/>
        <w:rPr>
          <w:rFonts w:hint="eastAsia"/>
          <w:color w:val="auto"/>
        </w:rPr>
      </w:pPr>
      <w:r>
        <w:rPr>
          <w:color w:val="auto"/>
        </w:rPr>
        <w:t>6</w:t>
      </w:r>
      <w:r>
        <w:rPr>
          <w:rFonts w:hint="eastAsia"/>
          <w:color w:val="auto"/>
        </w:rPr>
        <w:t>.</w:t>
      </w:r>
      <w:r>
        <w:rPr>
          <w:color w:val="auto"/>
        </w:rPr>
        <w:t>第8行第7列＝第7列第2</w:t>
      </w:r>
      <w:r>
        <w:rPr>
          <w:rFonts w:hint="eastAsia"/>
          <w:color w:val="auto"/>
        </w:rPr>
        <w:t>＋</w:t>
      </w:r>
      <w:r>
        <w:rPr>
          <w:color w:val="auto"/>
        </w:rPr>
        <w:t>3</w:t>
      </w:r>
      <w:r>
        <w:rPr>
          <w:rFonts w:hint="eastAsia"/>
          <w:color w:val="auto"/>
        </w:rPr>
        <w:t>＋</w:t>
      </w:r>
      <w:r>
        <w:rPr>
          <w:color w:val="auto"/>
        </w:rPr>
        <w:t>…＋6行。</w:t>
      </w:r>
    </w:p>
    <w:p>
      <w:pPr>
        <w:pStyle w:val="22"/>
        <w:rPr>
          <w:rFonts w:hint="eastAsia"/>
          <w:color w:val="auto"/>
        </w:rPr>
      </w:pPr>
      <w:r>
        <w:rPr>
          <w:rFonts w:hint="eastAsia"/>
          <w:color w:val="auto"/>
        </w:rPr>
        <w:t>（二）表间关系</w:t>
      </w:r>
    </w:p>
    <w:p>
      <w:pPr>
        <w:spacing w:line="360" w:lineRule="auto"/>
        <w:ind w:firstLine="480" w:firstLineChars="200"/>
        <w:rPr>
          <w:rFonts w:hint="eastAsia" w:ascii="宋体" w:hAnsi="宋体"/>
          <w:color w:val="auto"/>
          <w:sz w:val="24"/>
        </w:rPr>
      </w:pPr>
      <w:r>
        <w:rPr>
          <w:rFonts w:hint="eastAsia" w:ascii="宋体" w:hAnsi="宋体"/>
          <w:color w:val="auto"/>
          <w:sz w:val="24"/>
        </w:rPr>
        <w:t>1</w:t>
      </w:r>
      <w:r>
        <w:rPr>
          <w:rFonts w:hint="eastAsia" w:ascii="宋体" w:hAnsi="宋体" w:cs="Calibri"/>
          <w:color w:val="auto"/>
          <w:sz w:val="24"/>
        </w:rPr>
        <w:t>.</w:t>
      </w:r>
      <w:r>
        <w:rPr>
          <w:rFonts w:hint="eastAsia" w:ascii="宋体" w:hAnsi="宋体"/>
          <w:color w:val="auto"/>
          <w:sz w:val="24"/>
        </w:rPr>
        <w:t>第7行第</w:t>
      </w:r>
      <w:r>
        <w:rPr>
          <w:rFonts w:ascii="宋体" w:hAnsi="宋体"/>
          <w:color w:val="auto"/>
          <w:sz w:val="24"/>
        </w:rPr>
        <w:t>6</w:t>
      </w:r>
      <w:r>
        <w:rPr>
          <w:rFonts w:hint="eastAsia" w:ascii="宋体" w:hAnsi="宋体"/>
          <w:color w:val="auto"/>
          <w:sz w:val="24"/>
        </w:rPr>
        <w:t>列≤表A100000第30－</w:t>
      </w:r>
      <w:r>
        <w:rPr>
          <w:rFonts w:ascii="宋体" w:hAnsi="宋体"/>
          <w:color w:val="auto"/>
          <w:sz w:val="24"/>
        </w:rPr>
        <w:t>3</w:t>
      </w:r>
      <w:r>
        <w:rPr>
          <w:rFonts w:hint="eastAsia" w:ascii="宋体" w:hAnsi="宋体"/>
          <w:color w:val="auto"/>
          <w:sz w:val="24"/>
        </w:rPr>
        <w:t>1行。</w:t>
      </w:r>
    </w:p>
    <w:p>
      <w:pPr>
        <w:spacing w:line="360" w:lineRule="auto"/>
        <w:ind w:firstLine="480" w:firstLineChars="200"/>
        <w:rPr>
          <w:rFonts w:hint="eastAsia" w:ascii="宋体" w:hAnsi="宋体"/>
          <w:color w:val="auto"/>
          <w:sz w:val="24"/>
        </w:rPr>
      </w:pPr>
      <w:r>
        <w:rPr>
          <w:rFonts w:hint="eastAsia" w:ascii="宋体" w:hAnsi="宋体"/>
          <w:color w:val="auto"/>
          <w:sz w:val="24"/>
        </w:rPr>
        <w:t>2</w:t>
      </w:r>
      <w:r>
        <w:rPr>
          <w:rFonts w:hint="eastAsia" w:ascii="宋体" w:hAnsi="宋体" w:cs="Calibri"/>
          <w:color w:val="auto"/>
          <w:sz w:val="24"/>
        </w:rPr>
        <w:t>.</w:t>
      </w:r>
      <w:r>
        <w:rPr>
          <w:rFonts w:hint="eastAsia" w:ascii="宋体" w:hAnsi="宋体"/>
          <w:color w:val="auto"/>
          <w:sz w:val="24"/>
        </w:rPr>
        <w:t>第7行第</w:t>
      </w:r>
      <w:r>
        <w:rPr>
          <w:rFonts w:ascii="宋体" w:hAnsi="宋体"/>
          <w:color w:val="auto"/>
          <w:sz w:val="24"/>
        </w:rPr>
        <w:t>6</w:t>
      </w:r>
      <w:r>
        <w:rPr>
          <w:rFonts w:hint="eastAsia" w:ascii="宋体" w:hAnsi="宋体"/>
          <w:color w:val="auto"/>
          <w:sz w:val="24"/>
        </w:rPr>
        <w:t>列＝表A100000第</w:t>
      </w:r>
      <w:r>
        <w:rPr>
          <w:rFonts w:ascii="宋体" w:hAnsi="宋体"/>
          <w:color w:val="auto"/>
          <w:sz w:val="24"/>
        </w:rPr>
        <w:t>3</w:t>
      </w:r>
      <w:r>
        <w:rPr>
          <w:rFonts w:hint="eastAsia" w:ascii="宋体" w:hAnsi="宋体"/>
          <w:color w:val="auto"/>
          <w:sz w:val="24"/>
        </w:rPr>
        <w:t>2行。</w:t>
      </w:r>
    </w:p>
    <w:p>
      <w:pPr>
        <w:spacing w:line="360" w:lineRule="auto"/>
        <w:ind w:firstLine="480" w:firstLineChars="200"/>
        <w:rPr>
          <w:rFonts w:hint="eastAsia" w:ascii="宋体" w:hAnsi="宋体"/>
          <w:color w:val="auto"/>
          <w:sz w:val="24"/>
        </w:rPr>
      </w:pPr>
      <w:r>
        <w:rPr>
          <w:rFonts w:hint="eastAsia" w:ascii="宋体" w:hAnsi="宋体"/>
          <w:color w:val="auto"/>
          <w:sz w:val="24"/>
        </w:rPr>
        <w:t>3</w:t>
      </w:r>
      <w:r>
        <w:rPr>
          <w:rFonts w:hint="eastAsia" w:ascii="宋体" w:hAnsi="宋体" w:cs="Calibri"/>
          <w:color w:val="auto"/>
          <w:sz w:val="24"/>
        </w:rPr>
        <w:t>.</w:t>
      </w:r>
      <w:r>
        <w:rPr>
          <w:rFonts w:hint="eastAsia" w:ascii="宋体" w:hAnsi="宋体"/>
          <w:color w:val="auto"/>
          <w:sz w:val="24"/>
        </w:rPr>
        <w:t>第2列＝表A100000第30－第</w:t>
      </w:r>
      <w:r>
        <w:rPr>
          <w:rFonts w:ascii="宋体" w:hAnsi="宋体"/>
          <w:color w:val="auto"/>
          <w:sz w:val="24"/>
        </w:rPr>
        <w:t>3</w:t>
      </w:r>
      <w:r>
        <w:rPr>
          <w:rFonts w:hint="eastAsia" w:ascii="宋体" w:hAnsi="宋体"/>
          <w:color w:val="auto"/>
          <w:sz w:val="24"/>
        </w:rPr>
        <w:t>1行。</w:t>
      </w:r>
    </w:p>
    <w:p>
      <w:pPr>
        <w:pStyle w:val="13"/>
        <w:ind w:firstLine="480" w:firstLineChars="200"/>
        <w:jc w:val="left"/>
        <w:outlineLvl w:val="9"/>
        <w:rPr>
          <w:rFonts w:hint="eastAsia" w:eastAsia="宋体" w:cs="Times New Roman"/>
          <w:bCs w:val="0"/>
          <w:color w:val="auto"/>
          <w:kern w:val="2"/>
          <w:sz w:val="24"/>
          <w:szCs w:val="24"/>
        </w:rPr>
      </w:pPr>
      <w:bookmarkStart w:id="366" w:name="_Toc28300"/>
      <w:bookmarkStart w:id="367" w:name="_Toc1404189883"/>
      <w:bookmarkStart w:id="368" w:name="_Toc31470"/>
      <w:bookmarkStart w:id="369" w:name="_Toc4140"/>
      <w:r>
        <w:rPr>
          <w:rFonts w:eastAsia="宋体" w:cs="Times New Roman"/>
          <w:bCs w:val="0"/>
          <w:color w:val="auto"/>
          <w:kern w:val="2"/>
          <w:sz w:val="24"/>
          <w:szCs w:val="24"/>
        </w:rPr>
        <w:t>201</w:t>
      </w:r>
      <w:r>
        <w:rPr>
          <w:rFonts w:hint="eastAsia" w:eastAsia="宋体" w:cs="Times New Roman"/>
          <w:bCs w:val="0"/>
          <w:color w:val="auto"/>
          <w:kern w:val="2"/>
          <w:sz w:val="24"/>
          <w:szCs w:val="24"/>
          <w:lang w:val="en-US" w:eastAsia="zh-CN"/>
        </w:rPr>
        <w:t>8</w:t>
      </w:r>
      <w:r>
        <w:rPr>
          <w:rFonts w:eastAsia="宋体" w:cs="Times New Roman"/>
          <w:bCs w:val="0"/>
          <w:color w:val="auto"/>
          <w:kern w:val="2"/>
          <w:sz w:val="24"/>
          <w:szCs w:val="24"/>
        </w:rPr>
        <w:t>－202</w:t>
      </w:r>
      <w:r>
        <w:rPr>
          <w:rFonts w:hint="eastAsia" w:eastAsia="宋体" w:cs="Times New Roman"/>
          <w:bCs w:val="0"/>
          <w:color w:val="auto"/>
          <w:kern w:val="2"/>
          <w:sz w:val="24"/>
          <w:szCs w:val="24"/>
        </w:rPr>
        <w:t>3</w:t>
      </w:r>
      <w:r>
        <w:rPr>
          <w:rFonts w:eastAsia="宋体" w:cs="Times New Roman"/>
          <w:bCs w:val="0"/>
          <w:color w:val="auto"/>
          <w:kern w:val="2"/>
          <w:sz w:val="24"/>
          <w:szCs w:val="24"/>
        </w:rPr>
        <w:t>年度：第2列＝</w:t>
      </w:r>
      <w:r>
        <w:rPr>
          <w:rFonts w:hint="eastAsia" w:eastAsia="宋体" w:cs="Times New Roman"/>
          <w:bCs w:val="0"/>
          <w:color w:val="auto"/>
          <w:kern w:val="2"/>
          <w:sz w:val="24"/>
          <w:szCs w:val="24"/>
        </w:rPr>
        <w:t>表A100000</w:t>
      </w:r>
      <w:r>
        <w:rPr>
          <w:rFonts w:eastAsia="宋体" w:cs="Times New Roman"/>
          <w:bCs w:val="0"/>
          <w:color w:val="auto"/>
          <w:kern w:val="2"/>
          <w:sz w:val="24"/>
          <w:szCs w:val="24"/>
        </w:rPr>
        <w:t>第25－26行。</w:t>
      </w:r>
      <w:bookmarkEnd w:id="366"/>
      <w:bookmarkEnd w:id="367"/>
    </w:p>
    <w:bookmarkEnd w:id="368"/>
    <w:bookmarkEnd w:id="369"/>
    <w:p>
      <w:pPr>
        <w:pStyle w:val="13"/>
        <w:jc w:val="both"/>
        <w:outlineLvl w:val="9"/>
        <w:rPr>
          <w:rFonts w:hint="eastAsia"/>
          <w:color w:val="auto"/>
        </w:rPr>
      </w:pPr>
    </w:p>
    <w:p>
      <w:pPr>
        <w:pStyle w:val="13"/>
        <w:jc w:val="both"/>
        <w:outlineLvl w:val="9"/>
        <w:rPr>
          <w:rFonts w:hint="eastAsia"/>
          <w:color w:val="auto"/>
        </w:rPr>
      </w:pPr>
    </w:p>
    <w:p>
      <w:pPr>
        <w:pStyle w:val="13"/>
        <w:jc w:val="both"/>
        <w:outlineLvl w:val="9"/>
        <w:rPr>
          <w:rFonts w:hint="eastAsia"/>
          <w:color w:val="auto"/>
        </w:rPr>
      </w:pPr>
    </w:p>
    <w:p>
      <w:pPr>
        <w:pStyle w:val="13"/>
        <w:jc w:val="both"/>
        <w:outlineLvl w:val="9"/>
        <w:rPr>
          <w:rFonts w:hint="eastAsia"/>
          <w:color w:val="auto"/>
        </w:rPr>
      </w:pPr>
    </w:p>
    <w:p>
      <w:pPr>
        <w:pStyle w:val="13"/>
        <w:jc w:val="both"/>
        <w:outlineLvl w:val="9"/>
        <w:rPr>
          <w:rFonts w:hint="eastAsia"/>
          <w:color w:val="auto"/>
        </w:rPr>
      </w:pPr>
    </w:p>
    <w:p>
      <w:pPr>
        <w:pStyle w:val="13"/>
        <w:jc w:val="both"/>
        <w:outlineLvl w:val="9"/>
        <w:rPr>
          <w:rFonts w:hint="eastAsia"/>
          <w:color w:val="auto"/>
        </w:rPr>
      </w:pPr>
    </w:p>
    <w:p>
      <w:pPr>
        <w:pStyle w:val="13"/>
        <w:jc w:val="both"/>
        <w:outlineLvl w:val="9"/>
        <w:rPr>
          <w:rFonts w:hint="eastAsia"/>
          <w:color w:val="auto"/>
        </w:rPr>
      </w:pPr>
    </w:p>
    <w:p>
      <w:pPr>
        <w:pStyle w:val="13"/>
        <w:jc w:val="both"/>
        <w:outlineLvl w:val="9"/>
        <w:rPr>
          <w:rFonts w:hint="eastAsia"/>
          <w:color w:val="auto"/>
        </w:rPr>
      </w:pPr>
    </w:p>
    <w:p>
      <w:pPr>
        <w:pStyle w:val="13"/>
        <w:jc w:val="both"/>
        <w:outlineLvl w:val="9"/>
        <w:rPr>
          <w:rFonts w:hint="eastAsia"/>
          <w:color w:val="auto"/>
        </w:rPr>
      </w:pPr>
    </w:p>
    <w:p>
      <w:pPr>
        <w:pStyle w:val="13"/>
        <w:jc w:val="both"/>
        <w:outlineLvl w:val="9"/>
        <w:rPr>
          <w:rFonts w:hint="eastAsia"/>
          <w:color w:val="auto"/>
        </w:rPr>
      </w:pPr>
    </w:p>
    <w:p>
      <w:pPr>
        <w:pStyle w:val="13"/>
        <w:jc w:val="both"/>
        <w:outlineLvl w:val="9"/>
        <w:rPr>
          <w:rFonts w:hint="eastAsia"/>
          <w:color w:val="auto"/>
        </w:rPr>
      </w:pPr>
    </w:p>
    <w:p>
      <w:pPr>
        <w:pStyle w:val="13"/>
        <w:jc w:val="both"/>
        <w:outlineLvl w:val="9"/>
        <w:rPr>
          <w:rFonts w:hint="eastAsia"/>
          <w:color w:val="auto"/>
        </w:rPr>
      </w:pPr>
    </w:p>
    <w:p>
      <w:pPr>
        <w:pStyle w:val="13"/>
        <w:jc w:val="both"/>
        <w:outlineLvl w:val="9"/>
        <w:rPr>
          <w:rFonts w:hint="eastAsia"/>
          <w:color w:val="auto"/>
        </w:rPr>
      </w:pPr>
    </w:p>
    <w:p>
      <w:pPr>
        <w:pStyle w:val="13"/>
        <w:jc w:val="both"/>
        <w:outlineLvl w:val="9"/>
        <w:rPr>
          <w:rFonts w:hint="eastAsia"/>
          <w:color w:val="auto"/>
        </w:rPr>
      </w:pPr>
    </w:p>
    <w:p>
      <w:pPr>
        <w:pStyle w:val="13"/>
        <w:jc w:val="both"/>
        <w:outlineLvl w:val="9"/>
        <w:rPr>
          <w:rFonts w:hint="eastAsia"/>
          <w:color w:val="auto"/>
        </w:rPr>
      </w:pPr>
    </w:p>
    <w:p>
      <w:pPr>
        <w:pStyle w:val="13"/>
        <w:jc w:val="both"/>
        <w:outlineLvl w:val="9"/>
        <w:rPr>
          <w:rFonts w:hint="eastAsia"/>
          <w:color w:val="auto"/>
        </w:rPr>
      </w:pPr>
    </w:p>
    <w:p>
      <w:pPr>
        <w:pStyle w:val="24"/>
        <w:tabs>
          <w:tab w:val="clear" w:pos="4200"/>
        </w:tabs>
        <w:spacing w:before="120" w:after="120"/>
        <w:rPr>
          <w:rFonts w:hint="eastAsia" w:ascii="宋体" w:hAnsi="宋体" w:eastAsia="宋体" w:cs="宋体"/>
          <w:color w:val="auto"/>
          <w:lang w:val="zh-CN"/>
        </w:rPr>
      </w:pPr>
      <w:bookmarkStart w:id="370" w:name="_Toc176972071"/>
      <w:bookmarkStart w:id="371" w:name="_Toc1462807661"/>
      <w:bookmarkStart w:id="372" w:name="_Toc1031820576"/>
      <w:bookmarkStart w:id="373" w:name="_Toc527722760"/>
      <w:r>
        <w:rPr>
          <w:rFonts w:hint="eastAsia" w:ascii="宋体" w:hAnsi="宋体" w:eastAsia="宋体" w:cs="宋体"/>
          <w:color w:val="auto"/>
          <w:lang w:val="zh-CN"/>
        </w:rPr>
        <w:t>A108000    《境外所得税收抵免明细表》填报说明</w:t>
      </w:r>
      <w:bookmarkEnd w:id="370"/>
      <w:bookmarkEnd w:id="371"/>
      <w:bookmarkEnd w:id="372"/>
    </w:p>
    <w:p>
      <w:pPr>
        <w:spacing w:line="360" w:lineRule="auto"/>
        <w:ind w:firstLine="523" w:firstLineChars="218"/>
        <w:rPr>
          <w:rFonts w:hint="eastAsia" w:ascii="宋体" w:hAnsi="宋体" w:cs="宋体"/>
          <w:color w:val="auto"/>
          <w:sz w:val="24"/>
        </w:rPr>
      </w:pPr>
      <w:r>
        <w:rPr>
          <w:rFonts w:hint="eastAsia" w:ascii="宋体" w:hAnsi="宋体" w:cs="宋体"/>
          <w:color w:val="auto"/>
          <w:sz w:val="24"/>
        </w:rPr>
        <w:t>本表适用于取得境外所得的纳税人填报。纳税人应根据税法等</w:t>
      </w:r>
      <w:r>
        <w:rPr>
          <w:rFonts w:hint="eastAsia" w:ascii="宋体" w:hAnsi="宋体" w:cs="宋体"/>
          <w:color w:val="auto"/>
          <w:sz w:val="24"/>
          <w:lang w:eastAsia="zh-CN"/>
        </w:rPr>
        <w:t>相关政策</w:t>
      </w:r>
      <w:r>
        <w:rPr>
          <w:rFonts w:hint="eastAsia" w:ascii="宋体" w:hAnsi="宋体" w:cs="宋体"/>
          <w:color w:val="auto"/>
          <w:sz w:val="24"/>
        </w:rPr>
        <w:t>规定，填报本年来源于或发生于其他国家、地区的所得按照税收规定计算应缴纳和应抵免的企业所得税。</w:t>
      </w:r>
    </w:p>
    <w:p>
      <w:pPr>
        <w:pStyle w:val="23"/>
        <w:ind w:firstLine="482"/>
        <w:rPr>
          <w:rFonts w:hint="eastAsia" w:cs="宋体"/>
          <w:color w:val="auto"/>
        </w:rPr>
      </w:pPr>
      <w:bookmarkStart w:id="374" w:name="_Toc54267973"/>
      <w:r>
        <w:rPr>
          <w:rFonts w:hint="eastAsia" w:cs="宋体"/>
          <w:color w:val="auto"/>
        </w:rPr>
        <w:t>一、有关项目填报说明</w:t>
      </w:r>
      <w:bookmarkEnd w:id="374"/>
    </w:p>
    <w:p>
      <w:pPr>
        <w:pStyle w:val="21"/>
        <w:ind w:firstLine="480"/>
        <w:rPr>
          <w:rFonts w:hint="eastAsia"/>
          <w:color w:val="auto"/>
        </w:rPr>
      </w:pPr>
      <w:bookmarkStart w:id="375" w:name="_Toc54267974"/>
      <w:r>
        <w:rPr>
          <w:rFonts w:hint="eastAsia"/>
          <w:color w:val="auto"/>
        </w:rPr>
        <w:t>（一）行次填报</w:t>
      </w:r>
      <w:bookmarkEnd w:id="375"/>
    </w:p>
    <w:p>
      <w:pPr>
        <w:pStyle w:val="12"/>
        <w:ind w:firstLine="480"/>
        <w:rPr>
          <w:rFonts w:hint="eastAsia" w:cs="宋体"/>
          <w:color w:val="auto"/>
        </w:rPr>
      </w:pPr>
      <w:r>
        <w:rPr>
          <w:rFonts w:hint="eastAsia" w:cs="宋体"/>
          <w:color w:val="auto"/>
        </w:rPr>
        <w:t>纳税人若选择“分国（地区）不分项”的境外所得抵免方式，应根据《境外所得纳税调整后所得明细表》（A108010）、《境外分支机构弥补亏损明细表》（A108020）、《跨年度结转抵免境外所得税明细表》（A108030）分国（地区）别逐行填报本表；纳税人若选择“不分国（地区）不分项”的境外所得抵免方式，应按照税收规定计算可抵免境外所得税税额和抵免限额，并根据表A108010、表A108020、表A108030的合计金额填报本表第1行。</w:t>
      </w:r>
    </w:p>
    <w:p>
      <w:pPr>
        <w:pStyle w:val="21"/>
        <w:ind w:firstLine="480"/>
        <w:rPr>
          <w:rFonts w:hint="eastAsia"/>
          <w:color w:val="auto"/>
        </w:rPr>
      </w:pPr>
      <w:bookmarkStart w:id="376" w:name="_Toc54267975"/>
      <w:r>
        <w:rPr>
          <w:rFonts w:hint="eastAsia"/>
          <w:color w:val="auto"/>
        </w:rPr>
        <w:t>（二）列次填报</w:t>
      </w:r>
      <w:bookmarkEnd w:id="376"/>
    </w:p>
    <w:p>
      <w:pPr>
        <w:pStyle w:val="12"/>
        <w:ind w:firstLine="480"/>
        <w:rPr>
          <w:rFonts w:hint="eastAsia" w:cs="宋体"/>
          <w:color w:val="auto"/>
        </w:rPr>
      </w:pPr>
      <w:r>
        <w:rPr>
          <w:rFonts w:hint="eastAsia" w:cs="宋体"/>
          <w:color w:val="auto"/>
        </w:rPr>
        <w:t>1.第1列“国家（地区）”：纳税人若选择“分国（地区）不分项”的境外所得抵免方式，填报纳税人境外所得来源的国家（地区）名称，来源于同一国家（地区）的境外所得合并到一行填报；纳税人若选择“不分国（地区）不分项”的境外所得抵免方式，无需填报。</w:t>
      </w:r>
    </w:p>
    <w:p>
      <w:pPr>
        <w:pStyle w:val="12"/>
        <w:ind w:firstLine="480"/>
        <w:rPr>
          <w:rFonts w:hint="eastAsia" w:cs="宋体"/>
          <w:color w:val="auto"/>
        </w:rPr>
      </w:pPr>
      <w:r>
        <w:rPr>
          <w:rFonts w:hint="eastAsia" w:cs="宋体"/>
          <w:color w:val="auto"/>
        </w:rPr>
        <w:t>2.第2列“境外税前所得”：填报表A108010第14列－第19列－第24列的金额。</w:t>
      </w:r>
    </w:p>
    <w:p>
      <w:pPr>
        <w:pStyle w:val="12"/>
        <w:ind w:firstLine="480"/>
        <w:rPr>
          <w:rFonts w:hint="eastAsia" w:cs="宋体"/>
          <w:color w:val="auto"/>
        </w:rPr>
      </w:pPr>
      <w:r>
        <w:rPr>
          <w:rFonts w:hint="eastAsia" w:cs="宋体"/>
          <w:color w:val="auto"/>
        </w:rPr>
        <w:t>3.第3列“境外所得纳税调整后所得”：填报表A108010第18列－第26列的金额。</w:t>
      </w:r>
    </w:p>
    <w:p>
      <w:pPr>
        <w:pStyle w:val="12"/>
        <w:ind w:firstLine="480"/>
        <w:rPr>
          <w:rFonts w:hint="eastAsia" w:cs="宋体"/>
          <w:color w:val="auto"/>
        </w:rPr>
      </w:pPr>
      <w:r>
        <w:rPr>
          <w:rFonts w:hint="eastAsia" w:cs="宋体"/>
          <w:color w:val="auto"/>
        </w:rPr>
        <w:t>4.第4列“弥补境外以前年度亏损”：填报表A108020第4＋8列的合计金额。</w:t>
      </w:r>
    </w:p>
    <w:p>
      <w:pPr>
        <w:pStyle w:val="12"/>
        <w:ind w:firstLine="480"/>
        <w:rPr>
          <w:rFonts w:hint="eastAsia" w:cs="宋体"/>
          <w:color w:val="auto"/>
        </w:rPr>
      </w:pPr>
      <w:r>
        <w:rPr>
          <w:rFonts w:hint="eastAsia" w:cs="宋体"/>
          <w:color w:val="auto"/>
        </w:rPr>
        <w:t>5.第5列“境外应纳税所得额”：填报第3－4列的余额。当第3－4列＜0时，本列填报0。</w:t>
      </w:r>
    </w:p>
    <w:p>
      <w:pPr>
        <w:pStyle w:val="12"/>
        <w:ind w:firstLine="480"/>
        <w:rPr>
          <w:rFonts w:hint="eastAsia" w:cs="宋体"/>
          <w:color w:val="auto"/>
        </w:rPr>
      </w:pPr>
      <w:r>
        <w:rPr>
          <w:rFonts w:hint="eastAsia" w:cs="宋体"/>
          <w:color w:val="auto"/>
        </w:rPr>
        <w:t>6.第6列“抵减境内亏损”：当纳税人选择用境外所得抵减弥补境内亏损时，填报纳税人境外所得按照税收规定抵减境内的亏损额（包括抵减的当年度境内亏损额和弥补的以前年度境内亏损额）；当纳税人选择不用境外所得抵减弥补境内亏损时，填报0。</w:t>
      </w:r>
    </w:p>
    <w:p>
      <w:pPr>
        <w:pStyle w:val="12"/>
        <w:ind w:firstLine="480"/>
        <w:rPr>
          <w:rFonts w:hint="eastAsia" w:cs="宋体"/>
          <w:color w:val="auto"/>
        </w:rPr>
      </w:pPr>
      <w:r>
        <w:rPr>
          <w:rFonts w:hint="eastAsia" w:cs="宋体"/>
          <w:color w:val="auto"/>
        </w:rPr>
        <w:t>7.第7列“抵减境内亏损后的境外应纳税所得额”：填报第5－6列金额。</w:t>
      </w:r>
    </w:p>
    <w:p>
      <w:pPr>
        <w:pStyle w:val="12"/>
        <w:ind w:firstLine="480"/>
        <w:rPr>
          <w:rFonts w:hint="eastAsia" w:cs="宋体"/>
          <w:color w:val="auto"/>
        </w:rPr>
      </w:pPr>
      <w:r>
        <w:rPr>
          <w:rFonts w:hint="eastAsia" w:cs="宋体"/>
          <w:color w:val="auto"/>
        </w:rPr>
        <w:t>8.第8列“税率”：填报法定税率25%。符合《财政部 国家税务总局关于高新技术企业境外所得适用税率及税收抵免问题的通知》（财税〔2011〕47号）第一条规定的高新技术企业填报15%。</w:t>
      </w:r>
    </w:p>
    <w:p>
      <w:pPr>
        <w:pStyle w:val="12"/>
        <w:ind w:firstLine="480"/>
        <w:rPr>
          <w:rFonts w:hint="eastAsia" w:cs="宋体"/>
          <w:color w:val="auto"/>
        </w:rPr>
      </w:pPr>
      <w:r>
        <w:rPr>
          <w:rFonts w:hint="eastAsia" w:cs="宋体"/>
          <w:color w:val="auto"/>
        </w:rPr>
        <w:t>9.第9列“境外所得应纳税额”：填报第7×8列金额。</w:t>
      </w:r>
    </w:p>
    <w:p>
      <w:pPr>
        <w:pStyle w:val="12"/>
        <w:ind w:firstLine="480"/>
        <w:rPr>
          <w:rFonts w:hint="eastAsia" w:cs="宋体"/>
          <w:color w:val="auto"/>
        </w:rPr>
      </w:pPr>
      <w:r>
        <w:rPr>
          <w:rFonts w:hint="eastAsia" w:cs="宋体"/>
          <w:color w:val="auto"/>
        </w:rPr>
        <w:t>10.第10列“境外所得可抵免税额”：填报表A108010第13列－第23列－第25列金额。</w:t>
      </w:r>
    </w:p>
    <w:p>
      <w:pPr>
        <w:pStyle w:val="12"/>
        <w:ind w:firstLine="480"/>
        <w:rPr>
          <w:rFonts w:hint="eastAsia" w:cs="宋体"/>
          <w:color w:val="auto"/>
        </w:rPr>
      </w:pPr>
      <w:r>
        <w:rPr>
          <w:rFonts w:hint="eastAsia" w:cs="宋体"/>
          <w:color w:val="auto"/>
        </w:rPr>
        <w:t>11.第11列“境外所得抵免限额”：境外所得抵免限额按以下公式计算：</w:t>
      </w:r>
    </w:p>
    <w:p>
      <w:pPr>
        <w:pStyle w:val="12"/>
        <w:ind w:firstLine="480"/>
        <w:rPr>
          <w:rFonts w:hint="eastAsia" w:cs="宋体"/>
          <w:color w:val="auto"/>
        </w:rPr>
      </w:pPr>
      <w:r>
        <w:rPr>
          <w:rFonts w:hint="eastAsia" w:cs="宋体"/>
          <w:color w:val="auto"/>
        </w:rPr>
        <w:t>抵免限额＝中国境内、境外所得依照企业所得税法和条例的规定计算的应纳税总额×来源于某国（地区）的应纳税所得额÷中国境内、境外应纳税所得总额。</w:t>
      </w:r>
    </w:p>
    <w:p>
      <w:pPr>
        <w:pStyle w:val="12"/>
        <w:ind w:firstLine="480"/>
        <w:rPr>
          <w:rFonts w:hint="eastAsia" w:cs="宋体"/>
          <w:color w:val="auto"/>
        </w:rPr>
      </w:pPr>
      <w:r>
        <w:rPr>
          <w:rFonts w:hint="eastAsia" w:cs="宋体"/>
          <w:color w:val="auto"/>
        </w:rPr>
        <w:t>12.第12列“本年可抵免境外所得税额”：填报纳税人本年来源于境外的所得已缴纳所得税在本年度允许抵免的金额。按第10列、第11列孰小值填报。</w:t>
      </w:r>
    </w:p>
    <w:p>
      <w:pPr>
        <w:pStyle w:val="12"/>
        <w:ind w:firstLine="480"/>
        <w:rPr>
          <w:rFonts w:hint="eastAsia" w:cs="宋体"/>
          <w:color w:val="auto"/>
        </w:rPr>
      </w:pPr>
      <w:r>
        <w:rPr>
          <w:rFonts w:hint="eastAsia" w:cs="宋体"/>
          <w:color w:val="auto"/>
        </w:rPr>
        <w:t>13.第13列“未超过境外所得税抵免限额的余额”：填报纳税人本年在抵免限额内抵免完境外所得税后有余额的，可用于抵免以前年度结转的待抵免的所得税额。按第11－12列金额填报。</w:t>
      </w:r>
    </w:p>
    <w:p>
      <w:pPr>
        <w:pStyle w:val="12"/>
        <w:ind w:firstLine="480"/>
        <w:rPr>
          <w:rFonts w:hint="eastAsia" w:cs="宋体"/>
          <w:color w:val="auto"/>
        </w:rPr>
      </w:pPr>
      <w:r>
        <w:rPr>
          <w:rFonts w:hint="eastAsia" w:cs="宋体"/>
          <w:color w:val="auto"/>
        </w:rPr>
        <w:t>14.第14列“本年可抵免以前年度未抵免境外所得税额”：填报纳税人本年可抵免以前年度未抵免、结转到本年度抵免的境外所得税额，按表A108030第13列金额填报。</w:t>
      </w:r>
    </w:p>
    <w:p>
      <w:pPr>
        <w:pStyle w:val="12"/>
        <w:ind w:firstLine="480"/>
        <w:rPr>
          <w:rFonts w:hint="eastAsia" w:cs="宋体"/>
          <w:color w:val="auto"/>
        </w:rPr>
      </w:pPr>
      <w:r>
        <w:rPr>
          <w:rFonts w:hint="eastAsia" w:cs="宋体"/>
          <w:color w:val="auto"/>
        </w:rPr>
        <w:t>15.第15列至第18列由选择简易办法计算抵免额的纳税人填报。</w:t>
      </w:r>
    </w:p>
    <w:p>
      <w:pPr>
        <w:pStyle w:val="12"/>
        <w:ind w:firstLine="480"/>
        <w:rPr>
          <w:rFonts w:hint="eastAsia" w:cs="宋体"/>
          <w:color w:val="auto"/>
        </w:rPr>
      </w:pPr>
      <w:r>
        <w:rPr>
          <w:rFonts w:hint="eastAsia" w:cs="宋体"/>
          <w:color w:val="auto"/>
        </w:rPr>
        <w:t>（1）第15列“按低于12.5%的实际税率计算的抵免额”：纳税人从境外取得营业利润所得以及符合境外税额间接抵免条件的股息所得，所得来源国（地区）的实际有效税率低于12.5%的，填报按照实际有效税率计算的抵免额。</w:t>
      </w:r>
    </w:p>
    <w:p>
      <w:pPr>
        <w:pStyle w:val="12"/>
        <w:ind w:firstLine="480"/>
        <w:rPr>
          <w:rFonts w:hint="eastAsia" w:cs="宋体"/>
          <w:color w:val="auto"/>
        </w:rPr>
      </w:pPr>
      <w:r>
        <w:rPr>
          <w:rFonts w:hint="eastAsia" w:cs="宋体"/>
          <w:color w:val="auto"/>
        </w:rPr>
        <w:t>（2）第16列“按12.5%计算的抵免额”：纳税人从境外取得营业利润所得以及符合境外税额间接抵免条件的股息所得，除第15列情形外，填报按照12.5%计算的抵免额。</w:t>
      </w:r>
    </w:p>
    <w:p>
      <w:pPr>
        <w:pStyle w:val="12"/>
        <w:ind w:firstLine="480"/>
        <w:rPr>
          <w:rFonts w:hint="eastAsia" w:cs="宋体"/>
          <w:color w:val="auto"/>
        </w:rPr>
      </w:pPr>
      <w:r>
        <w:rPr>
          <w:rFonts w:hint="eastAsia" w:cs="宋体"/>
          <w:color w:val="auto"/>
        </w:rPr>
        <w:t>（3）第17列“按25%计算的抵免额”：纳税人从境外取得营业利润所得以及符合境外税额间接抵免条件的股息所得，所得来源国（地区）的实际有效税率高于25%的，填报按照25%计算的抵免额。</w:t>
      </w:r>
    </w:p>
    <w:p>
      <w:pPr>
        <w:pStyle w:val="12"/>
        <w:ind w:firstLine="480"/>
        <w:rPr>
          <w:rFonts w:hint="eastAsia" w:cs="宋体"/>
          <w:color w:val="auto"/>
        </w:rPr>
      </w:pPr>
      <w:r>
        <w:rPr>
          <w:rFonts w:hint="eastAsia" w:cs="宋体"/>
          <w:color w:val="auto"/>
        </w:rPr>
        <w:t>16.第19列“境外所得抵免所得税额合计”：填报第12＋14＋18列金额。</w:t>
      </w:r>
    </w:p>
    <w:p>
      <w:pPr>
        <w:pStyle w:val="23"/>
        <w:ind w:firstLine="482"/>
        <w:rPr>
          <w:rFonts w:hint="eastAsia" w:cs="宋体"/>
          <w:color w:val="auto"/>
        </w:rPr>
      </w:pPr>
      <w:bookmarkStart w:id="377" w:name="_Toc54267976"/>
      <w:r>
        <w:rPr>
          <w:rFonts w:hint="eastAsia" w:cs="宋体"/>
          <w:color w:val="auto"/>
        </w:rPr>
        <w:t>二、表内、表间关系</w:t>
      </w:r>
      <w:bookmarkEnd w:id="377"/>
    </w:p>
    <w:p>
      <w:pPr>
        <w:pStyle w:val="21"/>
        <w:ind w:firstLine="480"/>
        <w:rPr>
          <w:rFonts w:hint="eastAsia"/>
          <w:color w:val="auto"/>
        </w:rPr>
      </w:pPr>
      <w:bookmarkStart w:id="378" w:name="_Toc54267977"/>
      <w:r>
        <w:rPr>
          <w:rFonts w:hint="eastAsia"/>
          <w:color w:val="auto"/>
        </w:rPr>
        <w:t>（一）表内关系</w:t>
      </w:r>
      <w:bookmarkEnd w:id="378"/>
    </w:p>
    <w:p>
      <w:pPr>
        <w:pStyle w:val="12"/>
        <w:ind w:firstLine="480"/>
        <w:rPr>
          <w:rFonts w:hint="eastAsia" w:cs="宋体"/>
          <w:color w:val="auto"/>
        </w:rPr>
      </w:pPr>
      <w:r>
        <w:rPr>
          <w:rFonts w:hint="eastAsia" w:cs="宋体"/>
          <w:color w:val="auto"/>
        </w:rPr>
        <w:t>1.第5列＝第3－4列，当第3－4列＜0时，本列＝0。</w:t>
      </w:r>
    </w:p>
    <w:p>
      <w:pPr>
        <w:pStyle w:val="12"/>
        <w:ind w:firstLine="480"/>
        <w:rPr>
          <w:rFonts w:hint="eastAsia" w:cs="宋体"/>
          <w:color w:val="auto"/>
        </w:rPr>
      </w:pPr>
      <w:r>
        <w:rPr>
          <w:rFonts w:hint="eastAsia" w:cs="宋体"/>
          <w:color w:val="auto"/>
        </w:rPr>
        <w:t>2.第6列≤第5列。</w:t>
      </w:r>
    </w:p>
    <w:p>
      <w:pPr>
        <w:pStyle w:val="12"/>
        <w:ind w:firstLine="480"/>
        <w:rPr>
          <w:rFonts w:hint="eastAsia" w:cs="宋体"/>
          <w:color w:val="auto"/>
        </w:rPr>
      </w:pPr>
      <w:r>
        <w:rPr>
          <w:rFonts w:hint="eastAsia" w:cs="宋体"/>
          <w:color w:val="auto"/>
        </w:rPr>
        <w:t>3.第7列＝第5－6列。</w:t>
      </w:r>
    </w:p>
    <w:p>
      <w:pPr>
        <w:pStyle w:val="12"/>
        <w:ind w:firstLine="480"/>
        <w:rPr>
          <w:rFonts w:hint="eastAsia" w:cs="宋体"/>
          <w:color w:val="auto"/>
        </w:rPr>
      </w:pPr>
      <w:r>
        <w:rPr>
          <w:rFonts w:hint="eastAsia" w:cs="宋体"/>
          <w:color w:val="auto"/>
        </w:rPr>
        <w:t>4.第9列＝第7×8列。</w:t>
      </w:r>
    </w:p>
    <w:p>
      <w:pPr>
        <w:pStyle w:val="12"/>
        <w:ind w:firstLine="480"/>
        <w:rPr>
          <w:rFonts w:hint="eastAsia" w:cs="宋体"/>
          <w:color w:val="auto"/>
        </w:rPr>
      </w:pPr>
      <w:r>
        <w:rPr>
          <w:rFonts w:hint="eastAsia" w:cs="宋体"/>
          <w:color w:val="auto"/>
        </w:rPr>
        <w:t>5.第12列＝第10列、第11列孰小值。</w:t>
      </w:r>
    </w:p>
    <w:p>
      <w:pPr>
        <w:pStyle w:val="12"/>
        <w:ind w:firstLine="480"/>
        <w:rPr>
          <w:rFonts w:hint="eastAsia" w:cs="宋体"/>
          <w:color w:val="auto"/>
        </w:rPr>
      </w:pPr>
      <w:r>
        <w:rPr>
          <w:rFonts w:hint="eastAsia" w:cs="宋体"/>
          <w:color w:val="auto"/>
        </w:rPr>
        <w:t>6.第13列＝第11－12列。</w:t>
      </w:r>
    </w:p>
    <w:p>
      <w:pPr>
        <w:pStyle w:val="12"/>
        <w:ind w:firstLine="480"/>
        <w:rPr>
          <w:rFonts w:hint="eastAsia" w:cs="宋体"/>
          <w:color w:val="auto"/>
        </w:rPr>
      </w:pPr>
      <w:r>
        <w:rPr>
          <w:rFonts w:hint="eastAsia" w:cs="宋体"/>
          <w:color w:val="auto"/>
        </w:rPr>
        <w:t>7.第14列≤第13列。</w:t>
      </w:r>
    </w:p>
    <w:p>
      <w:pPr>
        <w:pStyle w:val="12"/>
        <w:ind w:firstLine="480"/>
        <w:rPr>
          <w:rFonts w:hint="eastAsia" w:cs="宋体"/>
          <w:color w:val="auto"/>
        </w:rPr>
      </w:pPr>
      <w:r>
        <w:rPr>
          <w:rFonts w:hint="eastAsia" w:cs="宋体"/>
          <w:color w:val="auto"/>
        </w:rPr>
        <w:t>8.第18列＝第15＋16＋17列。</w:t>
      </w:r>
    </w:p>
    <w:p>
      <w:pPr>
        <w:pStyle w:val="12"/>
        <w:ind w:firstLine="480"/>
        <w:rPr>
          <w:rFonts w:hint="eastAsia" w:cs="宋体"/>
          <w:color w:val="auto"/>
        </w:rPr>
      </w:pPr>
      <w:r>
        <w:rPr>
          <w:rFonts w:hint="eastAsia" w:cs="宋体"/>
          <w:color w:val="auto"/>
        </w:rPr>
        <w:t>9.第19列＝第12＋14＋18列。</w:t>
      </w:r>
    </w:p>
    <w:p>
      <w:pPr>
        <w:pStyle w:val="21"/>
        <w:ind w:firstLine="480"/>
        <w:rPr>
          <w:rFonts w:hint="eastAsia"/>
          <w:color w:val="auto"/>
        </w:rPr>
      </w:pPr>
      <w:bookmarkStart w:id="379" w:name="_Toc54267978"/>
      <w:r>
        <w:rPr>
          <w:rFonts w:hint="eastAsia"/>
          <w:color w:val="auto"/>
        </w:rPr>
        <w:t>（二）表间关系</w:t>
      </w:r>
      <w:bookmarkEnd w:id="379"/>
    </w:p>
    <w:p>
      <w:pPr>
        <w:pStyle w:val="12"/>
        <w:ind w:firstLine="480"/>
        <w:rPr>
          <w:rFonts w:hint="eastAsia" w:cs="宋体"/>
          <w:color w:val="auto"/>
        </w:rPr>
      </w:pPr>
      <w:r>
        <w:rPr>
          <w:rFonts w:hint="eastAsia" w:cs="宋体"/>
          <w:color w:val="auto"/>
        </w:rPr>
        <w:t>1.若选择“分国（地区）不分项”的境外所得抵免方式，第2列各行＝表A108010第14列相应行次－第19列相应行次－第24列相应行次；若选择“不分国（地区）不分项”的境外所得抵免方式，第1行第2列＝表A108010第14列合计－第19列合计－第24列合计。</w:t>
      </w:r>
    </w:p>
    <w:p>
      <w:pPr>
        <w:pStyle w:val="12"/>
        <w:ind w:firstLine="480"/>
        <w:rPr>
          <w:rFonts w:hint="eastAsia" w:cs="宋体"/>
          <w:color w:val="auto"/>
        </w:rPr>
      </w:pPr>
      <w:r>
        <w:rPr>
          <w:rFonts w:hint="eastAsia" w:cs="宋体"/>
          <w:color w:val="auto"/>
        </w:rPr>
        <w:t>2.若选择“分国（地区）不分项”的境外所得抵免方式，第3列各行＝表A108010第18列相应行次－第26列相应行次；若选择“不分国（地区）不分项”的境外所得抵免方式，第1行第3列＝表A108010第18列合计－第26列合计。</w:t>
      </w:r>
    </w:p>
    <w:p>
      <w:pPr>
        <w:pStyle w:val="12"/>
        <w:ind w:firstLine="480"/>
        <w:rPr>
          <w:rFonts w:hint="eastAsia" w:cs="宋体"/>
          <w:color w:val="auto"/>
        </w:rPr>
      </w:pPr>
      <w:r>
        <w:rPr>
          <w:rFonts w:hint="eastAsia" w:cs="宋体"/>
          <w:color w:val="auto"/>
        </w:rPr>
        <w:t>3.若选择“分国（地区）不分项”的境外所得抵免方式，第4列各行＝表A108020第4列相应行次＋第8列相应行次；若选择“不分国（地区）不分项”的境外所得抵免方式，第1行第4列＝表A108020第4列合计＋第8列合计。</w:t>
      </w:r>
    </w:p>
    <w:p>
      <w:pPr>
        <w:pStyle w:val="12"/>
        <w:ind w:firstLine="480"/>
        <w:rPr>
          <w:rFonts w:hint="eastAsia" w:cs="宋体"/>
          <w:b/>
          <w:color w:val="auto"/>
        </w:rPr>
      </w:pPr>
      <w:r>
        <w:rPr>
          <w:rFonts w:hint="eastAsia" w:cs="宋体"/>
          <w:color w:val="auto"/>
        </w:rPr>
        <w:t>4.若选择“分国（地区）不分项”的境外所得抵免方式，第6列合计≤第5列合计、表A106000第9列第1行至第10行合计＋表A100000第23行的孰小值；若选择“不分国（地区）不分项”的境外所得抵免方式，第1行第6列≤第1行第5列、表A106000第9列第1行至第10行合计＋表A100000第23行的孰小值。</w:t>
      </w:r>
    </w:p>
    <w:p>
      <w:pPr>
        <w:pStyle w:val="12"/>
        <w:ind w:firstLine="480"/>
        <w:rPr>
          <w:rFonts w:hint="eastAsia" w:cs="宋体"/>
          <w:color w:val="auto"/>
        </w:rPr>
      </w:pPr>
      <w:r>
        <w:rPr>
          <w:rFonts w:hint="eastAsia" w:cs="宋体"/>
          <w:color w:val="auto"/>
        </w:rPr>
        <w:t>5.第9列合计＝表A100000第34行。</w:t>
      </w:r>
    </w:p>
    <w:p>
      <w:pPr>
        <w:pStyle w:val="12"/>
        <w:ind w:firstLine="480"/>
        <w:rPr>
          <w:rFonts w:hint="eastAsia" w:cs="宋体"/>
          <w:color w:val="auto"/>
        </w:rPr>
      </w:pPr>
      <w:r>
        <w:rPr>
          <w:rFonts w:hint="eastAsia" w:cs="宋体"/>
          <w:color w:val="auto"/>
        </w:rPr>
        <w:t>6.若选择“分国（地区）不分项”的境外所得抵免方式，第10列各行＝表A108010第13列相应行次－第23列相应行次－第25列相应行次；若选择“不分国（地区）不分项”的境外所得抵免方式，第1行第10列＝表A108010第13列合计－第23列合计－第25列合计。</w:t>
      </w:r>
    </w:p>
    <w:p>
      <w:pPr>
        <w:pStyle w:val="12"/>
        <w:ind w:firstLine="480"/>
        <w:rPr>
          <w:rFonts w:hint="eastAsia" w:cs="宋体"/>
          <w:color w:val="auto"/>
        </w:rPr>
      </w:pPr>
      <w:r>
        <w:rPr>
          <w:rFonts w:hint="eastAsia" w:cs="宋体"/>
          <w:color w:val="auto"/>
        </w:rPr>
        <w:t>7.若选择“分国（地区）不分项”的境外所得抵免方式，第14列各行＝表A108030第13列相应行次；若选择“不分国（地区）不分项”的境外所得抵免方式，第1行第14列＝表A108030第13列合计。</w:t>
      </w:r>
    </w:p>
    <w:p>
      <w:pPr>
        <w:pStyle w:val="12"/>
        <w:ind w:firstLine="480"/>
        <w:rPr>
          <w:rFonts w:hint="eastAsia" w:cs="宋体"/>
          <w:color w:val="auto"/>
        </w:rPr>
      </w:pPr>
      <w:r>
        <w:rPr>
          <w:rFonts w:hint="eastAsia" w:cs="宋体"/>
          <w:color w:val="auto"/>
        </w:rPr>
        <w:t>8.第19列合计＝表A100000第35行。</w:t>
      </w:r>
      <w:bookmarkEnd w:id="373"/>
    </w:p>
    <w:p>
      <w:pPr>
        <w:pStyle w:val="17"/>
        <w:ind w:firstLine="482"/>
        <w:rPr>
          <w:rFonts w:hint="eastAsia"/>
          <w:color w:val="auto"/>
        </w:rPr>
        <w:sectPr>
          <w:pgSz w:w="11906" w:h="16838"/>
          <w:pgMar w:top="1440" w:right="1800" w:bottom="1440" w:left="1800" w:header="851" w:footer="992" w:gutter="113"/>
          <w:pgNumType w:fmt="decimal"/>
          <w:cols w:space="720" w:num="1"/>
          <w:docGrid w:linePitch="312" w:charSpace="0"/>
        </w:sectPr>
      </w:pPr>
    </w:p>
    <w:p>
      <w:pPr>
        <w:pStyle w:val="24"/>
        <w:tabs>
          <w:tab w:val="clear" w:pos="4200"/>
        </w:tabs>
        <w:spacing w:before="156" w:after="156"/>
        <w:rPr>
          <w:rFonts w:hint="eastAsia" w:ascii="宋体" w:hAnsi="宋体" w:eastAsia="宋体" w:cs="宋体"/>
          <w:color w:val="auto"/>
          <w:lang w:val="zh-CN"/>
        </w:rPr>
      </w:pPr>
      <w:bookmarkStart w:id="380" w:name="_Toc176972072"/>
      <w:bookmarkStart w:id="381" w:name="_Toc2010231562"/>
      <w:bookmarkStart w:id="382" w:name="_Toc54267980"/>
      <w:bookmarkStart w:id="383" w:name="_Toc199338586_WPSOffice_Level1"/>
      <w:bookmarkStart w:id="384" w:name="_Toc31746037_WPSOffice_Level1"/>
      <w:bookmarkStart w:id="385" w:name="_Toc529672343"/>
      <w:bookmarkStart w:id="386" w:name="_Toc27989766"/>
      <w:r>
        <w:rPr>
          <w:rFonts w:hint="eastAsia" w:ascii="宋体" w:hAnsi="宋体" w:eastAsia="宋体" w:cs="宋体"/>
          <w:color w:val="auto"/>
          <w:lang w:val="zh-CN"/>
        </w:rPr>
        <w:t>A108010</w:t>
      </w:r>
      <w:r>
        <w:rPr>
          <w:rFonts w:hint="eastAsia" w:ascii="宋体" w:hAnsi="宋体" w:eastAsia="宋体" w:cs="宋体"/>
          <w:color w:val="auto"/>
          <w:lang w:val="zh-CN"/>
        </w:rPr>
        <w:tab/>
      </w:r>
      <w:r>
        <w:rPr>
          <w:rFonts w:hint="eastAsia" w:ascii="宋体" w:hAnsi="宋体" w:eastAsia="宋体" w:cs="宋体"/>
          <w:color w:val="auto"/>
          <w:lang w:val="zh-CN"/>
        </w:rPr>
        <w:t>《境外所得纳税调整后所得明细表》填报说明</w:t>
      </w:r>
      <w:bookmarkEnd w:id="380"/>
      <w:bookmarkEnd w:id="381"/>
      <w:bookmarkEnd w:id="382"/>
      <w:bookmarkEnd w:id="383"/>
      <w:bookmarkEnd w:id="384"/>
      <w:bookmarkEnd w:id="385"/>
      <w:bookmarkEnd w:id="386"/>
    </w:p>
    <w:p>
      <w:pPr>
        <w:pStyle w:val="16"/>
        <w:ind w:firstLine="480"/>
        <w:rPr>
          <w:rFonts w:hint="eastAsia" w:ascii="宋体" w:hAnsi="宋体" w:eastAsia="宋体" w:cs="宋体"/>
          <w:color w:val="auto"/>
        </w:rPr>
      </w:pPr>
      <w:r>
        <w:rPr>
          <w:rFonts w:hint="eastAsia" w:ascii="宋体" w:hAnsi="宋体" w:eastAsia="宋体" w:cs="宋体"/>
          <w:color w:val="auto"/>
        </w:rPr>
        <w:t>本表适用于取得境外所得的纳税人填报。纳税人应根据税法、《财政部 国家税务总局关于企业境外所得税收抵免有关问题的通知》（财税〔2009〕125号）、《国家税务总局关于发布〈企业境外所得税收抵免操作指南〉的公告》（2010年第1号）、《财政部 国家税务总局关于我国石油企业从事油（气）资源开采所得税收抵免有关问题的通知》（财税〔2011〕23号）、《财政部 税务总局关于完善企业境外所得税收抵免政策问题的通知》（财税〔2017〕84号）、《财政部 税务总局关于海南自由贸易港企业所得税优惠政策的通知》（财税〔2020〕31号）</w:t>
      </w:r>
      <w:r>
        <w:rPr>
          <w:rFonts w:hint="eastAsia" w:ascii="宋体" w:hAnsi="宋体" w:eastAsia="宋体" w:cs="宋体"/>
          <w:color w:val="auto"/>
          <w:lang w:eastAsia="zh-CN"/>
        </w:rPr>
        <w:t>、《财政部</w:t>
      </w:r>
      <w:r>
        <w:rPr>
          <w:rFonts w:hint="eastAsia" w:ascii="宋体" w:hAnsi="宋体" w:eastAsia="宋体" w:cs="宋体"/>
          <w:color w:val="auto"/>
          <w:lang w:val="en-US" w:eastAsia="zh-CN"/>
        </w:rPr>
        <w:t xml:space="preserve"> 税务总局关于横琴粤澳深度合作区企业所得税优惠政策的通知</w:t>
      </w:r>
      <w:r>
        <w:rPr>
          <w:rFonts w:hint="eastAsia" w:ascii="宋体" w:hAnsi="宋体" w:eastAsia="宋体" w:cs="宋体"/>
          <w:color w:val="auto"/>
          <w:lang w:eastAsia="zh-CN"/>
        </w:rPr>
        <w:t>》（财税〔202</w:t>
      </w:r>
      <w:r>
        <w:rPr>
          <w:rFonts w:hint="eastAsia" w:ascii="宋体" w:hAnsi="宋体" w:eastAsia="宋体" w:cs="宋体"/>
          <w:color w:val="auto"/>
          <w:lang w:val="en-US" w:eastAsia="zh-CN"/>
        </w:rPr>
        <w:t>2</w:t>
      </w:r>
      <w:r>
        <w:rPr>
          <w:rFonts w:hint="eastAsia" w:ascii="宋体" w:hAnsi="宋体" w:eastAsia="宋体" w:cs="宋体"/>
          <w:color w:val="auto"/>
          <w:lang w:eastAsia="zh-CN"/>
        </w:rPr>
        <w:t>〕</w:t>
      </w:r>
      <w:r>
        <w:rPr>
          <w:rFonts w:hint="eastAsia" w:ascii="宋体" w:hAnsi="宋体" w:eastAsia="宋体" w:cs="宋体"/>
          <w:color w:val="auto"/>
          <w:lang w:val="en-US" w:eastAsia="zh-CN"/>
        </w:rPr>
        <w:t>19</w:t>
      </w:r>
      <w:r>
        <w:rPr>
          <w:rFonts w:hint="eastAsia" w:ascii="宋体" w:hAnsi="宋体" w:eastAsia="宋体" w:cs="宋体"/>
          <w:color w:val="auto"/>
          <w:lang w:eastAsia="zh-CN"/>
        </w:rPr>
        <w:t>号）</w:t>
      </w:r>
      <w:r>
        <w:rPr>
          <w:rFonts w:hint="eastAsia" w:ascii="宋体" w:hAnsi="宋体" w:eastAsia="宋体" w:cs="宋体"/>
          <w:color w:val="auto"/>
        </w:rPr>
        <w:t>等规定，填报本年来源于或发生于不同国家、地区的所得按照税收规定计算的境外所得纳税调整后所得。对于境外所得税收抵免方式选择“不分国（地区）不分项”的纳税人，也应按照规定计算可抵免境外所得税税额，并按国（地区）别逐行填报。</w:t>
      </w:r>
    </w:p>
    <w:p>
      <w:pPr>
        <w:pStyle w:val="17"/>
        <w:ind w:firstLine="480"/>
        <w:jc w:val="both"/>
        <w:outlineLvl w:val="1"/>
        <w:rPr>
          <w:rFonts w:hint="eastAsia"/>
          <w:color w:val="auto"/>
          <w:sz w:val="24"/>
          <w:szCs w:val="24"/>
        </w:rPr>
      </w:pPr>
      <w:bookmarkStart w:id="387" w:name="_Toc1484455596_WPSOffice_Level1"/>
      <w:bookmarkStart w:id="388" w:name="_Toc54267981"/>
      <w:bookmarkStart w:id="389" w:name="_Toc1969756843"/>
      <w:bookmarkStart w:id="390" w:name="_Toc250958996_WPSOffice_Level1"/>
      <w:r>
        <w:rPr>
          <w:rFonts w:hint="eastAsia"/>
          <w:color w:val="auto"/>
          <w:sz w:val="24"/>
          <w:szCs w:val="24"/>
        </w:rPr>
        <w:t>一、有关项目填报说明</w:t>
      </w:r>
      <w:bookmarkEnd w:id="387"/>
      <w:bookmarkEnd w:id="388"/>
      <w:bookmarkEnd w:id="389"/>
      <w:bookmarkEnd w:id="390"/>
    </w:p>
    <w:p>
      <w:pPr>
        <w:pStyle w:val="16"/>
        <w:ind w:firstLine="480"/>
        <w:rPr>
          <w:rFonts w:hint="eastAsia" w:ascii="宋体" w:hAnsi="宋体" w:eastAsia="宋体" w:cs="宋体"/>
          <w:color w:val="auto"/>
        </w:rPr>
      </w:pPr>
      <w:r>
        <w:rPr>
          <w:rFonts w:hint="eastAsia" w:ascii="宋体" w:hAnsi="宋体" w:eastAsia="宋体" w:cs="宋体"/>
          <w:color w:val="auto"/>
        </w:rPr>
        <w:t>1.第1列“国家（地区）”：填报纳税人境外所得来源的国家（地区）名称，来源于同一个国家（地区）的境外所得可合并到一行填报。</w:t>
      </w:r>
    </w:p>
    <w:p>
      <w:pPr>
        <w:pStyle w:val="16"/>
        <w:ind w:firstLine="480"/>
        <w:rPr>
          <w:rFonts w:hint="eastAsia" w:ascii="宋体" w:hAnsi="宋体" w:eastAsia="宋体" w:cs="宋体"/>
          <w:color w:val="auto"/>
        </w:rPr>
      </w:pPr>
      <w:r>
        <w:rPr>
          <w:rFonts w:hint="eastAsia" w:ascii="宋体" w:hAnsi="宋体" w:eastAsia="宋体" w:cs="宋体"/>
          <w:color w:val="auto"/>
        </w:rPr>
        <w:t>2.第2列至第9列“境外税后所得”：填报纳税人取得的来源于境外的税后所得，包含已计入利润总额以及按照税法相关规定已在《纳税调整项目明细表》（A105000）进行纳税调整的境外税后所得。</w:t>
      </w:r>
    </w:p>
    <w:p>
      <w:pPr>
        <w:pStyle w:val="16"/>
        <w:ind w:firstLine="480"/>
        <w:rPr>
          <w:rFonts w:hint="eastAsia" w:ascii="宋体" w:hAnsi="宋体" w:eastAsia="宋体" w:cs="宋体"/>
          <w:color w:val="auto"/>
        </w:rPr>
      </w:pPr>
      <w:r>
        <w:rPr>
          <w:rFonts w:hint="eastAsia" w:ascii="宋体" w:hAnsi="宋体" w:eastAsia="宋体" w:cs="宋体"/>
          <w:color w:val="auto"/>
        </w:rPr>
        <w:t>3.第10列“直接缴纳的所得税额”：填报纳税人来源于境外的营业利润所得在境外所缴纳的企业所得税，以及就来源于或发生于境外的股息、红利等权益性投资所得、利息、租金、特许权使用费、财产转让等所得在境外被源泉扣缴的预提所得税。</w:t>
      </w:r>
    </w:p>
    <w:p>
      <w:pPr>
        <w:pStyle w:val="16"/>
        <w:ind w:firstLine="480"/>
        <w:rPr>
          <w:rFonts w:hint="eastAsia" w:ascii="宋体" w:hAnsi="宋体" w:eastAsia="宋体" w:cs="宋体"/>
          <w:color w:val="auto"/>
        </w:rPr>
      </w:pPr>
      <w:r>
        <w:rPr>
          <w:rFonts w:hint="eastAsia" w:ascii="宋体" w:hAnsi="宋体" w:eastAsia="宋体" w:cs="宋体"/>
          <w:color w:val="auto"/>
        </w:rPr>
        <w:t>4.第11列“间接负担的所得税额”：填报纳税人从其直接或者间接控制的外国企业分得的来源于中国境外的股息、红利等权益性投资收益，外国企业在境外实际缴纳的所得税额中属于该项所得负担的部分。</w:t>
      </w:r>
    </w:p>
    <w:p>
      <w:pPr>
        <w:pStyle w:val="16"/>
        <w:ind w:firstLine="480"/>
        <w:rPr>
          <w:rFonts w:hint="eastAsia" w:ascii="宋体" w:hAnsi="宋体" w:eastAsia="宋体" w:cs="宋体"/>
          <w:color w:val="auto"/>
        </w:rPr>
      </w:pPr>
      <w:r>
        <w:rPr>
          <w:rFonts w:hint="eastAsia" w:ascii="宋体" w:hAnsi="宋体" w:eastAsia="宋体" w:cs="宋体"/>
          <w:color w:val="auto"/>
        </w:rPr>
        <w:t>5.第12列“享受税收饶让抵免税额”：填报纳税人从与我国政府订立税收协定（或安排）的国家（地区）取得的所得，按照该国（地区）税收法律享受了免税或减税待遇，且该免税或减税的数额按照税收协定应视同已缴税额的金额。</w:t>
      </w:r>
    </w:p>
    <w:p>
      <w:pPr>
        <w:pStyle w:val="16"/>
        <w:ind w:firstLine="480"/>
        <w:rPr>
          <w:rFonts w:hint="eastAsia" w:ascii="宋体" w:hAnsi="宋体" w:eastAsia="宋体" w:cs="宋体"/>
          <w:color w:val="auto"/>
        </w:rPr>
      </w:pPr>
      <w:r>
        <w:rPr>
          <w:rFonts w:hint="eastAsia" w:ascii="宋体" w:hAnsi="宋体" w:eastAsia="宋体" w:cs="宋体"/>
          <w:color w:val="auto"/>
        </w:rPr>
        <w:t>6.第15列“境外分支机构收入与支出纳税调整额”：填报纳税人境外分支机构收入、支出按照税收规定计算的纳税调整额。</w:t>
      </w:r>
    </w:p>
    <w:p>
      <w:pPr>
        <w:pStyle w:val="16"/>
        <w:ind w:firstLine="480"/>
        <w:rPr>
          <w:rFonts w:hint="eastAsia" w:ascii="宋体" w:hAnsi="宋体" w:eastAsia="宋体" w:cs="宋体"/>
          <w:color w:val="auto"/>
        </w:rPr>
      </w:pPr>
      <w:r>
        <w:rPr>
          <w:rFonts w:hint="eastAsia" w:ascii="宋体" w:hAnsi="宋体" w:eastAsia="宋体" w:cs="宋体"/>
          <w:color w:val="auto"/>
        </w:rPr>
        <w:t>7.第16列“境外分支机构调整分摊扣除的有关成本费用”：填报纳税人境外分支机构应合理分摊的总部管理费等有关成本费用，同时在《纳税调整项目明细表》（A105000）进行纳税调增。</w:t>
      </w:r>
    </w:p>
    <w:p>
      <w:pPr>
        <w:pStyle w:val="16"/>
        <w:ind w:firstLine="480"/>
        <w:rPr>
          <w:rFonts w:hint="eastAsia" w:ascii="宋体" w:hAnsi="宋体" w:eastAsia="宋体" w:cs="宋体"/>
          <w:color w:val="auto"/>
        </w:rPr>
      </w:pPr>
      <w:r>
        <w:rPr>
          <w:rFonts w:hint="eastAsia" w:ascii="宋体" w:hAnsi="宋体" w:eastAsia="宋体" w:cs="宋体"/>
          <w:color w:val="auto"/>
        </w:rPr>
        <w:t>8.第17列“境外所得对应调整的相关成本费用支出”：填报纳税人实际发生与取得境外所得有关但未直接计入境外所得应纳税所得的成本费用支出，同时在《纳税调整项目明细表》（A105000）进行纳税调增。</w:t>
      </w:r>
    </w:p>
    <w:p>
      <w:pPr>
        <w:pStyle w:val="16"/>
        <w:ind w:firstLine="480"/>
        <w:rPr>
          <w:rFonts w:hint="eastAsia" w:ascii="宋体" w:hAnsi="宋体" w:eastAsia="宋体" w:cs="宋体"/>
          <w:color w:val="auto"/>
        </w:rPr>
      </w:pPr>
      <w:r>
        <w:rPr>
          <w:rFonts w:hint="eastAsia" w:ascii="宋体" w:hAnsi="宋体" w:eastAsia="宋体" w:cs="宋体"/>
          <w:color w:val="auto"/>
        </w:rPr>
        <w:t>9.第18列“境外所得纳税调整后所得”：填报第14＋15－16－17列的金额。</w:t>
      </w:r>
    </w:p>
    <w:p>
      <w:pPr>
        <w:pStyle w:val="16"/>
        <w:ind w:firstLine="480"/>
        <w:rPr>
          <w:rFonts w:hint="eastAsia" w:ascii="宋体" w:hAnsi="宋体" w:eastAsia="宋体" w:cs="宋体"/>
          <w:color w:val="auto"/>
        </w:rPr>
      </w:pPr>
      <w:r>
        <w:rPr>
          <w:rFonts w:hint="eastAsia" w:ascii="宋体" w:hAnsi="宋体" w:eastAsia="宋体" w:cs="宋体"/>
          <w:color w:val="auto"/>
        </w:rPr>
        <w:t>10.第19列至第26列“其中：新增境外直接投资所得”：填报在海南自由贸易港</w:t>
      </w:r>
      <w:r>
        <w:rPr>
          <w:rFonts w:hint="eastAsia" w:ascii="宋体" w:hAnsi="宋体" w:eastAsia="宋体" w:cs="宋体"/>
          <w:color w:val="auto"/>
          <w:lang w:eastAsia="zh-CN"/>
        </w:rPr>
        <w:t>、</w:t>
      </w:r>
      <w:r>
        <w:rPr>
          <w:rFonts w:hint="eastAsia" w:ascii="宋体" w:hAnsi="宋体" w:eastAsia="宋体" w:cs="宋体"/>
          <w:color w:val="auto"/>
        </w:rPr>
        <w:t>横琴粤澳深度合作区等特定地区设立的旅游业、现代服务业、高新技术产业企业新增境外直接投资取得的所得。</w:t>
      </w:r>
    </w:p>
    <w:p>
      <w:pPr>
        <w:pStyle w:val="16"/>
        <w:ind w:firstLine="480"/>
        <w:rPr>
          <w:rFonts w:hint="eastAsia" w:ascii="宋体" w:hAnsi="宋体" w:eastAsia="宋体" w:cs="宋体"/>
          <w:color w:val="auto"/>
        </w:rPr>
      </w:pPr>
      <w:r>
        <w:rPr>
          <w:rFonts w:hint="eastAsia" w:ascii="宋体" w:hAnsi="宋体" w:eastAsia="宋体" w:cs="宋体"/>
          <w:color w:val="auto"/>
        </w:rPr>
        <w:t>11.第19列“营业利润”：填报纳税人已计入本年利润总额的新设立境外分支机构营业利润。</w:t>
      </w:r>
    </w:p>
    <w:p>
      <w:pPr>
        <w:pStyle w:val="16"/>
        <w:ind w:firstLine="480"/>
        <w:rPr>
          <w:rFonts w:hint="eastAsia" w:ascii="宋体" w:hAnsi="宋体" w:eastAsia="宋体" w:cs="宋体"/>
          <w:color w:val="auto"/>
        </w:rPr>
      </w:pPr>
      <w:r>
        <w:rPr>
          <w:rFonts w:hint="eastAsia" w:ascii="宋体" w:hAnsi="宋体" w:eastAsia="宋体" w:cs="宋体"/>
          <w:color w:val="auto"/>
        </w:rPr>
        <w:t>12.第20列“调整分摊扣除的有关成本费用”：填报纳税人境外新设立分支机构本年应合理分摊的总部管理费等有关成本费用。</w:t>
      </w:r>
    </w:p>
    <w:p>
      <w:pPr>
        <w:pStyle w:val="16"/>
        <w:ind w:firstLine="480"/>
        <w:rPr>
          <w:rFonts w:hint="eastAsia" w:ascii="宋体" w:hAnsi="宋体" w:eastAsia="宋体" w:cs="宋体"/>
          <w:color w:val="auto"/>
        </w:rPr>
      </w:pPr>
      <w:r>
        <w:rPr>
          <w:rFonts w:hint="eastAsia" w:ascii="宋体" w:hAnsi="宋体" w:eastAsia="宋体" w:cs="宋体"/>
          <w:color w:val="auto"/>
        </w:rPr>
        <w:t>13.第21列“纳税调整额”：填报纳税人境外新设立分支机构收入、扣除等按照税收规定计算的纳税调整额。</w:t>
      </w:r>
    </w:p>
    <w:p>
      <w:pPr>
        <w:pStyle w:val="16"/>
        <w:ind w:firstLine="480"/>
        <w:rPr>
          <w:rFonts w:hint="eastAsia" w:ascii="宋体" w:hAnsi="宋体" w:eastAsia="宋体" w:cs="宋体"/>
          <w:color w:val="auto"/>
        </w:rPr>
      </w:pPr>
      <w:r>
        <w:rPr>
          <w:rFonts w:hint="eastAsia" w:ascii="宋体" w:hAnsi="宋体" w:eastAsia="宋体" w:cs="宋体"/>
          <w:color w:val="auto"/>
        </w:rPr>
        <w:t>14.第22列“纳税调整后所得”：填报第19－20＋21列的金额，若为负数则填0。</w:t>
      </w:r>
    </w:p>
    <w:p>
      <w:pPr>
        <w:pStyle w:val="16"/>
        <w:ind w:firstLine="480"/>
        <w:rPr>
          <w:rFonts w:hint="eastAsia" w:ascii="宋体" w:hAnsi="宋体" w:eastAsia="宋体" w:cs="宋体"/>
          <w:color w:val="auto"/>
        </w:rPr>
      </w:pPr>
      <w:r>
        <w:rPr>
          <w:rFonts w:hint="eastAsia" w:ascii="宋体" w:hAnsi="宋体" w:eastAsia="宋体" w:cs="宋体"/>
          <w:color w:val="auto"/>
        </w:rPr>
        <w:t>15.第23列“境外所得税额”：填报纳税人新设立的境外分支机构本年营业利润按照中国境外税收法律以及相关规定应当缴纳并已实际缴纳的企业所得税性质的税款，包括从与我国政府订立税收协定（或安排）的国家（地区）取得的新设立的境外分支机构的营业利润按照该国（地区）税收法律享受了免税或减税待遇的税额，且该免税或减税的数额按照税收协定应视同已缴税额的金额。</w:t>
      </w:r>
    </w:p>
    <w:p>
      <w:pPr>
        <w:pStyle w:val="16"/>
        <w:ind w:firstLine="480"/>
        <w:rPr>
          <w:rFonts w:hint="eastAsia" w:ascii="宋体" w:hAnsi="宋体" w:eastAsia="宋体" w:cs="宋体"/>
          <w:color w:val="auto"/>
        </w:rPr>
      </w:pPr>
      <w:r>
        <w:rPr>
          <w:rFonts w:hint="eastAsia" w:ascii="宋体" w:hAnsi="宋体" w:eastAsia="宋体" w:cs="宋体"/>
          <w:color w:val="auto"/>
        </w:rPr>
        <w:t>16.第24列“对应的股息所得”：填报纳税人本年从其持股比例超过20%（含）的境外子公司分回的来源于中国境外的股息、红利等权益性投资收益中，属于新增直接投资所对应的股息、红利等权益性投资收益，包括按照税法规定进行纳税调整的股息、红利等权益性投资收益。</w:t>
      </w:r>
    </w:p>
    <w:p>
      <w:pPr>
        <w:pStyle w:val="16"/>
        <w:ind w:firstLine="480"/>
        <w:rPr>
          <w:rFonts w:hint="eastAsia" w:ascii="宋体" w:hAnsi="宋体" w:eastAsia="宋体" w:cs="宋体"/>
          <w:color w:val="auto"/>
        </w:rPr>
      </w:pPr>
      <w:r>
        <w:rPr>
          <w:rFonts w:hint="eastAsia" w:ascii="宋体" w:hAnsi="宋体" w:eastAsia="宋体" w:cs="宋体"/>
          <w:color w:val="auto"/>
        </w:rPr>
        <w:t>17.第25列“对应的股息境外所得税额”：填报纳税人本年从其持股比例超过20%（含）的境外子公司分回的来源于中国境外的股息、红利等权益性投资收益中，属于新增直接投资所对应的股息、红利等权益性投资收益已缴境外所得税，包含如下：</w:t>
      </w:r>
    </w:p>
    <w:p>
      <w:pPr>
        <w:pStyle w:val="16"/>
        <w:ind w:firstLine="480"/>
        <w:rPr>
          <w:rFonts w:hint="eastAsia" w:ascii="宋体" w:hAnsi="宋体" w:eastAsia="宋体" w:cs="宋体"/>
          <w:color w:val="auto"/>
        </w:rPr>
      </w:pPr>
      <w:r>
        <w:rPr>
          <w:rFonts w:hint="eastAsia" w:ascii="宋体" w:hAnsi="宋体" w:eastAsia="宋体" w:cs="宋体"/>
          <w:color w:val="auto"/>
        </w:rPr>
        <w:t>一是在境外被源泉扣缴的预提所得税；</w:t>
      </w:r>
    </w:p>
    <w:p>
      <w:pPr>
        <w:pStyle w:val="16"/>
        <w:ind w:firstLine="480"/>
        <w:rPr>
          <w:rFonts w:hint="eastAsia" w:ascii="宋体" w:hAnsi="宋体" w:eastAsia="宋体" w:cs="宋体"/>
          <w:color w:val="auto"/>
        </w:rPr>
      </w:pPr>
      <w:r>
        <w:rPr>
          <w:rFonts w:hint="eastAsia" w:ascii="宋体" w:hAnsi="宋体" w:eastAsia="宋体" w:cs="宋体"/>
          <w:color w:val="auto"/>
        </w:rPr>
        <w:t>二是间接负担的境外所得税；</w:t>
      </w:r>
    </w:p>
    <w:p>
      <w:pPr>
        <w:pStyle w:val="16"/>
        <w:ind w:firstLine="480"/>
        <w:rPr>
          <w:rFonts w:hint="eastAsia" w:ascii="宋体" w:hAnsi="宋体" w:eastAsia="宋体" w:cs="宋体"/>
          <w:color w:val="auto"/>
        </w:rPr>
      </w:pPr>
      <w:r>
        <w:rPr>
          <w:rFonts w:hint="eastAsia" w:ascii="宋体" w:hAnsi="宋体" w:eastAsia="宋体" w:cs="宋体"/>
          <w:color w:val="auto"/>
        </w:rPr>
        <w:t>三是享受了与我国政府订立税收协定（或安排）的国家（地区）给予的免税或减税待遇，且该免税或减税的数额按照税收协定应视同已缴税额的金额。</w:t>
      </w:r>
    </w:p>
    <w:p>
      <w:pPr>
        <w:pStyle w:val="16"/>
        <w:ind w:firstLine="480"/>
        <w:rPr>
          <w:rFonts w:hint="eastAsia" w:ascii="宋体" w:hAnsi="宋体" w:eastAsia="宋体" w:cs="宋体"/>
          <w:color w:val="auto"/>
        </w:rPr>
      </w:pPr>
      <w:r>
        <w:rPr>
          <w:rFonts w:hint="eastAsia" w:ascii="宋体" w:hAnsi="宋体" w:eastAsia="宋体" w:cs="宋体"/>
          <w:color w:val="auto"/>
        </w:rPr>
        <w:t>18.第26列“境外享受免税政策的所得小计”：填报纳税人按照</w:t>
      </w:r>
      <w:r>
        <w:rPr>
          <w:rFonts w:hint="eastAsia" w:ascii="宋体" w:hAnsi="宋体" w:eastAsia="宋体" w:cs="宋体"/>
          <w:color w:val="auto"/>
          <w:lang w:eastAsia="zh-CN"/>
        </w:rPr>
        <w:t>政策</w:t>
      </w:r>
      <w:r>
        <w:rPr>
          <w:rFonts w:hint="eastAsia" w:ascii="宋体" w:hAnsi="宋体" w:eastAsia="宋体" w:cs="宋体"/>
          <w:color w:val="auto"/>
        </w:rPr>
        <w:t>规定享受免税的境外所得金额，金额等于第22＋24列。</w:t>
      </w:r>
    </w:p>
    <w:p>
      <w:pPr>
        <w:pStyle w:val="17"/>
        <w:ind w:firstLine="480"/>
        <w:jc w:val="both"/>
        <w:outlineLvl w:val="1"/>
        <w:rPr>
          <w:rFonts w:hint="eastAsia"/>
          <w:color w:val="auto"/>
          <w:sz w:val="24"/>
          <w:szCs w:val="24"/>
        </w:rPr>
      </w:pPr>
      <w:bookmarkStart w:id="391" w:name="_Toc1633711810_WPSOffice_Level1"/>
      <w:bookmarkStart w:id="392" w:name="_Toc922538384"/>
      <w:bookmarkStart w:id="393" w:name="_Toc54267982"/>
      <w:bookmarkStart w:id="394" w:name="_Toc808659191_WPSOffice_Level1"/>
      <w:r>
        <w:rPr>
          <w:rFonts w:hint="eastAsia"/>
          <w:color w:val="auto"/>
          <w:sz w:val="24"/>
          <w:szCs w:val="24"/>
        </w:rPr>
        <w:t>二、表内、表间关系</w:t>
      </w:r>
      <w:bookmarkEnd w:id="391"/>
      <w:bookmarkEnd w:id="392"/>
      <w:bookmarkEnd w:id="393"/>
      <w:bookmarkEnd w:id="394"/>
    </w:p>
    <w:p>
      <w:pPr>
        <w:pStyle w:val="21"/>
        <w:ind w:firstLine="480"/>
        <w:rPr>
          <w:rFonts w:hint="eastAsia"/>
          <w:color w:val="auto"/>
        </w:rPr>
      </w:pPr>
      <w:bookmarkStart w:id="395" w:name="_Toc54267983"/>
      <w:bookmarkStart w:id="396" w:name="_Toc1138330731_WPSOffice_Level2"/>
      <w:bookmarkStart w:id="397" w:name="_Toc1127608957_WPSOffice_Level2"/>
      <w:r>
        <w:rPr>
          <w:rFonts w:hint="eastAsia"/>
          <w:color w:val="auto"/>
        </w:rPr>
        <w:t>（一）表内关系</w:t>
      </w:r>
      <w:bookmarkEnd w:id="395"/>
      <w:bookmarkEnd w:id="396"/>
      <w:bookmarkEnd w:id="397"/>
    </w:p>
    <w:p>
      <w:pPr>
        <w:pStyle w:val="16"/>
        <w:ind w:firstLine="480"/>
        <w:rPr>
          <w:rFonts w:hint="eastAsia" w:ascii="宋体" w:hAnsi="宋体" w:eastAsia="宋体" w:cs="宋体"/>
          <w:color w:val="auto"/>
        </w:rPr>
      </w:pPr>
      <w:bookmarkStart w:id="398" w:name="_Toc773340212_WPSOffice_Level3"/>
      <w:r>
        <w:rPr>
          <w:rFonts w:hint="eastAsia" w:ascii="宋体" w:hAnsi="宋体" w:eastAsia="宋体" w:cs="宋体"/>
          <w:color w:val="auto"/>
        </w:rPr>
        <w:t>1.第9列＝第2＋3＋…＋8列。</w:t>
      </w:r>
      <w:bookmarkEnd w:id="398"/>
    </w:p>
    <w:p>
      <w:pPr>
        <w:pStyle w:val="16"/>
        <w:ind w:firstLine="480"/>
        <w:rPr>
          <w:rFonts w:hint="eastAsia" w:ascii="宋体" w:hAnsi="宋体" w:eastAsia="宋体" w:cs="宋体"/>
          <w:color w:val="auto"/>
        </w:rPr>
      </w:pPr>
      <w:bookmarkStart w:id="399" w:name="_Toc1855843208_WPSOffice_Level3"/>
      <w:r>
        <w:rPr>
          <w:rFonts w:hint="eastAsia" w:ascii="宋体" w:hAnsi="宋体" w:eastAsia="宋体" w:cs="宋体"/>
          <w:color w:val="auto"/>
        </w:rPr>
        <w:t>2.第13列＝第10＋11＋12列。</w:t>
      </w:r>
      <w:bookmarkEnd w:id="399"/>
    </w:p>
    <w:p>
      <w:pPr>
        <w:pStyle w:val="16"/>
        <w:ind w:firstLine="480"/>
        <w:rPr>
          <w:rFonts w:hint="eastAsia" w:ascii="宋体" w:hAnsi="宋体" w:eastAsia="宋体" w:cs="宋体"/>
          <w:color w:val="auto"/>
        </w:rPr>
      </w:pPr>
      <w:bookmarkStart w:id="400" w:name="_Toc1361112916_WPSOffice_Level3"/>
      <w:r>
        <w:rPr>
          <w:rFonts w:hint="eastAsia" w:ascii="宋体" w:hAnsi="宋体" w:eastAsia="宋体" w:cs="宋体"/>
          <w:color w:val="auto"/>
        </w:rPr>
        <w:t>3.第14列＝第9＋10＋11列。</w:t>
      </w:r>
      <w:bookmarkEnd w:id="400"/>
    </w:p>
    <w:p>
      <w:pPr>
        <w:pStyle w:val="16"/>
        <w:ind w:firstLine="480"/>
        <w:rPr>
          <w:rFonts w:hint="eastAsia" w:ascii="宋体" w:hAnsi="宋体" w:eastAsia="宋体" w:cs="宋体"/>
          <w:color w:val="auto"/>
        </w:rPr>
      </w:pPr>
      <w:bookmarkStart w:id="401" w:name="_Toc1460002745_WPSOffice_Level3"/>
      <w:r>
        <w:rPr>
          <w:rFonts w:hint="eastAsia" w:ascii="宋体" w:hAnsi="宋体" w:eastAsia="宋体" w:cs="宋体"/>
          <w:color w:val="auto"/>
        </w:rPr>
        <w:t>4.第18列＝第14＋15－16－17列。</w:t>
      </w:r>
      <w:bookmarkEnd w:id="401"/>
    </w:p>
    <w:p>
      <w:pPr>
        <w:pStyle w:val="16"/>
        <w:ind w:firstLine="480"/>
        <w:rPr>
          <w:rFonts w:hint="eastAsia" w:ascii="宋体" w:hAnsi="宋体" w:eastAsia="宋体" w:cs="宋体"/>
          <w:color w:val="auto"/>
          <w:lang w:val="en"/>
        </w:rPr>
      </w:pPr>
      <w:bookmarkStart w:id="402" w:name="_Toc329588109_WPSOffice_Level3"/>
      <w:r>
        <w:rPr>
          <w:rFonts w:hint="eastAsia" w:ascii="宋体" w:hAnsi="宋体" w:eastAsia="宋体" w:cs="宋体"/>
          <w:color w:val="auto"/>
        </w:rPr>
        <w:t>5.第22列＝第19－20＋21列。</w:t>
      </w:r>
      <w:bookmarkEnd w:id="402"/>
      <w:r>
        <w:rPr>
          <w:rFonts w:hint="eastAsia" w:ascii="宋体" w:hAnsi="宋体" w:eastAsia="宋体" w:cs="宋体"/>
          <w:color w:val="auto"/>
        </w:rPr>
        <w:t>当第19－20＋21列＜0时，第22列＝0。</w:t>
      </w:r>
    </w:p>
    <w:p>
      <w:pPr>
        <w:pStyle w:val="16"/>
        <w:ind w:firstLine="480"/>
        <w:rPr>
          <w:rFonts w:hint="eastAsia" w:ascii="宋体" w:hAnsi="宋体" w:eastAsia="宋体" w:cs="宋体"/>
          <w:color w:val="auto"/>
        </w:rPr>
      </w:pPr>
      <w:bookmarkStart w:id="403" w:name="_Toc869000868_WPSOffice_Level3"/>
      <w:r>
        <w:rPr>
          <w:rFonts w:hint="eastAsia" w:ascii="宋体" w:hAnsi="宋体" w:eastAsia="宋体" w:cs="宋体"/>
          <w:color w:val="auto"/>
        </w:rPr>
        <w:t>6.第26列＝第22＋24列。</w:t>
      </w:r>
      <w:bookmarkEnd w:id="403"/>
    </w:p>
    <w:p>
      <w:pPr>
        <w:pStyle w:val="21"/>
        <w:ind w:firstLine="480"/>
        <w:rPr>
          <w:rFonts w:hint="eastAsia"/>
          <w:color w:val="auto"/>
        </w:rPr>
      </w:pPr>
      <w:bookmarkStart w:id="404" w:name="_Toc738767668_WPSOffice_Level2"/>
      <w:bookmarkStart w:id="405" w:name="_Toc54267984"/>
      <w:bookmarkStart w:id="406" w:name="_Toc991789515_WPSOffice_Level2"/>
      <w:r>
        <w:rPr>
          <w:rFonts w:hint="eastAsia"/>
          <w:color w:val="auto"/>
        </w:rPr>
        <w:t>（二）表间关系</w:t>
      </w:r>
      <w:bookmarkEnd w:id="404"/>
      <w:bookmarkEnd w:id="405"/>
      <w:bookmarkEnd w:id="406"/>
    </w:p>
    <w:p>
      <w:pPr>
        <w:pStyle w:val="16"/>
        <w:ind w:firstLine="480"/>
        <w:rPr>
          <w:rFonts w:hint="eastAsia" w:ascii="宋体" w:hAnsi="宋体" w:eastAsia="宋体" w:cs="宋体"/>
          <w:color w:val="auto"/>
        </w:rPr>
      </w:pPr>
      <w:bookmarkStart w:id="407" w:name="_Hlk49938596"/>
      <w:r>
        <w:rPr>
          <w:rFonts w:hint="eastAsia" w:ascii="宋体" w:hAnsi="宋体" w:eastAsia="宋体" w:cs="宋体"/>
          <w:color w:val="auto"/>
        </w:rPr>
        <w:t>1.若选择“分国（地区）不分项”的境外所得抵免方式，本表</w:t>
      </w:r>
      <w:bookmarkStart w:id="408" w:name="_Hlk49938082"/>
      <w:r>
        <w:rPr>
          <w:rFonts w:hint="eastAsia" w:ascii="宋体" w:hAnsi="宋体" w:eastAsia="宋体" w:cs="宋体"/>
          <w:color w:val="auto"/>
        </w:rPr>
        <w:t>第13列各行－第23列各行－第25列各行</w:t>
      </w:r>
      <w:bookmarkEnd w:id="408"/>
      <w:r>
        <w:rPr>
          <w:rFonts w:hint="eastAsia" w:ascii="宋体" w:hAnsi="宋体" w:eastAsia="宋体" w:cs="宋体"/>
          <w:color w:val="auto"/>
        </w:rPr>
        <w:t>＝表A108000第10列相应行次；若选择“不分国（地区）不分项”的境外所得抵免方式，本表第13列合计－第23列合计－第25列合计＝表A108000第1行第10列。</w:t>
      </w:r>
    </w:p>
    <w:bookmarkEnd w:id="407"/>
    <w:p>
      <w:pPr>
        <w:pStyle w:val="16"/>
        <w:ind w:firstLine="480"/>
        <w:rPr>
          <w:rFonts w:hint="eastAsia" w:ascii="宋体" w:hAnsi="宋体" w:eastAsia="宋体" w:cs="宋体"/>
          <w:color w:val="auto"/>
        </w:rPr>
      </w:pPr>
      <w:r>
        <w:rPr>
          <w:rFonts w:hint="eastAsia" w:ascii="宋体" w:hAnsi="宋体" w:eastAsia="宋体" w:cs="宋体"/>
          <w:color w:val="auto"/>
        </w:rPr>
        <w:t>2.</w:t>
      </w:r>
      <w:bookmarkStart w:id="409" w:name="_Hlk49938301"/>
      <w:r>
        <w:rPr>
          <w:rFonts w:hint="eastAsia" w:ascii="宋体" w:hAnsi="宋体" w:eastAsia="宋体" w:cs="宋体"/>
          <w:color w:val="auto"/>
        </w:rPr>
        <w:t>若选择“分国（地区）不分项”的境外所得抵免方式，本表第14列各行－第19列各行－第24列各行＝表A108000第2列相应行次；若选择“不分国（地区）不分项”的境外所得抵免方式，本表第14列合计－第19列合计－第24列合计＝表A108000第1行第2列。</w:t>
      </w:r>
    </w:p>
    <w:bookmarkEnd w:id="409"/>
    <w:p>
      <w:pPr>
        <w:pStyle w:val="16"/>
        <w:ind w:firstLine="480"/>
        <w:rPr>
          <w:rFonts w:hint="eastAsia" w:ascii="宋体" w:hAnsi="宋体" w:eastAsia="宋体" w:cs="宋体"/>
          <w:color w:val="auto"/>
        </w:rPr>
      </w:pPr>
      <w:r>
        <w:rPr>
          <w:rFonts w:hint="eastAsia" w:ascii="宋体" w:hAnsi="宋体" w:eastAsia="宋体" w:cs="宋体"/>
          <w:color w:val="auto"/>
        </w:rPr>
        <w:t>3.第14列合计－第11列合计＝表A100000第19行。</w:t>
      </w:r>
    </w:p>
    <w:p>
      <w:pPr>
        <w:pStyle w:val="16"/>
        <w:ind w:firstLine="480"/>
        <w:rPr>
          <w:rFonts w:hint="eastAsia" w:ascii="宋体" w:hAnsi="宋体" w:eastAsia="宋体" w:cs="宋体"/>
          <w:color w:val="auto"/>
        </w:rPr>
      </w:pPr>
      <w:r>
        <w:rPr>
          <w:rFonts w:hint="eastAsia" w:ascii="宋体" w:hAnsi="宋体" w:eastAsia="宋体" w:cs="宋体"/>
          <w:color w:val="auto"/>
        </w:rPr>
        <w:t>4.第16列合计＋第17列合计＝表A105000第28行第3列。</w:t>
      </w:r>
    </w:p>
    <w:p>
      <w:pPr>
        <w:pStyle w:val="16"/>
        <w:ind w:firstLine="480"/>
        <w:rPr>
          <w:rFonts w:hint="eastAsia" w:ascii="宋体" w:hAnsi="宋体" w:eastAsia="宋体" w:cs="宋体"/>
          <w:color w:val="auto"/>
        </w:rPr>
      </w:pPr>
      <w:r>
        <w:rPr>
          <w:rFonts w:hint="eastAsia" w:ascii="宋体" w:hAnsi="宋体" w:eastAsia="宋体" w:cs="宋体"/>
          <w:color w:val="auto"/>
        </w:rPr>
        <w:t>5.若选择“分国（地区）不分项”的境外所得抵免方式，本表第18列各行</w:t>
      </w:r>
      <w:bookmarkStart w:id="410" w:name="_Hlk49937995"/>
      <w:r>
        <w:rPr>
          <w:rFonts w:hint="eastAsia" w:ascii="宋体" w:hAnsi="宋体" w:eastAsia="宋体" w:cs="宋体"/>
          <w:color w:val="auto"/>
        </w:rPr>
        <w:t>－第26列</w:t>
      </w:r>
      <w:bookmarkEnd w:id="410"/>
      <w:r>
        <w:rPr>
          <w:rFonts w:hint="eastAsia" w:ascii="宋体" w:hAnsi="宋体" w:eastAsia="宋体" w:cs="宋体"/>
          <w:color w:val="auto"/>
        </w:rPr>
        <w:t>各行＝表A108000第3列相应行次；若选择“不分国（地区）不分项” 的境外所得抵免方式，本表第18列合计－第26列合计＝表A108000第1行第3列。</w:t>
      </w:r>
      <w:bookmarkEnd w:id="343"/>
    </w:p>
    <w:p>
      <w:pPr>
        <w:widowControl/>
        <w:jc w:val="left"/>
        <w:rPr>
          <w:rFonts w:hint="eastAsia" w:ascii="宋体" w:hAnsi="宋体" w:eastAsia="宋体" w:cs="宋体"/>
          <w:bCs/>
          <w:color w:val="auto"/>
          <w:kern w:val="0"/>
          <w:sz w:val="28"/>
          <w:szCs w:val="28"/>
        </w:rPr>
      </w:pPr>
      <w:r>
        <w:rPr>
          <w:rFonts w:hint="eastAsia" w:eastAsia="宋体"/>
          <w:color w:val="auto"/>
        </w:rPr>
        <w:br w:type="page"/>
      </w:r>
    </w:p>
    <w:p>
      <w:pPr>
        <w:pStyle w:val="13"/>
        <w:jc w:val="both"/>
        <w:rPr>
          <w:rFonts w:hint="eastAsia" w:ascii="方正小标宋_GBK" w:hAnsi="方正小标宋_GBK" w:eastAsia="方正小标宋_GBK" w:cs="方正小标宋_GBK"/>
          <w:color w:val="auto"/>
        </w:rPr>
      </w:pPr>
      <w:bookmarkStart w:id="411" w:name="_Toc1620019175"/>
      <w:bookmarkStart w:id="412" w:name="_Toc176972073"/>
      <w:r>
        <w:rPr>
          <w:rFonts w:hint="eastAsia" w:ascii="方正小标宋_GBK" w:hAnsi="方正小标宋_GBK" w:eastAsia="方正小标宋_GBK" w:cs="方正小标宋_GBK"/>
          <w:color w:val="auto"/>
        </w:rPr>
        <w:t>A109000</w:t>
      </w:r>
      <w:r>
        <w:rPr>
          <w:rFonts w:hint="eastAsia" w:ascii="方正小标宋_GBK" w:hAnsi="方正小标宋_GBK" w:eastAsia="方正小标宋_GBK" w:cs="方正小标宋_GBK"/>
          <w:color w:val="auto"/>
        </w:rPr>
        <w:tab/>
      </w:r>
      <w:r>
        <w:rPr>
          <w:rFonts w:hint="eastAsia" w:ascii="方正小标宋_GBK" w:hAnsi="方正小标宋_GBK" w:eastAsia="方正小标宋_GBK" w:cs="方正小标宋_GBK"/>
          <w:color w:val="auto"/>
        </w:rPr>
        <w:t>跨地区经营汇总纳税企业年度分摊企业所得税明细表</w:t>
      </w:r>
      <w:bookmarkEnd w:id="344"/>
      <w:bookmarkEnd w:id="345"/>
      <w:bookmarkEnd w:id="346"/>
      <w:bookmarkEnd w:id="347"/>
      <w:bookmarkEnd w:id="348"/>
      <w:bookmarkEnd w:id="349"/>
      <w:bookmarkEnd w:id="350"/>
      <w:bookmarkEnd w:id="351"/>
      <w:bookmarkEnd w:id="352"/>
      <w:bookmarkEnd w:id="411"/>
      <w:bookmarkEnd w:id="412"/>
    </w:p>
    <w:tbl>
      <w:tblPr>
        <w:tblStyle w:val="7"/>
        <w:tblW w:w="9218" w:type="dxa"/>
        <w:jc w:val="center"/>
        <w:tblLayout w:type="fixed"/>
        <w:tblCellMar>
          <w:top w:w="15" w:type="dxa"/>
          <w:left w:w="15" w:type="dxa"/>
          <w:bottom w:w="15" w:type="dxa"/>
          <w:right w:w="15" w:type="dxa"/>
        </w:tblCellMar>
      </w:tblPr>
      <w:tblGrid>
        <w:gridCol w:w="677"/>
        <w:gridCol w:w="7479"/>
        <w:gridCol w:w="1062"/>
      </w:tblGrid>
      <w:tr>
        <w:tblPrEx>
          <w:tblCellMar>
            <w:top w:w="15" w:type="dxa"/>
            <w:left w:w="15" w:type="dxa"/>
            <w:bottom w:w="15" w:type="dxa"/>
            <w:right w:w="15" w:type="dxa"/>
          </w:tblCellMar>
        </w:tblPrEx>
        <w:trPr>
          <w:trHeight w:val="510" w:hRule="atLeast"/>
          <w:jc w:val="center"/>
        </w:trPr>
        <w:tc>
          <w:tcPr>
            <w:tcW w:w="677" w:type="dxa"/>
            <w:tcBorders>
              <w:top w:val="single" w:color="000000" w:sz="12"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b/>
                <w:bCs/>
                <w:color w:val="auto"/>
                <w:sz w:val="20"/>
                <w:szCs w:val="20"/>
              </w:rPr>
            </w:pPr>
            <w:bookmarkStart w:id="413" w:name="_Hlk176853114"/>
            <w:r>
              <w:rPr>
                <w:rFonts w:hint="eastAsia" w:ascii="宋体" w:hAnsi="宋体" w:cs="宋体"/>
                <w:b/>
                <w:bCs/>
                <w:color w:val="auto"/>
                <w:kern w:val="0"/>
                <w:sz w:val="20"/>
                <w:szCs w:val="20"/>
              </w:rPr>
              <w:t>行次</w:t>
            </w:r>
          </w:p>
        </w:tc>
        <w:tc>
          <w:tcPr>
            <w:tcW w:w="7479" w:type="dxa"/>
            <w:tcBorders>
              <w:top w:val="single" w:color="000000" w:sz="12"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b/>
                <w:bCs/>
                <w:color w:val="auto"/>
                <w:sz w:val="20"/>
                <w:szCs w:val="20"/>
              </w:rPr>
            </w:pPr>
            <w:r>
              <w:rPr>
                <w:rFonts w:hint="eastAsia" w:ascii="宋体" w:hAnsi="宋体" w:cs="宋体"/>
                <w:b/>
                <w:bCs/>
                <w:color w:val="auto"/>
                <w:kern w:val="0"/>
                <w:sz w:val="20"/>
                <w:szCs w:val="20"/>
              </w:rPr>
              <w:t>项目</w:t>
            </w:r>
          </w:p>
        </w:tc>
        <w:tc>
          <w:tcPr>
            <w:tcW w:w="1062" w:type="dxa"/>
            <w:tcBorders>
              <w:top w:val="single" w:color="000000" w:sz="12" w:space="0"/>
              <w:left w:val="single" w:color="000000" w:sz="4" w:space="0"/>
              <w:bottom w:val="single" w:color="000000" w:sz="4" w:space="0"/>
              <w:right w:val="single" w:color="000000" w:sz="12" w:space="0"/>
            </w:tcBorders>
            <w:noWrap w:val="0"/>
            <w:vAlign w:val="center"/>
          </w:tcPr>
          <w:p>
            <w:pPr>
              <w:widowControl/>
              <w:jc w:val="center"/>
              <w:textAlignment w:val="center"/>
              <w:rPr>
                <w:rFonts w:hint="eastAsia" w:ascii="宋体" w:hAnsi="宋体" w:cs="宋体"/>
                <w:b/>
                <w:bCs/>
                <w:color w:val="auto"/>
                <w:sz w:val="20"/>
                <w:szCs w:val="20"/>
              </w:rPr>
            </w:pPr>
            <w:r>
              <w:rPr>
                <w:rFonts w:hint="eastAsia" w:ascii="宋体" w:hAnsi="宋体" w:cs="宋体"/>
                <w:b/>
                <w:bCs/>
                <w:color w:val="auto"/>
                <w:kern w:val="0"/>
                <w:sz w:val="20"/>
                <w:szCs w:val="20"/>
              </w:rPr>
              <w:t>金额</w:t>
            </w: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sz w:val="20"/>
                <w:szCs w:val="20"/>
              </w:rPr>
            </w:pPr>
            <w:r>
              <w:rPr>
                <w:rFonts w:hint="eastAsia" w:ascii="宋体" w:hAnsi="宋体" w:cs="宋体"/>
                <w:color w:val="auto"/>
                <w:kern w:val="0"/>
                <w:sz w:val="20"/>
                <w:szCs w:val="20"/>
              </w:rPr>
              <w:t>1</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textAlignment w:val="center"/>
              <w:rPr>
                <w:rFonts w:hint="eastAsia" w:ascii="宋体" w:hAnsi="宋体" w:eastAsia="宋体" w:cs="宋体"/>
                <w:color w:val="auto"/>
                <w:sz w:val="20"/>
                <w:szCs w:val="20"/>
              </w:rPr>
            </w:pPr>
            <w:r>
              <w:rPr>
                <w:rFonts w:hint="eastAsia" w:ascii="宋体" w:hAnsi="宋体" w:eastAsia="宋体" w:cs="宋体"/>
                <w:color w:val="auto"/>
                <w:kern w:val="0"/>
                <w:sz w:val="20"/>
                <w:szCs w:val="20"/>
              </w:rPr>
              <w:t>一、实际应纳所得税额</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sz w:val="20"/>
                <w:szCs w:val="20"/>
              </w:rPr>
            </w:pPr>
            <w:r>
              <w:rPr>
                <w:rFonts w:hint="eastAsia" w:ascii="宋体" w:hAnsi="宋体" w:cs="宋体"/>
                <w:color w:val="auto"/>
                <w:kern w:val="0"/>
                <w:sz w:val="20"/>
                <w:szCs w:val="20"/>
              </w:rPr>
              <w:t>2</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ind w:left="420" w:leftChars="200"/>
              <w:jc w:val="left"/>
              <w:textAlignment w:val="center"/>
              <w:rPr>
                <w:rFonts w:hint="eastAsia" w:ascii="宋体" w:hAnsi="宋体" w:eastAsia="宋体" w:cs="宋体"/>
                <w:color w:val="auto"/>
                <w:sz w:val="20"/>
                <w:szCs w:val="20"/>
              </w:rPr>
            </w:pPr>
            <w:r>
              <w:rPr>
                <w:rFonts w:hint="eastAsia" w:ascii="宋体" w:hAnsi="宋体" w:eastAsia="宋体" w:cs="宋体"/>
                <w:color w:val="auto"/>
                <w:kern w:val="0"/>
                <w:sz w:val="20"/>
                <w:szCs w:val="20"/>
              </w:rPr>
              <w:t>减：境外所得应纳所得税额</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sz w:val="20"/>
                <w:szCs w:val="20"/>
              </w:rPr>
            </w:pPr>
            <w:r>
              <w:rPr>
                <w:rFonts w:hint="eastAsia" w:ascii="宋体" w:hAnsi="宋体" w:cs="宋体"/>
                <w:color w:val="auto"/>
                <w:kern w:val="0"/>
                <w:sz w:val="20"/>
                <w:szCs w:val="20"/>
              </w:rPr>
              <w:t>3</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ind w:left="420" w:leftChars="200"/>
              <w:jc w:val="left"/>
              <w:textAlignment w:val="center"/>
              <w:rPr>
                <w:rFonts w:hint="eastAsia" w:ascii="宋体" w:hAnsi="宋体" w:eastAsia="宋体" w:cs="宋体"/>
                <w:color w:val="auto"/>
                <w:sz w:val="20"/>
                <w:szCs w:val="20"/>
              </w:rPr>
            </w:pPr>
            <w:r>
              <w:rPr>
                <w:rFonts w:hint="eastAsia" w:ascii="宋体" w:hAnsi="宋体" w:eastAsia="宋体" w:cs="宋体"/>
                <w:color w:val="auto"/>
                <w:kern w:val="0"/>
                <w:sz w:val="20"/>
                <w:szCs w:val="20"/>
              </w:rPr>
              <w:t>加：境外所得抵免所得税额</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sz w:val="20"/>
                <w:szCs w:val="20"/>
              </w:rPr>
            </w:pPr>
            <w:r>
              <w:rPr>
                <w:rFonts w:hint="eastAsia" w:ascii="宋体" w:hAnsi="宋体" w:cs="宋体"/>
                <w:color w:val="auto"/>
                <w:kern w:val="0"/>
                <w:sz w:val="20"/>
                <w:szCs w:val="20"/>
              </w:rPr>
              <w:t>4</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jc w:val="both"/>
              <w:textAlignment w:val="center"/>
              <w:rPr>
                <w:rFonts w:hint="eastAsia" w:ascii="宋体" w:hAnsi="宋体" w:eastAsia="宋体" w:cs="宋体"/>
                <w:color w:val="auto"/>
                <w:kern w:val="0"/>
                <w:sz w:val="20"/>
                <w:szCs w:val="20"/>
              </w:rPr>
            </w:pPr>
            <w:r>
              <w:rPr>
                <w:rFonts w:hint="eastAsia" w:ascii="宋体" w:hAnsi="宋体" w:eastAsia="宋体" w:cs="宋体"/>
                <w:color w:val="auto"/>
                <w:kern w:val="0"/>
                <w:sz w:val="20"/>
                <w:szCs w:val="20"/>
              </w:rPr>
              <w:t>二、本年实际应纳所得税额（1－2＋3）</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kern w:val="0"/>
                <w:sz w:val="20"/>
                <w:szCs w:val="20"/>
              </w:rPr>
            </w:pPr>
            <w:r>
              <w:rPr>
                <w:rFonts w:hint="eastAsia" w:ascii="宋体" w:hAnsi="宋体" w:cs="宋体"/>
                <w:color w:val="auto"/>
                <w:kern w:val="0"/>
                <w:sz w:val="20"/>
                <w:szCs w:val="20"/>
              </w:rPr>
              <w:t>5</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ind w:left="420" w:leftChars="200"/>
              <w:textAlignment w:val="center"/>
              <w:rPr>
                <w:rFonts w:hint="eastAsia" w:ascii="宋体" w:hAnsi="宋体" w:eastAsia="宋体" w:cs="宋体"/>
                <w:color w:val="auto"/>
                <w:kern w:val="0"/>
                <w:sz w:val="20"/>
                <w:szCs w:val="20"/>
              </w:rPr>
            </w:pPr>
            <w:r>
              <w:rPr>
                <w:rFonts w:hint="eastAsia" w:ascii="宋体" w:hAnsi="宋体" w:eastAsia="宋体" w:cs="宋体"/>
                <w:color w:val="auto"/>
                <w:kern w:val="0"/>
                <w:sz w:val="20"/>
                <w:szCs w:val="20"/>
              </w:rPr>
              <w:t>其中：总机构直接管理建筑项目部预分所得税额</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kern w:val="0"/>
                <w:sz w:val="20"/>
                <w:szCs w:val="20"/>
              </w:rPr>
            </w:pPr>
            <w:r>
              <w:rPr>
                <w:rFonts w:hint="eastAsia" w:ascii="宋体" w:hAnsi="宋体" w:cs="宋体"/>
                <w:color w:val="auto"/>
                <w:kern w:val="0"/>
                <w:sz w:val="20"/>
                <w:szCs w:val="20"/>
              </w:rPr>
              <w:t>6</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ind w:left="420" w:leftChars="200" w:firstLine="600" w:firstLineChars="300"/>
              <w:textAlignment w:val="center"/>
              <w:rPr>
                <w:rFonts w:hint="eastAsia" w:ascii="宋体" w:hAnsi="宋体" w:eastAsia="宋体" w:cs="宋体"/>
                <w:color w:val="auto"/>
                <w:kern w:val="0"/>
                <w:sz w:val="20"/>
                <w:szCs w:val="20"/>
              </w:rPr>
            </w:pPr>
            <w:r>
              <w:rPr>
                <w:rFonts w:hint="eastAsia" w:ascii="宋体" w:hAnsi="宋体" w:eastAsia="宋体" w:cs="宋体"/>
                <w:color w:val="auto"/>
                <w:kern w:val="0"/>
                <w:sz w:val="20"/>
                <w:szCs w:val="20"/>
              </w:rPr>
              <w:t>总机构实际应分摊所得税额[（4－5）×总机构分摊比例</w:t>
            </w:r>
            <w:r>
              <w:rPr>
                <w:rFonts w:hint="eastAsia" w:ascii="宋体" w:hAnsi="宋体" w:eastAsia="宋体" w:cs="宋体"/>
                <w:color w:val="auto"/>
                <w:kern w:val="0"/>
                <w:sz w:val="20"/>
                <w:szCs w:val="20"/>
                <w:u w:val="single"/>
              </w:rPr>
              <w:t xml:space="preserve">    %</w:t>
            </w:r>
            <w:r>
              <w:rPr>
                <w:rFonts w:hint="eastAsia" w:ascii="宋体" w:hAnsi="宋体" w:eastAsia="宋体" w:cs="宋体"/>
                <w:color w:val="auto"/>
                <w:kern w:val="0"/>
                <w:sz w:val="20"/>
                <w:szCs w:val="20"/>
              </w:rPr>
              <w:t>]</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kern w:val="0"/>
                <w:sz w:val="20"/>
                <w:szCs w:val="20"/>
              </w:rPr>
            </w:pPr>
            <w:r>
              <w:rPr>
                <w:rFonts w:hint="eastAsia" w:ascii="宋体" w:hAnsi="宋体" w:cs="宋体"/>
                <w:color w:val="auto"/>
                <w:kern w:val="0"/>
                <w:sz w:val="20"/>
                <w:szCs w:val="20"/>
              </w:rPr>
              <w:t>7</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ind w:left="420" w:leftChars="200" w:firstLine="600" w:firstLineChars="300"/>
              <w:textAlignment w:val="center"/>
              <w:rPr>
                <w:rFonts w:hint="eastAsia" w:ascii="宋体" w:hAnsi="宋体" w:eastAsia="宋体" w:cs="宋体"/>
                <w:color w:val="auto"/>
                <w:kern w:val="0"/>
                <w:sz w:val="20"/>
                <w:szCs w:val="20"/>
              </w:rPr>
            </w:pPr>
            <w:r>
              <w:rPr>
                <w:rFonts w:hint="eastAsia" w:ascii="宋体" w:hAnsi="宋体" w:eastAsia="宋体" w:cs="宋体"/>
                <w:color w:val="auto"/>
                <w:kern w:val="0"/>
                <w:sz w:val="20"/>
                <w:szCs w:val="20"/>
              </w:rPr>
              <w:t>财政集中实际应分配所得税额[（4－5）×财政集中分摊比例</w:t>
            </w:r>
            <w:r>
              <w:rPr>
                <w:rFonts w:hint="eastAsia" w:ascii="宋体" w:hAnsi="宋体" w:eastAsia="宋体" w:cs="宋体"/>
                <w:color w:val="auto"/>
                <w:kern w:val="0"/>
                <w:sz w:val="20"/>
                <w:szCs w:val="20"/>
                <w:u w:val="single"/>
              </w:rPr>
              <w:t xml:space="preserve">    %</w:t>
            </w:r>
            <w:r>
              <w:rPr>
                <w:rFonts w:hint="eastAsia" w:ascii="宋体" w:hAnsi="宋体" w:eastAsia="宋体" w:cs="宋体"/>
                <w:color w:val="auto"/>
                <w:kern w:val="0"/>
                <w:sz w:val="20"/>
                <w:szCs w:val="20"/>
              </w:rPr>
              <w:t>]</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kern w:val="0"/>
                <w:sz w:val="20"/>
                <w:szCs w:val="20"/>
              </w:rPr>
            </w:pPr>
            <w:r>
              <w:rPr>
                <w:rFonts w:hint="eastAsia" w:ascii="宋体" w:hAnsi="宋体" w:cs="宋体"/>
                <w:color w:val="auto"/>
                <w:kern w:val="0"/>
                <w:sz w:val="20"/>
                <w:szCs w:val="20"/>
              </w:rPr>
              <w:t>8</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ind w:left="420" w:leftChars="200" w:firstLine="600" w:firstLineChars="300"/>
              <w:textAlignment w:val="center"/>
              <w:rPr>
                <w:rFonts w:hint="eastAsia" w:ascii="宋体" w:hAnsi="宋体" w:eastAsia="宋体" w:cs="宋体"/>
                <w:color w:val="auto"/>
                <w:kern w:val="0"/>
                <w:sz w:val="20"/>
                <w:szCs w:val="20"/>
              </w:rPr>
            </w:pPr>
            <w:r>
              <w:rPr>
                <w:rFonts w:hint="eastAsia" w:ascii="宋体" w:hAnsi="宋体" w:eastAsia="宋体" w:cs="宋体"/>
                <w:color w:val="auto"/>
                <w:kern w:val="0"/>
                <w:sz w:val="20"/>
                <w:szCs w:val="20"/>
              </w:rPr>
              <w:t>分支机构实际应分摊所得税额[（4－5）×分支机构分摊比例</w:t>
            </w:r>
            <w:r>
              <w:rPr>
                <w:rFonts w:hint="eastAsia" w:ascii="宋体" w:hAnsi="宋体" w:eastAsia="宋体" w:cs="宋体"/>
                <w:color w:val="auto"/>
                <w:kern w:val="0"/>
                <w:sz w:val="20"/>
                <w:szCs w:val="20"/>
                <w:u w:val="single"/>
              </w:rPr>
              <w:t xml:space="preserve">    %</w:t>
            </w:r>
            <w:r>
              <w:rPr>
                <w:rFonts w:hint="eastAsia" w:ascii="宋体" w:hAnsi="宋体" w:eastAsia="宋体" w:cs="宋体"/>
                <w:color w:val="auto"/>
                <w:kern w:val="0"/>
                <w:sz w:val="20"/>
                <w:szCs w:val="20"/>
              </w:rPr>
              <w:t>]</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kern w:val="0"/>
                <w:sz w:val="20"/>
                <w:szCs w:val="20"/>
              </w:rPr>
            </w:pPr>
            <w:r>
              <w:rPr>
                <w:rFonts w:hint="eastAsia" w:ascii="宋体" w:hAnsi="宋体" w:cs="宋体"/>
                <w:color w:val="auto"/>
                <w:kern w:val="0"/>
                <w:sz w:val="20"/>
                <w:szCs w:val="20"/>
              </w:rPr>
              <w:t>9</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ind w:left="998" w:leftChars="475" w:firstLine="400" w:firstLineChars="200"/>
              <w:textAlignment w:val="center"/>
              <w:rPr>
                <w:rFonts w:hint="eastAsia" w:ascii="宋体" w:hAnsi="宋体" w:eastAsia="宋体" w:cs="宋体"/>
                <w:color w:val="auto"/>
                <w:kern w:val="0"/>
                <w:sz w:val="20"/>
                <w:szCs w:val="20"/>
              </w:rPr>
            </w:pPr>
            <w:r>
              <w:rPr>
                <w:rFonts w:hint="eastAsia" w:ascii="宋体" w:hAnsi="宋体" w:eastAsia="宋体" w:cs="宋体"/>
                <w:color w:val="auto"/>
                <w:kern w:val="0"/>
                <w:sz w:val="20"/>
                <w:szCs w:val="20"/>
              </w:rPr>
              <w:t>其中：总机构主体生产经营部门实际应分摊所得税额[（8×总机构主体生产经营部门分摊比例</w:t>
            </w:r>
            <w:r>
              <w:rPr>
                <w:rFonts w:hint="eastAsia" w:ascii="宋体" w:hAnsi="宋体" w:eastAsia="宋体" w:cs="宋体"/>
                <w:color w:val="auto"/>
                <w:kern w:val="0"/>
                <w:sz w:val="20"/>
                <w:szCs w:val="20"/>
                <w:u w:val="single"/>
              </w:rPr>
              <w:t xml:space="preserve">    %</w:t>
            </w:r>
            <w:r>
              <w:rPr>
                <w:rFonts w:hint="eastAsia" w:ascii="宋体" w:hAnsi="宋体" w:eastAsia="宋体" w:cs="宋体"/>
                <w:color w:val="auto"/>
                <w:kern w:val="0"/>
                <w:sz w:val="20"/>
                <w:szCs w:val="20"/>
              </w:rPr>
              <w:t>）]</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kern w:val="0"/>
                <w:sz w:val="20"/>
                <w:szCs w:val="20"/>
              </w:rPr>
            </w:pPr>
            <w:r>
              <w:rPr>
                <w:rFonts w:hint="eastAsia" w:ascii="宋体" w:hAnsi="宋体" w:cs="宋体"/>
                <w:color w:val="auto"/>
                <w:kern w:val="0"/>
                <w:sz w:val="20"/>
                <w:szCs w:val="20"/>
              </w:rPr>
              <w:t>10</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宋体" w:hAnsi="宋体" w:eastAsia="宋体" w:cs="宋体"/>
                <w:color w:val="auto"/>
                <w:kern w:val="0"/>
                <w:sz w:val="20"/>
                <w:szCs w:val="20"/>
              </w:rPr>
            </w:pPr>
            <w:r>
              <w:rPr>
                <w:rFonts w:hint="eastAsia" w:ascii="宋体" w:hAnsi="宋体" w:eastAsia="宋体" w:cs="宋体"/>
                <w:color w:val="auto"/>
                <w:kern w:val="0"/>
                <w:sz w:val="20"/>
                <w:szCs w:val="20"/>
              </w:rPr>
              <w:t>三、本年累计已预分、已分摊所得税额（11＋12＋13＋14）</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sz w:val="20"/>
                <w:szCs w:val="20"/>
              </w:rPr>
            </w:pPr>
            <w:r>
              <w:rPr>
                <w:rFonts w:hint="eastAsia" w:ascii="宋体" w:hAnsi="宋体" w:cs="宋体"/>
                <w:color w:val="auto"/>
                <w:kern w:val="0"/>
                <w:sz w:val="20"/>
                <w:szCs w:val="20"/>
              </w:rPr>
              <w:t>11</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ind w:firstLine="400" w:firstLineChars="200"/>
              <w:textAlignment w:val="center"/>
              <w:rPr>
                <w:rFonts w:hint="eastAsia" w:ascii="宋体" w:hAnsi="宋体" w:eastAsia="宋体" w:cs="宋体"/>
                <w:color w:val="auto"/>
                <w:sz w:val="20"/>
                <w:szCs w:val="20"/>
              </w:rPr>
            </w:pPr>
            <w:r>
              <w:rPr>
                <w:rFonts w:hint="eastAsia" w:ascii="宋体" w:hAnsi="宋体" w:eastAsia="宋体" w:cs="宋体"/>
                <w:color w:val="auto"/>
                <w:kern w:val="0"/>
                <w:sz w:val="20"/>
                <w:szCs w:val="20"/>
              </w:rPr>
              <w:t>其中：总机构直接管理建筑项目部预分所得税额</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sz w:val="20"/>
                <w:szCs w:val="20"/>
              </w:rPr>
            </w:pPr>
            <w:r>
              <w:rPr>
                <w:rFonts w:hint="eastAsia" w:ascii="宋体" w:hAnsi="宋体" w:cs="宋体"/>
                <w:color w:val="auto"/>
                <w:kern w:val="0"/>
                <w:sz w:val="20"/>
                <w:szCs w:val="20"/>
              </w:rPr>
              <w:t>12</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ind w:firstLine="1000" w:firstLineChars="500"/>
              <w:textAlignment w:val="center"/>
              <w:rPr>
                <w:rFonts w:hint="eastAsia" w:ascii="宋体" w:hAnsi="宋体" w:eastAsia="宋体" w:cs="宋体"/>
                <w:color w:val="auto"/>
                <w:sz w:val="20"/>
                <w:szCs w:val="20"/>
              </w:rPr>
            </w:pPr>
            <w:r>
              <w:rPr>
                <w:rFonts w:hint="eastAsia" w:ascii="宋体" w:hAnsi="宋体" w:eastAsia="宋体" w:cs="宋体"/>
                <w:color w:val="auto"/>
                <w:kern w:val="0"/>
                <w:sz w:val="20"/>
                <w:szCs w:val="20"/>
              </w:rPr>
              <w:t>总机构已分摊所得税额</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sz w:val="20"/>
                <w:szCs w:val="20"/>
              </w:rPr>
            </w:pPr>
            <w:r>
              <w:rPr>
                <w:rFonts w:hint="eastAsia" w:ascii="宋体" w:hAnsi="宋体" w:cs="宋体"/>
                <w:color w:val="auto"/>
                <w:kern w:val="0"/>
                <w:sz w:val="20"/>
                <w:szCs w:val="20"/>
              </w:rPr>
              <w:t>13</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ind w:firstLine="1000" w:firstLineChars="500"/>
              <w:textAlignment w:val="center"/>
              <w:rPr>
                <w:rFonts w:hint="eastAsia" w:ascii="宋体" w:hAnsi="宋体" w:eastAsia="宋体" w:cs="宋体"/>
                <w:color w:val="auto"/>
                <w:sz w:val="20"/>
                <w:szCs w:val="20"/>
              </w:rPr>
            </w:pPr>
            <w:r>
              <w:rPr>
                <w:rFonts w:hint="eastAsia" w:ascii="宋体" w:hAnsi="宋体" w:eastAsia="宋体" w:cs="宋体"/>
                <w:color w:val="auto"/>
                <w:kern w:val="0"/>
                <w:sz w:val="20"/>
                <w:szCs w:val="20"/>
              </w:rPr>
              <w:t>财政集中已分配所得税额</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sz w:val="20"/>
                <w:szCs w:val="20"/>
              </w:rPr>
            </w:pPr>
            <w:r>
              <w:rPr>
                <w:rFonts w:hint="eastAsia" w:ascii="宋体" w:hAnsi="宋体" w:cs="宋体"/>
                <w:color w:val="auto"/>
                <w:kern w:val="0"/>
                <w:sz w:val="20"/>
                <w:szCs w:val="20"/>
              </w:rPr>
              <w:t>14</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ind w:firstLine="1000" w:firstLineChars="500"/>
              <w:textAlignment w:val="center"/>
              <w:rPr>
                <w:rFonts w:hint="eastAsia" w:ascii="宋体" w:hAnsi="宋体" w:eastAsia="宋体" w:cs="宋体"/>
                <w:color w:val="auto"/>
                <w:sz w:val="20"/>
                <w:szCs w:val="20"/>
              </w:rPr>
            </w:pPr>
            <w:r>
              <w:rPr>
                <w:rFonts w:hint="eastAsia" w:ascii="宋体" w:hAnsi="宋体" w:eastAsia="宋体" w:cs="宋体"/>
                <w:color w:val="auto"/>
                <w:kern w:val="0"/>
                <w:sz w:val="20"/>
                <w:szCs w:val="20"/>
              </w:rPr>
              <w:t>分支机构已分摊所得税额</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sz w:val="20"/>
                <w:szCs w:val="20"/>
              </w:rPr>
            </w:pPr>
            <w:r>
              <w:rPr>
                <w:rFonts w:hint="eastAsia" w:ascii="宋体" w:hAnsi="宋体" w:cs="宋体"/>
                <w:color w:val="auto"/>
                <w:kern w:val="0"/>
                <w:sz w:val="20"/>
                <w:szCs w:val="20"/>
              </w:rPr>
              <w:t>15</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ind w:firstLine="1400" w:firstLineChars="700"/>
              <w:textAlignment w:val="center"/>
              <w:rPr>
                <w:rFonts w:hint="eastAsia" w:ascii="宋体" w:hAnsi="宋体" w:eastAsia="宋体" w:cs="宋体"/>
                <w:color w:val="auto"/>
                <w:sz w:val="20"/>
                <w:szCs w:val="20"/>
              </w:rPr>
            </w:pPr>
            <w:r>
              <w:rPr>
                <w:rFonts w:hint="eastAsia" w:ascii="宋体" w:hAnsi="宋体" w:eastAsia="宋体" w:cs="宋体"/>
                <w:color w:val="auto"/>
                <w:kern w:val="0"/>
                <w:sz w:val="20"/>
                <w:szCs w:val="20"/>
              </w:rPr>
              <w:t>其中：总机构主体生产经营部门已分摊所得税额</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sz w:val="20"/>
                <w:szCs w:val="20"/>
              </w:rPr>
            </w:pPr>
            <w:r>
              <w:rPr>
                <w:rFonts w:hint="eastAsia" w:ascii="宋体" w:hAnsi="宋体" w:cs="宋体"/>
                <w:color w:val="auto"/>
                <w:kern w:val="0"/>
                <w:sz w:val="20"/>
                <w:szCs w:val="20"/>
              </w:rPr>
              <w:t>16</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textAlignment w:val="center"/>
              <w:rPr>
                <w:rFonts w:hint="eastAsia" w:ascii="宋体" w:hAnsi="宋体" w:eastAsia="宋体" w:cs="宋体"/>
                <w:color w:val="auto"/>
                <w:sz w:val="20"/>
                <w:szCs w:val="20"/>
              </w:rPr>
            </w:pPr>
            <w:r>
              <w:rPr>
                <w:rFonts w:hint="eastAsia" w:ascii="宋体" w:hAnsi="宋体" w:eastAsia="宋体" w:cs="宋体"/>
                <w:color w:val="auto"/>
                <w:kern w:val="0"/>
                <w:sz w:val="20"/>
                <w:szCs w:val="20"/>
              </w:rPr>
              <w:t>四、本年度应分摊的应补（退）的所得税额（4－10）</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sz w:val="20"/>
                <w:szCs w:val="20"/>
              </w:rPr>
            </w:pPr>
            <w:r>
              <w:rPr>
                <w:rFonts w:hint="eastAsia" w:ascii="宋体" w:hAnsi="宋体" w:cs="宋体"/>
                <w:color w:val="auto"/>
                <w:kern w:val="0"/>
                <w:sz w:val="20"/>
                <w:szCs w:val="20"/>
              </w:rPr>
              <w:t>17</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ind w:firstLine="400" w:firstLineChars="200"/>
              <w:jc w:val="left"/>
              <w:textAlignment w:val="center"/>
              <w:rPr>
                <w:rFonts w:hint="eastAsia" w:ascii="宋体" w:hAnsi="宋体" w:eastAsia="宋体" w:cs="宋体"/>
                <w:color w:val="auto"/>
                <w:sz w:val="20"/>
                <w:szCs w:val="20"/>
              </w:rPr>
            </w:pPr>
            <w:r>
              <w:rPr>
                <w:rFonts w:hint="eastAsia" w:ascii="宋体" w:hAnsi="宋体" w:eastAsia="宋体" w:cs="宋体"/>
                <w:color w:val="auto"/>
                <w:kern w:val="0"/>
                <w:sz w:val="20"/>
                <w:szCs w:val="20"/>
              </w:rPr>
              <w:t>其中：总机构分摊本年应补（退）的所得税额（6－12）</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sz w:val="20"/>
                <w:szCs w:val="20"/>
              </w:rPr>
            </w:pPr>
            <w:r>
              <w:rPr>
                <w:rFonts w:hint="eastAsia" w:ascii="宋体" w:hAnsi="宋体" w:cs="宋体"/>
                <w:color w:val="auto"/>
                <w:kern w:val="0"/>
                <w:sz w:val="20"/>
                <w:szCs w:val="20"/>
              </w:rPr>
              <w:t>18</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ind w:firstLine="1000" w:firstLineChars="500"/>
              <w:jc w:val="left"/>
              <w:textAlignment w:val="center"/>
              <w:rPr>
                <w:rFonts w:hint="eastAsia" w:ascii="宋体" w:hAnsi="宋体" w:eastAsia="宋体" w:cs="宋体"/>
                <w:color w:val="auto"/>
                <w:sz w:val="20"/>
                <w:szCs w:val="20"/>
              </w:rPr>
            </w:pPr>
            <w:r>
              <w:rPr>
                <w:rFonts w:hint="eastAsia" w:ascii="宋体" w:hAnsi="宋体" w:eastAsia="宋体" w:cs="宋体"/>
                <w:color w:val="auto"/>
                <w:kern w:val="0"/>
                <w:sz w:val="20"/>
                <w:szCs w:val="20"/>
              </w:rPr>
              <w:t>财政集中分配本年应补（退）的所得税额（7－13）</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sz w:val="20"/>
                <w:szCs w:val="20"/>
              </w:rPr>
            </w:pPr>
            <w:r>
              <w:rPr>
                <w:rFonts w:hint="eastAsia" w:ascii="宋体" w:hAnsi="宋体" w:cs="宋体"/>
                <w:color w:val="auto"/>
                <w:kern w:val="0"/>
                <w:sz w:val="20"/>
                <w:szCs w:val="20"/>
              </w:rPr>
              <w:t>19</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ind w:firstLine="1000" w:firstLineChars="500"/>
              <w:jc w:val="left"/>
              <w:textAlignment w:val="center"/>
              <w:rPr>
                <w:rFonts w:hint="eastAsia" w:ascii="宋体" w:hAnsi="宋体" w:eastAsia="宋体" w:cs="宋体"/>
                <w:color w:val="auto"/>
                <w:sz w:val="20"/>
                <w:szCs w:val="20"/>
              </w:rPr>
            </w:pPr>
            <w:r>
              <w:rPr>
                <w:rFonts w:hint="eastAsia" w:ascii="宋体" w:hAnsi="宋体" w:eastAsia="宋体" w:cs="宋体"/>
                <w:color w:val="auto"/>
                <w:kern w:val="0"/>
                <w:sz w:val="20"/>
                <w:szCs w:val="20"/>
              </w:rPr>
              <w:t>分支机构分摊本年应补（退）的所得税额（8－14）</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sz w:val="20"/>
                <w:szCs w:val="20"/>
              </w:rPr>
            </w:pPr>
            <w:r>
              <w:rPr>
                <w:rFonts w:hint="eastAsia" w:ascii="宋体" w:hAnsi="宋体" w:cs="宋体"/>
                <w:color w:val="auto"/>
                <w:kern w:val="0"/>
                <w:sz w:val="20"/>
                <w:szCs w:val="20"/>
              </w:rPr>
              <w:t>20</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ind w:left="945" w:leftChars="450" w:firstLine="400" w:firstLineChars="200"/>
              <w:jc w:val="left"/>
              <w:textAlignment w:val="center"/>
              <w:rPr>
                <w:rFonts w:hint="eastAsia" w:ascii="宋体" w:hAnsi="宋体" w:eastAsia="宋体" w:cs="宋体"/>
                <w:color w:val="auto"/>
                <w:sz w:val="20"/>
                <w:szCs w:val="20"/>
              </w:rPr>
            </w:pPr>
            <w:r>
              <w:rPr>
                <w:rFonts w:hint="eastAsia" w:ascii="宋体" w:hAnsi="宋体" w:eastAsia="宋体" w:cs="宋体"/>
                <w:color w:val="auto"/>
                <w:kern w:val="0"/>
                <w:sz w:val="20"/>
                <w:szCs w:val="20"/>
              </w:rPr>
              <w:t>其中：总机构主体生产经营部门分摊本年应补（退）的所得税额（9－15）</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sz w:val="20"/>
                <w:szCs w:val="20"/>
              </w:rPr>
            </w:pPr>
            <w:r>
              <w:rPr>
                <w:rFonts w:hint="eastAsia" w:ascii="宋体" w:hAnsi="宋体" w:cs="宋体"/>
                <w:color w:val="auto"/>
                <w:kern w:val="0"/>
                <w:sz w:val="20"/>
                <w:szCs w:val="20"/>
              </w:rPr>
              <w:t>21</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textAlignment w:val="center"/>
              <w:rPr>
                <w:rFonts w:hint="eastAsia" w:ascii="宋体" w:hAnsi="宋体" w:eastAsia="宋体" w:cs="宋体"/>
                <w:color w:val="auto"/>
                <w:sz w:val="20"/>
                <w:szCs w:val="20"/>
              </w:rPr>
            </w:pPr>
            <w:r>
              <w:rPr>
                <w:rFonts w:hint="eastAsia" w:ascii="宋体" w:hAnsi="宋体" w:eastAsia="宋体" w:cs="宋体"/>
                <w:color w:val="auto"/>
                <w:kern w:val="0"/>
                <w:sz w:val="20"/>
                <w:szCs w:val="20"/>
              </w:rPr>
              <w:t>五、境外所得抵免后的应纳所得税额（2－3）</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sz w:val="20"/>
                <w:szCs w:val="20"/>
              </w:rPr>
            </w:pPr>
            <w:r>
              <w:rPr>
                <w:rFonts w:hint="eastAsia" w:ascii="宋体" w:hAnsi="宋体" w:cs="宋体"/>
                <w:color w:val="auto"/>
                <w:kern w:val="0"/>
                <w:sz w:val="20"/>
                <w:szCs w:val="20"/>
              </w:rPr>
              <w:t>22</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textAlignment w:val="center"/>
              <w:rPr>
                <w:rFonts w:hint="eastAsia" w:ascii="宋体" w:hAnsi="宋体" w:eastAsia="宋体" w:cs="宋体"/>
                <w:color w:val="auto"/>
                <w:sz w:val="20"/>
                <w:szCs w:val="20"/>
              </w:rPr>
            </w:pPr>
            <w:r>
              <w:rPr>
                <w:rFonts w:hint="eastAsia" w:ascii="宋体" w:hAnsi="宋体" w:eastAsia="宋体" w:cs="宋体"/>
                <w:color w:val="auto"/>
                <w:kern w:val="0"/>
                <w:sz w:val="20"/>
                <w:szCs w:val="20"/>
              </w:rPr>
              <w:t>六、总机构本年应补（退）所得税额（17＋18＋20＋21）</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sz w:val="20"/>
                <w:szCs w:val="20"/>
              </w:rPr>
            </w:pPr>
            <w:r>
              <w:rPr>
                <w:rFonts w:hint="eastAsia" w:ascii="宋体" w:hAnsi="宋体" w:cs="宋体"/>
                <w:color w:val="auto"/>
                <w:kern w:val="0"/>
                <w:sz w:val="20"/>
                <w:szCs w:val="20"/>
              </w:rPr>
              <w:t>23</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textAlignment w:val="center"/>
              <w:rPr>
                <w:rFonts w:hint="eastAsia" w:ascii="宋体" w:hAnsi="宋体" w:eastAsia="宋体" w:cs="宋体"/>
                <w:color w:val="auto"/>
                <w:sz w:val="20"/>
                <w:szCs w:val="20"/>
              </w:rPr>
            </w:pPr>
            <w:r>
              <w:rPr>
                <w:rFonts w:hint="eastAsia" w:ascii="宋体" w:hAnsi="宋体" w:eastAsia="宋体" w:cs="宋体"/>
                <w:color w:val="auto"/>
                <w:kern w:val="0"/>
                <w:sz w:val="20"/>
                <w:szCs w:val="20"/>
              </w:rPr>
              <w:t>七、总机构应享受民族地方优惠金额</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sz w:val="20"/>
                <w:szCs w:val="20"/>
              </w:rPr>
            </w:pPr>
            <w:r>
              <w:rPr>
                <w:rFonts w:hint="eastAsia" w:ascii="宋体" w:hAnsi="宋体" w:cs="宋体"/>
                <w:color w:val="auto"/>
                <w:kern w:val="0"/>
                <w:sz w:val="20"/>
                <w:szCs w:val="20"/>
              </w:rPr>
              <w:t>24</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ind w:left="420" w:leftChars="200"/>
              <w:jc w:val="left"/>
              <w:textAlignment w:val="center"/>
              <w:rPr>
                <w:rFonts w:hint="eastAsia" w:ascii="宋体" w:hAnsi="宋体" w:eastAsia="宋体" w:cs="宋体"/>
                <w:color w:val="auto"/>
                <w:sz w:val="20"/>
                <w:szCs w:val="20"/>
              </w:rPr>
            </w:pPr>
            <w:r>
              <w:rPr>
                <w:rFonts w:hint="eastAsia" w:ascii="宋体" w:hAnsi="宋体" w:eastAsia="宋体" w:cs="宋体"/>
                <w:color w:val="auto"/>
                <w:kern w:val="0"/>
                <w:sz w:val="20"/>
                <w:szCs w:val="20"/>
              </w:rPr>
              <w:t>总机构全年累计已享受民族地方优惠金额</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0"/>
                <w:szCs w:val="20"/>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sz w:val="20"/>
                <w:szCs w:val="20"/>
              </w:rPr>
            </w:pPr>
            <w:r>
              <w:rPr>
                <w:rFonts w:hint="eastAsia" w:ascii="宋体" w:hAnsi="宋体" w:cs="宋体"/>
                <w:color w:val="auto"/>
                <w:kern w:val="0"/>
                <w:sz w:val="20"/>
                <w:szCs w:val="20"/>
              </w:rPr>
              <w:t>25</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ind w:left="420" w:leftChars="200"/>
              <w:jc w:val="left"/>
              <w:textAlignment w:val="center"/>
              <w:rPr>
                <w:rFonts w:hint="eastAsia" w:ascii="宋体" w:hAnsi="宋体" w:eastAsia="宋体" w:cs="宋体"/>
                <w:color w:val="auto"/>
                <w:sz w:val="20"/>
                <w:szCs w:val="20"/>
              </w:rPr>
            </w:pPr>
            <w:r>
              <w:rPr>
                <w:rFonts w:hint="eastAsia" w:ascii="宋体" w:hAnsi="宋体" w:eastAsia="宋体" w:cs="宋体"/>
                <w:color w:val="auto"/>
                <w:kern w:val="0"/>
                <w:sz w:val="20"/>
                <w:szCs w:val="20"/>
              </w:rPr>
              <w:t>总机构因民族地方优惠调整分配金额（23－24）</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2"/>
                <w:szCs w:val="22"/>
              </w:rPr>
            </w:pPr>
          </w:p>
        </w:tc>
      </w:tr>
      <w:tr>
        <w:tblPrEx>
          <w:tblCellMar>
            <w:top w:w="15" w:type="dxa"/>
            <w:left w:w="15" w:type="dxa"/>
            <w:bottom w:w="15" w:type="dxa"/>
            <w:right w:w="15" w:type="dxa"/>
          </w:tblCellMar>
        </w:tblPrEx>
        <w:trPr>
          <w:trHeight w:val="397" w:hRule="atLeast"/>
          <w:jc w:val="center"/>
        </w:trPr>
        <w:tc>
          <w:tcPr>
            <w:tcW w:w="677" w:type="dxa"/>
            <w:tcBorders>
              <w:top w:val="single" w:color="000000" w:sz="4" w:space="0"/>
              <w:left w:val="single" w:color="000000" w:sz="12"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auto"/>
                <w:sz w:val="20"/>
                <w:szCs w:val="20"/>
              </w:rPr>
            </w:pPr>
            <w:r>
              <w:rPr>
                <w:rFonts w:hint="eastAsia" w:ascii="宋体" w:hAnsi="宋体" w:cs="宋体"/>
                <w:color w:val="auto"/>
                <w:kern w:val="0"/>
                <w:sz w:val="20"/>
                <w:szCs w:val="20"/>
              </w:rPr>
              <w:t>26</w:t>
            </w:r>
          </w:p>
        </w:tc>
        <w:tc>
          <w:tcPr>
            <w:tcW w:w="7479"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宋体" w:hAnsi="宋体" w:eastAsia="宋体" w:cs="宋体"/>
                <w:color w:val="auto"/>
                <w:kern w:val="0"/>
                <w:sz w:val="20"/>
                <w:szCs w:val="20"/>
              </w:rPr>
            </w:pPr>
            <w:r>
              <w:rPr>
                <w:rFonts w:hint="eastAsia" w:ascii="宋体" w:hAnsi="宋体" w:eastAsia="宋体" w:cs="宋体"/>
                <w:color w:val="auto"/>
                <w:kern w:val="0"/>
                <w:sz w:val="20"/>
                <w:szCs w:val="20"/>
              </w:rPr>
              <w:t>八、总机构本年实际应补（退）所得税额（22－25）</w:t>
            </w:r>
          </w:p>
        </w:tc>
        <w:tc>
          <w:tcPr>
            <w:tcW w:w="1062" w:type="dxa"/>
            <w:tcBorders>
              <w:top w:val="single" w:color="000000" w:sz="4" w:space="0"/>
              <w:left w:val="single" w:color="000000" w:sz="4" w:space="0"/>
              <w:bottom w:val="single" w:color="000000" w:sz="4" w:space="0"/>
              <w:right w:val="single" w:color="000000" w:sz="12" w:space="0"/>
            </w:tcBorders>
            <w:noWrap w:val="0"/>
            <w:vAlign w:val="center"/>
          </w:tcPr>
          <w:p>
            <w:pPr>
              <w:jc w:val="right"/>
              <w:rPr>
                <w:rFonts w:hint="eastAsia" w:ascii="宋体" w:hAnsi="宋体" w:cs="宋体"/>
                <w:color w:val="auto"/>
                <w:sz w:val="22"/>
                <w:szCs w:val="22"/>
              </w:rPr>
            </w:pPr>
          </w:p>
        </w:tc>
      </w:tr>
      <w:bookmarkEnd w:id="413"/>
    </w:tbl>
    <w:p>
      <w:pPr>
        <w:widowControl/>
        <w:jc w:val="left"/>
        <w:rPr>
          <w:rFonts w:hint="eastAsia" w:ascii="方正小标宋_GBK" w:hAnsi="方正小标宋_GBK" w:eastAsia="方正小标宋_GBK" w:cs="方正小标宋_GBK"/>
          <w:bCs/>
          <w:color w:val="auto"/>
          <w:kern w:val="0"/>
          <w:sz w:val="28"/>
          <w:szCs w:val="28"/>
        </w:rPr>
      </w:pPr>
      <w:r>
        <w:rPr>
          <w:rFonts w:hint="eastAsia" w:ascii="方正小标宋_GBK" w:hAnsi="方正小标宋_GBK" w:eastAsia="方正小标宋_GBK" w:cs="方正小标宋_GBK"/>
          <w:color w:val="auto"/>
        </w:rPr>
        <w:br w:type="page"/>
      </w:r>
    </w:p>
    <w:p>
      <w:pPr>
        <w:pStyle w:val="13"/>
        <w:rPr>
          <w:rFonts w:hint="eastAsia" w:ascii="方正小标宋_GBK" w:hAnsi="方正小标宋_GBK" w:eastAsia="方正小标宋_GBK" w:cs="方正小标宋_GBK"/>
          <w:color w:val="auto"/>
        </w:rPr>
      </w:pPr>
      <w:bookmarkStart w:id="414" w:name="_Toc176972074"/>
      <w:bookmarkStart w:id="415" w:name="_Toc865107334"/>
      <w:r>
        <w:rPr>
          <w:rFonts w:hint="eastAsia" w:ascii="方正小标宋_GBK" w:hAnsi="方正小标宋_GBK" w:eastAsia="方正小标宋_GBK" w:cs="方正小标宋_GBK"/>
          <w:color w:val="auto"/>
        </w:rPr>
        <w:t>A109000《跨地区经营汇总纳税企业年度分摊企业所得税明细表》</w:t>
      </w:r>
    </w:p>
    <w:p>
      <w:pPr>
        <w:pStyle w:val="13"/>
        <w:rPr>
          <w:rFonts w:hint="eastAsia" w:ascii="方正小标宋_GBK" w:hAnsi="方正小标宋_GBK" w:eastAsia="方正小标宋_GBK" w:cs="方正小标宋_GBK"/>
          <w:color w:val="auto"/>
        </w:rPr>
      </w:pPr>
      <w:r>
        <w:rPr>
          <w:rFonts w:hint="eastAsia" w:ascii="方正小标宋_GBK" w:hAnsi="方正小标宋_GBK" w:eastAsia="方正小标宋_GBK" w:cs="方正小标宋_GBK"/>
          <w:color w:val="auto"/>
        </w:rPr>
        <w:t>填报说明</w:t>
      </w:r>
      <w:bookmarkEnd w:id="414"/>
      <w:bookmarkEnd w:id="415"/>
    </w:p>
    <w:p>
      <w:pPr>
        <w:pStyle w:val="12"/>
        <w:ind w:firstLine="480"/>
        <w:rPr>
          <w:rFonts w:hint="eastAsia"/>
          <w:color w:val="auto"/>
        </w:rPr>
      </w:pPr>
      <w:r>
        <w:rPr>
          <w:rFonts w:hint="eastAsia"/>
          <w:color w:val="auto"/>
        </w:rPr>
        <w:t>本表适用于跨地区经营汇总纳税的纳税人填报。纳税人应根据税法、《财政部 国家税务总局 中国人民银行关于印发〈跨省市总分机构企业所得税分配及预算管理办法〉的通知》（财预〔2012〕40号）、《国家税务总局关于印发〈跨地区经营汇总纳税企业所得税征收管理办法〉的公告》（2012年第57号发布，国家税务总局2018年第31号修改）规定计算企业每一纳税年度应缴的企业所得税、总机构和分支机构应分摊的企业所得税。仅在同一省（自治区、直辖市和计划单列市）内设立不具有法人资格分支机构的汇总纳税企业，省（自治区、直辖市和计划单列市）参照上述文件规定制定企业所得税分配管理办法的，按照其规定填报本表。</w:t>
      </w:r>
    </w:p>
    <w:p>
      <w:pPr>
        <w:pStyle w:val="17"/>
        <w:ind w:firstLine="480"/>
        <w:jc w:val="both"/>
        <w:outlineLvl w:val="1"/>
        <w:rPr>
          <w:rFonts w:hint="eastAsia"/>
          <w:color w:val="auto"/>
          <w:sz w:val="24"/>
          <w:szCs w:val="24"/>
        </w:rPr>
      </w:pPr>
      <w:bookmarkStart w:id="416" w:name="_Toc329"/>
      <w:bookmarkStart w:id="417" w:name="_Toc3097"/>
      <w:bookmarkStart w:id="418" w:name="_Toc163974845"/>
      <w:bookmarkStart w:id="419" w:name="_Toc163922266"/>
      <w:bookmarkStart w:id="420" w:name="_Toc176972075"/>
      <w:bookmarkStart w:id="421" w:name="_Toc25150"/>
      <w:bookmarkStart w:id="422" w:name="_Toc20406"/>
      <w:bookmarkStart w:id="423" w:name="_Toc7482"/>
      <w:bookmarkStart w:id="424" w:name="_Toc22527"/>
      <w:bookmarkStart w:id="425" w:name="_Toc28113"/>
      <w:bookmarkStart w:id="426" w:name="_Toc118764572"/>
      <w:bookmarkStart w:id="427" w:name="_Toc164008897"/>
      <w:r>
        <w:rPr>
          <w:rFonts w:hint="eastAsia"/>
          <w:color w:val="auto"/>
          <w:sz w:val="24"/>
          <w:szCs w:val="24"/>
        </w:rPr>
        <w:t>一、有关项目填报说明</w:t>
      </w:r>
      <w:bookmarkEnd w:id="416"/>
      <w:bookmarkEnd w:id="417"/>
      <w:bookmarkEnd w:id="418"/>
      <w:bookmarkEnd w:id="419"/>
      <w:bookmarkEnd w:id="420"/>
      <w:bookmarkEnd w:id="421"/>
      <w:bookmarkEnd w:id="422"/>
      <w:bookmarkEnd w:id="423"/>
      <w:bookmarkEnd w:id="424"/>
      <w:bookmarkEnd w:id="425"/>
      <w:bookmarkEnd w:id="426"/>
      <w:bookmarkEnd w:id="427"/>
    </w:p>
    <w:p>
      <w:pPr>
        <w:pStyle w:val="12"/>
        <w:ind w:firstLine="480"/>
        <w:rPr>
          <w:rFonts w:hint="eastAsia"/>
          <w:color w:val="auto"/>
        </w:rPr>
      </w:pPr>
      <w:r>
        <w:rPr>
          <w:rFonts w:hint="eastAsia"/>
          <w:color w:val="auto"/>
        </w:rPr>
        <w:t>1.第1行“实际应纳所得税额”：填报表A100000第36行的金额。</w:t>
      </w:r>
    </w:p>
    <w:p>
      <w:pPr>
        <w:pStyle w:val="12"/>
        <w:ind w:firstLine="480"/>
        <w:rPr>
          <w:rFonts w:hint="eastAsia"/>
          <w:color w:val="auto"/>
        </w:rPr>
      </w:pPr>
      <w:r>
        <w:rPr>
          <w:rFonts w:hint="eastAsia"/>
          <w:color w:val="auto"/>
        </w:rPr>
        <w:t>2.第2行“境外所得应纳所得税额”：填报表A100000第34行的金额。</w:t>
      </w:r>
    </w:p>
    <w:p>
      <w:pPr>
        <w:pStyle w:val="12"/>
        <w:ind w:firstLine="480"/>
        <w:rPr>
          <w:rFonts w:hint="eastAsia"/>
          <w:color w:val="auto"/>
        </w:rPr>
      </w:pPr>
      <w:r>
        <w:rPr>
          <w:rFonts w:hint="eastAsia"/>
          <w:color w:val="auto"/>
        </w:rPr>
        <w:t>3.第3行“境外所得抵免所得税额”：填报表A100000第35行的金额。</w:t>
      </w:r>
    </w:p>
    <w:p>
      <w:pPr>
        <w:pStyle w:val="12"/>
        <w:ind w:firstLine="480"/>
        <w:rPr>
          <w:rFonts w:hint="eastAsia"/>
          <w:color w:val="auto"/>
        </w:rPr>
      </w:pPr>
      <w:r>
        <w:rPr>
          <w:rFonts w:hint="eastAsia"/>
          <w:color w:val="auto"/>
        </w:rPr>
        <w:t>4.第4行“本年实际应纳所得税额”：填报第1行－第2行＋第3行金额。</w:t>
      </w:r>
    </w:p>
    <w:p>
      <w:pPr>
        <w:pStyle w:val="12"/>
        <w:ind w:firstLine="480"/>
        <w:rPr>
          <w:rFonts w:hint="eastAsia"/>
          <w:color w:val="auto"/>
        </w:rPr>
      </w:pPr>
      <w:bookmarkStart w:id="428" w:name="_Hlk176878516"/>
      <w:r>
        <w:rPr>
          <w:rFonts w:hint="eastAsia"/>
          <w:color w:val="auto"/>
        </w:rPr>
        <w:t>5.第5行“其中：总机构直接管理建筑项目部预分所得税额”：填报建筑企业总机构按照规定在预缴纳税申报时，向其总机构直接管理的项目部所在地按照项目收入的0.2%预分的所得税额。</w:t>
      </w:r>
      <w:bookmarkEnd w:id="428"/>
    </w:p>
    <w:p>
      <w:pPr>
        <w:pStyle w:val="12"/>
        <w:ind w:firstLine="480"/>
        <w:rPr>
          <w:rFonts w:hint="eastAsia"/>
          <w:color w:val="auto"/>
        </w:rPr>
      </w:pPr>
      <w:r>
        <w:rPr>
          <w:rFonts w:hint="eastAsia"/>
          <w:color w:val="auto"/>
        </w:rPr>
        <w:t>6.第6行“总机构实际应分摊所得税额”：</w:t>
      </w:r>
      <w:bookmarkStart w:id="429" w:name="_Hlk176878374"/>
      <w:r>
        <w:rPr>
          <w:rFonts w:hint="eastAsia"/>
          <w:color w:val="auto"/>
        </w:rPr>
        <w:t>对于跨省（自治区、直辖市、计划单列市）经营汇总纳税企业，填报（第4行－第5行）×25%的金额；对于同一省（自治区、直辖市、计划单列市）内跨地区经营汇总纳税企业，填报（第4行－第5行）×规定比例的金额。</w:t>
      </w:r>
      <w:bookmarkEnd w:id="429"/>
    </w:p>
    <w:p>
      <w:pPr>
        <w:pStyle w:val="12"/>
        <w:ind w:firstLine="480"/>
        <w:rPr>
          <w:rFonts w:hint="eastAsia"/>
          <w:color w:val="auto"/>
        </w:rPr>
      </w:pPr>
      <w:r>
        <w:rPr>
          <w:rFonts w:hint="eastAsia"/>
          <w:color w:val="auto"/>
        </w:rPr>
        <w:t>7.第7行“财政集中实际应分配所得税额”：</w:t>
      </w:r>
      <w:bookmarkStart w:id="430" w:name="_Hlk176878411"/>
      <w:r>
        <w:rPr>
          <w:rFonts w:hint="eastAsia"/>
          <w:color w:val="auto"/>
        </w:rPr>
        <w:t>对于跨省（自治区、直辖市、计划单列市）经营汇总纳税企业，填报（第4行－第5行）×25%的金额；对于同一省（自治区、直辖市、计划单列市）内跨地区经营汇总纳税企业，填报（第4行－第5行）×规定比例的金额。</w:t>
      </w:r>
      <w:bookmarkEnd w:id="430"/>
    </w:p>
    <w:p>
      <w:pPr>
        <w:pStyle w:val="12"/>
        <w:ind w:firstLine="480"/>
        <w:rPr>
          <w:rFonts w:hint="eastAsia"/>
          <w:color w:val="auto"/>
        </w:rPr>
      </w:pPr>
      <w:r>
        <w:rPr>
          <w:rFonts w:hint="eastAsia"/>
          <w:color w:val="auto"/>
        </w:rPr>
        <w:t>8.第8行“分支机构实际应分摊所得税额”：</w:t>
      </w:r>
      <w:bookmarkStart w:id="431" w:name="_Hlk176878451"/>
      <w:r>
        <w:rPr>
          <w:rFonts w:hint="eastAsia"/>
          <w:color w:val="auto"/>
        </w:rPr>
        <w:t>对于跨省（自治区、直辖市、计划单列市）经营汇总纳税企业，填报（第4行－第5行）×50%的金额；对于同一省（自治区、直辖市、计划单列市）内跨地区经营汇总纳税企业，填报（第4行－第5行）×规定比例的金额。</w:t>
      </w:r>
      <w:bookmarkEnd w:id="431"/>
    </w:p>
    <w:p>
      <w:pPr>
        <w:pStyle w:val="12"/>
        <w:ind w:firstLine="480"/>
        <w:rPr>
          <w:rFonts w:hint="eastAsia"/>
          <w:color w:val="auto"/>
        </w:rPr>
      </w:pPr>
      <w:r>
        <w:rPr>
          <w:rFonts w:hint="eastAsia"/>
          <w:color w:val="auto"/>
        </w:rPr>
        <w:t>9.第9行“其中：总机构主体生产经营部门实际应分摊所得税额”：填报企业按照规定比例计算缴纳的由总机构主体生产经营部门实际应分摊的所得税额。同时，在《企业所得税汇总纳税分支机构所得税分配表》（A109010）中填报具体情况。</w:t>
      </w:r>
    </w:p>
    <w:p>
      <w:pPr>
        <w:pStyle w:val="12"/>
        <w:ind w:firstLine="480"/>
        <w:rPr>
          <w:rFonts w:hint="eastAsia"/>
          <w:color w:val="auto"/>
        </w:rPr>
      </w:pPr>
      <w:r>
        <w:rPr>
          <w:rFonts w:hint="eastAsia"/>
          <w:color w:val="auto"/>
        </w:rPr>
        <w:t>10.第10行“本年累计已预分、已分摊所得税额”：填报企业按照税收规定计算的分支机构本年累计已分摊的所得税额、建筑企业总机构直接管理的跨地区项目部本年累计已预分并就地预缴的所得税额。填报第11行＋……＋第14行金额。</w:t>
      </w:r>
    </w:p>
    <w:p>
      <w:pPr>
        <w:pStyle w:val="12"/>
        <w:ind w:firstLine="480"/>
        <w:rPr>
          <w:rFonts w:hint="eastAsia"/>
          <w:color w:val="auto"/>
        </w:rPr>
      </w:pPr>
      <w:r>
        <w:rPr>
          <w:rFonts w:hint="eastAsia"/>
          <w:color w:val="auto"/>
        </w:rPr>
        <w:t>11.第11行“总机构直接管理建筑项目部预分所得税额”：填报建筑企业总机构按照规定在预缴纳税申报时，向其总机构直接管理的项目部所在地按照项目收入的0.2%预分的所得税额。</w:t>
      </w:r>
    </w:p>
    <w:p>
      <w:pPr>
        <w:pStyle w:val="12"/>
        <w:ind w:firstLine="480"/>
        <w:rPr>
          <w:rFonts w:hint="eastAsia"/>
          <w:color w:val="auto"/>
        </w:rPr>
      </w:pPr>
      <w:r>
        <w:rPr>
          <w:rFonts w:hint="eastAsia"/>
          <w:color w:val="auto"/>
        </w:rPr>
        <w:t>12.第12行“总机构已分摊所得税额”：填报企业在预缴申报时已按照规定比例计算缴纳的由总机构分摊的所得税额。</w:t>
      </w:r>
    </w:p>
    <w:p>
      <w:pPr>
        <w:pStyle w:val="12"/>
        <w:ind w:firstLine="480"/>
        <w:rPr>
          <w:rFonts w:hint="eastAsia"/>
          <w:color w:val="auto"/>
        </w:rPr>
      </w:pPr>
      <w:r>
        <w:rPr>
          <w:rFonts w:hint="eastAsia"/>
          <w:color w:val="auto"/>
        </w:rPr>
        <w:t>13.第13行“财政集中已分配所得税额”：填报企业在预缴申报时已按照规定比例计算缴纳的由财政集中分配的所得税额。</w:t>
      </w:r>
    </w:p>
    <w:p>
      <w:pPr>
        <w:pStyle w:val="12"/>
        <w:ind w:firstLine="480"/>
        <w:rPr>
          <w:rFonts w:hint="eastAsia"/>
          <w:color w:val="auto"/>
        </w:rPr>
      </w:pPr>
      <w:r>
        <w:rPr>
          <w:rFonts w:hint="eastAsia"/>
          <w:color w:val="auto"/>
        </w:rPr>
        <w:t>14.第14行“分支机构已分摊所得税额”：</w:t>
      </w:r>
      <w:bookmarkStart w:id="432" w:name="_Hlk176881543"/>
      <w:r>
        <w:rPr>
          <w:rFonts w:hint="eastAsia"/>
          <w:color w:val="auto"/>
        </w:rPr>
        <w:t>填报企业在预缴申报时已按照规定比例计算缴纳的由所属分支机构分摊的所得税额。</w:t>
      </w:r>
      <w:bookmarkEnd w:id="432"/>
    </w:p>
    <w:p>
      <w:pPr>
        <w:pStyle w:val="12"/>
        <w:ind w:firstLine="480"/>
        <w:rPr>
          <w:rFonts w:hint="eastAsia"/>
          <w:color w:val="auto"/>
        </w:rPr>
      </w:pPr>
      <w:r>
        <w:rPr>
          <w:rFonts w:hint="eastAsia"/>
          <w:color w:val="auto"/>
        </w:rPr>
        <w:t>15.第15行“其中：总机构主体生产经营部门已分摊所得税额”：填报企业在预缴申报时已按照规定比例计算缴纳的由总机构主体生产经营部门分摊的所得税额。</w:t>
      </w:r>
    </w:p>
    <w:p>
      <w:pPr>
        <w:pStyle w:val="12"/>
        <w:ind w:firstLine="480"/>
        <w:rPr>
          <w:rFonts w:hint="eastAsia"/>
          <w:color w:val="auto"/>
        </w:rPr>
      </w:pPr>
      <w:r>
        <w:rPr>
          <w:rFonts w:hint="eastAsia"/>
          <w:color w:val="auto"/>
        </w:rPr>
        <w:t>16.第16行“本年度应分摊的应补（退）所得税额”：填报企业本年度应补（退）的所得税额，不包括境外所得应纳所得税额。填报第4行－第10行的余额。</w:t>
      </w:r>
    </w:p>
    <w:p>
      <w:pPr>
        <w:pStyle w:val="12"/>
        <w:ind w:firstLine="480"/>
        <w:rPr>
          <w:rFonts w:hint="eastAsia"/>
          <w:color w:val="auto"/>
        </w:rPr>
      </w:pPr>
      <w:r>
        <w:rPr>
          <w:rFonts w:hint="eastAsia"/>
          <w:color w:val="auto"/>
        </w:rPr>
        <w:t>17.第17行“总机构分摊本年应补（退）所得税额”：填报第6行－第12行的余额。</w:t>
      </w:r>
    </w:p>
    <w:p>
      <w:pPr>
        <w:pStyle w:val="12"/>
        <w:ind w:firstLine="480"/>
        <w:rPr>
          <w:rFonts w:hint="eastAsia"/>
          <w:color w:val="auto"/>
        </w:rPr>
      </w:pPr>
      <w:r>
        <w:rPr>
          <w:rFonts w:hint="eastAsia"/>
          <w:color w:val="auto"/>
        </w:rPr>
        <w:t>18.第18行“财政集中分配本年应补（退）所得税额”：填报第7行－第13行的余额。</w:t>
      </w:r>
    </w:p>
    <w:p>
      <w:pPr>
        <w:pStyle w:val="12"/>
        <w:ind w:firstLine="480"/>
        <w:rPr>
          <w:rFonts w:hint="eastAsia"/>
          <w:color w:val="auto"/>
        </w:rPr>
      </w:pPr>
      <w:r>
        <w:rPr>
          <w:rFonts w:hint="eastAsia"/>
          <w:color w:val="auto"/>
        </w:rPr>
        <w:t>19.第19行“分支机构分摊本年应补（退）所得税额”：填报第8行－第14行的余额。</w:t>
      </w:r>
    </w:p>
    <w:p>
      <w:pPr>
        <w:pStyle w:val="12"/>
        <w:ind w:firstLine="480"/>
        <w:rPr>
          <w:rFonts w:hint="eastAsia"/>
          <w:color w:val="auto"/>
        </w:rPr>
      </w:pPr>
      <w:r>
        <w:rPr>
          <w:rFonts w:hint="eastAsia"/>
          <w:color w:val="auto"/>
        </w:rPr>
        <w:t>20.第20行“其中：总机构主体生产经营部门分摊本年</w:t>
      </w:r>
      <w:bookmarkStart w:id="433" w:name="_Hlk176861510"/>
      <w:r>
        <w:rPr>
          <w:rFonts w:hint="eastAsia"/>
          <w:color w:val="auto"/>
        </w:rPr>
        <w:t>应补（退）</w:t>
      </w:r>
      <w:bookmarkEnd w:id="433"/>
      <w:r>
        <w:rPr>
          <w:rFonts w:hint="eastAsia"/>
          <w:color w:val="auto"/>
        </w:rPr>
        <w:t>所得税额”：填报第9行－15行。</w:t>
      </w:r>
    </w:p>
    <w:p>
      <w:pPr>
        <w:pStyle w:val="12"/>
        <w:ind w:firstLine="480"/>
        <w:rPr>
          <w:rFonts w:hint="eastAsia"/>
          <w:color w:val="auto"/>
        </w:rPr>
      </w:pPr>
      <w:r>
        <w:rPr>
          <w:rFonts w:hint="eastAsia"/>
          <w:color w:val="auto"/>
        </w:rPr>
        <w:t>21.第21行“境外所得抵免后的应纳所得税额”：填报第2行－第3行余额。</w:t>
      </w:r>
    </w:p>
    <w:p>
      <w:pPr>
        <w:pStyle w:val="12"/>
        <w:ind w:firstLine="480"/>
        <w:rPr>
          <w:rFonts w:hint="eastAsia"/>
          <w:color w:val="auto"/>
        </w:rPr>
      </w:pPr>
      <w:r>
        <w:rPr>
          <w:rFonts w:hint="eastAsia"/>
          <w:color w:val="auto"/>
        </w:rPr>
        <w:t>22.第22行“总机构本年应补（退）所得税额”：填报第17行＋第18行＋第20行＋第21行金额。</w:t>
      </w:r>
    </w:p>
    <w:p>
      <w:pPr>
        <w:pStyle w:val="12"/>
        <w:ind w:firstLine="480"/>
        <w:rPr>
          <w:rFonts w:hint="eastAsia"/>
          <w:color w:val="auto"/>
        </w:rPr>
      </w:pPr>
      <w:r>
        <w:rPr>
          <w:rFonts w:hint="eastAsia"/>
          <w:color w:val="auto"/>
        </w:rPr>
        <w:t>23.第23行“总机构应享受民族地方优惠金额”：填报按照税收规定在总机构应享受的民族自治地区企业所得税地方分享部分优惠金额。</w:t>
      </w:r>
    </w:p>
    <w:p>
      <w:pPr>
        <w:pStyle w:val="12"/>
        <w:ind w:firstLine="480"/>
        <w:rPr>
          <w:rFonts w:hint="eastAsia"/>
          <w:color w:val="auto"/>
        </w:rPr>
      </w:pPr>
      <w:r>
        <w:rPr>
          <w:rFonts w:hint="eastAsia"/>
          <w:color w:val="auto"/>
        </w:rPr>
        <w:t>24.第24行“总机构全年累计已享受民族地方优惠金额”：填报总机构本年预缴申报累计已减免的民族自治地区企业所得税地方分享部分的金额。</w:t>
      </w:r>
    </w:p>
    <w:p>
      <w:pPr>
        <w:pStyle w:val="12"/>
        <w:ind w:firstLine="480"/>
        <w:rPr>
          <w:rFonts w:hint="eastAsia"/>
          <w:color w:val="auto"/>
        </w:rPr>
      </w:pPr>
      <w:r>
        <w:rPr>
          <w:rFonts w:hint="eastAsia"/>
          <w:color w:val="auto"/>
        </w:rPr>
        <w:t>25.第25行“总机构因民族地方优惠调整分配金额”：填报总机构年度因优惠需调整的民族自治地区企业所得税地方分享部分的分配金额。本行填报第23行－第24行余额。</w:t>
      </w:r>
    </w:p>
    <w:p>
      <w:pPr>
        <w:pStyle w:val="12"/>
        <w:ind w:firstLine="480"/>
        <w:rPr>
          <w:rFonts w:hint="eastAsia"/>
          <w:color w:val="auto"/>
        </w:rPr>
      </w:pPr>
      <w:r>
        <w:rPr>
          <w:rFonts w:hint="eastAsia"/>
          <w:color w:val="auto"/>
        </w:rPr>
        <w:t>26.第26行“总机构本年实际应补（退）所得税额”：填报总机构本年实际应补（退）的所得税额。本行填报第22行－第25行金额。</w:t>
      </w:r>
    </w:p>
    <w:p>
      <w:pPr>
        <w:pStyle w:val="17"/>
        <w:ind w:firstLine="480"/>
        <w:jc w:val="both"/>
        <w:outlineLvl w:val="1"/>
        <w:rPr>
          <w:rFonts w:hint="eastAsia"/>
          <w:color w:val="auto"/>
          <w:sz w:val="24"/>
          <w:szCs w:val="24"/>
        </w:rPr>
      </w:pPr>
      <w:bookmarkStart w:id="434" w:name="_Toc28689"/>
      <w:bookmarkStart w:id="435" w:name="_Toc163922267"/>
      <w:bookmarkStart w:id="436" w:name="_Toc164008898"/>
      <w:bookmarkStart w:id="437" w:name="_Toc2048127505"/>
      <w:bookmarkStart w:id="438" w:name="_Toc176972076"/>
      <w:bookmarkStart w:id="439" w:name="_Toc1471"/>
      <w:bookmarkStart w:id="440" w:name="_Toc163974846"/>
      <w:bookmarkStart w:id="441" w:name="_Toc16245"/>
      <w:bookmarkStart w:id="442" w:name="_Toc19014"/>
      <w:bookmarkStart w:id="443" w:name="_Toc27175"/>
      <w:bookmarkStart w:id="444" w:name="_Toc22778"/>
      <w:bookmarkStart w:id="445" w:name="_Toc23633"/>
      <w:r>
        <w:rPr>
          <w:rFonts w:hint="eastAsia"/>
          <w:color w:val="auto"/>
          <w:sz w:val="24"/>
          <w:szCs w:val="24"/>
        </w:rPr>
        <w:t>二、表内、表间关系</w:t>
      </w:r>
      <w:bookmarkEnd w:id="434"/>
      <w:bookmarkEnd w:id="435"/>
      <w:bookmarkEnd w:id="436"/>
      <w:bookmarkEnd w:id="437"/>
      <w:bookmarkEnd w:id="438"/>
      <w:bookmarkEnd w:id="439"/>
      <w:bookmarkEnd w:id="440"/>
      <w:bookmarkEnd w:id="441"/>
      <w:bookmarkEnd w:id="442"/>
      <w:bookmarkEnd w:id="443"/>
      <w:bookmarkEnd w:id="444"/>
      <w:bookmarkEnd w:id="445"/>
    </w:p>
    <w:p>
      <w:pPr>
        <w:pStyle w:val="21"/>
        <w:ind w:firstLine="480"/>
        <w:rPr>
          <w:rFonts w:hint="eastAsia"/>
          <w:color w:val="auto"/>
        </w:rPr>
      </w:pPr>
      <w:r>
        <w:rPr>
          <w:rFonts w:hint="eastAsia"/>
          <w:color w:val="auto"/>
        </w:rPr>
        <w:t>（一）表内关系</w:t>
      </w:r>
    </w:p>
    <w:p>
      <w:pPr>
        <w:pStyle w:val="12"/>
        <w:ind w:firstLine="480"/>
        <w:rPr>
          <w:rFonts w:hint="eastAsia"/>
          <w:color w:val="auto"/>
        </w:rPr>
      </w:pPr>
      <w:r>
        <w:rPr>
          <w:rFonts w:hint="eastAsia"/>
          <w:color w:val="auto"/>
        </w:rPr>
        <w:t>1.第4行＝第1－2＋3行。</w:t>
      </w:r>
    </w:p>
    <w:p>
      <w:pPr>
        <w:pStyle w:val="12"/>
        <w:ind w:firstLine="480"/>
        <w:rPr>
          <w:rFonts w:hint="eastAsia"/>
          <w:color w:val="auto"/>
        </w:rPr>
      </w:pPr>
      <w:r>
        <w:rPr>
          <w:rFonts w:hint="eastAsia"/>
          <w:color w:val="auto"/>
          <w:lang w:val="en-US" w:eastAsia="zh-CN"/>
        </w:rPr>
        <w:t>2</w:t>
      </w:r>
      <w:r>
        <w:rPr>
          <w:rFonts w:hint="eastAsia"/>
          <w:color w:val="auto"/>
        </w:rPr>
        <w:t>.第10行＝第11＋12＋13＋14行。</w:t>
      </w:r>
    </w:p>
    <w:p>
      <w:pPr>
        <w:pStyle w:val="12"/>
        <w:ind w:firstLine="480"/>
        <w:rPr>
          <w:rFonts w:hint="default" w:eastAsia="宋体"/>
          <w:color w:val="auto"/>
          <w:lang w:val="en-US" w:eastAsia="zh-CN"/>
        </w:rPr>
      </w:pPr>
      <w:r>
        <w:rPr>
          <w:rFonts w:hint="eastAsia"/>
          <w:color w:val="auto"/>
          <w:lang w:val="en-US" w:eastAsia="zh-CN"/>
        </w:rPr>
        <w:t>3.第11行=第5行。</w:t>
      </w:r>
    </w:p>
    <w:p>
      <w:pPr>
        <w:pStyle w:val="12"/>
        <w:ind w:firstLine="480"/>
        <w:rPr>
          <w:rFonts w:hint="eastAsia"/>
          <w:color w:val="auto"/>
        </w:rPr>
      </w:pPr>
      <w:r>
        <w:rPr>
          <w:rFonts w:hint="eastAsia"/>
          <w:color w:val="auto"/>
          <w:lang w:val="en-US" w:eastAsia="zh-CN"/>
        </w:rPr>
        <w:t>4</w:t>
      </w:r>
      <w:r>
        <w:rPr>
          <w:rFonts w:hint="eastAsia"/>
          <w:color w:val="auto"/>
        </w:rPr>
        <w:t>.第16行＝第4－10行。</w:t>
      </w:r>
    </w:p>
    <w:p>
      <w:pPr>
        <w:pStyle w:val="12"/>
        <w:ind w:firstLine="480"/>
        <w:rPr>
          <w:rFonts w:hint="eastAsia"/>
          <w:color w:val="auto"/>
        </w:rPr>
      </w:pPr>
      <w:r>
        <w:rPr>
          <w:rFonts w:hint="eastAsia"/>
          <w:color w:val="auto"/>
          <w:lang w:val="en-US" w:eastAsia="zh-CN"/>
        </w:rPr>
        <w:t>5</w:t>
      </w:r>
      <w:r>
        <w:rPr>
          <w:rFonts w:hint="eastAsia"/>
          <w:color w:val="auto"/>
        </w:rPr>
        <w:t>.第17行＝第6－12行。</w:t>
      </w:r>
    </w:p>
    <w:p>
      <w:pPr>
        <w:pStyle w:val="12"/>
        <w:ind w:firstLine="480"/>
        <w:rPr>
          <w:rFonts w:hint="eastAsia"/>
          <w:color w:val="auto"/>
        </w:rPr>
      </w:pPr>
      <w:r>
        <w:rPr>
          <w:rFonts w:hint="eastAsia"/>
          <w:color w:val="auto"/>
          <w:lang w:val="en-US" w:eastAsia="zh-CN"/>
        </w:rPr>
        <w:t>6</w:t>
      </w:r>
      <w:r>
        <w:rPr>
          <w:rFonts w:hint="eastAsia"/>
          <w:color w:val="auto"/>
        </w:rPr>
        <w:t>.第18行＝第7－13行。</w:t>
      </w:r>
    </w:p>
    <w:p>
      <w:pPr>
        <w:pStyle w:val="12"/>
        <w:ind w:firstLine="480"/>
        <w:rPr>
          <w:rFonts w:hint="eastAsia"/>
          <w:color w:val="auto"/>
        </w:rPr>
      </w:pPr>
      <w:r>
        <w:rPr>
          <w:rFonts w:hint="eastAsia"/>
          <w:color w:val="auto"/>
          <w:lang w:val="en-US" w:eastAsia="zh-CN"/>
        </w:rPr>
        <w:t>7</w:t>
      </w:r>
      <w:r>
        <w:rPr>
          <w:rFonts w:hint="eastAsia"/>
          <w:color w:val="auto"/>
        </w:rPr>
        <w:t>.第19行＝第8－14行。</w:t>
      </w:r>
    </w:p>
    <w:p>
      <w:pPr>
        <w:pStyle w:val="12"/>
        <w:ind w:firstLine="480"/>
        <w:rPr>
          <w:rFonts w:hint="eastAsia"/>
          <w:color w:val="auto"/>
        </w:rPr>
      </w:pPr>
      <w:r>
        <w:rPr>
          <w:rFonts w:hint="eastAsia"/>
          <w:color w:val="auto"/>
          <w:lang w:val="en-US" w:eastAsia="zh-CN"/>
        </w:rPr>
        <w:t>8</w:t>
      </w:r>
      <w:r>
        <w:rPr>
          <w:rFonts w:hint="eastAsia"/>
          <w:color w:val="auto"/>
        </w:rPr>
        <w:t>.第20行＝第9行－15行。</w:t>
      </w:r>
    </w:p>
    <w:p>
      <w:pPr>
        <w:pStyle w:val="12"/>
        <w:ind w:firstLine="480"/>
        <w:rPr>
          <w:rFonts w:hint="eastAsia"/>
          <w:color w:val="auto"/>
        </w:rPr>
      </w:pPr>
      <w:r>
        <w:rPr>
          <w:rFonts w:hint="eastAsia"/>
          <w:color w:val="auto"/>
          <w:lang w:val="en-US" w:eastAsia="zh-CN"/>
        </w:rPr>
        <w:t>9</w:t>
      </w:r>
      <w:r>
        <w:rPr>
          <w:rFonts w:hint="eastAsia"/>
          <w:color w:val="auto"/>
        </w:rPr>
        <w:t>.第21行＝第2－3行。</w:t>
      </w:r>
    </w:p>
    <w:p>
      <w:pPr>
        <w:pStyle w:val="12"/>
        <w:ind w:firstLine="480"/>
        <w:rPr>
          <w:rFonts w:hint="eastAsia"/>
          <w:color w:val="auto"/>
        </w:rPr>
      </w:pPr>
      <w:r>
        <w:rPr>
          <w:rFonts w:hint="eastAsia"/>
          <w:color w:val="auto"/>
          <w:lang w:val="en-US" w:eastAsia="zh-CN"/>
        </w:rPr>
        <w:t>10</w:t>
      </w:r>
      <w:r>
        <w:rPr>
          <w:rFonts w:hint="eastAsia"/>
          <w:color w:val="auto"/>
        </w:rPr>
        <w:t>.第22行＝第17＋18＋20＋21行。</w:t>
      </w:r>
    </w:p>
    <w:p>
      <w:pPr>
        <w:pStyle w:val="12"/>
        <w:ind w:firstLine="480"/>
        <w:rPr>
          <w:rFonts w:hint="eastAsia"/>
          <w:color w:val="auto"/>
        </w:rPr>
      </w:pPr>
      <w:r>
        <w:rPr>
          <w:rFonts w:hint="eastAsia"/>
          <w:color w:val="auto"/>
        </w:rPr>
        <w:t>1</w:t>
      </w:r>
      <w:r>
        <w:rPr>
          <w:rFonts w:hint="eastAsia"/>
          <w:color w:val="auto"/>
          <w:lang w:val="en-US" w:eastAsia="zh-CN"/>
        </w:rPr>
        <w:t>1</w:t>
      </w:r>
      <w:r>
        <w:rPr>
          <w:rFonts w:hint="eastAsia"/>
          <w:color w:val="auto"/>
        </w:rPr>
        <w:t>.跨地区转移类型为跨省（自治区、直辖市、计划单列市）的，第23行＝[（第6行＋第7行）*20%＋（第9行＋第21行）*40%]*减征幅度的金额；跨地区转移类型为其他类型的，第23行＝（第6行＋第7行＋第9行＋第21行）*40%*减征幅度</w:t>
      </w:r>
      <w:r>
        <w:rPr>
          <w:rFonts w:hint="eastAsia"/>
          <w:color w:val="auto"/>
          <w:lang w:eastAsia="zh-CN"/>
        </w:rPr>
        <w:t>的金额</w:t>
      </w:r>
      <w:r>
        <w:rPr>
          <w:rFonts w:hint="eastAsia"/>
          <w:color w:val="auto"/>
        </w:rPr>
        <w:t>。</w:t>
      </w:r>
    </w:p>
    <w:p>
      <w:pPr>
        <w:pStyle w:val="12"/>
        <w:ind w:firstLine="480"/>
        <w:rPr>
          <w:rFonts w:hint="eastAsia"/>
          <w:color w:val="auto"/>
        </w:rPr>
      </w:pPr>
      <w:r>
        <w:rPr>
          <w:rFonts w:hint="eastAsia"/>
          <w:color w:val="auto"/>
        </w:rPr>
        <w:t>1</w:t>
      </w:r>
      <w:r>
        <w:rPr>
          <w:rFonts w:hint="eastAsia"/>
          <w:color w:val="auto"/>
          <w:lang w:val="en-US" w:eastAsia="zh-CN"/>
        </w:rPr>
        <w:t>2</w:t>
      </w:r>
      <w:r>
        <w:rPr>
          <w:rFonts w:hint="eastAsia"/>
          <w:color w:val="auto"/>
        </w:rPr>
        <w:t>.第25行＝第23－24行。</w:t>
      </w:r>
    </w:p>
    <w:p>
      <w:pPr>
        <w:pStyle w:val="12"/>
        <w:ind w:firstLine="480"/>
        <w:rPr>
          <w:rFonts w:hint="eastAsia"/>
          <w:color w:val="auto"/>
        </w:rPr>
      </w:pPr>
      <w:r>
        <w:rPr>
          <w:rFonts w:hint="eastAsia"/>
          <w:color w:val="auto"/>
        </w:rPr>
        <w:t>1</w:t>
      </w:r>
      <w:r>
        <w:rPr>
          <w:rFonts w:hint="eastAsia"/>
          <w:color w:val="auto"/>
          <w:lang w:val="en-US" w:eastAsia="zh-CN"/>
        </w:rPr>
        <w:t>3</w:t>
      </w:r>
      <w:r>
        <w:rPr>
          <w:rFonts w:hint="eastAsia"/>
          <w:color w:val="auto"/>
        </w:rPr>
        <w:t>.第26行＝第22－25行。</w:t>
      </w:r>
    </w:p>
    <w:p>
      <w:pPr>
        <w:pStyle w:val="21"/>
        <w:ind w:firstLine="480"/>
        <w:rPr>
          <w:rFonts w:hint="eastAsia"/>
          <w:color w:val="auto"/>
        </w:rPr>
      </w:pPr>
      <w:r>
        <w:rPr>
          <w:rFonts w:hint="eastAsia"/>
          <w:color w:val="auto"/>
        </w:rPr>
        <w:t>（二）表间关系</w:t>
      </w:r>
    </w:p>
    <w:p>
      <w:pPr>
        <w:pStyle w:val="12"/>
        <w:ind w:firstLine="480"/>
        <w:rPr>
          <w:rFonts w:hint="eastAsia"/>
          <w:color w:val="auto"/>
        </w:rPr>
      </w:pPr>
      <w:r>
        <w:rPr>
          <w:color w:val="auto"/>
        </w:rPr>
        <w:t>1.</w:t>
      </w:r>
      <w:r>
        <w:rPr>
          <w:rFonts w:hint="eastAsia"/>
          <w:color w:val="auto"/>
        </w:rPr>
        <w:t>第</w:t>
      </w:r>
      <w:r>
        <w:rPr>
          <w:color w:val="auto"/>
        </w:rPr>
        <w:t>1</w:t>
      </w:r>
      <w:r>
        <w:rPr>
          <w:rFonts w:hint="eastAsia"/>
          <w:color w:val="auto"/>
        </w:rPr>
        <w:t>行＝表</w:t>
      </w:r>
      <w:r>
        <w:rPr>
          <w:color w:val="auto"/>
        </w:rPr>
        <w:t>A100000</w:t>
      </w:r>
      <w:r>
        <w:rPr>
          <w:rFonts w:hint="eastAsia"/>
          <w:color w:val="auto"/>
        </w:rPr>
        <w:t>第</w:t>
      </w:r>
      <w:r>
        <w:rPr>
          <w:color w:val="auto"/>
        </w:rPr>
        <w:t>36</w:t>
      </w:r>
      <w:r>
        <w:rPr>
          <w:rFonts w:hint="eastAsia"/>
          <w:color w:val="auto"/>
        </w:rPr>
        <w:t>行。</w:t>
      </w:r>
    </w:p>
    <w:p>
      <w:pPr>
        <w:pStyle w:val="12"/>
        <w:ind w:firstLine="480"/>
        <w:rPr>
          <w:rFonts w:hint="eastAsia"/>
          <w:color w:val="auto"/>
        </w:rPr>
      </w:pPr>
      <w:r>
        <w:rPr>
          <w:color w:val="auto"/>
        </w:rPr>
        <w:t>2.</w:t>
      </w:r>
      <w:r>
        <w:rPr>
          <w:rFonts w:hint="eastAsia"/>
          <w:color w:val="auto"/>
        </w:rPr>
        <w:t>第</w:t>
      </w:r>
      <w:r>
        <w:rPr>
          <w:color w:val="auto"/>
        </w:rPr>
        <w:t>2</w:t>
      </w:r>
      <w:r>
        <w:rPr>
          <w:rFonts w:hint="eastAsia"/>
          <w:color w:val="auto"/>
        </w:rPr>
        <w:t>行＝表</w:t>
      </w:r>
      <w:r>
        <w:rPr>
          <w:color w:val="auto"/>
        </w:rPr>
        <w:t>A100000</w:t>
      </w:r>
      <w:r>
        <w:rPr>
          <w:rFonts w:hint="eastAsia"/>
          <w:color w:val="auto"/>
        </w:rPr>
        <w:t>第</w:t>
      </w:r>
      <w:r>
        <w:rPr>
          <w:color w:val="auto"/>
        </w:rPr>
        <w:t>34</w:t>
      </w:r>
      <w:r>
        <w:rPr>
          <w:rFonts w:hint="eastAsia"/>
          <w:color w:val="auto"/>
        </w:rPr>
        <w:t>行。</w:t>
      </w:r>
    </w:p>
    <w:p>
      <w:pPr>
        <w:pStyle w:val="12"/>
        <w:ind w:firstLine="480"/>
        <w:rPr>
          <w:rFonts w:hint="eastAsia"/>
          <w:color w:val="auto"/>
        </w:rPr>
      </w:pPr>
      <w:r>
        <w:rPr>
          <w:color w:val="auto"/>
        </w:rPr>
        <w:t>3.</w:t>
      </w:r>
      <w:r>
        <w:rPr>
          <w:rFonts w:hint="eastAsia"/>
          <w:color w:val="auto"/>
        </w:rPr>
        <w:t>第</w:t>
      </w:r>
      <w:r>
        <w:rPr>
          <w:color w:val="auto"/>
        </w:rPr>
        <w:t>3</w:t>
      </w:r>
      <w:r>
        <w:rPr>
          <w:rFonts w:hint="eastAsia"/>
          <w:color w:val="auto"/>
        </w:rPr>
        <w:t>行＝表</w:t>
      </w:r>
      <w:r>
        <w:rPr>
          <w:color w:val="auto"/>
        </w:rPr>
        <w:t>A100000</w:t>
      </w:r>
      <w:r>
        <w:rPr>
          <w:rFonts w:hint="eastAsia"/>
          <w:color w:val="auto"/>
        </w:rPr>
        <w:t>第</w:t>
      </w:r>
      <w:r>
        <w:rPr>
          <w:color w:val="auto"/>
        </w:rPr>
        <w:t>35</w:t>
      </w:r>
      <w:r>
        <w:rPr>
          <w:rFonts w:hint="eastAsia"/>
          <w:color w:val="auto"/>
        </w:rPr>
        <w:t>行。</w:t>
      </w:r>
    </w:p>
    <w:p>
      <w:pPr>
        <w:pStyle w:val="12"/>
        <w:ind w:firstLine="480"/>
        <w:rPr>
          <w:rFonts w:hint="eastAsia"/>
          <w:color w:val="auto"/>
        </w:rPr>
      </w:pPr>
      <w:r>
        <w:rPr>
          <w:rFonts w:hint="eastAsia"/>
          <w:color w:val="auto"/>
        </w:rPr>
        <w:t>4</w:t>
      </w:r>
      <w:r>
        <w:rPr>
          <w:color w:val="auto"/>
        </w:rPr>
        <w:t>.</w:t>
      </w:r>
      <w:r>
        <w:rPr>
          <w:rFonts w:hint="eastAsia"/>
          <w:color w:val="auto"/>
        </w:rPr>
        <w:t>第10行＝表</w:t>
      </w:r>
      <w:r>
        <w:rPr>
          <w:color w:val="auto"/>
        </w:rPr>
        <w:t>A100000</w:t>
      </w:r>
      <w:r>
        <w:rPr>
          <w:rFonts w:hint="eastAsia"/>
          <w:color w:val="auto"/>
        </w:rPr>
        <w:t>第</w:t>
      </w:r>
      <w:r>
        <w:rPr>
          <w:color w:val="auto"/>
        </w:rPr>
        <w:t>37</w:t>
      </w:r>
      <w:r>
        <w:rPr>
          <w:rFonts w:hint="eastAsia"/>
          <w:color w:val="auto"/>
        </w:rPr>
        <w:t>行。</w:t>
      </w:r>
    </w:p>
    <w:p>
      <w:pPr>
        <w:pStyle w:val="12"/>
        <w:ind w:firstLine="480"/>
        <w:rPr>
          <w:rFonts w:hint="eastAsia"/>
          <w:color w:val="auto"/>
        </w:rPr>
      </w:pPr>
      <w:r>
        <w:rPr>
          <w:color w:val="auto"/>
        </w:rPr>
        <w:t>5.</w:t>
      </w:r>
      <w:r>
        <w:rPr>
          <w:rFonts w:hint="eastAsia"/>
          <w:color w:val="auto"/>
        </w:rPr>
        <w:t>第</w:t>
      </w:r>
      <w:r>
        <w:rPr>
          <w:color w:val="auto"/>
        </w:rPr>
        <w:t>1</w:t>
      </w:r>
      <w:r>
        <w:rPr>
          <w:rFonts w:hint="eastAsia"/>
          <w:color w:val="auto"/>
        </w:rPr>
        <w:t>7</w:t>
      </w:r>
      <w:r>
        <w:rPr>
          <w:color w:val="auto"/>
        </w:rPr>
        <w:t>＋</w:t>
      </w:r>
      <w:r>
        <w:rPr>
          <w:rFonts w:hint="eastAsia"/>
          <w:color w:val="auto"/>
        </w:rPr>
        <w:t>21行＝表</w:t>
      </w:r>
      <w:r>
        <w:rPr>
          <w:color w:val="auto"/>
        </w:rPr>
        <w:t>A100000</w:t>
      </w:r>
      <w:r>
        <w:rPr>
          <w:rFonts w:hint="eastAsia"/>
          <w:color w:val="auto"/>
        </w:rPr>
        <w:t>第</w:t>
      </w:r>
      <w:r>
        <w:rPr>
          <w:color w:val="auto"/>
        </w:rPr>
        <w:t>39</w:t>
      </w:r>
      <w:r>
        <w:rPr>
          <w:rFonts w:hint="eastAsia"/>
          <w:color w:val="auto"/>
        </w:rPr>
        <w:t>行。</w:t>
      </w:r>
    </w:p>
    <w:p>
      <w:pPr>
        <w:pStyle w:val="12"/>
        <w:ind w:firstLine="480"/>
        <w:rPr>
          <w:rFonts w:hint="eastAsia"/>
          <w:color w:val="auto"/>
        </w:rPr>
      </w:pPr>
      <w:r>
        <w:rPr>
          <w:color w:val="auto"/>
        </w:rPr>
        <w:t>6.</w:t>
      </w:r>
      <w:r>
        <w:rPr>
          <w:rFonts w:hint="eastAsia"/>
          <w:color w:val="auto"/>
        </w:rPr>
        <w:t>第</w:t>
      </w:r>
      <w:r>
        <w:rPr>
          <w:color w:val="auto"/>
        </w:rPr>
        <w:t>1</w:t>
      </w:r>
      <w:r>
        <w:rPr>
          <w:rFonts w:hint="eastAsia"/>
          <w:color w:val="auto"/>
        </w:rPr>
        <w:t>8行＝表</w:t>
      </w:r>
      <w:r>
        <w:rPr>
          <w:color w:val="auto"/>
        </w:rPr>
        <w:t>A100000</w:t>
      </w:r>
      <w:r>
        <w:rPr>
          <w:rFonts w:hint="eastAsia"/>
          <w:color w:val="auto"/>
        </w:rPr>
        <w:t>第</w:t>
      </w:r>
      <w:r>
        <w:rPr>
          <w:color w:val="auto"/>
        </w:rPr>
        <w:t>40</w:t>
      </w:r>
      <w:r>
        <w:rPr>
          <w:rFonts w:hint="eastAsia"/>
          <w:color w:val="auto"/>
        </w:rPr>
        <w:t>行。</w:t>
      </w:r>
    </w:p>
    <w:p>
      <w:pPr>
        <w:pStyle w:val="12"/>
        <w:ind w:firstLine="480"/>
        <w:rPr>
          <w:rFonts w:hint="eastAsia"/>
          <w:color w:val="auto"/>
        </w:rPr>
      </w:pPr>
      <w:r>
        <w:rPr>
          <w:color w:val="auto"/>
        </w:rPr>
        <w:t>7.</w:t>
      </w:r>
      <w:r>
        <w:rPr>
          <w:rFonts w:hint="eastAsia"/>
          <w:color w:val="auto"/>
        </w:rPr>
        <w:t>第20行＝表</w:t>
      </w:r>
      <w:r>
        <w:rPr>
          <w:color w:val="auto"/>
        </w:rPr>
        <w:t>A100000</w:t>
      </w:r>
      <w:r>
        <w:rPr>
          <w:rFonts w:hint="eastAsia"/>
          <w:color w:val="auto"/>
        </w:rPr>
        <w:t>第</w:t>
      </w:r>
      <w:r>
        <w:rPr>
          <w:color w:val="auto"/>
        </w:rPr>
        <w:t>41</w:t>
      </w:r>
      <w:r>
        <w:rPr>
          <w:rFonts w:hint="eastAsia"/>
          <w:color w:val="auto"/>
        </w:rPr>
        <w:t>行。</w:t>
      </w:r>
    </w:p>
    <w:p>
      <w:pPr>
        <w:pStyle w:val="12"/>
        <w:ind w:firstLine="480"/>
        <w:rPr>
          <w:rFonts w:hint="eastAsia"/>
          <w:color w:val="auto"/>
        </w:rPr>
      </w:pPr>
      <w:r>
        <w:rPr>
          <w:color w:val="auto"/>
        </w:rPr>
        <w:t>8.</w:t>
      </w:r>
      <w:r>
        <w:rPr>
          <w:rFonts w:hint="eastAsia"/>
          <w:color w:val="auto"/>
        </w:rPr>
        <w:t>第</w:t>
      </w:r>
      <w:r>
        <w:rPr>
          <w:color w:val="auto"/>
        </w:rPr>
        <w:t>2</w:t>
      </w:r>
      <w:r>
        <w:rPr>
          <w:rFonts w:hint="eastAsia"/>
          <w:color w:val="auto"/>
        </w:rPr>
        <w:t>3行＝表</w:t>
      </w:r>
      <w:r>
        <w:rPr>
          <w:color w:val="auto"/>
        </w:rPr>
        <w:t>A100000</w:t>
      </w:r>
      <w:r>
        <w:rPr>
          <w:rFonts w:hint="eastAsia"/>
          <w:color w:val="auto"/>
        </w:rPr>
        <w:t>第</w:t>
      </w:r>
      <w:r>
        <w:rPr>
          <w:color w:val="auto"/>
        </w:rPr>
        <w:t>42</w:t>
      </w:r>
      <w:r>
        <w:rPr>
          <w:rFonts w:hint="eastAsia"/>
          <w:color w:val="auto"/>
        </w:rPr>
        <w:t>行。</w:t>
      </w:r>
    </w:p>
    <w:p>
      <w:pPr>
        <w:pStyle w:val="12"/>
        <w:ind w:firstLine="480"/>
        <w:rPr>
          <w:rFonts w:hint="eastAsia"/>
          <w:color w:val="auto"/>
        </w:rPr>
      </w:pPr>
      <w:r>
        <w:rPr>
          <w:color w:val="auto"/>
        </w:rPr>
        <w:t>9.</w:t>
      </w:r>
      <w:r>
        <w:rPr>
          <w:rFonts w:hint="eastAsia"/>
          <w:color w:val="auto"/>
        </w:rPr>
        <w:t>第</w:t>
      </w:r>
      <w:r>
        <w:rPr>
          <w:color w:val="auto"/>
        </w:rPr>
        <w:t>2</w:t>
      </w:r>
      <w:r>
        <w:rPr>
          <w:rFonts w:hint="eastAsia"/>
          <w:color w:val="auto"/>
        </w:rPr>
        <w:t>6行＝表</w:t>
      </w:r>
      <w:r>
        <w:rPr>
          <w:color w:val="auto"/>
        </w:rPr>
        <w:t>A100000</w:t>
      </w:r>
      <w:r>
        <w:rPr>
          <w:rFonts w:hint="eastAsia"/>
          <w:color w:val="auto"/>
        </w:rPr>
        <w:t>第</w:t>
      </w:r>
      <w:r>
        <w:rPr>
          <w:color w:val="auto"/>
        </w:rPr>
        <w:t>4</w:t>
      </w:r>
      <w:r>
        <w:rPr>
          <w:rFonts w:hint="eastAsia"/>
          <w:color w:val="auto"/>
          <w:lang w:val="en-US" w:eastAsia="zh-CN"/>
        </w:rPr>
        <w:t>5</w:t>
      </w:r>
      <w:r>
        <w:rPr>
          <w:rFonts w:hint="eastAsia"/>
          <w:color w:val="auto"/>
        </w:rPr>
        <w:t>行。</w:t>
      </w:r>
    </w:p>
    <w:p>
      <w:pPr>
        <w:widowControl/>
        <w:tabs>
          <w:tab w:val="center" w:pos="4678"/>
        </w:tabs>
        <w:jc w:val="left"/>
        <w:rPr>
          <w:rFonts w:hint="eastAsia"/>
          <w:color w:val="auto"/>
        </w:rPr>
        <w:sectPr>
          <w:pgSz w:w="11906" w:h="16838"/>
          <w:pgMar w:top="1440" w:right="1800" w:bottom="1440" w:left="1800" w:header="851" w:footer="992" w:gutter="0"/>
          <w:pgNumType w:fmt="decimal"/>
          <w:cols w:space="720" w:num="1"/>
          <w:docGrid w:type="lines" w:linePitch="312" w:charSpace="0"/>
        </w:sectPr>
      </w:pPr>
    </w:p>
    <w:p>
      <w:pPr>
        <w:pStyle w:val="13"/>
        <w:tabs>
          <w:tab w:val="center" w:pos="6520"/>
          <w:tab w:val="clear" w:pos="4678"/>
        </w:tabs>
        <w:ind w:firstLine="480"/>
        <w:jc w:val="both"/>
        <w:rPr>
          <w:rFonts w:hint="eastAsia" w:ascii="方正小标宋_GBK" w:hAnsi="方正小标宋_GBK" w:eastAsia="方正小标宋_GBK" w:cs="方正小标宋_GBK"/>
          <w:color w:val="auto"/>
        </w:rPr>
      </w:pPr>
      <w:bookmarkStart w:id="446" w:name="_Toc21317"/>
      <w:bookmarkStart w:id="447" w:name="_Toc176972077"/>
      <w:bookmarkStart w:id="448" w:name="_Toc25983"/>
      <w:bookmarkStart w:id="449" w:name="_Toc31184"/>
      <w:bookmarkStart w:id="450" w:name="_Toc4578"/>
      <w:bookmarkStart w:id="451" w:name="_Toc15851"/>
      <w:bookmarkStart w:id="452" w:name="_Toc25991"/>
      <w:bookmarkStart w:id="453" w:name="_Toc747851668"/>
      <w:bookmarkStart w:id="454" w:name="_Toc22912"/>
      <w:r>
        <w:rPr>
          <w:rFonts w:hint="eastAsia" w:ascii="方正小标宋_GBK" w:hAnsi="方正小标宋_GBK" w:eastAsia="方正小标宋_GBK" w:cs="方正小标宋_GBK"/>
          <w:color w:val="auto"/>
        </w:rPr>
        <w:t>A109010</w:t>
      </w:r>
      <w:r>
        <w:rPr>
          <w:rFonts w:hint="eastAsia" w:ascii="方正小标宋_GBK" w:hAnsi="方正小标宋_GBK" w:eastAsia="方正小标宋_GBK" w:cs="方正小标宋_GBK"/>
          <w:color w:val="auto"/>
        </w:rPr>
        <w:tab/>
      </w:r>
      <w:r>
        <w:rPr>
          <w:rFonts w:hint="eastAsia" w:ascii="方正小标宋_GBK" w:hAnsi="方正小标宋_GBK" w:eastAsia="方正小标宋_GBK" w:cs="方正小标宋_GBK"/>
          <w:color w:val="auto"/>
        </w:rPr>
        <w:t>企业所得税汇总纳税分支机构所得税分配表</w:t>
      </w:r>
      <w:bookmarkEnd w:id="446"/>
      <w:bookmarkEnd w:id="447"/>
      <w:bookmarkEnd w:id="448"/>
      <w:bookmarkEnd w:id="449"/>
      <w:bookmarkEnd w:id="450"/>
      <w:bookmarkEnd w:id="451"/>
      <w:bookmarkEnd w:id="452"/>
      <w:bookmarkEnd w:id="453"/>
      <w:bookmarkEnd w:id="454"/>
    </w:p>
    <w:tbl>
      <w:tblPr>
        <w:tblStyle w:val="7"/>
        <w:tblW w:w="14520" w:type="dxa"/>
        <w:jc w:val="center"/>
        <w:tblLayout w:type="fixed"/>
        <w:tblCellMar>
          <w:top w:w="0" w:type="dxa"/>
          <w:left w:w="108" w:type="dxa"/>
          <w:bottom w:w="0" w:type="dxa"/>
          <w:right w:w="108" w:type="dxa"/>
        </w:tblCellMar>
      </w:tblPr>
      <w:tblGrid>
        <w:gridCol w:w="641"/>
        <w:gridCol w:w="2336"/>
        <w:gridCol w:w="1982"/>
        <w:gridCol w:w="1134"/>
        <w:gridCol w:w="1134"/>
        <w:gridCol w:w="1134"/>
        <w:gridCol w:w="709"/>
        <w:gridCol w:w="850"/>
        <w:gridCol w:w="851"/>
        <w:gridCol w:w="850"/>
        <w:gridCol w:w="1985"/>
        <w:gridCol w:w="914"/>
      </w:tblGrid>
      <w:tr>
        <w:tblPrEx>
          <w:tblCellMar>
            <w:top w:w="0" w:type="dxa"/>
            <w:left w:w="108" w:type="dxa"/>
            <w:bottom w:w="0" w:type="dxa"/>
            <w:right w:w="108" w:type="dxa"/>
          </w:tblCellMar>
        </w:tblPrEx>
        <w:trPr>
          <w:trHeight w:val="397" w:hRule="atLeast"/>
          <w:jc w:val="center"/>
        </w:trPr>
        <w:tc>
          <w:tcPr>
            <w:tcW w:w="14520" w:type="dxa"/>
            <w:gridSpan w:val="12"/>
            <w:tcBorders>
              <w:top w:val="nil"/>
              <w:left w:val="nil"/>
              <w:bottom w:val="nil"/>
              <w:right w:val="nil"/>
            </w:tcBorders>
            <w:noWrap w:val="0"/>
            <w:vAlign w:val="center"/>
          </w:tcPr>
          <w:p>
            <w:pPr>
              <w:pStyle w:val="12"/>
              <w:ind w:firstLine="420"/>
              <w:jc w:val="center"/>
              <w:rPr>
                <w:rFonts w:hint="eastAsia" w:cs="Times New Roman"/>
                <w:color w:val="auto"/>
              </w:rPr>
            </w:pPr>
            <w:bookmarkStart w:id="455" w:name="_Hlk176938871"/>
            <w:r>
              <w:rPr>
                <w:rFonts w:hint="eastAsia"/>
                <w:color w:val="auto"/>
                <w:sz w:val="21"/>
                <w:szCs w:val="21"/>
              </w:rPr>
              <w:t>税款所属期间：年 月 日至 年 月 日</w:t>
            </w:r>
          </w:p>
        </w:tc>
      </w:tr>
      <w:tr>
        <w:tblPrEx>
          <w:tblCellMar>
            <w:top w:w="0" w:type="dxa"/>
            <w:left w:w="108" w:type="dxa"/>
            <w:bottom w:w="0" w:type="dxa"/>
            <w:right w:w="108" w:type="dxa"/>
          </w:tblCellMar>
        </w:tblPrEx>
        <w:trPr>
          <w:trHeight w:val="397" w:hRule="atLeast"/>
          <w:jc w:val="center"/>
        </w:trPr>
        <w:tc>
          <w:tcPr>
            <w:tcW w:w="2977" w:type="dxa"/>
            <w:gridSpan w:val="2"/>
            <w:tcBorders>
              <w:top w:val="nil"/>
              <w:left w:val="nil"/>
              <w:bottom w:val="nil"/>
              <w:right w:val="nil"/>
            </w:tcBorders>
            <w:noWrap w:val="0"/>
            <w:vAlign w:val="center"/>
          </w:tcPr>
          <w:p>
            <w:pPr>
              <w:widowControl/>
              <w:jc w:val="lef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总机构名称（盖章）</w:t>
            </w:r>
            <w:r>
              <w:rPr>
                <w:rFonts w:ascii="宋体" w:hAnsi="宋体" w:eastAsia="宋体" w:cs="宋体"/>
                <w:color w:val="auto"/>
                <w:kern w:val="0"/>
                <w:sz w:val="24"/>
              </w:rPr>
              <w:t xml:space="preserve">:                                                                   </w:t>
            </w:r>
          </w:p>
        </w:tc>
        <w:tc>
          <w:tcPr>
            <w:tcW w:w="3116" w:type="dxa"/>
            <w:gridSpan w:val="2"/>
            <w:tcBorders>
              <w:top w:val="nil"/>
              <w:left w:val="nil"/>
              <w:bottom w:val="nil"/>
              <w:right w:val="nil"/>
            </w:tcBorders>
            <w:noWrap w:val="0"/>
            <w:vAlign w:val="center"/>
          </w:tcPr>
          <w:p>
            <w:pPr>
              <w:widowControl/>
              <w:jc w:val="left"/>
              <w:rPr>
                <w:rFonts w:hint="eastAsia" w:ascii="宋体" w:hAnsi="宋体" w:eastAsia="宋体" w:cs="Times New Roman"/>
                <w:color w:val="auto"/>
                <w:kern w:val="0"/>
                <w:sz w:val="20"/>
                <w:szCs w:val="20"/>
              </w:rPr>
            </w:pPr>
          </w:p>
        </w:tc>
        <w:tc>
          <w:tcPr>
            <w:tcW w:w="1134" w:type="dxa"/>
            <w:tcBorders>
              <w:top w:val="nil"/>
              <w:left w:val="nil"/>
              <w:bottom w:val="nil"/>
              <w:right w:val="nil"/>
            </w:tcBorders>
            <w:noWrap w:val="0"/>
            <w:vAlign w:val="center"/>
          </w:tcPr>
          <w:p>
            <w:pPr>
              <w:widowControl/>
              <w:jc w:val="center"/>
              <w:rPr>
                <w:rFonts w:hint="eastAsia" w:ascii="宋体" w:hAnsi="宋体" w:eastAsia="宋体" w:cs="Times New Roman"/>
                <w:color w:val="auto"/>
                <w:kern w:val="0"/>
                <w:sz w:val="20"/>
                <w:szCs w:val="20"/>
              </w:rPr>
            </w:pPr>
          </w:p>
        </w:tc>
        <w:tc>
          <w:tcPr>
            <w:tcW w:w="1134" w:type="dxa"/>
            <w:tcBorders>
              <w:top w:val="nil"/>
              <w:left w:val="nil"/>
              <w:bottom w:val="nil"/>
              <w:right w:val="nil"/>
            </w:tcBorders>
            <w:noWrap w:val="0"/>
            <w:vAlign w:val="center"/>
          </w:tcPr>
          <w:p>
            <w:pPr>
              <w:widowControl/>
              <w:jc w:val="left"/>
              <w:rPr>
                <w:rFonts w:hint="eastAsia" w:ascii="宋体" w:hAnsi="宋体" w:eastAsia="宋体" w:cs="Times New Roman"/>
                <w:color w:val="auto"/>
                <w:kern w:val="0"/>
                <w:sz w:val="20"/>
                <w:szCs w:val="20"/>
              </w:rPr>
            </w:pPr>
          </w:p>
        </w:tc>
        <w:tc>
          <w:tcPr>
            <w:tcW w:w="6159" w:type="dxa"/>
            <w:gridSpan w:val="6"/>
            <w:tcBorders>
              <w:top w:val="nil"/>
              <w:left w:val="nil"/>
              <w:bottom w:val="nil"/>
              <w:right w:val="nil"/>
            </w:tcBorders>
            <w:noWrap w:val="0"/>
            <w:vAlign w:val="center"/>
          </w:tcPr>
          <w:p>
            <w:pPr>
              <w:widowControl/>
              <w:jc w:val="left"/>
              <w:rPr>
                <w:rFonts w:hint="eastAsia" w:ascii="宋体" w:hAnsi="宋体" w:eastAsia="宋体" w:cs="Times New Roman"/>
                <w:color w:val="auto"/>
                <w:kern w:val="0"/>
                <w:sz w:val="20"/>
                <w:szCs w:val="20"/>
              </w:rPr>
            </w:pPr>
          </w:p>
        </w:tc>
      </w:tr>
      <w:tr>
        <w:tblPrEx>
          <w:tblCellMar>
            <w:top w:w="0" w:type="dxa"/>
            <w:left w:w="108" w:type="dxa"/>
            <w:bottom w:w="0" w:type="dxa"/>
            <w:right w:w="108" w:type="dxa"/>
          </w:tblCellMar>
        </w:tblPrEx>
        <w:trPr>
          <w:trHeight w:val="397" w:hRule="atLeast"/>
          <w:jc w:val="center"/>
        </w:trPr>
        <w:tc>
          <w:tcPr>
            <w:tcW w:w="4959" w:type="dxa"/>
            <w:gridSpan w:val="3"/>
            <w:tcBorders>
              <w:top w:val="nil"/>
              <w:left w:val="nil"/>
              <w:bottom w:val="single" w:color="auto" w:sz="12" w:space="0"/>
              <w:right w:val="nil"/>
            </w:tcBorders>
            <w:noWrap w:val="0"/>
            <w:vAlign w:val="center"/>
          </w:tcPr>
          <w:p>
            <w:pPr>
              <w:widowControl/>
              <w:jc w:val="lef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总机构统一社会信用代码（纳税人识别号）：</w:t>
            </w:r>
          </w:p>
        </w:tc>
        <w:tc>
          <w:tcPr>
            <w:tcW w:w="3402" w:type="dxa"/>
            <w:gridSpan w:val="3"/>
            <w:tcBorders>
              <w:top w:val="nil"/>
              <w:left w:val="nil"/>
              <w:bottom w:val="single" w:color="auto" w:sz="12" w:space="0"/>
              <w:right w:val="nil"/>
            </w:tcBorders>
            <w:noWrap w:val="0"/>
            <w:vAlign w:val="center"/>
          </w:tcPr>
          <w:p>
            <w:pPr>
              <w:widowControl/>
              <w:jc w:val="lef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6159" w:type="dxa"/>
            <w:gridSpan w:val="6"/>
            <w:tcBorders>
              <w:top w:val="nil"/>
              <w:left w:val="nil"/>
              <w:bottom w:val="single" w:color="auto" w:sz="12" w:space="0"/>
              <w:right w:val="nil"/>
            </w:tcBorders>
            <w:noWrap w:val="0"/>
            <w:vAlign w:val="center"/>
          </w:tcPr>
          <w:p>
            <w:pPr>
              <w:widowControl/>
              <w:jc w:val="center"/>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金额单位</w:t>
            </w:r>
            <w:r>
              <w:rPr>
                <w:rFonts w:ascii="宋体" w:hAnsi="宋体" w:eastAsia="宋体" w:cs="宋体"/>
                <w:color w:val="auto"/>
                <w:kern w:val="0"/>
                <w:sz w:val="20"/>
                <w:szCs w:val="20"/>
              </w:rPr>
              <w:t xml:space="preserve">: </w:t>
            </w:r>
            <w:r>
              <w:rPr>
                <w:rFonts w:hint="eastAsia" w:ascii="宋体" w:hAnsi="宋体" w:eastAsia="宋体" w:cs="宋体"/>
                <w:color w:val="auto"/>
                <w:kern w:val="0"/>
                <w:sz w:val="20"/>
                <w:szCs w:val="20"/>
              </w:rPr>
              <w:t>元（列至角分）</w:t>
            </w:r>
          </w:p>
        </w:tc>
      </w:tr>
      <w:tr>
        <w:tblPrEx>
          <w:tblCellMar>
            <w:top w:w="0" w:type="dxa"/>
            <w:left w:w="108" w:type="dxa"/>
            <w:bottom w:w="0" w:type="dxa"/>
            <w:right w:w="108" w:type="dxa"/>
          </w:tblCellMar>
        </w:tblPrEx>
        <w:trPr>
          <w:cantSplit/>
          <w:trHeight w:val="397" w:hRule="atLeast"/>
          <w:jc w:val="center"/>
        </w:trPr>
        <w:tc>
          <w:tcPr>
            <w:tcW w:w="2977" w:type="dxa"/>
            <w:gridSpan w:val="2"/>
            <w:tcBorders>
              <w:top w:val="single" w:color="auto" w:sz="12" w:space="0"/>
              <w:left w:val="single" w:color="auto" w:sz="12" w:space="0"/>
              <w:bottom w:val="single" w:color="auto" w:sz="6" w:space="0"/>
              <w:right w:val="single" w:color="auto" w:sz="6" w:space="0"/>
            </w:tcBorders>
            <w:noWrap w:val="0"/>
            <w:vAlign w:val="center"/>
          </w:tcPr>
          <w:p>
            <w:pPr>
              <w:widowControl/>
              <w:jc w:val="center"/>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本年实际应纳所得税额</w:t>
            </w:r>
          </w:p>
        </w:tc>
        <w:tc>
          <w:tcPr>
            <w:tcW w:w="3116" w:type="dxa"/>
            <w:gridSpan w:val="2"/>
            <w:tcBorders>
              <w:top w:val="single" w:color="auto" w:sz="12" w:space="0"/>
              <w:left w:val="single" w:color="auto" w:sz="6" w:space="0"/>
              <w:bottom w:val="single" w:color="auto" w:sz="6" w:space="0"/>
              <w:right w:val="single" w:color="auto" w:sz="6" w:space="0"/>
            </w:tcBorders>
            <w:noWrap w:val="0"/>
            <w:vAlign w:val="center"/>
          </w:tcPr>
          <w:p>
            <w:pPr>
              <w:widowControl/>
              <w:jc w:val="center"/>
              <w:rPr>
                <w:rFonts w:hint="eastAsia" w:ascii="宋体" w:hAnsi="宋体" w:eastAsia="宋体" w:cs="Times New Roman"/>
                <w:color w:val="auto"/>
                <w:kern w:val="0"/>
                <w:sz w:val="20"/>
                <w:szCs w:val="20"/>
              </w:rPr>
            </w:pPr>
            <w:r>
              <w:rPr>
                <w:rFonts w:hint="eastAsia" w:ascii="宋体" w:hAnsi="宋体" w:eastAsia="宋体" w:cs="Times New Roman"/>
                <w:color w:val="auto"/>
                <w:kern w:val="0"/>
                <w:sz w:val="20"/>
                <w:szCs w:val="20"/>
              </w:rPr>
              <w:t>总机构直接管理建筑项目部预分所得税额</w:t>
            </w:r>
          </w:p>
        </w:tc>
        <w:tc>
          <w:tcPr>
            <w:tcW w:w="2268" w:type="dxa"/>
            <w:gridSpan w:val="2"/>
            <w:tcBorders>
              <w:top w:val="single" w:color="auto" w:sz="12" w:space="0"/>
              <w:left w:val="single" w:color="auto" w:sz="6" w:space="0"/>
              <w:bottom w:val="single" w:color="auto" w:sz="6" w:space="0"/>
              <w:right w:val="single" w:color="auto" w:sz="6" w:space="0"/>
            </w:tcBorders>
            <w:noWrap w:val="0"/>
            <w:vAlign w:val="center"/>
          </w:tcPr>
          <w:p>
            <w:pPr>
              <w:widowControl/>
              <w:jc w:val="center"/>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总机构实际应分摊所得税额</w:t>
            </w:r>
          </w:p>
        </w:tc>
        <w:tc>
          <w:tcPr>
            <w:tcW w:w="3260" w:type="dxa"/>
            <w:gridSpan w:val="4"/>
            <w:tcBorders>
              <w:top w:val="single" w:color="auto" w:sz="12" w:space="0"/>
              <w:left w:val="single" w:color="auto" w:sz="6" w:space="0"/>
              <w:bottom w:val="single" w:color="auto" w:sz="6" w:space="0"/>
              <w:right w:val="single" w:color="auto" w:sz="6" w:space="0"/>
            </w:tcBorders>
            <w:noWrap w:val="0"/>
            <w:vAlign w:val="center"/>
          </w:tcPr>
          <w:p>
            <w:pPr>
              <w:widowControl/>
              <w:jc w:val="center"/>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财政集中实际应分配所得税额</w:t>
            </w:r>
          </w:p>
        </w:tc>
        <w:tc>
          <w:tcPr>
            <w:tcW w:w="2899" w:type="dxa"/>
            <w:gridSpan w:val="2"/>
            <w:tcBorders>
              <w:top w:val="single" w:color="auto" w:sz="12" w:space="0"/>
              <w:left w:val="single" w:color="auto" w:sz="6" w:space="0"/>
              <w:bottom w:val="single" w:color="auto" w:sz="6" w:space="0"/>
              <w:right w:val="single" w:color="auto" w:sz="12" w:space="0"/>
            </w:tcBorders>
            <w:noWrap w:val="0"/>
            <w:vAlign w:val="center"/>
          </w:tcPr>
          <w:p>
            <w:pPr>
              <w:widowControl/>
              <w:jc w:val="center"/>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分支机构实际应分摊所得税额</w:t>
            </w:r>
          </w:p>
        </w:tc>
      </w:tr>
      <w:tr>
        <w:tblPrEx>
          <w:tblCellMar>
            <w:top w:w="0" w:type="dxa"/>
            <w:left w:w="108" w:type="dxa"/>
            <w:bottom w:w="0" w:type="dxa"/>
            <w:right w:w="108" w:type="dxa"/>
          </w:tblCellMar>
        </w:tblPrEx>
        <w:trPr>
          <w:cantSplit/>
          <w:trHeight w:val="397" w:hRule="atLeast"/>
          <w:jc w:val="center"/>
        </w:trPr>
        <w:tc>
          <w:tcPr>
            <w:tcW w:w="2977" w:type="dxa"/>
            <w:gridSpan w:val="2"/>
            <w:tcBorders>
              <w:top w:val="single" w:color="auto" w:sz="6" w:space="0"/>
              <w:left w:val="single" w:color="auto" w:sz="12" w:space="0"/>
              <w:bottom w:val="single" w:color="auto" w:sz="12" w:space="0"/>
              <w:right w:val="single" w:color="auto" w:sz="6" w:space="0"/>
            </w:tcBorders>
            <w:noWrap w:val="0"/>
            <w:vAlign w:val="center"/>
          </w:tcPr>
          <w:p>
            <w:pPr>
              <w:widowControl/>
              <w:jc w:val="center"/>
              <w:rPr>
                <w:rFonts w:hint="eastAsia" w:ascii="宋体" w:hAnsi="宋体" w:eastAsia="宋体" w:cs="宋体"/>
                <w:color w:val="auto"/>
                <w:kern w:val="0"/>
                <w:sz w:val="20"/>
                <w:szCs w:val="20"/>
              </w:rPr>
            </w:pPr>
          </w:p>
        </w:tc>
        <w:tc>
          <w:tcPr>
            <w:tcW w:w="3116" w:type="dxa"/>
            <w:gridSpan w:val="2"/>
            <w:tcBorders>
              <w:top w:val="single" w:color="auto" w:sz="6" w:space="0"/>
              <w:left w:val="single" w:color="auto" w:sz="6" w:space="0"/>
              <w:bottom w:val="single" w:color="auto" w:sz="12" w:space="0"/>
              <w:right w:val="single" w:color="auto" w:sz="6" w:space="0"/>
            </w:tcBorders>
            <w:noWrap w:val="0"/>
            <w:vAlign w:val="center"/>
          </w:tcPr>
          <w:p>
            <w:pPr>
              <w:widowControl/>
              <w:jc w:val="center"/>
              <w:rPr>
                <w:rFonts w:hint="eastAsia" w:ascii="宋体" w:hAnsi="宋体" w:eastAsia="宋体" w:cs="Times New Roman"/>
                <w:color w:val="auto"/>
                <w:kern w:val="0"/>
                <w:sz w:val="20"/>
                <w:szCs w:val="20"/>
              </w:rPr>
            </w:pPr>
          </w:p>
        </w:tc>
        <w:tc>
          <w:tcPr>
            <w:tcW w:w="2268" w:type="dxa"/>
            <w:gridSpan w:val="2"/>
            <w:tcBorders>
              <w:top w:val="single" w:color="auto" w:sz="6" w:space="0"/>
              <w:left w:val="single" w:color="auto" w:sz="6" w:space="0"/>
              <w:bottom w:val="single" w:color="auto" w:sz="12" w:space="0"/>
              <w:right w:val="single" w:color="auto" w:sz="6" w:space="0"/>
            </w:tcBorders>
            <w:noWrap w:val="0"/>
            <w:vAlign w:val="center"/>
          </w:tcPr>
          <w:p>
            <w:pPr>
              <w:widowControl/>
              <w:jc w:val="center"/>
              <w:rPr>
                <w:rFonts w:hint="eastAsia" w:ascii="宋体" w:hAnsi="宋体" w:eastAsia="宋体" w:cs="宋体"/>
                <w:color w:val="auto"/>
                <w:kern w:val="0"/>
                <w:sz w:val="20"/>
                <w:szCs w:val="20"/>
              </w:rPr>
            </w:pPr>
          </w:p>
        </w:tc>
        <w:tc>
          <w:tcPr>
            <w:tcW w:w="3260" w:type="dxa"/>
            <w:gridSpan w:val="4"/>
            <w:tcBorders>
              <w:top w:val="single" w:color="auto" w:sz="6" w:space="0"/>
              <w:left w:val="single" w:color="auto" w:sz="6" w:space="0"/>
              <w:bottom w:val="single" w:color="auto" w:sz="12" w:space="0"/>
              <w:right w:val="single" w:color="auto" w:sz="6" w:space="0"/>
            </w:tcBorders>
            <w:noWrap w:val="0"/>
            <w:vAlign w:val="center"/>
          </w:tcPr>
          <w:p>
            <w:pPr>
              <w:widowControl/>
              <w:jc w:val="center"/>
              <w:rPr>
                <w:rFonts w:hint="eastAsia" w:ascii="宋体" w:hAnsi="宋体" w:eastAsia="宋体" w:cs="宋体"/>
                <w:color w:val="auto"/>
                <w:kern w:val="0"/>
                <w:sz w:val="20"/>
                <w:szCs w:val="20"/>
              </w:rPr>
            </w:pPr>
          </w:p>
        </w:tc>
        <w:tc>
          <w:tcPr>
            <w:tcW w:w="2899" w:type="dxa"/>
            <w:gridSpan w:val="2"/>
            <w:tcBorders>
              <w:top w:val="single" w:color="auto" w:sz="6" w:space="0"/>
              <w:left w:val="single" w:color="auto" w:sz="6" w:space="0"/>
              <w:bottom w:val="single" w:color="auto" w:sz="12" w:space="0"/>
              <w:right w:val="single" w:color="auto" w:sz="12" w:space="0"/>
            </w:tcBorders>
            <w:noWrap w:val="0"/>
            <w:vAlign w:val="center"/>
          </w:tcPr>
          <w:p>
            <w:pPr>
              <w:widowControl/>
              <w:jc w:val="center"/>
              <w:rPr>
                <w:rFonts w:hint="eastAsia" w:ascii="宋体" w:hAnsi="宋体" w:eastAsia="宋体" w:cs="宋体"/>
                <w:color w:val="auto"/>
                <w:kern w:val="0"/>
                <w:sz w:val="20"/>
                <w:szCs w:val="20"/>
              </w:rPr>
            </w:pPr>
          </w:p>
        </w:tc>
      </w:tr>
      <w:tr>
        <w:tblPrEx>
          <w:tblCellMar>
            <w:top w:w="0" w:type="dxa"/>
            <w:left w:w="108" w:type="dxa"/>
            <w:bottom w:w="0" w:type="dxa"/>
            <w:right w:w="108" w:type="dxa"/>
          </w:tblCellMar>
        </w:tblPrEx>
        <w:trPr>
          <w:cantSplit/>
          <w:trHeight w:val="397" w:hRule="atLeast"/>
          <w:jc w:val="center"/>
        </w:trPr>
        <w:tc>
          <w:tcPr>
            <w:tcW w:w="641" w:type="dxa"/>
            <w:vMerge w:val="restart"/>
            <w:tcBorders>
              <w:top w:val="single" w:color="auto" w:sz="12" w:space="0"/>
              <w:left w:val="single" w:color="auto" w:sz="12" w:space="0"/>
              <w:bottom w:val="single" w:color="auto" w:sz="6" w:space="0"/>
              <w:right w:val="single" w:color="auto" w:sz="6" w:space="0"/>
            </w:tcBorders>
            <w:noWrap w:val="0"/>
            <w:textDirection w:val="tbRlV"/>
            <w:vAlign w:val="center"/>
          </w:tcPr>
          <w:p>
            <w:pPr>
              <w:widowControl/>
              <w:spacing w:line="240" w:lineRule="atLeast"/>
              <w:jc w:val="center"/>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分支机构情况</w:t>
            </w:r>
          </w:p>
        </w:tc>
        <w:tc>
          <w:tcPr>
            <w:tcW w:w="2336" w:type="dxa"/>
            <w:vMerge w:val="restart"/>
            <w:tcBorders>
              <w:top w:val="single" w:color="auto" w:sz="12" w:space="0"/>
              <w:left w:val="single" w:color="auto" w:sz="6" w:space="0"/>
              <w:bottom w:val="single" w:color="auto" w:sz="6" w:space="0"/>
              <w:right w:val="single" w:color="auto" w:sz="6" w:space="0"/>
            </w:tcBorders>
            <w:noWrap w:val="0"/>
            <w:vAlign w:val="center"/>
          </w:tcPr>
          <w:p>
            <w:pPr>
              <w:widowControl/>
              <w:jc w:val="center"/>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统一社会信用代码</w:t>
            </w:r>
            <w:r>
              <w:rPr>
                <w:rFonts w:ascii="宋体" w:hAnsi="宋体" w:eastAsia="宋体" w:cs="Times New Roman"/>
                <w:color w:val="auto"/>
                <w:kern w:val="0"/>
                <w:sz w:val="20"/>
                <w:szCs w:val="20"/>
              </w:rPr>
              <w:br w:type="textWrapping"/>
            </w:r>
            <w:r>
              <w:rPr>
                <w:rFonts w:hint="eastAsia" w:ascii="宋体" w:hAnsi="宋体" w:eastAsia="宋体" w:cs="宋体"/>
                <w:color w:val="auto"/>
                <w:kern w:val="0"/>
                <w:sz w:val="20"/>
                <w:szCs w:val="20"/>
              </w:rPr>
              <w:t>（纳税人识别号）</w:t>
            </w:r>
          </w:p>
        </w:tc>
        <w:tc>
          <w:tcPr>
            <w:tcW w:w="1982" w:type="dxa"/>
            <w:vMerge w:val="restart"/>
            <w:tcBorders>
              <w:top w:val="single" w:color="auto" w:sz="12" w:space="0"/>
              <w:left w:val="single" w:color="auto" w:sz="6" w:space="0"/>
              <w:bottom w:val="single" w:color="auto" w:sz="6" w:space="0"/>
              <w:right w:val="single" w:color="auto" w:sz="6" w:space="0"/>
            </w:tcBorders>
            <w:noWrap w:val="0"/>
            <w:vAlign w:val="center"/>
          </w:tcPr>
          <w:p>
            <w:pPr>
              <w:widowControl/>
              <w:jc w:val="center"/>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机构名称</w:t>
            </w:r>
          </w:p>
        </w:tc>
        <w:tc>
          <w:tcPr>
            <w:tcW w:w="3402" w:type="dxa"/>
            <w:gridSpan w:val="3"/>
            <w:tcBorders>
              <w:top w:val="single" w:color="auto" w:sz="12" w:space="0"/>
              <w:left w:val="single" w:color="auto" w:sz="6" w:space="0"/>
              <w:bottom w:val="single" w:color="auto" w:sz="6" w:space="0"/>
              <w:right w:val="single" w:color="auto" w:sz="6" w:space="0"/>
            </w:tcBorders>
            <w:noWrap w:val="0"/>
            <w:vAlign w:val="center"/>
          </w:tcPr>
          <w:p>
            <w:pPr>
              <w:widowControl/>
              <w:jc w:val="center"/>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三项因素</w:t>
            </w:r>
          </w:p>
        </w:tc>
        <w:tc>
          <w:tcPr>
            <w:tcW w:w="709" w:type="dxa"/>
            <w:vMerge w:val="restart"/>
            <w:tcBorders>
              <w:top w:val="single" w:color="auto" w:sz="12" w:space="0"/>
              <w:left w:val="single" w:color="auto" w:sz="6" w:space="0"/>
              <w:bottom w:val="single" w:color="auto" w:sz="6" w:space="0"/>
              <w:right w:val="single" w:color="auto" w:sz="6" w:space="0"/>
            </w:tcBorders>
            <w:noWrap w:val="0"/>
            <w:vAlign w:val="center"/>
          </w:tcPr>
          <w:p>
            <w:pPr>
              <w:widowControl/>
              <w:jc w:val="center"/>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分摊比例</w:t>
            </w:r>
          </w:p>
        </w:tc>
        <w:tc>
          <w:tcPr>
            <w:tcW w:w="850" w:type="dxa"/>
            <w:vMerge w:val="restart"/>
            <w:tcBorders>
              <w:top w:val="single" w:color="auto" w:sz="12" w:space="0"/>
              <w:left w:val="single" w:color="auto" w:sz="6" w:space="0"/>
              <w:bottom w:val="single" w:color="auto" w:sz="6" w:space="0"/>
              <w:right w:val="single" w:color="auto" w:sz="6" w:space="0"/>
            </w:tcBorders>
            <w:noWrap w:val="0"/>
            <w:vAlign w:val="center"/>
          </w:tcPr>
          <w:p>
            <w:pPr>
              <w:widowControl/>
              <w:jc w:val="center"/>
              <w:rPr>
                <w:rFonts w:hint="eastAsia" w:ascii="宋体" w:hAnsi="宋体" w:eastAsia="宋体" w:cs="Times New Roman"/>
                <w:color w:val="auto"/>
                <w:kern w:val="0"/>
                <w:sz w:val="20"/>
                <w:szCs w:val="20"/>
              </w:rPr>
            </w:pPr>
            <w:r>
              <w:rPr>
                <w:rFonts w:hint="eastAsia" w:ascii="宋体" w:hAnsi="宋体" w:cs="宋体"/>
                <w:color w:val="auto"/>
                <w:kern w:val="0"/>
                <w:sz w:val="20"/>
                <w:szCs w:val="20"/>
              </w:rPr>
              <w:t>实际应分摊所得税额</w:t>
            </w:r>
          </w:p>
        </w:tc>
        <w:tc>
          <w:tcPr>
            <w:tcW w:w="851" w:type="dxa"/>
            <w:vMerge w:val="restart"/>
            <w:tcBorders>
              <w:top w:val="single" w:color="auto" w:sz="12" w:space="0"/>
              <w:left w:val="single" w:color="auto" w:sz="6" w:space="0"/>
              <w:bottom w:val="single" w:color="auto" w:sz="6" w:space="0"/>
              <w:right w:val="single" w:color="auto" w:sz="6" w:space="0"/>
            </w:tcBorders>
            <w:noWrap w:val="0"/>
            <w:vAlign w:val="center"/>
          </w:tcPr>
          <w:p>
            <w:pPr>
              <w:widowControl/>
              <w:jc w:val="center"/>
              <w:rPr>
                <w:rFonts w:hint="eastAsia" w:ascii="宋体" w:hAnsi="宋体" w:eastAsia="宋体" w:cs="Times New Roman"/>
                <w:color w:val="auto"/>
                <w:kern w:val="0"/>
                <w:sz w:val="20"/>
                <w:szCs w:val="20"/>
              </w:rPr>
            </w:pPr>
            <w:r>
              <w:rPr>
                <w:rFonts w:hint="eastAsia" w:ascii="宋体" w:hAnsi="宋体" w:cs="宋体"/>
                <w:color w:val="auto"/>
                <w:kern w:val="0"/>
                <w:sz w:val="20"/>
                <w:szCs w:val="20"/>
              </w:rPr>
              <w:t>累计已分摊所得税额</w:t>
            </w:r>
          </w:p>
        </w:tc>
        <w:tc>
          <w:tcPr>
            <w:tcW w:w="850" w:type="dxa"/>
            <w:vMerge w:val="restart"/>
            <w:tcBorders>
              <w:top w:val="single" w:color="auto" w:sz="12" w:space="0"/>
              <w:left w:val="single" w:color="auto" w:sz="6" w:space="0"/>
              <w:bottom w:val="single" w:color="auto" w:sz="6" w:space="0"/>
              <w:right w:val="single" w:color="auto" w:sz="6" w:space="0"/>
            </w:tcBorders>
            <w:noWrap w:val="0"/>
            <w:vAlign w:val="center"/>
          </w:tcPr>
          <w:p>
            <w:pPr>
              <w:widowControl/>
              <w:jc w:val="center"/>
              <w:rPr>
                <w:rFonts w:hint="eastAsia" w:ascii="宋体" w:hAnsi="宋体" w:eastAsia="宋体" w:cs="Times New Roman"/>
                <w:color w:val="auto"/>
                <w:kern w:val="0"/>
                <w:sz w:val="20"/>
                <w:szCs w:val="20"/>
              </w:rPr>
            </w:pPr>
            <w:r>
              <w:rPr>
                <w:rFonts w:hint="eastAsia" w:ascii="宋体" w:hAnsi="宋体" w:cs="宋体"/>
                <w:color w:val="auto"/>
                <w:kern w:val="0"/>
                <w:sz w:val="20"/>
                <w:szCs w:val="20"/>
              </w:rPr>
              <w:t>分摊应补(退)所得税额</w:t>
            </w:r>
          </w:p>
        </w:tc>
        <w:tc>
          <w:tcPr>
            <w:tcW w:w="1985" w:type="dxa"/>
            <w:vMerge w:val="restart"/>
            <w:tcBorders>
              <w:top w:val="single" w:color="auto" w:sz="12" w:space="0"/>
              <w:left w:val="single" w:color="auto" w:sz="6" w:space="0"/>
              <w:bottom w:val="single" w:color="auto" w:sz="6" w:space="0"/>
              <w:right w:val="single" w:color="auto" w:sz="6" w:space="0"/>
            </w:tcBorders>
            <w:noWrap w:val="0"/>
            <w:vAlign w:val="center"/>
          </w:tcPr>
          <w:p>
            <w:pPr>
              <w:widowControl/>
              <w:jc w:val="center"/>
              <w:rPr>
                <w:rFonts w:hint="eastAsia" w:ascii="宋体" w:hAnsi="宋体" w:eastAsia="宋体" w:cs="Times New Roman"/>
                <w:color w:val="auto"/>
                <w:kern w:val="0"/>
                <w:sz w:val="20"/>
                <w:szCs w:val="20"/>
              </w:rPr>
            </w:pPr>
            <w:r>
              <w:rPr>
                <w:rFonts w:hint="eastAsia" w:ascii="宋体" w:hAnsi="宋体" w:eastAsia="宋体" w:cs="Times New Roman"/>
                <w:color w:val="auto"/>
                <w:kern w:val="0"/>
                <w:sz w:val="20"/>
                <w:szCs w:val="20"/>
              </w:rPr>
              <w:t>民族自治地区企业所得税地方分享部分</w:t>
            </w:r>
            <w:r>
              <w:rPr>
                <w:rFonts w:hint="eastAsia" w:ascii="宋体" w:hAnsi="宋体" w:eastAsia="宋体" w:cs="Times New Roman"/>
                <w:color w:val="auto"/>
                <w:kern w:val="0"/>
                <w:sz w:val="20"/>
                <w:szCs w:val="20"/>
                <w:lang w:eastAsia="zh-CN"/>
              </w:rPr>
              <w:t>优惠金额</w:t>
            </w:r>
            <w:r>
              <w:rPr>
                <w:rFonts w:hint="eastAsia" w:ascii="宋体" w:hAnsi="宋体" w:eastAsia="宋体" w:cs="Times New Roman"/>
                <w:color w:val="auto"/>
                <w:kern w:val="0"/>
                <w:sz w:val="20"/>
                <w:szCs w:val="20"/>
              </w:rPr>
              <w:t>（□ 免征 □ 减征：减征幅度</w:t>
            </w:r>
            <w:r>
              <w:rPr>
                <w:rFonts w:hint="eastAsia" w:ascii="宋体" w:hAnsi="宋体" w:eastAsia="宋体" w:cs="Times New Roman"/>
                <w:color w:val="auto"/>
                <w:kern w:val="0"/>
                <w:sz w:val="20"/>
                <w:szCs w:val="20"/>
                <w:u w:val="single"/>
              </w:rPr>
              <w:t xml:space="preserve">   </w:t>
            </w:r>
            <w:r>
              <w:rPr>
                <w:rFonts w:hint="eastAsia" w:ascii="宋体" w:hAnsi="宋体" w:eastAsia="宋体" w:cs="Times New Roman"/>
                <w:color w:val="auto"/>
                <w:kern w:val="0"/>
                <w:sz w:val="20"/>
                <w:szCs w:val="20"/>
              </w:rPr>
              <w:t>%）</w:t>
            </w:r>
          </w:p>
        </w:tc>
        <w:tc>
          <w:tcPr>
            <w:tcW w:w="914" w:type="dxa"/>
            <w:vMerge w:val="restart"/>
            <w:tcBorders>
              <w:top w:val="single" w:color="auto" w:sz="12" w:space="0"/>
              <w:left w:val="single" w:color="auto" w:sz="6" w:space="0"/>
              <w:bottom w:val="single" w:color="auto" w:sz="6" w:space="0"/>
              <w:right w:val="single" w:color="auto" w:sz="12" w:space="0"/>
            </w:tcBorders>
            <w:noWrap w:val="0"/>
            <w:vAlign w:val="center"/>
          </w:tcPr>
          <w:p>
            <w:pPr>
              <w:widowControl/>
              <w:jc w:val="center"/>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实际分摊应补（退）所得税额</w:t>
            </w:r>
          </w:p>
        </w:tc>
      </w:tr>
      <w:tr>
        <w:tblPrEx>
          <w:tblCellMar>
            <w:top w:w="0" w:type="dxa"/>
            <w:left w:w="108" w:type="dxa"/>
            <w:bottom w:w="0" w:type="dxa"/>
            <w:right w:w="108" w:type="dxa"/>
          </w:tblCellMar>
        </w:tblPrEx>
        <w:trPr>
          <w:cantSplit/>
          <w:trHeight w:val="397" w:hRule="atLeast"/>
          <w:jc w:val="center"/>
        </w:trPr>
        <w:tc>
          <w:tcPr>
            <w:tcW w:w="641"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hint="eastAsia" w:ascii="宋体" w:hAnsi="宋体" w:eastAsia="宋体" w:cs="Times New Roman"/>
                <w:color w:val="auto"/>
                <w:kern w:val="0"/>
                <w:sz w:val="20"/>
                <w:szCs w:val="20"/>
              </w:rPr>
            </w:pPr>
          </w:p>
        </w:tc>
        <w:tc>
          <w:tcPr>
            <w:tcW w:w="2336" w:type="dxa"/>
            <w:vMerge w:val="continue"/>
            <w:tcBorders>
              <w:top w:val="single" w:color="auto" w:sz="6" w:space="0"/>
              <w:left w:val="single" w:color="auto" w:sz="6" w:space="0"/>
              <w:bottom w:val="single" w:color="auto" w:sz="6" w:space="0"/>
              <w:right w:val="single" w:color="auto" w:sz="6" w:space="0"/>
            </w:tcBorders>
            <w:noWrap w:val="0"/>
            <w:vAlign w:val="center"/>
          </w:tcPr>
          <w:p>
            <w:pPr>
              <w:widowControl/>
              <w:jc w:val="left"/>
              <w:rPr>
                <w:rFonts w:hint="eastAsia" w:ascii="宋体" w:hAnsi="宋体" w:eastAsia="宋体" w:cs="Times New Roman"/>
                <w:color w:val="auto"/>
                <w:kern w:val="0"/>
                <w:sz w:val="20"/>
                <w:szCs w:val="20"/>
              </w:rPr>
            </w:pPr>
          </w:p>
        </w:tc>
        <w:tc>
          <w:tcPr>
            <w:tcW w:w="1982" w:type="dxa"/>
            <w:vMerge w:val="continue"/>
            <w:tcBorders>
              <w:top w:val="single" w:color="auto" w:sz="6" w:space="0"/>
              <w:left w:val="single" w:color="auto" w:sz="6" w:space="0"/>
              <w:bottom w:val="single" w:color="auto" w:sz="6" w:space="0"/>
              <w:right w:val="single" w:color="auto" w:sz="6" w:space="0"/>
            </w:tcBorders>
            <w:noWrap w:val="0"/>
            <w:vAlign w:val="center"/>
          </w:tcPr>
          <w:p>
            <w:pPr>
              <w:widowControl/>
              <w:jc w:val="left"/>
              <w:rPr>
                <w:rFonts w:hint="eastAsia" w:ascii="宋体" w:hAnsi="宋体" w:eastAsia="宋体" w:cs="Times New Roman"/>
                <w:color w:val="auto"/>
                <w:kern w:val="0"/>
                <w:sz w:val="20"/>
                <w:szCs w:val="20"/>
              </w:rPr>
            </w:pP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center"/>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营业收入</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center"/>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职工薪酬</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center"/>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资产总额</w:t>
            </w:r>
          </w:p>
        </w:tc>
        <w:tc>
          <w:tcPr>
            <w:tcW w:w="709" w:type="dxa"/>
            <w:vMerge w:val="continue"/>
            <w:tcBorders>
              <w:top w:val="single" w:color="auto" w:sz="6" w:space="0"/>
              <w:left w:val="single" w:color="auto" w:sz="6" w:space="0"/>
              <w:bottom w:val="single" w:color="auto" w:sz="6" w:space="0"/>
              <w:right w:val="single" w:color="auto" w:sz="6" w:space="0"/>
            </w:tcBorders>
            <w:noWrap w:val="0"/>
            <w:vAlign w:val="center"/>
          </w:tcPr>
          <w:p>
            <w:pPr>
              <w:widowControl/>
              <w:jc w:val="left"/>
              <w:rPr>
                <w:rFonts w:hint="eastAsia" w:ascii="宋体" w:hAnsi="宋体" w:eastAsia="宋体" w:cs="Times New Roman"/>
                <w:color w:val="auto"/>
                <w:kern w:val="0"/>
                <w:sz w:val="20"/>
                <w:szCs w:val="20"/>
              </w:rPr>
            </w:pPr>
          </w:p>
        </w:tc>
        <w:tc>
          <w:tcPr>
            <w:tcW w:w="850" w:type="dxa"/>
            <w:vMerge w:val="continue"/>
            <w:tcBorders>
              <w:top w:val="single" w:color="auto" w:sz="6" w:space="0"/>
              <w:left w:val="single" w:color="auto" w:sz="6" w:space="0"/>
              <w:bottom w:val="single" w:color="auto" w:sz="6" w:space="0"/>
              <w:right w:val="single" w:color="auto" w:sz="6" w:space="0"/>
            </w:tcBorders>
            <w:noWrap w:val="0"/>
            <w:vAlign w:val="center"/>
          </w:tcPr>
          <w:p>
            <w:pPr>
              <w:widowControl/>
              <w:jc w:val="left"/>
              <w:rPr>
                <w:rFonts w:hint="eastAsia" w:ascii="宋体" w:hAnsi="宋体" w:eastAsia="宋体" w:cs="Times New Roman"/>
                <w:color w:val="auto"/>
                <w:kern w:val="0"/>
                <w:sz w:val="20"/>
                <w:szCs w:val="20"/>
              </w:rPr>
            </w:pPr>
          </w:p>
        </w:tc>
        <w:tc>
          <w:tcPr>
            <w:tcW w:w="851" w:type="dxa"/>
            <w:vMerge w:val="continue"/>
            <w:tcBorders>
              <w:top w:val="single" w:color="auto" w:sz="6" w:space="0"/>
              <w:left w:val="single" w:color="auto" w:sz="6" w:space="0"/>
              <w:bottom w:val="single" w:color="auto" w:sz="6" w:space="0"/>
              <w:right w:val="single" w:color="auto" w:sz="6" w:space="0"/>
            </w:tcBorders>
            <w:noWrap w:val="0"/>
            <w:vAlign w:val="center"/>
          </w:tcPr>
          <w:p>
            <w:pPr>
              <w:widowControl/>
              <w:jc w:val="left"/>
              <w:rPr>
                <w:rFonts w:hint="eastAsia" w:ascii="宋体" w:hAnsi="宋体" w:eastAsia="宋体" w:cs="Times New Roman"/>
                <w:color w:val="auto"/>
                <w:kern w:val="0"/>
                <w:sz w:val="20"/>
                <w:szCs w:val="20"/>
              </w:rPr>
            </w:pPr>
          </w:p>
        </w:tc>
        <w:tc>
          <w:tcPr>
            <w:tcW w:w="850" w:type="dxa"/>
            <w:vMerge w:val="continue"/>
            <w:tcBorders>
              <w:top w:val="single" w:color="auto" w:sz="6" w:space="0"/>
              <w:left w:val="single" w:color="auto" w:sz="6" w:space="0"/>
              <w:bottom w:val="single" w:color="auto" w:sz="6" w:space="0"/>
              <w:right w:val="single" w:color="auto" w:sz="6" w:space="0"/>
            </w:tcBorders>
            <w:noWrap w:val="0"/>
            <w:vAlign w:val="center"/>
          </w:tcPr>
          <w:p>
            <w:pPr>
              <w:widowControl/>
              <w:jc w:val="left"/>
              <w:rPr>
                <w:rFonts w:hint="eastAsia" w:ascii="宋体" w:hAnsi="宋体" w:eastAsia="宋体" w:cs="Times New Roman"/>
                <w:color w:val="auto"/>
                <w:kern w:val="0"/>
                <w:sz w:val="20"/>
                <w:szCs w:val="20"/>
              </w:rPr>
            </w:pPr>
          </w:p>
        </w:tc>
        <w:tc>
          <w:tcPr>
            <w:tcW w:w="1985" w:type="dxa"/>
            <w:vMerge w:val="continue"/>
            <w:tcBorders>
              <w:top w:val="single" w:color="auto" w:sz="6" w:space="0"/>
              <w:left w:val="single" w:color="auto" w:sz="6" w:space="0"/>
              <w:bottom w:val="single" w:color="auto" w:sz="6" w:space="0"/>
              <w:right w:val="single" w:color="auto" w:sz="6" w:space="0"/>
            </w:tcBorders>
            <w:noWrap w:val="0"/>
            <w:vAlign w:val="center"/>
          </w:tcPr>
          <w:p>
            <w:pPr>
              <w:widowControl/>
              <w:jc w:val="left"/>
              <w:rPr>
                <w:rFonts w:hint="eastAsia" w:ascii="宋体" w:hAnsi="宋体" w:eastAsia="宋体" w:cs="Times New Roman"/>
                <w:color w:val="auto"/>
                <w:kern w:val="0"/>
                <w:sz w:val="20"/>
                <w:szCs w:val="20"/>
              </w:rPr>
            </w:pPr>
          </w:p>
        </w:tc>
        <w:tc>
          <w:tcPr>
            <w:tcW w:w="914" w:type="dxa"/>
            <w:vMerge w:val="continue"/>
            <w:tcBorders>
              <w:top w:val="single" w:color="auto" w:sz="6" w:space="0"/>
              <w:left w:val="single" w:color="auto" w:sz="6" w:space="0"/>
              <w:bottom w:val="single" w:color="auto" w:sz="6" w:space="0"/>
              <w:right w:val="single" w:color="auto" w:sz="12" w:space="0"/>
            </w:tcBorders>
            <w:noWrap w:val="0"/>
            <w:vAlign w:val="center"/>
          </w:tcPr>
          <w:p>
            <w:pPr>
              <w:widowControl/>
              <w:jc w:val="left"/>
              <w:rPr>
                <w:rFonts w:hint="eastAsia" w:ascii="宋体" w:hAnsi="宋体" w:eastAsia="宋体" w:cs="Times New Roman"/>
                <w:color w:val="auto"/>
                <w:kern w:val="0"/>
                <w:sz w:val="20"/>
                <w:szCs w:val="20"/>
              </w:rPr>
            </w:pPr>
          </w:p>
        </w:tc>
      </w:tr>
      <w:tr>
        <w:tblPrEx>
          <w:tblCellMar>
            <w:top w:w="0" w:type="dxa"/>
            <w:left w:w="108" w:type="dxa"/>
            <w:bottom w:w="0" w:type="dxa"/>
            <w:right w:w="108" w:type="dxa"/>
          </w:tblCellMar>
        </w:tblPrEx>
        <w:trPr>
          <w:cantSplit/>
          <w:trHeight w:val="397" w:hRule="atLeast"/>
          <w:jc w:val="center"/>
        </w:trPr>
        <w:tc>
          <w:tcPr>
            <w:tcW w:w="641"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hint="eastAsia" w:ascii="宋体" w:hAnsi="宋体" w:eastAsia="宋体" w:cs="Times New Roman"/>
                <w:color w:val="auto"/>
                <w:kern w:val="0"/>
                <w:sz w:val="20"/>
                <w:szCs w:val="20"/>
              </w:rPr>
            </w:pPr>
          </w:p>
        </w:tc>
        <w:tc>
          <w:tcPr>
            <w:tcW w:w="2336"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982"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709"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850"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p>
        </w:tc>
        <w:tc>
          <w:tcPr>
            <w:tcW w:w="851"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p>
        </w:tc>
        <w:tc>
          <w:tcPr>
            <w:tcW w:w="850"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p>
        </w:tc>
        <w:tc>
          <w:tcPr>
            <w:tcW w:w="1985"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914" w:type="dxa"/>
            <w:tcBorders>
              <w:top w:val="single" w:color="auto" w:sz="6" w:space="0"/>
              <w:left w:val="single" w:color="auto" w:sz="6" w:space="0"/>
              <w:bottom w:val="single" w:color="auto" w:sz="6" w:space="0"/>
              <w:right w:val="single" w:color="auto" w:sz="12" w:space="0"/>
            </w:tcBorders>
            <w:noWrap w:val="0"/>
            <w:vAlign w:val="center"/>
          </w:tcPr>
          <w:p>
            <w:pPr>
              <w:widowControl/>
              <w:jc w:val="right"/>
              <w:rPr>
                <w:rFonts w:hint="eastAsia" w:ascii="宋体" w:hAnsi="宋体" w:eastAsia="宋体" w:cs="Times New Roman"/>
                <w:color w:val="auto"/>
                <w:kern w:val="0"/>
                <w:sz w:val="20"/>
                <w:szCs w:val="20"/>
              </w:rPr>
            </w:pPr>
          </w:p>
        </w:tc>
      </w:tr>
      <w:tr>
        <w:tblPrEx>
          <w:tblCellMar>
            <w:top w:w="0" w:type="dxa"/>
            <w:left w:w="108" w:type="dxa"/>
            <w:bottom w:w="0" w:type="dxa"/>
            <w:right w:w="108" w:type="dxa"/>
          </w:tblCellMar>
        </w:tblPrEx>
        <w:trPr>
          <w:cantSplit/>
          <w:trHeight w:val="397" w:hRule="atLeast"/>
          <w:jc w:val="center"/>
        </w:trPr>
        <w:tc>
          <w:tcPr>
            <w:tcW w:w="641"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hint="eastAsia" w:ascii="宋体" w:hAnsi="宋体" w:eastAsia="宋体" w:cs="Times New Roman"/>
                <w:color w:val="auto"/>
                <w:kern w:val="0"/>
                <w:sz w:val="20"/>
                <w:szCs w:val="20"/>
              </w:rPr>
            </w:pPr>
          </w:p>
        </w:tc>
        <w:tc>
          <w:tcPr>
            <w:tcW w:w="2336"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982"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709"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r>
              <w:rPr>
                <w:rFonts w:hint="eastAsia" w:ascii="宋体" w:hAnsi="宋体" w:eastAsia="宋体" w:cs="宋体"/>
                <w:color w:val="auto"/>
                <w:kern w:val="0"/>
                <w:sz w:val="20"/>
                <w:szCs w:val="20"/>
              </w:rPr>
              <w:t>　</w:t>
            </w:r>
          </w:p>
        </w:tc>
        <w:tc>
          <w:tcPr>
            <w:tcW w:w="850"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851"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850"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1985"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914" w:type="dxa"/>
            <w:tcBorders>
              <w:top w:val="single" w:color="auto" w:sz="6" w:space="0"/>
              <w:left w:val="single" w:color="auto" w:sz="6" w:space="0"/>
              <w:bottom w:val="single" w:color="auto" w:sz="6" w:space="0"/>
              <w:right w:val="single" w:color="auto" w:sz="12" w:space="0"/>
            </w:tcBorders>
            <w:noWrap w:val="0"/>
            <w:vAlign w:val="center"/>
          </w:tcPr>
          <w:p>
            <w:pPr>
              <w:widowControl/>
              <w:jc w:val="right"/>
              <w:rPr>
                <w:rFonts w:hint="eastAsia" w:ascii="宋体" w:hAnsi="宋体" w:eastAsia="宋体" w:cs="Times New Roman"/>
                <w:color w:val="auto"/>
                <w:kern w:val="0"/>
                <w:sz w:val="20"/>
                <w:szCs w:val="20"/>
              </w:rPr>
            </w:pPr>
          </w:p>
        </w:tc>
      </w:tr>
      <w:tr>
        <w:tblPrEx>
          <w:tblCellMar>
            <w:top w:w="0" w:type="dxa"/>
            <w:left w:w="108" w:type="dxa"/>
            <w:bottom w:w="0" w:type="dxa"/>
            <w:right w:w="108" w:type="dxa"/>
          </w:tblCellMar>
        </w:tblPrEx>
        <w:trPr>
          <w:cantSplit/>
          <w:trHeight w:val="397" w:hRule="atLeast"/>
          <w:jc w:val="center"/>
        </w:trPr>
        <w:tc>
          <w:tcPr>
            <w:tcW w:w="641"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hint="eastAsia" w:ascii="宋体" w:hAnsi="宋体" w:eastAsia="宋体" w:cs="Times New Roman"/>
                <w:color w:val="auto"/>
                <w:kern w:val="0"/>
                <w:sz w:val="20"/>
                <w:szCs w:val="20"/>
              </w:rPr>
            </w:pPr>
          </w:p>
        </w:tc>
        <w:tc>
          <w:tcPr>
            <w:tcW w:w="2336"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982"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709"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r>
              <w:rPr>
                <w:rFonts w:hint="eastAsia" w:ascii="宋体" w:hAnsi="宋体" w:eastAsia="宋体" w:cs="宋体"/>
                <w:color w:val="auto"/>
                <w:kern w:val="0"/>
                <w:sz w:val="20"/>
                <w:szCs w:val="20"/>
              </w:rPr>
              <w:t>　</w:t>
            </w:r>
          </w:p>
        </w:tc>
        <w:tc>
          <w:tcPr>
            <w:tcW w:w="850"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851"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850"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1985"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914" w:type="dxa"/>
            <w:tcBorders>
              <w:top w:val="single" w:color="auto" w:sz="6" w:space="0"/>
              <w:left w:val="single" w:color="auto" w:sz="6" w:space="0"/>
              <w:bottom w:val="single" w:color="auto" w:sz="6" w:space="0"/>
              <w:right w:val="single" w:color="auto" w:sz="12" w:space="0"/>
            </w:tcBorders>
            <w:noWrap w:val="0"/>
            <w:vAlign w:val="center"/>
          </w:tcPr>
          <w:p>
            <w:pPr>
              <w:widowControl/>
              <w:jc w:val="right"/>
              <w:rPr>
                <w:rFonts w:hint="eastAsia" w:ascii="宋体" w:hAnsi="宋体" w:eastAsia="宋体" w:cs="Times New Roman"/>
                <w:color w:val="auto"/>
                <w:kern w:val="0"/>
                <w:sz w:val="20"/>
                <w:szCs w:val="20"/>
              </w:rPr>
            </w:pPr>
          </w:p>
        </w:tc>
      </w:tr>
      <w:tr>
        <w:tblPrEx>
          <w:tblCellMar>
            <w:top w:w="0" w:type="dxa"/>
            <w:left w:w="108" w:type="dxa"/>
            <w:bottom w:w="0" w:type="dxa"/>
            <w:right w:w="108" w:type="dxa"/>
          </w:tblCellMar>
        </w:tblPrEx>
        <w:trPr>
          <w:cantSplit/>
          <w:trHeight w:val="397" w:hRule="atLeast"/>
          <w:jc w:val="center"/>
        </w:trPr>
        <w:tc>
          <w:tcPr>
            <w:tcW w:w="641"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hint="eastAsia" w:ascii="宋体" w:hAnsi="宋体" w:eastAsia="宋体" w:cs="Times New Roman"/>
                <w:color w:val="auto"/>
                <w:kern w:val="0"/>
                <w:sz w:val="20"/>
                <w:szCs w:val="20"/>
              </w:rPr>
            </w:pPr>
          </w:p>
        </w:tc>
        <w:tc>
          <w:tcPr>
            <w:tcW w:w="2336"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982"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709"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r>
              <w:rPr>
                <w:rFonts w:hint="eastAsia" w:ascii="宋体" w:hAnsi="宋体" w:eastAsia="宋体" w:cs="宋体"/>
                <w:color w:val="auto"/>
                <w:kern w:val="0"/>
                <w:sz w:val="20"/>
                <w:szCs w:val="20"/>
              </w:rPr>
              <w:t>　</w:t>
            </w:r>
          </w:p>
        </w:tc>
        <w:tc>
          <w:tcPr>
            <w:tcW w:w="850"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851"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850"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1985"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914" w:type="dxa"/>
            <w:tcBorders>
              <w:top w:val="single" w:color="auto" w:sz="6" w:space="0"/>
              <w:left w:val="single" w:color="auto" w:sz="6" w:space="0"/>
              <w:bottom w:val="single" w:color="auto" w:sz="6" w:space="0"/>
              <w:right w:val="single" w:color="auto" w:sz="12" w:space="0"/>
            </w:tcBorders>
            <w:noWrap w:val="0"/>
            <w:vAlign w:val="center"/>
          </w:tcPr>
          <w:p>
            <w:pPr>
              <w:widowControl/>
              <w:jc w:val="right"/>
              <w:rPr>
                <w:rFonts w:hint="eastAsia" w:ascii="宋体" w:hAnsi="宋体" w:eastAsia="宋体" w:cs="Times New Roman"/>
                <w:color w:val="auto"/>
                <w:kern w:val="0"/>
                <w:sz w:val="20"/>
                <w:szCs w:val="20"/>
              </w:rPr>
            </w:pPr>
          </w:p>
        </w:tc>
      </w:tr>
      <w:tr>
        <w:tblPrEx>
          <w:tblCellMar>
            <w:top w:w="0" w:type="dxa"/>
            <w:left w:w="108" w:type="dxa"/>
            <w:bottom w:w="0" w:type="dxa"/>
            <w:right w:w="108" w:type="dxa"/>
          </w:tblCellMar>
        </w:tblPrEx>
        <w:trPr>
          <w:cantSplit/>
          <w:trHeight w:val="397" w:hRule="atLeast"/>
          <w:jc w:val="center"/>
        </w:trPr>
        <w:tc>
          <w:tcPr>
            <w:tcW w:w="641"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hint="eastAsia" w:ascii="宋体" w:hAnsi="宋体" w:eastAsia="宋体" w:cs="Times New Roman"/>
                <w:color w:val="auto"/>
                <w:kern w:val="0"/>
                <w:sz w:val="20"/>
                <w:szCs w:val="20"/>
              </w:rPr>
            </w:pPr>
          </w:p>
        </w:tc>
        <w:tc>
          <w:tcPr>
            <w:tcW w:w="2336"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982"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709"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r>
              <w:rPr>
                <w:rFonts w:hint="eastAsia" w:ascii="宋体" w:hAnsi="宋体" w:eastAsia="宋体" w:cs="宋体"/>
                <w:color w:val="auto"/>
                <w:kern w:val="0"/>
                <w:sz w:val="20"/>
                <w:szCs w:val="20"/>
              </w:rPr>
              <w:t>　</w:t>
            </w:r>
          </w:p>
        </w:tc>
        <w:tc>
          <w:tcPr>
            <w:tcW w:w="850"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851"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850"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1985"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914" w:type="dxa"/>
            <w:tcBorders>
              <w:top w:val="single" w:color="auto" w:sz="6" w:space="0"/>
              <w:left w:val="single" w:color="auto" w:sz="6" w:space="0"/>
              <w:bottom w:val="single" w:color="auto" w:sz="6" w:space="0"/>
              <w:right w:val="single" w:color="auto" w:sz="12" w:space="0"/>
            </w:tcBorders>
            <w:noWrap w:val="0"/>
            <w:vAlign w:val="center"/>
          </w:tcPr>
          <w:p>
            <w:pPr>
              <w:widowControl/>
              <w:jc w:val="right"/>
              <w:rPr>
                <w:rFonts w:hint="eastAsia" w:ascii="宋体" w:hAnsi="宋体" w:eastAsia="宋体" w:cs="Times New Roman"/>
                <w:color w:val="auto"/>
                <w:kern w:val="0"/>
                <w:sz w:val="20"/>
                <w:szCs w:val="20"/>
              </w:rPr>
            </w:pPr>
          </w:p>
        </w:tc>
      </w:tr>
      <w:tr>
        <w:tblPrEx>
          <w:tblCellMar>
            <w:top w:w="0" w:type="dxa"/>
            <w:left w:w="108" w:type="dxa"/>
            <w:bottom w:w="0" w:type="dxa"/>
            <w:right w:w="108" w:type="dxa"/>
          </w:tblCellMar>
        </w:tblPrEx>
        <w:trPr>
          <w:cantSplit/>
          <w:trHeight w:val="397" w:hRule="atLeast"/>
          <w:jc w:val="center"/>
        </w:trPr>
        <w:tc>
          <w:tcPr>
            <w:tcW w:w="641"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hint="eastAsia" w:ascii="宋体" w:hAnsi="宋体" w:eastAsia="宋体" w:cs="Times New Roman"/>
                <w:color w:val="auto"/>
                <w:kern w:val="0"/>
                <w:sz w:val="20"/>
                <w:szCs w:val="20"/>
              </w:rPr>
            </w:pPr>
          </w:p>
        </w:tc>
        <w:tc>
          <w:tcPr>
            <w:tcW w:w="2336"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982"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709"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r>
              <w:rPr>
                <w:rFonts w:hint="eastAsia" w:ascii="宋体" w:hAnsi="宋体" w:eastAsia="宋体" w:cs="宋体"/>
                <w:color w:val="auto"/>
                <w:kern w:val="0"/>
                <w:sz w:val="20"/>
                <w:szCs w:val="20"/>
              </w:rPr>
              <w:t>　</w:t>
            </w:r>
          </w:p>
        </w:tc>
        <w:tc>
          <w:tcPr>
            <w:tcW w:w="850"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851"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850"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1985"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914" w:type="dxa"/>
            <w:tcBorders>
              <w:top w:val="single" w:color="auto" w:sz="6" w:space="0"/>
              <w:left w:val="single" w:color="auto" w:sz="6" w:space="0"/>
              <w:bottom w:val="single" w:color="auto" w:sz="6" w:space="0"/>
              <w:right w:val="single" w:color="auto" w:sz="12" w:space="0"/>
            </w:tcBorders>
            <w:noWrap w:val="0"/>
            <w:vAlign w:val="center"/>
          </w:tcPr>
          <w:p>
            <w:pPr>
              <w:widowControl/>
              <w:jc w:val="right"/>
              <w:rPr>
                <w:rFonts w:hint="eastAsia" w:ascii="宋体" w:hAnsi="宋体" w:eastAsia="宋体" w:cs="Times New Roman"/>
                <w:color w:val="auto"/>
                <w:kern w:val="0"/>
                <w:sz w:val="20"/>
                <w:szCs w:val="20"/>
              </w:rPr>
            </w:pPr>
          </w:p>
        </w:tc>
      </w:tr>
      <w:tr>
        <w:tblPrEx>
          <w:tblCellMar>
            <w:top w:w="0" w:type="dxa"/>
            <w:left w:w="108" w:type="dxa"/>
            <w:bottom w:w="0" w:type="dxa"/>
            <w:right w:w="108" w:type="dxa"/>
          </w:tblCellMar>
        </w:tblPrEx>
        <w:trPr>
          <w:cantSplit/>
          <w:trHeight w:val="397" w:hRule="atLeast"/>
          <w:jc w:val="center"/>
        </w:trPr>
        <w:tc>
          <w:tcPr>
            <w:tcW w:w="641"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hint="eastAsia" w:ascii="宋体" w:hAnsi="宋体" w:eastAsia="宋体" w:cs="Times New Roman"/>
                <w:color w:val="auto"/>
                <w:kern w:val="0"/>
                <w:sz w:val="20"/>
                <w:szCs w:val="20"/>
              </w:rPr>
            </w:pPr>
          </w:p>
        </w:tc>
        <w:tc>
          <w:tcPr>
            <w:tcW w:w="2336"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982"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709"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r>
              <w:rPr>
                <w:rFonts w:hint="eastAsia" w:ascii="宋体" w:hAnsi="宋体" w:eastAsia="宋体" w:cs="宋体"/>
                <w:color w:val="auto"/>
                <w:kern w:val="0"/>
                <w:sz w:val="20"/>
                <w:szCs w:val="20"/>
              </w:rPr>
              <w:t>　</w:t>
            </w:r>
          </w:p>
        </w:tc>
        <w:tc>
          <w:tcPr>
            <w:tcW w:w="850"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851"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850"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1985"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914" w:type="dxa"/>
            <w:tcBorders>
              <w:top w:val="single" w:color="auto" w:sz="6" w:space="0"/>
              <w:left w:val="single" w:color="auto" w:sz="6" w:space="0"/>
              <w:bottom w:val="single" w:color="auto" w:sz="6" w:space="0"/>
              <w:right w:val="single" w:color="auto" w:sz="12" w:space="0"/>
            </w:tcBorders>
            <w:noWrap w:val="0"/>
            <w:vAlign w:val="center"/>
          </w:tcPr>
          <w:p>
            <w:pPr>
              <w:widowControl/>
              <w:jc w:val="right"/>
              <w:rPr>
                <w:rFonts w:hint="eastAsia" w:ascii="宋体" w:hAnsi="宋体" w:eastAsia="宋体" w:cs="Times New Roman"/>
                <w:color w:val="auto"/>
                <w:kern w:val="0"/>
                <w:sz w:val="20"/>
                <w:szCs w:val="20"/>
              </w:rPr>
            </w:pPr>
          </w:p>
        </w:tc>
      </w:tr>
      <w:tr>
        <w:tblPrEx>
          <w:tblCellMar>
            <w:top w:w="0" w:type="dxa"/>
            <w:left w:w="108" w:type="dxa"/>
            <w:bottom w:w="0" w:type="dxa"/>
            <w:right w:w="108" w:type="dxa"/>
          </w:tblCellMar>
        </w:tblPrEx>
        <w:trPr>
          <w:cantSplit/>
          <w:trHeight w:val="397" w:hRule="atLeast"/>
          <w:jc w:val="center"/>
        </w:trPr>
        <w:tc>
          <w:tcPr>
            <w:tcW w:w="641"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hint="eastAsia" w:ascii="宋体" w:hAnsi="宋体" w:eastAsia="宋体" w:cs="Times New Roman"/>
                <w:color w:val="auto"/>
                <w:kern w:val="0"/>
                <w:sz w:val="20"/>
                <w:szCs w:val="20"/>
              </w:rPr>
            </w:pPr>
          </w:p>
        </w:tc>
        <w:tc>
          <w:tcPr>
            <w:tcW w:w="2336"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982"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709"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r>
              <w:rPr>
                <w:rFonts w:hint="eastAsia" w:ascii="宋体" w:hAnsi="宋体" w:eastAsia="宋体" w:cs="宋体"/>
                <w:color w:val="auto"/>
                <w:kern w:val="0"/>
                <w:sz w:val="20"/>
                <w:szCs w:val="20"/>
              </w:rPr>
              <w:t>　</w:t>
            </w:r>
          </w:p>
        </w:tc>
        <w:tc>
          <w:tcPr>
            <w:tcW w:w="850"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851"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850"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1985" w:type="dxa"/>
            <w:tcBorders>
              <w:top w:val="single" w:color="auto" w:sz="6" w:space="0"/>
              <w:left w:val="single" w:color="auto" w:sz="6" w:space="0"/>
              <w:bottom w:val="single" w:color="auto" w:sz="6"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914" w:type="dxa"/>
            <w:tcBorders>
              <w:top w:val="single" w:color="auto" w:sz="6" w:space="0"/>
              <w:left w:val="single" w:color="auto" w:sz="6" w:space="0"/>
              <w:bottom w:val="single" w:color="auto" w:sz="6" w:space="0"/>
              <w:right w:val="single" w:color="auto" w:sz="12" w:space="0"/>
            </w:tcBorders>
            <w:noWrap w:val="0"/>
            <w:vAlign w:val="center"/>
          </w:tcPr>
          <w:p>
            <w:pPr>
              <w:widowControl/>
              <w:jc w:val="right"/>
              <w:rPr>
                <w:rFonts w:hint="eastAsia" w:ascii="宋体" w:hAnsi="宋体" w:eastAsia="宋体" w:cs="Times New Roman"/>
                <w:color w:val="auto"/>
                <w:kern w:val="0"/>
                <w:sz w:val="20"/>
                <w:szCs w:val="20"/>
              </w:rPr>
            </w:pPr>
          </w:p>
        </w:tc>
      </w:tr>
      <w:tr>
        <w:tblPrEx>
          <w:tblCellMar>
            <w:top w:w="0" w:type="dxa"/>
            <w:left w:w="108" w:type="dxa"/>
            <w:bottom w:w="0" w:type="dxa"/>
            <w:right w:w="108" w:type="dxa"/>
          </w:tblCellMar>
        </w:tblPrEx>
        <w:trPr>
          <w:cantSplit/>
          <w:trHeight w:val="397" w:hRule="atLeast"/>
          <w:jc w:val="center"/>
        </w:trPr>
        <w:tc>
          <w:tcPr>
            <w:tcW w:w="641" w:type="dxa"/>
            <w:vMerge w:val="continue"/>
            <w:tcBorders>
              <w:top w:val="single" w:color="auto" w:sz="6" w:space="0"/>
              <w:left w:val="single" w:color="auto" w:sz="12" w:space="0"/>
              <w:bottom w:val="single" w:color="auto" w:sz="12" w:space="0"/>
              <w:right w:val="single" w:color="auto" w:sz="6" w:space="0"/>
            </w:tcBorders>
            <w:noWrap w:val="0"/>
            <w:vAlign w:val="center"/>
          </w:tcPr>
          <w:p>
            <w:pPr>
              <w:widowControl/>
              <w:jc w:val="left"/>
              <w:rPr>
                <w:rFonts w:hint="eastAsia" w:ascii="宋体" w:hAnsi="宋体" w:eastAsia="宋体" w:cs="Times New Roman"/>
                <w:color w:val="auto"/>
                <w:kern w:val="0"/>
                <w:sz w:val="20"/>
                <w:szCs w:val="20"/>
              </w:rPr>
            </w:pPr>
          </w:p>
        </w:tc>
        <w:tc>
          <w:tcPr>
            <w:tcW w:w="4318" w:type="dxa"/>
            <w:gridSpan w:val="2"/>
            <w:tcBorders>
              <w:top w:val="single" w:color="auto" w:sz="6" w:space="0"/>
              <w:left w:val="single" w:color="auto" w:sz="6" w:space="0"/>
              <w:bottom w:val="single" w:color="auto" w:sz="12" w:space="0"/>
              <w:right w:val="single" w:color="auto" w:sz="6" w:space="0"/>
            </w:tcBorders>
            <w:noWrap w:val="0"/>
            <w:vAlign w:val="center"/>
          </w:tcPr>
          <w:p>
            <w:pPr>
              <w:widowControl/>
              <w:jc w:val="center"/>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合计</w:t>
            </w:r>
          </w:p>
        </w:tc>
        <w:tc>
          <w:tcPr>
            <w:tcW w:w="1134" w:type="dxa"/>
            <w:tcBorders>
              <w:top w:val="single" w:color="auto" w:sz="6" w:space="0"/>
              <w:left w:val="single" w:color="auto" w:sz="6" w:space="0"/>
              <w:bottom w:val="single" w:color="auto" w:sz="12"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12"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1134" w:type="dxa"/>
            <w:tcBorders>
              <w:top w:val="single" w:color="auto" w:sz="6" w:space="0"/>
              <w:left w:val="single" w:color="auto" w:sz="6" w:space="0"/>
              <w:bottom w:val="single" w:color="auto" w:sz="12"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709" w:type="dxa"/>
            <w:tcBorders>
              <w:top w:val="single" w:color="auto" w:sz="6" w:space="0"/>
              <w:left w:val="single" w:color="auto" w:sz="6" w:space="0"/>
              <w:bottom w:val="single" w:color="auto" w:sz="12" w:space="0"/>
              <w:right w:val="single" w:color="auto" w:sz="6" w:space="0"/>
            </w:tcBorders>
            <w:noWrap w:val="0"/>
            <w:vAlign w:val="center"/>
          </w:tcPr>
          <w:p>
            <w:pPr>
              <w:widowControl/>
              <w:jc w:val="right"/>
              <w:rPr>
                <w:rFonts w:hint="eastAsia" w:ascii="宋体" w:hAnsi="宋体" w:eastAsia="宋体" w:cs="宋体"/>
                <w:color w:val="auto"/>
                <w:kern w:val="0"/>
                <w:sz w:val="20"/>
                <w:szCs w:val="20"/>
              </w:rPr>
            </w:pPr>
            <w:r>
              <w:rPr>
                <w:rFonts w:hint="eastAsia" w:ascii="宋体" w:hAnsi="宋体" w:eastAsia="宋体" w:cs="宋体"/>
                <w:color w:val="auto"/>
                <w:kern w:val="0"/>
                <w:sz w:val="20"/>
                <w:szCs w:val="20"/>
              </w:rPr>
              <w:t>　</w:t>
            </w:r>
          </w:p>
        </w:tc>
        <w:tc>
          <w:tcPr>
            <w:tcW w:w="850" w:type="dxa"/>
            <w:tcBorders>
              <w:top w:val="single" w:color="auto" w:sz="6" w:space="0"/>
              <w:left w:val="single" w:color="auto" w:sz="6" w:space="0"/>
              <w:bottom w:val="single" w:color="auto" w:sz="12"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851" w:type="dxa"/>
            <w:tcBorders>
              <w:top w:val="single" w:color="auto" w:sz="6" w:space="0"/>
              <w:left w:val="single" w:color="auto" w:sz="6" w:space="0"/>
              <w:bottom w:val="single" w:color="auto" w:sz="12"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850" w:type="dxa"/>
            <w:tcBorders>
              <w:top w:val="single" w:color="auto" w:sz="6" w:space="0"/>
              <w:left w:val="single" w:color="auto" w:sz="6" w:space="0"/>
              <w:bottom w:val="single" w:color="auto" w:sz="12" w:space="0"/>
              <w:right w:val="single" w:color="auto" w:sz="6" w:space="0"/>
            </w:tcBorders>
            <w:noWrap w:val="0"/>
            <w:vAlign w:val="center"/>
          </w:tcPr>
          <w:p>
            <w:pPr>
              <w:widowControl/>
              <w:jc w:val="right"/>
              <w:rPr>
                <w:rFonts w:hint="eastAsia" w:ascii="宋体" w:hAnsi="宋体" w:eastAsia="宋体" w:cs="宋体"/>
                <w:color w:val="auto"/>
                <w:kern w:val="0"/>
                <w:sz w:val="20"/>
                <w:szCs w:val="20"/>
              </w:rPr>
            </w:pPr>
          </w:p>
        </w:tc>
        <w:tc>
          <w:tcPr>
            <w:tcW w:w="1985" w:type="dxa"/>
            <w:tcBorders>
              <w:top w:val="single" w:color="auto" w:sz="6" w:space="0"/>
              <w:left w:val="single" w:color="auto" w:sz="6" w:space="0"/>
              <w:bottom w:val="single" w:color="auto" w:sz="12" w:space="0"/>
              <w:right w:val="single" w:color="auto" w:sz="6" w:space="0"/>
            </w:tcBorders>
            <w:noWrap w:val="0"/>
            <w:vAlign w:val="center"/>
          </w:tcPr>
          <w:p>
            <w:pPr>
              <w:widowControl/>
              <w:jc w:val="right"/>
              <w:rPr>
                <w:rFonts w:hint="eastAsia" w:ascii="宋体" w:hAnsi="宋体" w:eastAsia="宋体" w:cs="Times New Roman"/>
                <w:color w:val="auto"/>
                <w:kern w:val="0"/>
                <w:sz w:val="20"/>
                <w:szCs w:val="20"/>
              </w:rPr>
            </w:pPr>
            <w:r>
              <w:rPr>
                <w:rFonts w:hint="eastAsia" w:ascii="宋体" w:hAnsi="宋体" w:eastAsia="宋体" w:cs="宋体"/>
                <w:color w:val="auto"/>
                <w:kern w:val="0"/>
                <w:sz w:val="20"/>
                <w:szCs w:val="20"/>
              </w:rPr>
              <w:t>　</w:t>
            </w:r>
          </w:p>
        </w:tc>
        <w:tc>
          <w:tcPr>
            <w:tcW w:w="914" w:type="dxa"/>
            <w:tcBorders>
              <w:top w:val="single" w:color="auto" w:sz="6" w:space="0"/>
              <w:left w:val="single" w:color="auto" w:sz="6" w:space="0"/>
              <w:bottom w:val="single" w:color="auto" w:sz="12" w:space="0"/>
              <w:right w:val="single" w:color="auto" w:sz="12" w:space="0"/>
            </w:tcBorders>
            <w:noWrap w:val="0"/>
            <w:vAlign w:val="center"/>
          </w:tcPr>
          <w:p>
            <w:pPr>
              <w:widowControl/>
              <w:jc w:val="right"/>
              <w:rPr>
                <w:rFonts w:hint="eastAsia" w:ascii="宋体" w:hAnsi="宋体" w:eastAsia="宋体" w:cs="Times New Roman"/>
                <w:color w:val="auto"/>
                <w:kern w:val="0"/>
                <w:sz w:val="20"/>
                <w:szCs w:val="20"/>
              </w:rPr>
            </w:pPr>
          </w:p>
        </w:tc>
      </w:tr>
      <w:bookmarkEnd w:id="455"/>
    </w:tbl>
    <w:p>
      <w:pPr>
        <w:widowControl/>
        <w:jc w:val="left"/>
        <w:rPr>
          <w:rFonts w:hint="eastAsia" w:ascii="宋体" w:hAnsi="宋体" w:eastAsia="方正小标宋简体" w:cs="宋体"/>
          <w:bCs/>
          <w:color w:val="auto"/>
          <w:kern w:val="0"/>
          <w:sz w:val="28"/>
          <w:szCs w:val="28"/>
        </w:rPr>
        <w:sectPr>
          <w:pgSz w:w="16838" w:h="11906" w:orient="landscape"/>
          <w:pgMar w:top="1800" w:right="1440" w:bottom="1800" w:left="1440" w:header="851" w:footer="992" w:gutter="0"/>
          <w:pgNumType w:fmt="decimal"/>
          <w:cols w:space="720" w:num="1"/>
          <w:docGrid w:type="lines" w:linePitch="312" w:charSpace="0"/>
        </w:sectPr>
      </w:pPr>
      <w:bookmarkStart w:id="456" w:name="_Toc164008899"/>
      <w:bookmarkStart w:id="457" w:name="_Toc14674"/>
      <w:bookmarkStart w:id="458" w:name="_Toc11139"/>
      <w:bookmarkStart w:id="459" w:name="_Toc32473"/>
      <w:bookmarkStart w:id="460" w:name="_Toc3019"/>
      <w:bookmarkStart w:id="461" w:name="_Toc21656"/>
      <w:bookmarkStart w:id="462" w:name="_Toc18676"/>
      <w:bookmarkStart w:id="463" w:name="_Toc3143"/>
    </w:p>
    <w:p>
      <w:pPr>
        <w:pStyle w:val="13"/>
        <w:rPr>
          <w:rFonts w:hint="eastAsia" w:ascii="方正小标宋_GBK" w:hAnsi="方正小标宋_GBK" w:eastAsia="方正小标宋_GBK" w:cs="方正小标宋_GBK"/>
          <w:color w:val="auto"/>
        </w:rPr>
      </w:pPr>
      <w:bookmarkStart w:id="464" w:name="_Toc461556299"/>
      <w:bookmarkStart w:id="465" w:name="_Toc176972078"/>
      <w:r>
        <w:rPr>
          <w:rFonts w:hint="eastAsia" w:ascii="方正小标宋_GBK" w:hAnsi="方正小标宋_GBK" w:eastAsia="方正小标宋_GBK" w:cs="方正小标宋_GBK"/>
          <w:color w:val="auto"/>
        </w:rPr>
        <w:t>A109010《企业所得税汇总纳税分支机构所得税分配表》填报说明</w:t>
      </w:r>
      <w:bookmarkEnd w:id="456"/>
      <w:bookmarkEnd w:id="457"/>
      <w:bookmarkEnd w:id="458"/>
      <w:bookmarkEnd w:id="459"/>
      <w:bookmarkEnd w:id="460"/>
      <w:bookmarkEnd w:id="461"/>
      <w:bookmarkEnd w:id="462"/>
      <w:bookmarkEnd w:id="463"/>
      <w:bookmarkEnd w:id="464"/>
      <w:bookmarkEnd w:id="465"/>
    </w:p>
    <w:p>
      <w:pPr>
        <w:pStyle w:val="12"/>
        <w:ind w:firstLine="480"/>
        <w:rPr>
          <w:rFonts w:hint="eastAsia"/>
          <w:color w:val="auto"/>
        </w:rPr>
      </w:pPr>
      <w:r>
        <w:rPr>
          <w:rFonts w:hint="eastAsia"/>
          <w:color w:val="auto"/>
        </w:rPr>
        <w:t>本表适用于跨地区经营汇总纳税的总机构填报。纳税人应根据税法、《财政部 国家税务总局 中国人民银行关于印发〈跨省市总分机构企业所得税分配及预算管理办法〉的通知》（财预〔2012〕40号）、《国家税务总局关于印发〈跨地区经营汇总纳税企业所得税征收管理办法〉的公告》（国家税务总局公告2012年第57号）规定计算总分机构每一纳税年度应缴的企业所得税额、总机构和分支机构应分摊的企业所得税额。对于仅在同一省（自治区、直辖市和计划单列市）内设立不具有法人资格分支机构的企业，根据本省（自治区、直辖市和计划单列市）汇总纳税分配办法在总机构和各分支机构分配企业所得税额的，填报本表。</w:t>
      </w:r>
    </w:p>
    <w:p>
      <w:pPr>
        <w:pStyle w:val="17"/>
        <w:ind w:firstLine="480"/>
        <w:jc w:val="both"/>
        <w:outlineLvl w:val="1"/>
        <w:rPr>
          <w:rFonts w:hint="eastAsia"/>
          <w:color w:val="auto"/>
          <w:sz w:val="24"/>
          <w:szCs w:val="24"/>
        </w:rPr>
      </w:pPr>
      <w:bookmarkStart w:id="466" w:name="_Toc29900"/>
      <w:bookmarkStart w:id="467" w:name="_Toc2616"/>
      <w:bookmarkStart w:id="468" w:name="_Toc19706"/>
      <w:bookmarkStart w:id="469" w:name="_Toc13024"/>
      <w:bookmarkStart w:id="470" w:name="_Toc13890"/>
      <w:bookmarkStart w:id="471" w:name="_Toc801329868"/>
      <w:bookmarkStart w:id="472" w:name="_Toc1818"/>
      <w:bookmarkStart w:id="473" w:name="_Toc13671"/>
      <w:bookmarkStart w:id="474" w:name="_Toc163974848"/>
      <w:bookmarkStart w:id="475" w:name="_Toc176972079"/>
      <w:bookmarkStart w:id="476" w:name="_Toc163922269"/>
      <w:bookmarkStart w:id="477" w:name="_Toc164008900"/>
      <w:r>
        <w:rPr>
          <w:rFonts w:hint="eastAsia"/>
          <w:color w:val="auto"/>
          <w:sz w:val="24"/>
          <w:szCs w:val="24"/>
        </w:rPr>
        <w:t>一、有关项目填报说明</w:t>
      </w:r>
      <w:bookmarkEnd w:id="466"/>
      <w:bookmarkEnd w:id="467"/>
      <w:bookmarkEnd w:id="468"/>
      <w:bookmarkEnd w:id="469"/>
      <w:bookmarkEnd w:id="470"/>
      <w:bookmarkEnd w:id="471"/>
      <w:bookmarkEnd w:id="472"/>
      <w:bookmarkEnd w:id="473"/>
      <w:bookmarkEnd w:id="474"/>
      <w:bookmarkEnd w:id="475"/>
      <w:bookmarkEnd w:id="476"/>
      <w:bookmarkEnd w:id="477"/>
    </w:p>
    <w:p>
      <w:pPr>
        <w:pStyle w:val="12"/>
        <w:ind w:firstLine="480"/>
        <w:rPr>
          <w:rFonts w:hint="eastAsia"/>
          <w:color w:val="auto"/>
        </w:rPr>
      </w:pPr>
      <w:r>
        <w:rPr>
          <w:rFonts w:hint="eastAsia"/>
          <w:color w:val="auto"/>
        </w:rPr>
        <w:t>1.“税款所属时期”：填报公历1月1日至12月31日。</w:t>
      </w:r>
    </w:p>
    <w:p>
      <w:pPr>
        <w:pStyle w:val="12"/>
        <w:ind w:firstLine="480"/>
        <w:rPr>
          <w:rFonts w:hint="eastAsia"/>
          <w:color w:val="auto"/>
        </w:rPr>
      </w:pPr>
      <w:r>
        <w:rPr>
          <w:rFonts w:hint="eastAsia"/>
          <w:color w:val="auto"/>
        </w:rPr>
        <w:t>2.“总机构名称”“分支机构情况_机构名称”：填报营业执照等证件载明的纳税人名称。</w:t>
      </w:r>
    </w:p>
    <w:p>
      <w:pPr>
        <w:pStyle w:val="12"/>
        <w:ind w:firstLine="480"/>
        <w:rPr>
          <w:rFonts w:hint="eastAsia"/>
          <w:color w:val="auto"/>
        </w:rPr>
      </w:pPr>
      <w:r>
        <w:rPr>
          <w:color w:val="auto"/>
        </w:rPr>
        <w:t>3</w:t>
      </w:r>
      <w:r>
        <w:rPr>
          <w:rFonts w:hint="eastAsia"/>
          <w:color w:val="auto"/>
        </w:rPr>
        <w:t>.“总机构统一社会信用代码（纳税人识别号）”“分支机构情况_统一社会信用代码（纳税人识别号）”：填报市场监管等部门核发的纳税人统一社会信用代码。未取得统一社会信用代码的，填报税务机关核发的纳税人识别号。</w:t>
      </w:r>
    </w:p>
    <w:p>
      <w:pPr>
        <w:pStyle w:val="12"/>
        <w:ind w:firstLine="480"/>
        <w:rPr>
          <w:rFonts w:hint="eastAsia"/>
          <w:color w:val="auto"/>
        </w:rPr>
      </w:pPr>
      <w:r>
        <w:rPr>
          <w:color w:val="auto"/>
        </w:rPr>
        <w:t>4</w:t>
      </w:r>
      <w:r>
        <w:rPr>
          <w:rFonts w:hint="eastAsia"/>
          <w:color w:val="auto"/>
        </w:rPr>
        <w:t>.“本年实际应纳所得税额”：填报企业汇总计算的且不包括境外所得应纳所得税额的本年应纳的所得税额。</w:t>
      </w:r>
      <w:r>
        <w:rPr>
          <w:rFonts w:hint="eastAsia"/>
          <w:color w:val="auto"/>
          <w:lang w:eastAsia="zh-CN"/>
        </w:rPr>
        <w:t>本项填报</w:t>
      </w:r>
      <w:r>
        <w:rPr>
          <w:rFonts w:hint="eastAsia"/>
          <w:color w:val="auto"/>
        </w:rPr>
        <w:t>《跨地区经营汇总纳税企业年度分摊企业所得税明细表》（A109000）第4行“本年实际应纳所得税额”。</w:t>
      </w:r>
    </w:p>
    <w:p>
      <w:pPr>
        <w:pStyle w:val="12"/>
        <w:ind w:firstLine="480"/>
        <w:rPr>
          <w:rFonts w:hint="eastAsia"/>
          <w:color w:val="auto"/>
        </w:rPr>
      </w:pPr>
      <w:r>
        <w:rPr>
          <w:rFonts w:hint="eastAsia"/>
          <w:color w:val="auto"/>
        </w:rPr>
        <w:t>5.“总机构直接管理建筑项目部预分所得税额”：填报建筑企业总机构按照规定在预缴纳税申报时，向其总机构直接管理的项目部所在地按照项目收入的0.2%预分的所得税额。</w:t>
      </w:r>
    </w:p>
    <w:p>
      <w:pPr>
        <w:pStyle w:val="12"/>
        <w:ind w:firstLine="480"/>
        <w:rPr>
          <w:rFonts w:hint="eastAsia"/>
          <w:color w:val="auto"/>
        </w:rPr>
      </w:pPr>
      <w:bookmarkStart w:id="478" w:name="_Hlk176856909"/>
      <w:r>
        <w:rPr>
          <w:rFonts w:hint="eastAsia"/>
          <w:color w:val="auto"/>
        </w:rPr>
        <w:t>6.“总机构实际应分摊所得税额”：对于跨省（自治区、直辖市、计划单列市）经营汇总纳税企业，填报（本年实际应纳所得税额－总机构直接管理</w:t>
      </w:r>
      <w:r>
        <w:rPr>
          <w:rFonts w:hint="eastAsia"/>
          <w:color w:val="auto"/>
          <w:lang w:eastAsia="zh-CN"/>
        </w:rPr>
        <w:t>建筑</w:t>
      </w:r>
      <w:r>
        <w:rPr>
          <w:rFonts w:hint="eastAsia"/>
          <w:color w:val="auto"/>
        </w:rPr>
        <w:t>项目部预分所得税额）×25%的金额；对于同一省（自治区、直辖市、计划单列市）内跨地区经营汇总纳税企业，填报（本年实际应纳所得税额－总机构直接管理</w:t>
      </w:r>
      <w:r>
        <w:rPr>
          <w:rFonts w:hint="eastAsia"/>
          <w:color w:val="auto"/>
          <w:lang w:eastAsia="zh-CN"/>
        </w:rPr>
        <w:t>建筑</w:t>
      </w:r>
      <w:r>
        <w:rPr>
          <w:rFonts w:hint="eastAsia"/>
          <w:color w:val="auto"/>
        </w:rPr>
        <w:t>项目部预分所得税额）×规定比例的金额。</w:t>
      </w:r>
      <w:r>
        <w:rPr>
          <w:rFonts w:hint="eastAsia"/>
          <w:color w:val="auto"/>
          <w:lang w:eastAsia="zh-CN"/>
        </w:rPr>
        <w:t>本项填报</w:t>
      </w:r>
      <w:r>
        <w:rPr>
          <w:rFonts w:hint="eastAsia"/>
          <w:color w:val="auto"/>
        </w:rPr>
        <w:t>《跨地区经营汇总纳税企业年度分摊企业所得税明细表》（A109000）第6行“总机构实际应分摊所得税额”。</w:t>
      </w:r>
    </w:p>
    <w:p>
      <w:pPr>
        <w:pStyle w:val="12"/>
        <w:ind w:firstLine="480"/>
        <w:rPr>
          <w:rFonts w:hint="eastAsia"/>
          <w:color w:val="auto"/>
        </w:rPr>
      </w:pPr>
      <w:r>
        <w:rPr>
          <w:rFonts w:hint="eastAsia"/>
          <w:color w:val="auto"/>
        </w:rPr>
        <w:t>7.“财政集中实际应分配所得税额”：对于跨省（自治区、直辖市、计划单列市）经营汇总纳税企业，填报</w:t>
      </w:r>
      <w:bookmarkStart w:id="479" w:name="_Hlk176860088"/>
      <w:r>
        <w:rPr>
          <w:rFonts w:hint="eastAsia"/>
          <w:color w:val="auto"/>
        </w:rPr>
        <w:t>（本年实际应纳所得税额－总机构直接管理</w:t>
      </w:r>
      <w:r>
        <w:rPr>
          <w:rFonts w:hint="eastAsia"/>
          <w:color w:val="auto"/>
          <w:lang w:eastAsia="zh-CN"/>
        </w:rPr>
        <w:t>建筑</w:t>
      </w:r>
      <w:r>
        <w:rPr>
          <w:rFonts w:hint="eastAsia"/>
          <w:color w:val="auto"/>
        </w:rPr>
        <w:t>项目部预分所得税额）</w:t>
      </w:r>
      <w:bookmarkEnd w:id="479"/>
      <w:r>
        <w:rPr>
          <w:rFonts w:hint="eastAsia"/>
          <w:color w:val="auto"/>
        </w:rPr>
        <w:t>×25%的金额；对于同一省（自治区、直辖市、计划单列市）内跨地区经营汇总纳税企业，填报（本年实际应纳所得税额－总机构直接管理</w:t>
      </w:r>
      <w:r>
        <w:rPr>
          <w:rFonts w:hint="eastAsia"/>
          <w:color w:val="auto"/>
          <w:lang w:eastAsia="zh-CN"/>
        </w:rPr>
        <w:t>建筑</w:t>
      </w:r>
      <w:r>
        <w:rPr>
          <w:rFonts w:hint="eastAsia"/>
          <w:color w:val="auto"/>
        </w:rPr>
        <w:t>项目部预分所得税额）×规定比例的金额。</w:t>
      </w:r>
      <w:r>
        <w:rPr>
          <w:rFonts w:hint="eastAsia"/>
          <w:color w:val="auto"/>
          <w:lang w:eastAsia="zh-CN"/>
        </w:rPr>
        <w:t>本项填报</w:t>
      </w:r>
      <w:r>
        <w:rPr>
          <w:rFonts w:hint="eastAsia"/>
          <w:color w:val="auto"/>
        </w:rPr>
        <w:t>《跨地区经营汇总纳税企业年度分摊企业所得税明细表》（A109000）第7行“财政集中实际应分配所得税额”。</w:t>
      </w:r>
    </w:p>
    <w:p>
      <w:pPr>
        <w:pStyle w:val="12"/>
        <w:ind w:firstLine="480"/>
        <w:rPr>
          <w:rFonts w:hint="eastAsia"/>
          <w:color w:val="auto"/>
        </w:rPr>
      </w:pPr>
      <w:r>
        <w:rPr>
          <w:rFonts w:hint="eastAsia"/>
          <w:color w:val="auto"/>
        </w:rPr>
        <w:t>8.“分支机构实际应分摊所得税额”：</w:t>
      </w:r>
      <w:bookmarkStart w:id="480" w:name="_Hlk176881046"/>
      <w:r>
        <w:rPr>
          <w:rFonts w:hint="eastAsia"/>
          <w:color w:val="auto"/>
        </w:rPr>
        <w:t>对于跨省（自治区、直辖市、计划单列市）经营汇总纳税企业，填报（本年实际应纳所得税额－总机构直接管理</w:t>
      </w:r>
      <w:r>
        <w:rPr>
          <w:rFonts w:hint="eastAsia"/>
          <w:color w:val="auto"/>
          <w:lang w:eastAsia="zh-CN"/>
        </w:rPr>
        <w:t>建筑</w:t>
      </w:r>
      <w:r>
        <w:rPr>
          <w:rFonts w:hint="eastAsia"/>
          <w:color w:val="auto"/>
        </w:rPr>
        <w:t>项目部预分所得税额）×50%的金额；对于同一省（自治区、直辖市、计划单列市）内跨地区经营汇总纳税企业，填报（本年实际应纳所得税额－总机构直接管理</w:t>
      </w:r>
      <w:r>
        <w:rPr>
          <w:rFonts w:hint="eastAsia"/>
          <w:color w:val="auto"/>
          <w:lang w:eastAsia="zh-CN"/>
        </w:rPr>
        <w:t>建筑</w:t>
      </w:r>
      <w:r>
        <w:rPr>
          <w:rFonts w:hint="eastAsia"/>
          <w:color w:val="auto"/>
        </w:rPr>
        <w:t>项目部预分所得税额）×规定比例的金额。</w:t>
      </w:r>
      <w:bookmarkEnd w:id="480"/>
      <w:r>
        <w:rPr>
          <w:rFonts w:hint="eastAsia"/>
          <w:color w:val="auto"/>
          <w:lang w:eastAsia="zh-CN"/>
        </w:rPr>
        <w:t>本项填报</w:t>
      </w:r>
      <w:r>
        <w:rPr>
          <w:rFonts w:hint="eastAsia"/>
          <w:color w:val="auto"/>
        </w:rPr>
        <w:t>《跨地区经营汇总纳税企业年度分摊企业所得税明细表》（A109000）第8行“分支机构实际应分摊所得税额”。</w:t>
      </w:r>
    </w:p>
    <w:bookmarkEnd w:id="478"/>
    <w:p>
      <w:pPr>
        <w:pStyle w:val="12"/>
        <w:ind w:firstLine="480"/>
        <w:rPr>
          <w:rFonts w:hint="eastAsia"/>
          <w:color w:val="auto"/>
        </w:rPr>
      </w:pPr>
      <w:r>
        <w:rPr>
          <w:rFonts w:hint="eastAsia"/>
          <w:color w:val="auto"/>
        </w:rPr>
        <w:t>9.“营业收入”：填报上一年度各分支机构销售商品、提供劳务、让渡资产使用权等日常经营活动实现的全部收入的合计额。</w:t>
      </w:r>
    </w:p>
    <w:p>
      <w:pPr>
        <w:pStyle w:val="12"/>
        <w:ind w:firstLine="480"/>
        <w:rPr>
          <w:rFonts w:hint="eastAsia"/>
          <w:color w:val="auto"/>
        </w:rPr>
      </w:pPr>
      <w:r>
        <w:rPr>
          <w:rFonts w:hint="eastAsia"/>
          <w:color w:val="auto"/>
        </w:rPr>
        <w:t>10.“职工薪酬”：填报上一年度各分支机构为获得职工提供的服务而给予各种形式的报酬以及其他相关支出的合计额。</w:t>
      </w:r>
    </w:p>
    <w:p>
      <w:pPr>
        <w:pStyle w:val="12"/>
        <w:ind w:firstLine="480"/>
        <w:rPr>
          <w:rFonts w:hint="eastAsia"/>
          <w:color w:val="auto"/>
        </w:rPr>
      </w:pPr>
      <w:r>
        <w:rPr>
          <w:rFonts w:hint="eastAsia"/>
          <w:color w:val="auto"/>
        </w:rPr>
        <w:t>11.“资产总额”：填报上一年度各分支机构在经营活动中实际使用的应归属于该分支机构的资产合计额。</w:t>
      </w:r>
    </w:p>
    <w:p>
      <w:pPr>
        <w:pStyle w:val="12"/>
        <w:ind w:firstLine="480"/>
        <w:rPr>
          <w:rFonts w:hint="eastAsia"/>
          <w:color w:val="auto"/>
        </w:rPr>
      </w:pPr>
      <w:r>
        <w:rPr>
          <w:rFonts w:hint="eastAsia"/>
          <w:color w:val="auto"/>
        </w:rPr>
        <w:t>12.“分摊比例”：填报经总机构所在地主管税务机关审核确认的各分支机构分配比例，分摊比例应保留小数点后十位。</w:t>
      </w:r>
    </w:p>
    <w:p>
      <w:pPr>
        <w:pStyle w:val="12"/>
        <w:spacing w:line="384" w:lineRule="auto"/>
        <w:ind w:firstLine="480"/>
        <w:rPr>
          <w:rFonts w:hint="eastAsia"/>
          <w:color w:val="auto"/>
        </w:rPr>
      </w:pPr>
      <w:bookmarkStart w:id="481" w:name="_Hlk176881821"/>
      <w:r>
        <w:rPr>
          <w:rFonts w:hint="eastAsia"/>
          <w:color w:val="auto"/>
        </w:rPr>
        <w:t>13.“实际应分摊所得税额”：填报分支机构按照分支机构实际应分摊所得税额乘以相应的分摊比例的金额。</w:t>
      </w:r>
    </w:p>
    <w:p>
      <w:pPr>
        <w:pStyle w:val="12"/>
        <w:spacing w:line="384" w:lineRule="auto"/>
        <w:ind w:firstLine="480"/>
        <w:rPr>
          <w:rFonts w:hint="eastAsia"/>
          <w:color w:val="auto"/>
        </w:rPr>
      </w:pPr>
      <w:r>
        <w:rPr>
          <w:rFonts w:hint="eastAsia"/>
          <w:color w:val="auto"/>
        </w:rPr>
        <w:t>14.“累计已分摊所得税额”：</w:t>
      </w:r>
      <w:r>
        <w:rPr>
          <w:rFonts w:hint="eastAsia" w:cs="Times New Roman"/>
          <w:color w:val="auto"/>
        </w:rPr>
        <w:t>填报</w:t>
      </w:r>
      <w:r>
        <w:rPr>
          <w:rFonts w:hint="eastAsia"/>
          <w:color w:val="auto"/>
        </w:rPr>
        <w:t>分支机构已在月（季）度申报预缴企业所得税的本年累计金额。</w:t>
      </w:r>
    </w:p>
    <w:p>
      <w:pPr>
        <w:pStyle w:val="12"/>
        <w:spacing w:line="384" w:lineRule="auto"/>
        <w:ind w:firstLine="480"/>
        <w:rPr>
          <w:rFonts w:hint="eastAsia" w:cs="宋体"/>
          <w:color w:val="auto"/>
        </w:rPr>
      </w:pPr>
      <w:r>
        <w:rPr>
          <w:rFonts w:hint="eastAsia"/>
          <w:color w:val="auto"/>
        </w:rPr>
        <w:t>15.“分摊应补（退）所得税额”：填报分支机构按照实际应分摊所得税额减去累计已分摊所得税额的金额。</w:t>
      </w:r>
    </w:p>
    <w:p>
      <w:pPr>
        <w:pStyle w:val="12"/>
        <w:spacing w:line="384" w:lineRule="auto"/>
        <w:ind w:firstLine="480"/>
        <w:rPr>
          <w:rFonts w:hint="eastAsia"/>
          <w:color w:val="auto"/>
        </w:rPr>
      </w:pPr>
      <w:r>
        <w:rPr>
          <w:rFonts w:hint="eastAsia"/>
          <w:color w:val="auto"/>
        </w:rPr>
        <w:t>16.“民族自治地区企业所得税地方分享部分</w:t>
      </w:r>
      <w:r>
        <w:rPr>
          <w:rFonts w:hint="eastAsia"/>
          <w:color w:val="auto"/>
          <w:lang w:eastAsia="zh-CN"/>
        </w:rPr>
        <w:t>优惠金额</w:t>
      </w:r>
      <w:r>
        <w:rPr>
          <w:rFonts w:hint="eastAsia"/>
          <w:color w:val="auto"/>
        </w:rPr>
        <w:t>：（□ 免征 □ 减征：减征幅度</w:t>
      </w:r>
      <w:r>
        <w:rPr>
          <w:rFonts w:hint="eastAsia"/>
          <w:color w:val="auto"/>
          <w:u w:val="single"/>
        </w:rPr>
        <w:t xml:space="preserve">   </w:t>
      </w:r>
      <w:r>
        <w:rPr>
          <w:rFonts w:hint="eastAsia"/>
          <w:color w:val="auto"/>
        </w:rPr>
        <w:t>%）”：根据《中华人民共和国企业所得税法》《中华人民共和国民族区域自治法》《财政部</w:t>
      </w:r>
      <w:r>
        <w:rPr>
          <w:rFonts w:hint="eastAsia"/>
          <w:color w:val="auto"/>
          <w:lang w:val="en-US" w:eastAsia="zh-CN"/>
        </w:rPr>
        <w:t xml:space="preserve"> </w:t>
      </w:r>
      <w:r>
        <w:rPr>
          <w:rFonts w:hint="eastAsia"/>
          <w:color w:val="auto"/>
        </w:rPr>
        <w:t>国家税务总局关于贯彻落实国务院关于实施企业所得税过渡优惠政策有关问题的通知》（财税〔2008〕21号）等规定，实行民族区域自治的自治区、自治州、自治县的自治机关对本民族自治地方的企业应缴纳的企业所得税中属于地方分享的部分，可以决定免征或减征，自治州、自治县决定减征或者免征的，须报省、自治区、直辖市人民政府批准。</w:t>
      </w:r>
    </w:p>
    <w:p>
      <w:pPr>
        <w:pStyle w:val="12"/>
        <w:spacing w:line="384" w:lineRule="auto"/>
        <w:ind w:firstLine="480"/>
        <w:rPr>
          <w:rFonts w:hint="eastAsia"/>
          <w:color w:val="auto"/>
        </w:rPr>
      </w:pPr>
      <w:r>
        <w:rPr>
          <w:rFonts w:hint="eastAsia"/>
          <w:color w:val="auto"/>
        </w:rPr>
        <w:t>纳税人填报该列次时，根据享受政策的类型选择“免征”或“减征”，二者必选其一。选择“免征”是指免征企业所得税税收地方分享部分；选择“减征:减征幅度____%”是指减征企业所得税税收地方分享部分。此时需填写“减征幅度”，减征幅度填写范围为1至100，表示企业所得税税收地方分享部分的减征比例。例如：地方分享部分减半征收，则选择“减征”，并在“减征幅度”后填写“50%”。</w:t>
      </w:r>
    </w:p>
    <w:p>
      <w:pPr>
        <w:pStyle w:val="12"/>
        <w:ind w:firstLine="480"/>
        <w:rPr>
          <w:rFonts w:hint="eastAsia"/>
          <w:color w:val="auto"/>
        </w:rPr>
      </w:pPr>
      <w:r>
        <w:rPr>
          <w:rFonts w:hint="eastAsia"/>
          <w:color w:val="auto"/>
        </w:rPr>
        <w:t>本列填报纳税人按照规定享受的民族自治地方的自治机关对本民族自治地方的企业应缴纳的企业所得税中属于地方分享的部分减征或免征额的本年累计金额。</w:t>
      </w:r>
      <w:bookmarkEnd w:id="481"/>
    </w:p>
    <w:p>
      <w:pPr>
        <w:pStyle w:val="12"/>
        <w:ind w:firstLine="480"/>
        <w:rPr>
          <w:rFonts w:hint="eastAsia"/>
          <w:color w:val="auto"/>
        </w:rPr>
      </w:pPr>
      <w:r>
        <w:rPr>
          <w:rFonts w:hint="eastAsia"/>
          <w:color w:val="auto"/>
        </w:rPr>
        <w:t>17.“实际分摊应补（退）所得税额”：填报分支机构按照分摊应补（退）所得税额减去民族自治地区企业所得税地方分享部分的金额。</w:t>
      </w:r>
    </w:p>
    <w:p>
      <w:pPr>
        <w:pStyle w:val="12"/>
        <w:ind w:firstLine="480"/>
        <w:rPr>
          <w:rFonts w:hint="eastAsia"/>
          <w:color w:val="auto"/>
        </w:rPr>
      </w:pPr>
      <w:r>
        <w:rPr>
          <w:rFonts w:hint="eastAsia"/>
          <w:color w:val="auto"/>
        </w:rPr>
        <w:t>18.“合计”：填报上一年度各分支机构的营业收入总额、职工薪酬总额和资产总额三项因素的合计金额及本年各分支机构分摊比例和分摊税额的合计金额。</w:t>
      </w:r>
    </w:p>
    <w:p>
      <w:pPr>
        <w:pStyle w:val="17"/>
        <w:ind w:firstLine="480"/>
        <w:jc w:val="both"/>
        <w:outlineLvl w:val="1"/>
        <w:rPr>
          <w:rFonts w:hint="eastAsia"/>
          <w:color w:val="auto"/>
          <w:sz w:val="24"/>
          <w:szCs w:val="24"/>
        </w:rPr>
      </w:pPr>
      <w:bookmarkStart w:id="482" w:name="_Toc22552"/>
      <w:bookmarkStart w:id="483" w:name="_Toc884977187"/>
      <w:bookmarkStart w:id="484" w:name="_Toc21709"/>
      <w:bookmarkStart w:id="485" w:name="_Toc8949"/>
      <w:bookmarkStart w:id="486" w:name="_Toc164008901"/>
      <w:bookmarkStart w:id="487" w:name="_Toc176972080"/>
      <w:bookmarkStart w:id="488" w:name="_Toc163922270"/>
      <w:bookmarkStart w:id="489" w:name="_Toc163974849"/>
      <w:bookmarkStart w:id="490" w:name="_Toc23137"/>
      <w:bookmarkStart w:id="491" w:name="_Toc3307"/>
      <w:bookmarkStart w:id="492" w:name="_Toc2460"/>
      <w:bookmarkStart w:id="493" w:name="_Toc31836"/>
      <w:r>
        <w:rPr>
          <w:rFonts w:hint="eastAsia"/>
          <w:color w:val="auto"/>
          <w:sz w:val="24"/>
          <w:szCs w:val="24"/>
        </w:rPr>
        <w:t>二、表内、表间关系</w:t>
      </w:r>
      <w:bookmarkEnd w:id="482"/>
      <w:bookmarkEnd w:id="483"/>
      <w:bookmarkEnd w:id="484"/>
      <w:bookmarkEnd w:id="485"/>
      <w:bookmarkEnd w:id="486"/>
      <w:bookmarkEnd w:id="487"/>
      <w:bookmarkEnd w:id="488"/>
      <w:bookmarkEnd w:id="489"/>
      <w:bookmarkEnd w:id="490"/>
      <w:bookmarkEnd w:id="491"/>
      <w:bookmarkEnd w:id="492"/>
      <w:bookmarkEnd w:id="493"/>
    </w:p>
    <w:p>
      <w:pPr>
        <w:pStyle w:val="21"/>
        <w:ind w:firstLine="480"/>
        <w:rPr>
          <w:rFonts w:hint="eastAsia"/>
          <w:color w:val="auto"/>
        </w:rPr>
      </w:pPr>
      <w:bookmarkStart w:id="494" w:name="_Hlk176883349"/>
      <w:r>
        <w:rPr>
          <w:rFonts w:hint="eastAsia"/>
          <w:color w:val="auto"/>
        </w:rPr>
        <w:t>（一）表内关系</w:t>
      </w:r>
    </w:p>
    <w:p>
      <w:pPr>
        <w:pStyle w:val="12"/>
        <w:ind w:firstLine="480"/>
        <w:rPr>
          <w:rFonts w:hint="eastAsia"/>
          <w:color w:val="auto"/>
        </w:rPr>
      </w:pPr>
      <w:r>
        <w:rPr>
          <w:rFonts w:hint="eastAsia"/>
          <w:color w:val="auto"/>
        </w:rPr>
        <w:t>1.总机构实际应分摊所得税额＝</w:t>
      </w:r>
      <w:bookmarkStart w:id="495" w:name="_Hlk176879388"/>
      <w:r>
        <w:rPr>
          <w:rFonts w:hint="eastAsia"/>
          <w:color w:val="auto"/>
        </w:rPr>
        <w:t>（本年实际应纳所得税额－总机构直接管理项目部预分所得税额）</w:t>
      </w:r>
      <w:bookmarkEnd w:id="495"/>
      <w:r>
        <w:rPr>
          <w:rFonts w:hint="eastAsia"/>
          <w:color w:val="auto"/>
        </w:rPr>
        <w:t>×总机构分摊比例。</w:t>
      </w:r>
    </w:p>
    <w:p>
      <w:pPr>
        <w:pStyle w:val="12"/>
        <w:ind w:firstLine="480"/>
        <w:rPr>
          <w:rFonts w:hint="eastAsia"/>
          <w:color w:val="auto"/>
        </w:rPr>
      </w:pPr>
      <w:r>
        <w:rPr>
          <w:rFonts w:hint="eastAsia"/>
          <w:color w:val="auto"/>
        </w:rPr>
        <w:t>2.财政集中实际应分配所得税额＝</w:t>
      </w:r>
      <w:bookmarkStart w:id="496" w:name="_Hlk176883157"/>
      <w:r>
        <w:rPr>
          <w:rFonts w:hint="eastAsia"/>
          <w:color w:val="auto"/>
        </w:rPr>
        <w:t>（本年实际应纳所得税额－总机构直接管理项目部预分所得税额）</w:t>
      </w:r>
      <w:bookmarkEnd w:id="496"/>
      <w:r>
        <w:rPr>
          <w:rFonts w:hint="eastAsia"/>
          <w:color w:val="auto"/>
        </w:rPr>
        <w:t>×财政集中分配比例。</w:t>
      </w:r>
    </w:p>
    <w:p>
      <w:pPr>
        <w:pStyle w:val="12"/>
        <w:ind w:firstLine="480"/>
        <w:rPr>
          <w:rFonts w:hint="eastAsia"/>
          <w:color w:val="auto"/>
        </w:rPr>
      </w:pPr>
      <w:r>
        <w:rPr>
          <w:rFonts w:hint="eastAsia"/>
          <w:color w:val="auto"/>
        </w:rPr>
        <w:t>3.分支机构实际应分摊所得税额＝本年实际应纳所得税额－总机构直接管理项目部预分所得税额－总机构实际应分摊所得税额－财政集中实际应分配所得税额。</w:t>
      </w:r>
    </w:p>
    <w:p>
      <w:pPr>
        <w:pStyle w:val="12"/>
        <w:ind w:firstLine="480"/>
        <w:rPr>
          <w:rFonts w:hint="eastAsia"/>
          <w:color w:val="auto"/>
        </w:rPr>
      </w:pPr>
      <w:r>
        <w:rPr>
          <w:rFonts w:hint="eastAsia"/>
          <w:color w:val="auto"/>
        </w:rPr>
        <w:t>4.分支机构分摊比例＝（该分支机构营业收入÷分支机构营业收入合计）×35%＋（该分支机构职工薪酬÷分支机构职工薪酬合计）×35%＋（该分支机构资产总额÷分支机构资产总额合计）×30%。</w:t>
      </w:r>
    </w:p>
    <w:p>
      <w:pPr>
        <w:pStyle w:val="12"/>
        <w:ind w:firstLine="480"/>
        <w:rPr>
          <w:rFonts w:hint="eastAsia"/>
          <w:color w:val="auto"/>
        </w:rPr>
      </w:pPr>
      <w:r>
        <w:rPr>
          <w:rFonts w:hint="eastAsia"/>
          <w:color w:val="auto"/>
        </w:rPr>
        <w:t>5.实际应分摊所得税额＝分支机构实际应分摊所得税额×分摊比例。</w:t>
      </w:r>
    </w:p>
    <w:p>
      <w:pPr>
        <w:pStyle w:val="12"/>
        <w:ind w:firstLine="480"/>
        <w:rPr>
          <w:rFonts w:hint="eastAsia"/>
          <w:color w:val="auto"/>
        </w:rPr>
      </w:pPr>
      <w:r>
        <w:rPr>
          <w:rFonts w:hint="eastAsia"/>
          <w:color w:val="auto"/>
        </w:rPr>
        <w:t>6.分摊应补（退）所得税额=实际应分摊所得税额－累计已分摊所得税额。</w:t>
      </w:r>
    </w:p>
    <w:p>
      <w:pPr>
        <w:pStyle w:val="12"/>
        <w:ind w:firstLine="480"/>
        <w:rPr>
          <w:rFonts w:hint="eastAsia"/>
          <w:color w:val="auto"/>
        </w:rPr>
      </w:pPr>
      <w:r>
        <w:rPr>
          <w:rFonts w:hint="eastAsia"/>
          <w:color w:val="auto"/>
        </w:rPr>
        <w:t>7.实际分摊应补（退）所得税额=分摊应补（退）所得税额－民族自治地区企业所得税地方分享部分。</w:t>
      </w:r>
    </w:p>
    <w:p>
      <w:pPr>
        <w:pStyle w:val="21"/>
        <w:ind w:firstLine="480"/>
        <w:rPr>
          <w:rFonts w:hint="eastAsia"/>
          <w:color w:val="auto"/>
        </w:rPr>
      </w:pPr>
      <w:r>
        <w:rPr>
          <w:rFonts w:hint="eastAsia"/>
          <w:color w:val="auto"/>
        </w:rPr>
        <w:t>（二）表间关系</w:t>
      </w:r>
    </w:p>
    <w:bookmarkEnd w:id="494"/>
    <w:p>
      <w:pPr>
        <w:pStyle w:val="12"/>
        <w:ind w:firstLine="480"/>
        <w:rPr>
          <w:rFonts w:hint="eastAsia"/>
          <w:color w:val="auto"/>
        </w:rPr>
      </w:pPr>
      <w:r>
        <w:rPr>
          <w:rFonts w:hint="eastAsia"/>
          <w:color w:val="auto"/>
        </w:rPr>
        <w:t>1.本年实际应纳所得税额＝表A109000第4行。</w:t>
      </w:r>
    </w:p>
    <w:p>
      <w:pPr>
        <w:pStyle w:val="12"/>
        <w:ind w:firstLine="480"/>
        <w:rPr>
          <w:rFonts w:hint="eastAsia"/>
          <w:color w:val="auto"/>
        </w:rPr>
      </w:pPr>
      <w:r>
        <w:rPr>
          <w:rFonts w:hint="eastAsia"/>
          <w:color w:val="auto"/>
        </w:rPr>
        <w:t>2.总机构直接管理建筑项目部预分所得税额＝表A109000第5行。</w:t>
      </w:r>
    </w:p>
    <w:p>
      <w:pPr>
        <w:pStyle w:val="12"/>
        <w:ind w:firstLine="480"/>
        <w:rPr>
          <w:rFonts w:hint="eastAsia"/>
          <w:color w:val="auto"/>
        </w:rPr>
      </w:pPr>
      <w:r>
        <w:rPr>
          <w:rFonts w:hint="eastAsia"/>
          <w:color w:val="auto"/>
        </w:rPr>
        <w:t>3.总机构实际应分摊所得税额＝表A109000第6行。</w:t>
      </w:r>
    </w:p>
    <w:p>
      <w:pPr>
        <w:pStyle w:val="12"/>
        <w:ind w:firstLine="480"/>
        <w:rPr>
          <w:rFonts w:hint="eastAsia"/>
          <w:color w:val="auto"/>
        </w:rPr>
      </w:pPr>
      <w:r>
        <w:rPr>
          <w:rFonts w:hint="eastAsia"/>
          <w:color w:val="auto"/>
        </w:rPr>
        <w:t>4.财政集中实际应分配所得税额＝表A109000第7行。</w:t>
      </w:r>
    </w:p>
    <w:p>
      <w:pPr>
        <w:pStyle w:val="12"/>
        <w:ind w:firstLine="480"/>
        <w:rPr>
          <w:rFonts w:hint="eastAsia"/>
          <w:color w:val="auto"/>
        </w:rPr>
      </w:pPr>
      <w:r>
        <w:rPr>
          <w:rFonts w:hint="eastAsia"/>
          <w:color w:val="auto"/>
        </w:rPr>
        <w:t>5.分支机构实际应分摊所得税额＝表A109000第8行。</w:t>
      </w:r>
    </w:p>
    <w:p>
      <w:pPr>
        <w:pStyle w:val="12"/>
        <w:ind w:firstLine="480"/>
        <w:rPr>
          <w:rFonts w:hint="eastAsia"/>
          <w:color w:val="auto"/>
        </w:rPr>
      </w:pPr>
      <w:r>
        <w:rPr>
          <w:rFonts w:hint="eastAsia"/>
          <w:color w:val="auto"/>
        </w:rPr>
        <w:t>6</w:t>
      </w:r>
      <w:r>
        <w:rPr>
          <w:color w:val="auto"/>
        </w:rPr>
        <w:t>.</w:t>
      </w:r>
      <w:r>
        <w:rPr>
          <w:rFonts w:hint="eastAsia"/>
          <w:color w:val="auto"/>
        </w:rPr>
        <w:t>“分支机构情况”中对应所有分支机构行次的“分摊应补（退）所得税额”栏次汇总＝表</w:t>
      </w:r>
      <w:r>
        <w:rPr>
          <w:color w:val="auto"/>
        </w:rPr>
        <w:t>A</w:t>
      </w:r>
      <w:r>
        <w:rPr>
          <w:rFonts w:hint="eastAsia"/>
          <w:color w:val="auto"/>
        </w:rPr>
        <w:t>109</w:t>
      </w:r>
      <w:r>
        <w:rPr>
          <w:color w:val="auto"/>
        </w:rPr>
        <w:t>000</w:t>
      </w:r>
      <w:r>
        <w:rPr>
          <w:rFonts w:hint="eastAsia"/>
          <w:color w:val="auto"/>
        </w:rPr>
        <w:t>第19行。</w:t>
      </w:r>
    </w:p>
    <w:p>
      <w:pPr>
        <w:pStyle w:val="12"/>
        <w:ind w:firstLine="480"/>
        <w:rPr>
          <w:rFonts w:hint="eastAsia"/>
          <w:color w:val="auto"/>
        </w:rPr>
      </w:pPr>
      <w:r>
        <w:rPr>
          <w:rFonts w:hint="eastAsia"/>
          <w:color w:val="auto"/>
        </w:rPr>
        <w:t>7</w:t>
      </w:r>
      <w:r>
        <w:rPr>
          <w:color w:val="auto"/>
        </w:rPr>
        <w:t>.</w:t>
      </w:r>
      <w:r>
        <w:rPr>
          <w:rFonts w:hint="eastAsia"/>
          <w:color w:val="auto"/>
        </w:rPr>
        <w:t>“分支机构情况”中对应总机构独立生产经营部门行次的“分摊应补（退）所得税额”栏次＝表</w:t>
      </w:r>
      <w:r>
        <w:rPr>
          <w:color w:val="auto"/>
        </w:rPr>
        <w:t>A</w:t>
      </w:r>
      <w:r>
        <w:rPr>
          <w:rFonts w:hint="eastAsia"/>
          <w:color w:val="auto"/>
        </w:rPr>
        <w:t>109</w:t>
      </w:r>
      <w:r>
        <w:rPr>
          <w:color w:val="auto"/>
        </w:rPr>
        <w:t>000</w:t>
      </w:r>
      <w:r>
        <w:rPr>
          <w:rFonts w:hint="eastAsia"/>
          <w:color w:val="auto"/>
        </w:rPr>
        <w:t>第20行。</w:t>
      </w:r>
    </w:p>
    <w:sectPr>
      <w:pgSz w:w="11906" w:h="16838"/>
      <w:pgMar w:top="1440" w:right="1800" w:bottom="1440" w:left="1800" w:header="851" w:footer="992" w:gutter="0"/>
      <w:pgNumType w:fmt="decimal"/>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CESI宋体-GB2312">
    <w:panose1 w:val="02000500000000000000"/>
    <w:charset w:val="86"/>
    <w:family w:val="auto"/>
    <w:pitch w:val="default"/>
    <w:sig w:usb0="800002AF" w:usb1="08476CF8" w:usb2="00000010" w:usb3="00000000" w:csb0="0004000F" w:csb1="00000000"/>
  </w:font>
  <w:font w:name="黑体">
    <w:altName w:val="方正黑体_GBK"/>
    <w:panose1 w:val="02010609060101010101"/>
    <w:charset w:val="00"/>
    <w:family w:val="auto"/>
    <w:pitch w:val="default"/>
    <w:sig w:usb0="800002BF" w:usb1="38CF7CFA" w:usb2="00000016" w:usb3="00000000" w:csb0="00040001" w:csb1="00000000"/>
  </w:font>
  <w:font w:name="楷体_GB2312">
    <w:altName w:val="方正楷体_GBK"/>
    <w:panose1 w:val="02010609030101010101"/>
    <w:charset w:val="00"/>
    <w:family w:val="modern"/>
    <w:pitch w:val="default"/>
    <w:sig w:usb0="00000001" w:usb1="080E0000" w:usb2="00000000" w:usb3="00000000" w:csb0="00040000" w:csb1="00000000"/>
  </w:font>
  <w:font w:name="CESI黑体-GB2312">
    <w:panose1 w:val="02000500000000000000"/>
    <w:charset w:val="86"/>
    <w:family w:val="auto"/>
    <w:pitch w:val="default"/>
    <w:sig w:usb0="800002BF" w:usb1="184F6CF8" w:usb2="00000012" w:usb3="00000000" w:csb0="0004000F" w:csb1="00000000"/>
  </w:font>
  <w:font w:name="方正小标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Arial">
    <w:altName w:val="DejaVu Sans"/>
    <w:panose1 w:val="020B0604020202020204"/>
    <w:charset w:val="00"/>
    <w:family w:val="swiss"/>
    <w:pitch w:val="default"/>
    <w:sig w:usb0="E0002AFF" w:usb1="C0007843" w:usb2="00000009" w:usb3="00000000" w:csb0="400001FF" w:csb1="FFFF0000"/>
  </w:font>
  <w:font w:name="等线 Light">
    <w:altName w:val="汉仪中宋简"/>
    <w:panose1 w:val="02010600030101010101"/>
    <w:charset w:val="00"/>
    <w:family w:val="auto"/>
    <w:pitch w:val="default"/>
    <w:sig w:usb0="00000000" w:usb1="00000000" w:usb2="00000016" w:usb3="00000000" w:csb0="0004000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汉仪中宋简">
    <w:panose1 w:val="02010600000101010101"/>
    <w:charset w:val="86"/>
    <w:family w:val="auto"/>
    <w:pitch w:val="default"/>
    <w:sig w:usb0="00000001" w:usb1="080E0800" w:usb2="00000002" w:usb3="00000000" w:csb0="00040000" w:csb1="00000000"/>
  </w:font>
  <w:font w:name="方正楷体_GBK">
    <w:panose1 w:val="02000000000000000000"/>
    <w:charset w:val="86"/>
    <w:family w:val="auto"/>
    <w:pitch w:val="default"/>
    <w:sig w:usb0="00000001" w:usb1="08000000" w:usb2="00000000" w:usb3="00000000" w:csb0="00040000" w:csb1="00000000"/>
  </w:font>
  <w:font w:name="DejaVu Math TeX Gyre">
    <w:panose1 w:val="02000503000000000000"/>
    <w:charset w:val="00"/>
    <w:family w:val="auto"/>
    <w:pitch w:val="default"/>
    <w:sig w:usb0="A10000EF" w:usb1="4201F9EE" w:usb2="02000000" w:usb3="00000000" w:csb0="60000193" w:csb1="0DD4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p>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p>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p>
    <w:pPr>
      <w:pStyle w:val="4"/>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64135" cy="146050"/>
              <wp:effectExtent l="0" t="0" r="0" b="0"/>
              <wp:wrapNone/>
              <wp:docPr id="2056147011" name="文本框 2"/>
              <wp:cNvGraphicFramePr/>
              <a:graphic xmlns:a="http://schemas.openxmlformats.org/drawingml/2006/main">
                <a:graphicData uri="http://schemas.microsoft.com/office/word/2010/wordprocessingShape">
                  <wps:wsp>
                    <wps:cNvSpPr txBox="true">
                      <a:spLocks noChangeArrowheads="true"/>
                    </wps:cNvSpPr>
                    <wps:spPr bwMode="auto">
                      <a:xfrm>
                        <a:off x="0" y="0"/>
                        <a:ext cx="64135" cy="146050"/>
                      </a:xfrm>
                      <a:prstGeom prst="rect">
                        <a:avLst/>
                      </a:prstGeom>
                      <a:noFill/>
                      <a:ln>
                        <a:noFill/>
                      </a:ln>
                      <a:effectLst/>
                    </wps:spPr>
                    <wps:txbx>
                      <w:txbxContent>
                        <w:p>
                          <w:pPr>
                            <w:pStyle w:val="4"/>
                            <w:rPr>
                              <w:sz w:val="20"/>
                              <w:szCs w:val="20"/>
                            </w:rPr>
                          </w:pPr>
                          <w:r>
                            <w:rPr>
                              <w:sz w:val="20"/>
                              <w:szCs w:val="20"/>
                            </w:rPr>
                            <w:fldChar w:fldCharType="begin"/>
                          </w:r>
                          <w:r>
                            <w:rPr>
                              <w:sz w:val="20"/>
                              <w:szCs w:val="20"/>
                            </w:rPr>
                            <w:instrText xml:space="preserve"> PAGE  \* MERGEFORMAT </w:instrText>
                          </w:r>
                          <w:r>
                            <w:rPr>
                              <w:sz w:val="20"/>
                              <w:szCs w:val="20"/>
                            </w:rPr>
                            <w:fldChar w:fldCharType="separate"/>
                          </w:r>
                          <w:r>
                            <w:rPr>
                              <w:sz w:val="20"/>
                              <w:szCs w:val="20"/>
                            </w:rPr>
                            <w:t>3</w:t>
                          </w:r>
                          <w:r>
                            <w:rPr>
                              <w:sz w:val="20"/>
                              <w:szCs w:val="20"/>
                            </w:rPr>
                            <w:fldChar w:fldCharType="end"/>
                          </w:r>
                        </w:p>
                      </w:txbxContent>
                    </wps:txbx>
                    <wps:bodyPr rot="0" vert="horz" wrap="none" lIns="0" tIns="0" rIns="0" bIns="0" anchor="t" anchorCtr="false" upright="true">
                      <a:spAutoFit/>
                    </wps:bodyPr>
                  </wps:wsp>
                </a:graphicData>
              </a:graphic>
            </wp:anchor>
          </w:drawing>
        </mc:Choice>
        <mc:Fallback>
          <w:pict>
            <v:shape id="文本框 2" o:spid="_x0000_s1026" o:spt="202" type="#_x0000_t202" style="position:absolute;left:0pt;margin-top:0pt;height:11.5pt;width:5.05pt;mso-position-horizontal:center;mso-position-horizontal-relative:margin;mso-wrap-style:none;z-index:251660288;mso-width-relative:page;mso-height-relative:page;" filled="f" stroked="f" coordsize="21600,21600" o:gfxdata="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FgAAAGRycy9QSwECFAAUAAAACACHTuJAKstGodAAAAADAQAADwAAAAAAAAAB&#10;ACAAAAA4AAAAZHJzL2Rvd25yZXYueG1sUEsBAhQAFAAAAAgAh07iQBu2U9sCAgAA1wMAAA4AAAAA&#10;AAAAAQAgAAAANQEAAGRycy9lMm9Eb2MueG1sUEsFBgAAAAAGAAYAWQEAAKkFAAAAAA==&#10;">
              <v:fill on="f" focussize="0,0"/>
              <v:stroke on="f"/>
              <v:imagedata o:title=""/>
              <o:lock v:ext="edit" aspectratio="f"/>
              <v:textbox inset="0mm,0mm,0mm,0mm" style="mso-fit-shape-to-text:t;">
                <w:txbxContent>
                  <w:p>
                    <w:pPr>
                      <w:pStyle w:val="4"/>
                      <w:rPr>
                        <w:sz w:val="20"/>
                        <w:szCs w:val="20"/>
                      </w:rPr>
                    </w:pPr>
                    <w:r>
                      <w:rPr>
                        <w:sz w:val="20"/>
                        <w:szCs w:val="20"/>
                      </w:rPr>
                      <w:fldChar w:fldCharType="begin"/>
                    </w:r>
                    <w:r>
                      <w:rPr>
                        <w:sz w:val="20"/>
                        <w:szCs w:val="20"/>
                      </w:rPr>
                      <w:instrText xml:space="preserve"> PAGE  \* MERGEFORMAT </w:instrText>
                    </w:r>
                    <w:r>
                      <w:rPr>
                        <w:sz w:val="20"/>
                        <w:szCs w:val="20"/>
                      </w:rPr>
                      <w:fldChar w:fldCharType="separate"/>
                    </w:r>
                    <w:r>
                      <w:rPr>
                        <w:sz w:val="20"/>
                        <w:szCs w:val="20"/>
                      </w:rPr>
                      <w:t>3</w:t>
                    </w:r>
                    <w:r>
                      <w:rPr>
                        <w:sz w:val="20"/>
                        <w:szCs w:val="20"/>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ascii="Arial" w:hAnsi="Arial" w:cs="Arial"/>
        <w:sz w:val="21"/>
        <w:szCs w:val="21"/>
      </w:rPr>
    </w:pPr>
    <w:r>
      <w:rPr>
        <w:sz w:val="21"/>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6"/>
              <wp:cNvGraphicFramePr/>
              <a:graphic xmlns:a="http://schemas.openxmlformats.org/drawingml/2006/main">
                <a:graphicData uri="http://schemas.microsoft.com/office/word/2010/wordprocessingShape">
                  <wps:wsp>
                    <wps:cNvSpPr txBox="true">
                      <a:spLocks noChangeArrowheads="true"/>
                    </wps:cNvSpPr>
                    <wps:spPr bwMode="auto">
                      <a:xfrm>
                        <a:off x="0" y="0"/>
                        <a:ext cx="1828800" cy="1828800"/>
                      </a:xfrm>
                      <a:prstGeom prst="rect">
                        <a:avLst/>
                      </a:prstGeom>
                      <a:noFill/>
                      <a:ln>
                        <a:noFill/>
                      </a:ln>
                      <a:effectLst/>
                    </wps:spPr>
                    <wps:txbx>
                      <w:txbxContent>
                        <w:p>
                          <w:pPr>
                            <w:pStyle w:val="4"/>
                          </w:pPr>
                          <w:r>
                            <w:rPr>
                              <w:rFonts w:ascii="Arial" w:hAnsi="Arial" w:eastAsia="等线 Light" w:cs="Arial"/>
                              <w:kern w:val="0"/>
                              <w:sz w:val="21"/>
                              <w:szCs w:val="21"/>
                              <w:lang w:val="zh-CN"/>
                            </w:rPr>
                            <w:t>－ －</w:t>
                          </w:r>
                        </w:p>
                      </w:txbxContent>
                    </wps:txbx>
                    <wps:bodyPr rot="0" vert="horz" wrap="none" lIns="0" tIns="0" rIns="0" bIns="0" anchor="t" anchorCtr="false" upright="true">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BYA&#10;AABkcnMvUEsBAhQAFAAAAAgAh07iQM6pebnPAAAABQEAAA8AAAAAAAAAAQAgAAAAOAAAAGRycy9k&#10;b3ducmV2LnhtbFBLAQIUABQAAAAIAIdO4kBApgAr9QEAANEDAAAOAAAAAAAAAAEAIAAAADQBAABk&#10;cnMvZTJvRG9jLnhtbFBLBQYAAAAABgAGAFkBAACbBQAAAAA=&#10;">
              <v:fill on="f" focussize="0,0"/>
              <v:stroke on="f"/>
              <v:imagedata o:title=""/>
              <o:lock v:ext="edit" aspectratio="f"/>
              <v:textbox inset="0mm,0mm,0mm,0mm" style="mso-fit-shape-to-text:t;">
                <w:txbxContent>
                  <w:p>
                    <w:pPr>
                      <w:pStyle w:val="4"/>
                    </w:pPr>
                    <w:r>
                      <w:rPr>
                        <w:rFonts w:ascii="Arial" w:hAnsi="Arial" w:eastAsia="等线 Light" w:cs="Arial"/>
                        <w:kern w:val="0"/>
                        <w:sz w:val="21"/>
                        <w:szCs w:val="21"/>
                        <w:lang w:val="zh-CN"/>
                      </w:rPr>
                      <w:t>－ －</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ffectLst/>
                    </wps:spPr>
                    <wps:txbx>
                      <w:txbxContent>
                        <w:p>
                          <w:pPr>
                            <w:pStyle w:val="4"/>
                            <w:jc w:val="center"/>
                          </w:pPr>
                          <w:r>
                            <w:fldChar w:fldCharType="begin"/>
                          </w:r>
                          <w:r>
                            <w:instrText xml:space="preserve">PAGE   \* MERGEFORMAT</w:instrText>
                          </w:r>
                          <w:r>
                            <w:fldChar w:fldCharType="separate"/>
                          </w:r>
                          <w:r>
                            <w:rPr>
                              <w:lang w:val="zh-CN"/>
                            </w:rPr>
                            <w:t>2</w:t>
                          </w:r>
                          <w:r>
                            <w:fldChar w:fldCharType="end"/>
                          </w:r>
                        </w:p>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WAAAAZHJzL1BLAQIUABQAAAAI&#10;AIdO4kCzSVju0AAAAAUBAAAPAAAAAAAAAAEAIAAAADgAAABkcnMvZG93bnJldi54bWxQSwECFAAU&#10;AAAACACHTuJAj/2E3xwCAAAnBAAADgAAAAAAAAABACAAAAA1AQAAZHJzL2Uyb0RvYy54bWxQSwUG&#10;AAAAAAYABgBZAQAAwwUAAAAA&#10;">
              <v:fill on="f" focussize="0,0"/>
              <v:stroke on="f" weight="0.5pt"/>
              <v:imagedata o:title=""/>
              <o:lock v:ext="edit" aspectratio="f"/>
              <v:textbox inset="0mm,0mm,0mm,0mm" style="mso-fit-shape-to-text:t;">
                <w:txbxContent>
                  <w:p>
                    <w:pPr>
                      <w:pStyle w:val="4"/>
                      <w:jc w:val="center"/>
                    </w:pPr>
                    <w:r>
                      <w:fldChar w:fldCharType="begin"/>
                    </w:r>
                    <w:r>
                      <w:instrText xml:space="preserve">PAGE   \* MERGEFORMAT</w:instrText>
                    </w:r>
                    <w:r>
                      <w:fldChar w:fldCharType="separate"/>
                    </w:r>
                    <w:r>
                      <w:rPr>
                        <w:lang w:val="zh-CN"/>
                      </w:rPr>
                      <w:t>2</w:t>
                    </w:r>
                    <w:r>
                      <w:fldChar w:fldCharType="end"/>
                    </w:r>
                  </w:p>
                  <w:p/>
                </w:txbxContent>
              </v:textbox>
            </v:shape>
          </w:pict>
        </mc:Fallback>
      </mc:AlternateContent>
    </w:r>
  </w:p>
  <w:p>
    <w:pPr>
      <w:pStyle w:val="4"/>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ffectLst/>
                    </wps:spPr>
                    <wps:txbx>
                      <w:txbxContent>
                        <w:p>
                          <w:pPr>
                            <w:pStyle w:val="4"/>
                            <w:jc w:val="center"/>
                          </w:pPr>
                          <w:r>
                            <w:fldChar w:fldCharType="begin"/>
                          </w:r>
                          <w:r>
                            <w:instrText xml:space="preserve">PAGE   \* MERGEFORMAT</w:instrText>
                          </w:r>
                          <w:r>
                            <w:fldChar w:fldCharType="separate"/>
                          </w:r>
                          <w:r>
                            <w:rPr>
                              <w:lang w:val="zh-CN"/>
                            </w:rPr>
                            <w:t>2</w:t>
                          </w:r>
                          <w:r>
                            <w:fldChar w:fldCharType="end"/>
                          </w:r>
                        </w:p>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B6em78aAgAAJwQAAA4AAAAAAAAAAQAgAAAANQEAAGRycy9lMm9Eb2MueG1sUEsFBgAA&#10;AAAGAAYAWQEAAMEFAAAAAA==&#10;">
              <v:fill on="f" focussize="0,0"/>
              <v:stroke on="f" weight="0.5pt"/>
              <v:imagedata o:title=""/>
              <o:lock v:ext="edit" aspectratio="f"/>
              <v:textbox inset="0mm,0mm,0mm,0mm" style="mso-fit-shape-to-text:t;">
                <w:txbxContent>
                  <w:p>
                    <w:pPr>
                      <w:pStyle w:val="4"/>
                      <w:jc w:val="center"/>
                    </w:pPr>
                    <w:r>
                      <w:fldChar w:fldCharType="begin"/>
                    </w:r>
                    <w:r>
                      <w:instrText xml:space="preserve">PAGE   \* MERGEFORMAT</w:instrText>
                    </w:r>
                    <w:r>
                      <w:fldChar w:fldCharType="separate"/>
                    </w:r>
                    <w:r>
                      <w:rPr>
                        <w:lang w:val="zh-CN"/>
                      </w:rPr>
                      <w:t>2</w:t>
                    </w:r>
                    <w:r>
                      <w:fldChar w:fldCharType="end"/>
                    </w:r>
                  </w:p>
                  <w:p/>
                </w:txbxContent>
              </v:textbox>
            </v:shape>
          </w:pict>
        </mc:Fallback>
      </mc:AlternateContent>
    </w:r>
  </w:p>
  <w:p>
    <w:pPr>
      <w:pStyle w:val="4"/>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ffectLst/>
                    </wps:spPr>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FgAAAGRycy9QSwEC&#10;FAAUAAAACACHTuJAs0lY7tAAAAAFAQAADwAAAAAAAAABACAAAAA4AAAAZHJzL2Rvd25yZXYueG1s&#10;UEsBAhQAFAAAAAgAh07iQJe4n+EjAgAANwQAAA4AAAAAAAAAAQAgAAAANQEAAGRycy9lMm9Eb2Mu&#10;eG1sUEsFBgAAAAAGAAYAWQEAAMoFA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ffectLst/>
                    </wps:spPr>
                    <wps:txbx>
                      <w:txbxContent>
                        <w:p>
                          <w:pPr>
                            <w:pStyle w:val="4"/>
                            <w:jc w:val="center"/>
                          </w:pPr>
                          <w:r>
                            <w:fldChar w:fldCharType="begin"/>
                          </w:r>
                          <w:r>
                            <w:instrText xml:space="preserve">PAGE   \* MERGEFORMAT</w:instrText>
                          </w:r>
                          <w:r>
                            <w:fldChar w:fldCharType="separate"/>
                          </w:r>
                          <w:r>
                            <w:rPr>
                              <w:lang w:val="zh-CN"/>
                            </w:rPr>
                            <w:t>2</w:t>
                          </w:r>
                          <w:r>
                            <w:fldChar w:fldCharType="end"/>
                          </w:r>
                        </w:p>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WAAAAZHJzL1BLAQIUABQAAAAI&#10;AIdO4kCzSVju0AAAAAUBAAAPAAAAAAAAAAEAIAAAADgAAABkcnMvZG93bnJldi54bWxQSwECFAAU&#10;AAAACACHTuJA+2RfsRwCAAAnBAAADgAAAAAAAAABACAAAAA1AQAAZHJzL2Uyb0RvYy54bWxQSwUG&#10;AAAAAAYABgBZAQAAwwUAAAAA&#10;">
              <v:fill on="f" focussize="0,0"/>
              <v:stroke on="f" weight="0.5pt"/>
              <v:imagedata o:title=""/>
              <o:lock v:ext="edit" aspectratio="f"/>
              <v:textbox inset="0mm,0mm,0mm,0mm" style="mso-fit-shape-to-text:t;">
                <w:txbxContent>
                  <w:p>
                    <w:pPr>
                      <w:pStyle w:val="4"/>
                      <w:jc w:val="center"/>
                    </w:pPr>
                    <w:r>
                      <w:fldChar w:fldCharType="begin"/>
                    </w:r>
                    <w:r>
                      <w:instrText xml:space="preserve">PAGE   \* MERGEFORMAT</w:instrText>
                    </w:r>
                    <w:r>
                      <w:fldChar w:fldCharType="separate"/>
                    </w:r>
                    <w:r>
                      <w:rPr>
                        <w:lang w:val="zh-CN"/>
                      </w:rPr>
                      <w:t>2</w:t>
                    </w:r>
                    <w:r>
                      <w:fldChar w:fldCharType="end"/>
                    </w:r>
                  </w:p>
                  <w:p/>
                </w:txbxContent>
              </v:textbox>
            </v:shape>
          </w:pict>
        </mc:Fallback>
      </mc:AlternateContent>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true"/>
  <w:bordersDoNotSurroundFooter w:val="true"/>
  <w:attachedTemplate r:id="rId1"/>
  <w:trackRevisions w:val="true"/>
  <w:documentProtection w:edit="readOnly" w:enforcement="0"/>
  <w:defaultTabStop w:val="420"/>
  <w:hyphenationZone w:val="360"/>
  <w:drawingGridHorizontalSpacing w:val="105"/>
  <w:drawingGridVerticalSpacing w:val="156"/>
  <w:displayHorizontalDrawingGridEvery w:val="2"/>
  <w:displayVerticalDrawingGridEvery w:val="2"/>
  <w:noPunctuationKerning w:val="true"/>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E2Y2VmNGI0NTllNGUyYTEzMDk3N2Y5YmFjN2JjZDIifQ=="/>
  </w:docVars>
  <w:rsids>
    <w:rsidRoot w:val="79ED3C91"/>
    <w:rsid w:val="000029C6"/>
    <w:rsid w:val="00004641"/>
    <w:rsid w:val="00032663"/>
    <w:rsid w:val="00036757"/>
    <w:rsid w:val="0004072B"/>
    <w:rsid w:val="00064CE2"/>
    <w:rsid w:val="00065E91"/>
    <w:rsid w:val="00071051"/>
    <w:rsid w:val="00080001"/>
    <w:rsid w:val="0008402C"/>
    <w:rsid w:val="000A0462"/>
    <w:rsid w:val="000C40A5"/>
    <w:rsid w:val="0010151B"/>
    <w:rsid w:val="00102724"/>
    <w:rsid w:val="00166BA3"/>
    <w:rsid w:val="001A661F"/>
    <w:rsid w:val="001B6188"/>
    <w:rsid w:val="001C196E"/>
    <w:rsid w:val="001D2773"/>
    <w:rsid w:val="001F7042"/>
    <w:rsid w:val="00200202"/>
    <w:rsid w:val="00204B27"/>
    <w:rsid w:val="00206E3D"/>
    <w:rsid w:val="00214A7C"/>
    <w:rsid w:val="002542FB"/>
    <w:rsid w:val="00257AE1"/>
    <w:rsid w:val="00270178"/>
    <w:rsid w:val="002746D1"/>
    <w:rsid w:val="00290218"/>
    <w:rsid w:val="00296217"/>
    <w:rsid w:val="002A1B0F"/>
    <w:rsid w:val="002B40C3"/>
    <w:rsid w:val="002D3772"/>
    <w:rsid w:val="002E37EA"/>
    <w:rsid w:val="002E3C7B"/>
    <w:rsid w:val="002F4368"/>
    <w:rsid w:val="00356D59"/>
    <w:rsid w:val="0036260F"/>
    <w:rsid w:val="00366AF3"/>
    <w:rsid w:val="00366C58"/>
    <w:rsid w:val="003700FC"/>
    <w:rsid w:val="00373C34"/>
    <w:rsid w:val="00380700"/>
    <w:rsid w:val="0038186E"/>
    <w:rsid w:val="00392B3B"/>
    <w:rsid w:val="00395D91"/>
    <w:rsid w:val="003A250E"/>
    <w:rsid w:val="003A7964"/>
    <w:rsid w:val="003B4DA9"/>
    <w:rsid w:val="003B50CE"/>
    <w:rsid w:val="003B6649"/>
    <w:rsid w:val="003B77D0"/>
    <w:rsid w:val="003D2CC6"/>
    <w:rsid w:val="003E34EB"/>
    <w:rsid w:val="003F3315"/>
    <w:rsid w:val="00403701"/>
    <w:rsid w:val="00422C31"/>
    <w:rsid w:val="00425393"/>
    <w:rsid w:val="00442905"/>
    <w:rsid w:val="004B27D1"/>
    <w:rsid w:val="004B51E7"/>
    <w:rsid w:val="004C32F9"/>
    <w:rsid w:val="004E1F12"/>
    <w:rsid w:val="004E63B1"/>
    <w:rsid w:val="004F1B42"/>
    <w:rsid w:val="00504841"/>
    <w:rsid w:val="00540AFB"/>
    <w:rsid w:val="00564C36"/>
    <w:rsid w:val="00567C73"/>
    <w:rsid w:val="0057066F"/>
    <w:rsid w:val="00577EF5"/>
    <w:rsid w:val="00591704"/>
    <w:rsid w:val="005A3AC0"/>
    <w:rsid w:val="005A6BD7"/>
    <w:rsid w:val="005A7792"/>
    <w:rsid w:val="005C7F6E"/>
    <w:rsid w:val="005F7D01"/>
    <w:rsid w:val="005F7E06"/>
    <w:rsid w:val="00611D38"/>
    <w:rsid w:val="00616E2B"/>
    <w:rsid w:val="0062273C"/>
    <w:rsid w:val="00630E47"/>
    <w:rsid w:val="0064731B"/>
    <w:rsid w:val="00654BD8"/>
    <w:rsid w:val="00660867"/>
    <w:rsid w:val="00667AFD"/>
    <w:rsid w:val="0067674B"/>
    <w:rsid w:val="006820EA"/>
    <w:rsid w:val="006A6E54"/>
    <w:rsid w:val="006A7879"/>
    <w:rsid w:val="006B493F"/>
    <w:rsid w:val="006C32CC"/>
    <w:rsid w:val="006D6DC8"/>
    <w:rsid w:val="00701536"/>
    <w:rsid w:val="00705335"/>
    <w:rsid w:val="00705374"/>
    <w:rsid w:val="00731A24"/>
    <w:rsid w:val="00743F29"/>
    <w:rsid w:val="007621FE"/>
    <w:rsid w:val="007733D9"/>
    <w:rsid w:val="00775223"/>
    <w:rsid w:val="007772CD"/>
    <w:rsid w:val="007833BF"/>
    <w:rsid w:val="0078410C"/>
    <w:rsid w:val="007A4FF5"/>
    <w:rsid w:val="007B066F"/>
    <w:rsid w:val="007D231C"/>
    <w:rsid w:val="007F4668"/>
    <w:rsid w:val="007F6834"/>
    <w:rsid w:val="007F70C6"/>
    <w:rsid w:val="008100F1"/>
    <w:rsid w:val="008101D4"/>
    <w:rsid w:val="00830350"/>
    <w:rsid w:val="0083605E"/>
    <w:rsid w:val="00841A82"/>
    <w:rsid w:val="0084237E"/>
    <w:rsid w:val="008616E0"/>
    <w:rsid w:val="00861F39"/>
    <w:rsid w:val="00880167"/>
    <w:rsid w:val="00884C87"/>
    <w:rsid w:val="008A230C"/>
    <w:rsid w:val="008B6A72"/>
    <w:rsid w:val="008C2F8F"/>
    <w:rsid w:val="00904DCA"/>
    <w:rsid w:val="00905CE2"/>
    <w:rsid w:val="00912F99"/>
    <w:rsid w:val="00921567"/>
    <w:rsid w:val="00925104"/>
    <w:rsid w:val="0093122F"/>
    <w:rsid w:val="00953FFF"/>
    <w:rsid w:val="009A5B56"/>
    <w:rsid w:val="009B70A6"/>
    <w:rsid w:val="009D069B"/>
    <w:rsid w:val="009D60AA"/>
    <w:rsid w:val="009E2446"/>
    <w:rsid w:val="009E3985"/>
    <w:rsid w:val="009F30C5"/>
    <w:rsid w:val="00A07D12"/>
    <w:rsid w:val="00A42CC1"/>
    <w:rsid w:val="00A465C2"/>
    <w:rsid w:val="00A47BFD"/>
    <w:rsid w:val="00A54B42"/>
    <w:rsid w:val="00A62268"/>
    <w:rsid w:val="00A75BAE"/>
    <w:rsid w:val="00A82D0A"/>
    <w:rsid w:val="00AB2AC4"/>
    <w:rsid w:val="00AB3DA3"/>
    <w:rsid w:val="00AE71BD"/>
    <w:rsid w:val="00AE766C"/>
    <w:rsid w:val="00B01C08"/>
    <w:rsid w:val="00B21C08"/>
    <w:rsid w:val="00B76CAC"/>
    <w:rsid w:val="00B82C8D"/>
    <w:rsid w:val="00C0294E"/>
    <w:rsid w:val="00C03E92"/>
    <w:rsid w:val="00C11178"/>
    <w:rsid w:val="00C34AEB"/>
    <w:rsid w:val="00C63087"/>
    <w:rsid w:val="00CA7A0D"/>
    <w:rsid w:val="00CB28FF"/>
    <w:rsid w:val="00CC1E4D"/>
    <w:rsid w:val="00CC4870"/>
    <w:rsid w:val="00CE191C"/>
    <w:rsid w:val="00CF11C2"/>
    <w:rsid w:val="00D016F6"/>
    <w:rsid w:val="00D07FB3"/>
    <w:rsid w:val="00D17208"/>
    <w:rsid w:val="00D24D5C"/>
    <w:rsid w:val="00D34D4B"/>
    <w:rsid w:val="00D44D80"/>
    <w:rsid w:val="00D53BFA"/>
    <w:rsid w:val="00D6338C"/>
    <w:rsid w:val="00D66715"/>
    <w:rsid w:val="00D82042"/>
    <w:rsid w:val="00DA1F97"/>
    <w:rsid w:val="00DA7527"/>
    <w:rsid w:val="00DB1C05"/>
    <w:rsid w:val="00DF03B1"/>
    <w:rsid w:val="00DF3269"/>
    <w:rsid w:val="00E05E10"/>
    <w:rsid w:val="00E21D1B"/>
    <w:rsid w:val="00E336BF"/>
    <w:rsid w:val="00E372E5"/>
    <w:rsid w:val="00E51D4D"/>
    <w:rsid w:val="00EA3045"/>
    <w:rsid w:val="00EA63CA"/>
    <w:rsid w:val="00EB019C"/>
    <w:rsid w:val="00EB3650"/>
    <w:rsid w:val="00EB3C51"/>
    <w:rsid w:val="00F00691"/>
    <w:rsid w:val="00F11F38"/>
    <w:rsid w:val="00F1486F"/>
    <w:rsid w:val="00F228EB"/>
    <w:rsid w:val="00F31BFE"/>
    <w:rsid w:val="00F56741"/>
    <w:rsid w:val="00F70BD4"/>
    <w:rsid w:val="00F8744A"/>
    <w:rsid w:val="00F92E16"/>
    <w:rsid w:val="00FC7D02"/>
    <w:rsid w:val="00FE25CE"/>
    <w:rsid w:val="00FE2CF8"/>
    <w:rsid w:val="03086AA8"/>
    <w:rsid w:val="0475742A"/>
    <w:rsid w:val="05610C7D"/>
    <w:rsid w:val="080F2F3C"/>
    <w:rsid w:val="085D60EF"/>
    <w:rsid w:val="08AE00F1"/>
    <w:rsid w:val="09752F01"/>
    <w:rsid w:val="0A0A5BAE"/>
    <w:rsid w:val="0A6E5C14"/>
    <w:rsid w:val="0A9F43A6"/>
    <w:rsid w:val="0AAB7313"/>
    <w:rsid w:val="0B401E5B"/>
    <w:rsid w:val="0BD73E9D"/>
    <w:rsid w:val="0D557371"/>
    <w:rsid w:val="0E9F1B9F"/>
    <w:rsid w:val="0EB659C2"/>
    <w:rsid w:val="0ECFAD59"/>
    <w:rsid w:val="0FFB0976"/>
    <w:rsid w:val="108A31F2"/>
    <w:rsid w:val="133E227B"/>
    <w:rsid w:val="16100F69"/>
    <w:rsid w:val="17F5F702"/>
    <w:rsid w:val="1841309C"/>
    <w:rsid w:val="1ACA36CF"/>
    <w:rsid w:val="1B831C72"/>
    <w:rsid w:val="1BB95D7F"/>
    <w:rsid w:val="1C4A5F2B"/>
    <w:rsid w:val="1D3E273A"/>
    <w:rsid w:val="1D3E6167"/>
    <w:rsid w:val="1E4B5E47"/>
    <w:rsid w:val="1EDC05FF"/>
    <w:rsid w:val="1EF32104"/>
    <w:rsid w:val="1EFF6CCE"/>
    <w:rsid w:val="1F5F2978"/>
    <w:rsid w:val="1FBAF6F1"/>
    <w:rsid w:val="1FCF68E9"/>
    <w:rsid w:val="1FF74EB6"/>
    <w:rsid w:val="20724724"/>
    <w:rsid w:val="213025A7"/>
    <w:rsid w:val="23E4A97D"/>
    <w:rsid w:val="25113A8A"/>
    <w:rsid w:val="255319AC"/>
    <w:rsid w:val="25F75621"/>
    <w:rsid w:val="263FB595"/>
    <w:rsid w:val="29D573E4"/>
    <w:rsid w:val="2AB43547"/>
    <w:rsid w:val="2ADF4361"/>
    <w:rsid w:val="2BB21480"/>
    <w:rsid w:val="2DFA0039"/>
    <w:rsid w:val="2E3D769E"/>
    <w:rsid w:val="2E4F3EF3"/>
    <w:rsid w:val="2EB41F06"/>
    <w:rsid w:val="2EEB8391"/>
    <w:rsid w:val="2F1CFC05"/>
    <w:rsid w:val="2FAD6384"/>
    <w:rsid w:val="2FFA5A0D"/>
    <w:rsid w:val="2FFBB930"/>
    <w:rsid w:val="2FFC0BB0"/>
    <w:rsid w:val="315410DA"/>
    <w:rsid w:val="31662F4A"/>
    <w:rsid w:val="329D0F07"/>
    <w:rsid w:val="33412630"/>
    <w:rsid w:val="338A642D"/>
    <w:rsid w:val="33C70CA8"/>
    <w:rsid w:val="33FD6ECE"/>
    <w:rsid w:val="354427AB"/>
    <w:rsid w:val="367D0F7F"/>
    <w:rsid w:val="36BED3F4"/>
    <w:rsid w:val="36FFEDCB"/>
    <w:rsid w:val="37FB8144"/>
    <w:rsid w:val="37FDD4B7"/>
    <w:rsid w:val="381B68B0"/>
    <w:rsid w:val="393D05EA"/>
    <w:rsid w:val="39F21668"/>
    <w:rsid w:val="3B584C6E"/>
    <w:rsid w:val="3BFC47DA"/>
    <w:rsid w:val="3DF7A2C8"/>
    <w:rsid w:val="3DFD2EB9"/>
    <w:rsid w:val="3EAD6899"/>
    <w:rsid w:val="3EE00D77"/>
    <w:rsid w:val="3EFF76EE"/>
    <w:rsid w:val="3F66DA9E"/>
    <w:rsid w:val="3F6FF7B1"/>
    <w:rsid w:val="3F7B5148"/>
    <w:rsid w:val="3FBBF52B"/>
    <w:rsid w:val="3FC215FB"/>
    <w:rsid w:val="40401A62"/>
    <w:rsid w:val="404737C1"/>
    <w:rsid w:val="40ED53EE"/>
    <w:rsid w:val="42E1081D"/>
    <w:rsid w:val="431E3485"/>
    <w:rsid w:val="43B2649D"/>
    <w:rsid w:val="43D749C1"/>
    <w:rsid w:val="458A0FC3"/>
    <w:rsid w:val="470F09ED"/>
    <w:rsid w:val="47E32C09"/>
    <w:rsid w:val="48F63AC6"/>
    <w:rsid w:val="4AD450DA"/>
    <w:rsid w:val="4BED35FB"/>
    <w:rsid w:val="4E6D5CA8"/>
    <w:rsid w:val="4EA46301"/>
    <w:rsid w:val="4ED33011"/>
    <w:rsid w:val="4F2FA65C"/>
    <w:rsid w:val="4FDF5069"/>
    <w:rsid w:val="50DB1291"/>
    <w:rsid w:val="51700BFA"/>
    <w:rsid w:val="52696405"/>
    <w:rsid w:val="52FFA077"/>
    <w:rsid w:val="54F93D1C"/>
    <w:rsid w:val="55751906"/>
    <w:rsid w:val="55AD38E0"/>
    <w:rsid w:val="565D8B83"/>
    <w:rsid w:val="57460E55"/>
    <w:rsid w:val="579DCDED"/>
    <w:rsid w:val="57F6DC16"/>
    <w:rsid w:val="57FA8A8C"/>
    <w:rsid w:val="57FBD1BE"/>
    <w:rsid w:val="58271DF9"/>
    <w:rsid w:val="5874C5BF"/>
    <w:rsid w:val="58A87664"/>
    <w:rsid w:val="59177961"/>
    <w:rsid w:val="5A9F50F7"/>
    <w:rsid w:val="5BBF9157"/>
    <w:rsid w:val="5C10429F"/>
    <w:rsid w:val="5C1A6426"/>
    <w:rsid w:val="5C246AA4"/>
    <w:rsid w:val="5C2515ED"/>
    <w:rsid w:val="5CBBAB7B"/>
    <w:rsid w:val="5CCB4A8E"/>
    <w:rsid w:val="5D647C7C"/>
    <w:rsid w:val="5D9E8B2A"/>
    <w:rsid w:val="5DAD779E"/>
    <w:rsid w:val="5DDC921C"/>
    <w:rsid w:val="5DFFF444"/>
    <w:rsid w:val="5E1734B0"/>
    <w:rsid w:val="5EF1EE44"/>
    <w:rsid w:val="5F6C3546"/>
    <w:rsid w:val="5F6FF700"/>
    <w:rsid w:val="5F7A1834"/>
    <w:rsid w:val="5F9FB203"/>
    <w:rsid w:val="5FAF7E69"/>
    <w:rsid w:val="5FDB3855"/>
    <w:rsid w:val="5FFD9DD2"/>
    <w:rsid w:val="61092AE5"/>
    <w:rsid w:val="6209484B"/>
    <w:rsid w:val="632223E3"/>
    <w:rsid w:val="641B6B36"/>
    <w:rsid w:val="64631234"/>
    <w:rsid w:val="667E5425"/>
    <w:rsid w:val="66FB3241"/>
    <w:rsid w:val="675258B1"/>
    <w:rsid w:val="67722A32"/>
    <w:rsid w:val="693F8EEC"/>
    <w:rsid w:val="697A88B2"/>
    <w:rsid w:val="69BC1ABD"/>
    <w:rsid w:val="6A3F4CD3"/>
    <w:rsid w:val="6AAF523D"/>
    <w:rsid w:val="6BCF42CB"/>
    <w:rsid w:val="6C376EFF"/>
    <w:rsid w:val="6CC12C6C"/>
    <w:rsid w:val="6D1F7DDF"/>
    <w:rsid w:val="6D541B13"/>
    <w:rsid w:val="6D79DB01"/>
    <w:rsid w:val="6DDD3054"/>
    <w:rsid w:val="6E7E6042"/>
    <w:rsid w:val="6EDF929D"/>
    <w:rsid w:val="6F1FC02F"/>
    <w:rsid w:val="6F66502E"/>
    <w:rsid w:val="6F7CF414"/>
    <w:rsid w:val="6F7F32FF"/>
    <w:rsid w:val="6FBF39D2"/>
    <w:rsid w:val="6FE346BC"/>
    <w:rsid w:val="72C93376"/>
    <w:rsid w:val="733FBBAD"/>
    <w:rsid w:val="73CB043B"/>
    <w:rsid w:val="75B55338"/>
    <w:rsid w:val="76BF3C3E"/>
    <w:rsid w:val="771B5D0F"/>
    <w:rsid w:val="776F0642"/>
    <w:rsid w:val="777D76E4"/>
    <w:rsid w:val="77821310"/>
    <w:rsid w:val="778DA2DE"/>
    <w:rsid w:val="77BD600E"/>
    <w:rsid w:val="77C7ED14"/>
    <w:rsid w:val="77E0D50D"/>
    <w:rsid w:val="7869646E"/>
    <w:rsid w:val="78FFD621"/>
    <w:rsid w:val="79ED3C91"/>
    <w:rsid w:val="7B73FEA4"/>
    <w:rsid w:val="7B9CA102"/>
    <w:rsid w:val="7BABF2B4"/>
    <w:rsid w:val="7BB6E8EC"/>
    <w:rsid w:val="7BB92440"/>
    <w:rsid w:val="7BFD216E"/>
    <w:rsid w:val="7BFF2731"/>
    <w:rsid w:val="7C6DAD14"/>
    <w:rsid w:val="7CBF01EC"/>
    <w:rsid w:val="7CEDA466"/>
    <w:rsid w:val="7D374B32"/>
    <w:rsid w:val="7D51DBDD"/>
    <w:rsid w:val="7D572DDE"/>
    <w:rsid w:val="7D6D4951"/>
    <w:rsid w:val="7D7FC2C1"/>
    <w:rsid w:val="7DAF8024"/>
    <w:rsid w:val="7DD7377D"/>
    <w:rsid w:val="7DEAF747"/>
    <w:rsid w:val="7DED0546"/>
    <w:rsid w:val="7E03B483"/>
    <w:rsid w:val="7E0FEAED"/>
    <w:rsid w:val="7E3EAAB9"/>
    <w:rsid w:val="7E73367D"/>
    <w:rsid w:val="7E756686"/>
    <w:rsid w:val="7E7B8CBA"/>
    <w:rsid w:val="7E7C1758"/>
    <w:rsid w:val="7E971BA5"/>
    <w:rsid w:val="7EA54B1D"/>
    <w:rsid w:val="7ED798D2"/>
    <w:rsid w:val="7EDF6E89"/>
    <w:rsid w:val="7EFEE789"/>
    <w:rsid w:val="7F3AF972"/>
    <w:rsid w:val="7F6DE0C1"/>
    <w:rsid w:val="7F72A688"/>
    <w:rsid w:val="7F9E03FF"/>
    <w:rsid w:val="7FBFDEA5"/>
    <w:rsid w:val="7FC1D2D2"/>
    <w:rsid w:val="7FD73DE9"/>
    <w:rsid w:val="7FD7E40E"/>
    <w:rsid w:val="7FDB69CF"/>
    <w:rsid w:val="7FDE9CEB"/>
    <w:rsid w:val="7FDF548D"/>
    <w:rsid w:val="7FDF7465"/>
    <w:rsid w:val="7FE65DFD"/>
    <w:rsid w:val="7FE7EBE7"/>
    <w:rsid w:val="7FEB1319"/>
    <w:rsid w:val="7FEDCF51"/>
    <w:rsid w:val="7FF3FDA0"/>
    <w:rsid w:val="7FF4394B"/>
    <w:rsid w:val="7FF4AB48"/>
    <w:rsid w:val="7FF73666"/>
    <w:rsid w:val="7FF7EA93"/>
    <w:rsid w:val="7FFCFA53"/>
    <w:rsid w:val="7FFD3C4F"/>
    <w:rsid w:val="7FFE1CEB"/>
    <w:rsid w:val="7FFF9AE1"/>
    <w:rsid w:val="839F18B9"/>
    <w:rsid w:val="89B38D55"/>
    <w:rsid w:val="8FAA2A9F"/>
    <w:rsid w:val="913F4B76"/>
    <w:rsid w:val="95EA5134"/>
    <w:rsid w:val="97DFC926"/>
    <w:rsid w:val="98FF48E1"/>
    <w:rsid w:val="99BE4703"/>
    <w:rsid w:val="99F9B899"/>
    <w:rsid w:val="9B3ED6FE"/>
    <w:rsid w:val="9BFBF82F"/>
    <w:rsid w:val="9CFAA4FF"/>
    <w:rsid w:val="9F775BAC"/>
    <w:rsid w:val="9FBF440E"/>
    <w:rsid w:val="9FFBA4CE"/>
    <w:rsid w:val="9FFE3CA1"/>
    <w:rsid w:val="A5BA06E3"/>
    <w:rsid w:val="AFBEE15D"/>
    <w:rsid w:val="B797D9AE"/>
    <w:rsid w:val="B7DDBD4D"/>
    <w:rsid w:val="B7F59B60"/>
    <w:rsid w:val="B93F1391"/>
    <w:rsid w:val="B97F78F0"/>
    <w:rsid w:val="BB7E6C78"/>
    <w:rsid w:val="BBFE8DE4"/>
    <w:rsid w:val="BD2FD292"/>
    <w:rsid w:val="BDE9C19D"/>
    <w:rsid w:val="BDFBFDE7"/>
    <w:rsid w:val="BEBFAF8C"/>
    <w:rsid w:val="BF370BCD"/>
    <w:rsid w:val="BF7FC6DB"/>
    <w:rsid w:val="BFDB10F0"/>
    <w:rsid w:val="C7FDBE6F"/>
    <w:rsid w:val="C87B670F"/>
    <w:rsid w:val="CD2FAA8A"/>
    <w:rsid w:val="CE86D566"/>
    <w:rsid w:val="CEF71B7F"/>
    <w:rsid w:val="CFAFAE9B"/>
    <w:rsid w:val="CFEF1B62"/>
    <w:rsid w:val="CFFA94AA"/>
    <w:rsid w:val="D5D70690"/>
    <w:rsid w:val="D65D5C29"/>
    <w:rsid w:val="D7BF295A"/>
    <w:rsid w:val="DADFA1F0"/>
    <w:rsid w:val="DBFF9168"/>
    <w:rsid w:val="DCBBC161"/>
    <w:rsid w:val="DDAFEFF9"/>
    <w:rsid w:val="DDFF0DC8"/>
    <w:rsid w:val="DE7BC27D"/>
    <w:rsid w:val="DE9F387C"/>
    <w:rsid w:val="DEFFB968"/>
    <w:rsid w:val="DF369603"/>
    <w:rsid w:val="DF69AE6E"/>
    <w:rsid w:val="DFA0D621"/>
    <w:rsid w:val="DFD32BE1"/>
    <w:rsid w:val="DFFF6CAB"/>
    <w:rsid w:val="E2FFD339"/>
    <w:rsid w:val="E95D564B"/>
    <w:rsid w:val="E9D1E670"/>
    <w:rsid w:val="E9F54D03"/>
    <w:rsid w:val="EB6D3F54"/>
    <w:rsid w:val="EBBCAE1B"/>
    <w:rsid w:val="ECBB326E"/>
    <w:rsid w:val="ECEFCD5F"/>
    <w:rsid w:val="EDD5A8EA"/>
    <w:rsid w:val="EDE849B6"/>
    <w:rsid w:val="EE59CB4A"/>
    <w:rsid w:val="EEADB190"/>
    <w:rsid w:val="EEDBD407"/>
    <w:rsid w:val="EEE71E27"/>
    <w:rsid w:val="EFED90EA"/>
    <w:rsid w:val="EFEDEEF2"/>
    <w:rsid w:val="EFF9175E"/>
    <w:rsid w:val="F3FB80C4"/>
    <w:rsid w:val="F5EFDAF5"/>
    <w:rsid w:val="F5FDB090"/>
    <w:rsid w:val="F6A69E00"/>
    <w:rsid w:val="F7AFB83F"/>
    <w:rsid w:val="F7BB5299"/>
    <w:rsid w:val="F7DEB443"/>
    <w:rsid w:val="F7EF19FE"/>
    <w:rsid w:val="F7EF5D23"/>
    <w:rsid w:val="F7FFD62E"/>
    <w:rsid w:val="F9AFCE5A"/>
    <w:rsid w:val="FABDF171"/>
    <w:rsid w:val="FAFBB726"/>
    <w:rsid w:val="FB6EB6C6"/>
    <w:rsid w:val="FB7AA6A5"/>
    <w:rsid w:val="FB9BCF5B"/>
    <w:rsid w:val="FBBDDC78"/>
    <w:rsid w:val="FBDF2913"/>
    <w:rsid w:val="FBED9EA7"/>
    <w:rsid w:val="FBFA9261"/>
    <w:rsid w:val="FCBEE98B"/>
    <w:rsid w:val="FCFF4358"/>
    <w:rsid w:val="FD8BCFB8"/>
    <w:rsid w:val="FDB5C474"/>
    <w:rsid w:val="FDCE9A2D"/>
    <w:rsid w:val="FDEFF0C6"/>
    <w:rsid w:val="FE2BB1F8"/>
    <w:rsid w:val="FE6F17B7"/>
    <w:rsid w:val="FECFDF8F"/>
    <w:rsid w:val="FF3FC756"/>
    <w:rsid w:val="FF5B09E0"/>
    <w:rsid w:val="FF6F4984"/>
    <w:rsid w:val="FF7C677C"/>
    <w:rsid w:val="FFD56DEE"/>
    <w:rsid w:val="FFF79F98"/>
    <w:rsid w:val="FFF93F80"/>
    <w:rsid w:val="FFFFBEA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character" w:default="1" w:styleId="8">
    <w:name w:val="Default Paragraph Font"/>
    <w:unhideWhenUsed/>
    <w:qFormat/>
    <w:uiPriority w:val="1"/>
  </w:style>
  <w:style w:type="table" w:default="1" w:styleId="7">
    <w:name w:val="Normal Table"/>
    <w:unhideWhenUsed/>
    <w:qFormat/>
    <w:uiPriority w:val="99"/>
    <w:tblPr>
      <w:tblStyle w:val="7"/>
      <w:tblCellMar>
        <w:top w:w="0" w:type="dxa"/>
        <w:left w:w="108" w:type="dxa"/>
        <w:bottom w:w="0" w:type="dxa"/>
        <w:right w:w="108" w:type="dxa"/>
      </w:tblCellMar>
    </w:tblPr>
  </w:style>
  <w:style w:type="paragraph" w:customStyle="1" w:styleId="2">
    <w:name w:val="TableOfAuthoring"/>
    <w:basedOn w:val="1"/>
    <w:next w:val="1"/>
    <w:qFormat/>
    <w:uiPriority w:val="0"/>
    <w:pPr>
      <w:ind w:left="420" w:leftChars="200"/>
    </w:p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szCs w:val="18"/>
      <w:lang w:val="zh-CN"/>
    </w:rPr>
  </w:style>
  <w:style w:type="paragraph" w:styleId="6">
    <w:name w:val="toc 1"/>
    <w:basedOn w:val="1"/>
    <w:next w:val="1"/>
    <w:qFormat/>
    <w:uiPriority w:val="39"/>
  </w:style>
  <w:style w:type="character" w:styleId="9">
    <w:name w:val="Hyperlink"/>
    <w:basedOn w:val="8"/>
    <w:unhideWhenUsed/>
    <w:qFormat/>
    <w:uiPriority w:val="99"/>
    <w:rPr>
      <w:color w:val="0563C1"/>
      <w:u w:val="single"/>
    </w:rPr>
  </w:style>
  <w:style w:type="character" w:customStyle="1" w:styleId="10">
    <w:name w:val="页脚 字符"/>
    <w:basedOn w:val="8"/>
    <w:link w:val="4"/>
    <w:qFormat/>
    <w:uiPriority w:val="99"/>
    <w:rPr>
      <w:rFonts w:ascii="Calibri" w:hAnsi="Calibri" w:eastAsia="宋体" w:cs="Times New Roman"/>
      <w:kern w:val="2"/>
      <w:sz w:val="18"/>
      <w:szCs w:val="18"/>
    </w:rPr>
  </w:style>
  <w:style w:type="paragraph" w:customStyle="1" w:styleId="11">
    <w:name w:val="SBBL1"/>
    <w:basedOn w:val="3"/>
    <w:qFormat/>
    <w:uiPriority w:val="0"/>
    <w:pPr>
      <w:spacing w:before="0" w:after="0" w:line="360" w:lineRule="auto"/>
      <w:jc w:val="center"/>
    </w:pPr>
    <w:rPr>
      <w:rFonts w:ascii="方正小标宋简体" w:hAnsi="宋体" w:eastAsia="方正小标宋简体" w:cs="宋体"/>
      <w:b w:val="0"/>
      <w:bCs w:val="0"/>
      <w:sz w:val="28"/>
      <w:szCs w:val="28"/>
      <w:lang w:val="zh-CN"/>
    </w:rPr>
  </w:style>
  <w:style w:type="paragraph" w:customStyle="1" w:styleId="12">
    <w:name w:val="SBBZW"/>
    <w:basedOn w:val="1"/>
    <w:qFormat/>
    <w:uiPriority w:val="0"/>
    <w:pPr>
      <w:spacing w:line="360" w:lineRule="auto"/>
      <w:ind w:firstLine="200" w:firstLineChars="200"/>
    </w:pPr>
    <w:rPr>
      <w:rFonts w:ascii="宋体" w:hAnsi="宋体"/>
      <w:sz w:val="24"/>
    </w:rPr>
  </w:style>
  <w:style w:type="paragraph" w:customStyle="1" w:styleId="13">
    <w:name w:val="SBBT1"/>
    <w:basedOn w:val="12"/>
    <w:qFormat/>
    <w:uiPriority w:val="0"/>
    <w:pPr>
      <w:tabs>
        <w:tab w:val="center" w:pos="4678"/>
      </w:tabs>
      <w:ind w:firstLine="0" w:firstLineChars="0"/>
      <w:jc w:val="center"/>
      <w:outlineLvl w:val="0"/>
    </w:pPr>
    <w:rPr>
      <w:rFonts w:eastAsia="方正小标宋简体" w:cs="宋体"/>
      <w:bCs/>
      <w:kern w:val="0"/>
      <w:sz w:val="28"/>
      <w:szCs w:val="28"/>
    </w:rPr>
  </w:style>
  <w:style w:type="character" w:customStyle="1" w:styleId="14">
    <w:name w:val="font41"/>
    <w:qFormat/>
    <w:uiPriority w:val="0"/>
    <w:rPr>
      <w:rFonts w:ascii="宋体" w:hAnsi="宋体" w:eastAsia="宋体"/>
      <w:color w:val="000000"/>
      <w:sz w:val="20"/>
      <w:u w:val="none"/>
    </w:rPr>
  </w:style>
  <w:style w:type="character" w:customStyle="1" w:styleId="15">
    <w:name w:val="font11"/>
    <w:basedOn w:val="8"/>
    <w:qFormat/>
    <w:uiPriority w:val="0"/>
    <w:rPr>
      <w:rFonts w:hint="eastAsia" w:ascii="宋体" w:hAnsi="宋体" w:eastAsia="宋体" w:cs="宋体"/>
      <w:color w:val="000000"/>
      <w:sz w:val="20"/>
      <w:szCs w:val="20"/>
      <w:u w:val="none"/>
    </w:rPr>
  </w:style>
  <w:style w:type="paragraph" w:customStyle="1" w:styleId="16">
    <w:name w:val="填报说明正文"/>
    <w:basedOn w:val="1"/>
    <w:qFormat/>
    <w:uiPriority w:val="0"/>
    <w:pPr>
      <w:spacing w:line="480" w:lineRule="exact"/>
      <w:ind w:firstLine="640" w:firstLineChars="200"/>
    </w:pPr>
    <w:rPr>
      <w:rFonts w:eastAsia="CESI宋体-GB2312"/>
      <w:sz w:val="24"/>
    </w:rPr>
  </w:style>
  <w:style w:type="paragraph" w:customStyle="1" w:styleId="17">
    <w:name w:val="SBBT2"/>
    <w:basedOn w:val="13"/>
    <w:qFormat/>
    <w:uiPriority w:val="0"/>
    <w:pPr>
      <w:tabs>
        <w:tab w:val="center" w:pos="6521"/>
      </w:tabs>
    </w:pPr>
  </w:style>
  <w:style w:type="paragraph" w:customStyle="1" w:styleId="18">
    <w:name w:val="修订1"/>
    <w:semiHidden/>
    <w:qFormat/>
    <w:uiPriority w:val="99"/>
    <w:rPr>
      <w:rFonts w:ascii="Calibri" w:hAnsi="Calibri" w:eastAsia="宋体" w:cs="Times New Roman"/>
      <w:kern w:val="2"/>
      <w:sz w:val="21"/>
      <w:szCs w:val="24"/>
      <w:lang w:val="en-US" w:eastAsia="zh-CN" w:bidi="ar-SA"/>
    </w:rPr>
  </w:style>
  <w:style w:type="character" w:customStyle="1" w:styleId="19">
    <w:name w:val="font21"/>
    <w:basedOn w:val="8"/>
    <w:qFormat/>
    <w:uiPriority w:val="0"/>
    <w:rPr>
      <w:rFonts w:hint="eastAsia" w:ascii="宋体" w:hAnsi="宋体" w:eastAsia="宋体" w:cs="宋体"/>
      <w:color w:val="FF0000"/>
      <w:sz w:val="20"/>
      <w:szCs w:val="20"/>
      <w:u w:val="none"/>
    </w:rPr>
  </w:style>
  <w:style w:type="paragraph" w:customStyle="1" w:styleId="20">
    <w:name w:val="修订2"/>
    <w:unhideWhenUsed/>
    <w:qFormat/>
    <w:uiPriority w:val="99"/>
    <w:rPr>
      <w:rFonts w:ascii="Calibri" w:hAnsi="Calibri" w:eastAsia="宋体" w:cs="Times New Roman"/>
      <w:kern w:val="2"/>
      <w:sz w:val="21"/>
      <w:szCs w:val="24"/>
      <w:lang w:val="en-US" w:eastAsia="zh-CN" w:bidi="ar-SA"/>
    </w:rPr>
  </w:style>
  <w:style w:type="paragraph" w:customStyle="1" w:styleId="21">
    <w:name w:val="SBBT3"/>
    <w:basedOn w:val="1"/>
    <w:next w:val="1"/>
    <w:qFormat/>
    <w:uiPriority w:val="0"/>
    <w:pPr>
      <w:spacing w:line="360" w:lineRule="auto"/>
      <w:ind w:firstLine="200" w:firstLineChars="200"/>
      <w:outlineLvl w:val="2"/>
    </w:pPr>
    <w:rPr>
      <w:rFonts w:ascii="黑体" w:hAnsi="黑体" w:eastAsia="楷体_GB2312" w:cs="Calibri"/>
      <w:sz w:val="24"/>
    </w:rPr>
  </w:style>
  <w:style w:type="paragraph" w:customStyle="1" w:styleId="22">
    <w:name w:val="SBBL3"/>
    <w:basedOn w:val="1"/>
    <w:qFormat/>
    <w:uiPriority w:val="0"/>
    <w:pPr>
      <w:spacing w:line="360" w:lineRule="auto"/>
      <w:ind w:firstLine="480" w:firstLineChars="200"/>
      <w:outlineLvl w:val="2"/>
    </w:pPr>
    <w:rPr>
      <w:rFonts w:ascii="黑体" w:hAnsi="黑体" w:eastAsia="楷体_GB2312" w:cs="Calibri"/>
      <w:sz w:val="24"/>
    </w:rPr>
  </w:style>
  <w:style w:type="paragraph" w:customStyle="1" w:styleId="23">
    <w:name w:val="SBBL2"/>
    <w:basedOn w:val="1"/>
    <w:qFormat/>
    <w:uiPriority w:val="0"/>
    <w:pPr>
      <w:spacing w:line="360" w:lineRule="auto"/>
      <w:ind w:firstLine="200" w:firstLineChars="200"/>
      <w:jc w:val="left"/>
      <w:outlineLvl w:val="1"/>
    </w:pPr>
    <w:rPr>
      <w:rFonts w:ascii="宋体" w:hAnsi="宋体" w:eastAsia="宋体" w:cs="Calibri"/>
      <w:b/>
      <w:sz w:val="24"/>
    </w:rPr>
  </w:style>
  <w:style w:type="paragraph" w:customStyle="1" w:styleId="24">
    <w:name w:val="说明1级"/>
    <w:basedOn w:val="1"/>
    <w:qFormat/>
    <w:uiPriority w:val="0"/>
    <w:pPr>
      <w:tabs>
        <w:tab w:val="center" w:pos="4200"/>
      </w:tabs>
      <w:spacing w:before="50" w:beforeLines="50" w:after="50" w:afterLines="50" w:line="360" w:lineRule="auto"/>
      <w:jc w:val="center"/>
      <w:outlineLvl w:val="0"/>
    </w:pPr>
    <w:rPr>
      <w:rFonts w:ascii="Times New Roman" w:hAnsi="Times New Roman" w:eastAsia="CESI宋体-GB2312" w:cs="Times New Roman"/>
      <w:b/>
      <w:sz w:val="28"/>
    </w:rPr>
  </w:style>
  <w:style w:type="paragraph" w:styleId="25">
    <w:name w:val="List Paragraph"/>
    <w:basedOn w:val="1"/>
    <w:qFormat/>
    <w:uiPriority w:val="0"/>
    <w:pPr>
      <w:ind w:firstLine="420" w:firstLineChars="200"/>
    </w:pPr>
    <w:rPr>
      <w:rFonts w:ascii="Times New Roman" w:hAnsi="Times New Roman" w:eastAsia="宋体" w:cs="Times New Roman"/>
    </w:rPr>
  </w:style>
  <w:style w:type="paragraph" w:customStyle="1" w:styleId="26">
    <w:name w:val="说明2级"/>
    <w:basedOn w:val="1"/>
    <w:qFormat/>
    <w:uiPriority w:val="0"/>
    <w:pPr>
      <w:spacing w:before="50" w:beforeLines="50" w:line="360" w:lineRule="auto"/>
      <w:ind w:firstLine="640" w:firstLineChars="200"/>
      <w:outlineLvl w:val="1"/>
    </w:pPr>
    <w:rPr>
      <w:rFonts w:ascii="Times New Roman" w:hAnsi="Times New Roman" w:eastAsia="CESI黑体-GB2312" w:cs="Times New Roman"/>
      <w:sz w:val="24"/>
    </w:rPr>
  </w:style>
  <w:style w:type="paragraph" w:customStyle="1" w:styleId="27">
    <w:name w:val="文章内表格标题"/>
    <w:qFormat/>
    <w:uiPriority w:val="0"/>
    <w:pPr>
      <w:widowControl w:val="0"/>
      <w:snapToGrid w:val="0"/>
      <w:spacing w:line="520" w:lineRule="exact"/>
      <w:jc w:val="center"/>
    </w:pPr>
    <w:rPr>
      <w:rFonts w:ascii="Times New Roman" w:hAnsi="Times New Roman" w:eastAsia="CESI宋体-GB2312" w:cs="Times New Roman"/>
      <w:b/>
      <w:bCs/>
      <w:kern w:val="2"/>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xml"/><Relationship Id="rId14" Type="http://schemas.openxmlformats.org/officeDocument/2006/relationships/theme" Target="theme/theme1.xml"/><Relationship Id="rId13" Type="http://schemas.openxmlformats.org/officeDocument/2006/relationships/footer" Target="footer9.xml"/><Relationship Id="rId12" Type="http://schemas.openxmlformats.org/officeDocument/2006/relationships/header" Target="header2.xml"/><Relationship Id="rId11" Type="http://schemas.openxmlformats.org/officeDocument/2006/relationships/header" Target="header1.xml"/><Relationship Id="rId10" Type="http://schemas.openxmlformats.org/officeDocument/2006/relationships/footer" Target="footer8.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home/XCZX-YGC/Desktop/&#12298;&#20013;&#21326;&#20154;&#27665;&#20849;&#21644;&#22269;&#20225;&#19994;&#25152;&#24471;&#31246;&#24180;&#24230;&#32435;&#31246;&#30003;&#25253;&#34920;&#65288;A&#31867;&#65292;2017&#24180;&#29256;&#65289;&#12299;&#37096;&#20998;&#34920;&#21333;&#21450;&#22635;&#25253;&#35828;&#26126;&#65288;2024&#24180;&#20462;&#35746;&#65289;.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《中华人民共和国企业所得税年度纳税申报表（A类，2017年版）》部分表单及填报说明（2024年修订）.dot</Template>
  <Pages>130</Pages>
  <Words>72714</Words>
  <Characters>80437</Characters>
  <Lines>506</Lines>
  <Paragraphs>142</Paragraphs>
  <TotalTime>54</TotalTime>
  <ScaleCrop>false</ScaleCrop>
  <LinksUpToDate>false</LinksUpToDate>
  <CharactersWithSpaces>80886</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2025-06-16T17:34:00Z</dcterms:created>
  <dc:creator>XCZX-YGC</dc:creator>
  <cp:lastModifiedBy>XCZX-YGC</cp:lastModifiedBy>
  <dcterms:modified xsi:type="dcterms:W3CDTF">2025-06-16T17:34:42Z</dcterms:modified>
  <dc:title>附件</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y fmtid="{D5CDD505-2E9C-101B-9397-08002B2CF9AE}" pid="3" name="ICV">
    <vt:lpwstr>2CE14C7B15EA4636ACD5B6EB04AD89D7_13</vt:lpwstr>
  </property>
</Properties>
</file>