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2"/>
        <w:spacing w:line="360" w:lineRule="auto"/>
        <w:rPr>
          <w:rFonts w:hint="eastAsia" w:ascii="宋体" w:hAnsi="宋体" w:eastAsia="宋体" w:cs="宋体"/>
          <w:color w:val="auto"/>
          <w:sz w:val="28"/>
          <w:szCs w:val="28"/>
          <w:highlight w:val="none"/>
        </w:rPr>
      </w:pPr>
    </w:p>
    <w:p>
      <w:pPr>
        <w:pStyle w:val="12"/>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国家税务总局黑龙江省税务局省局数据中心强电气运维服务</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HTCL-ZB-243125</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78902190"/>
      <w:bookmarkStart w:id="1" w:name="_Toc15817"/>
      <w:bookmarkStart w:id="2" w:name="_Toc1124_WPSOffice_Level1"/>
      <w:r>
        <w:rPr>
          <w:rFonts w:hint="eastAsia" w:ascii="宋体" w:hAnsi="宋体" w:eastAsia="宋体" w:cs="宋体"/>
          <w:color w:val="auto"/>
          <w:highlight w:val="none"/>
        </w:rPr>
        <w:t>招标公告</w:t>
      </w:r>
      <w:bookmarkEnd w:id="0"/>
      <w:bookmarkEnd w:id="1"/>
      <w:bookmarkEnd w:id="2"/>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国家税务总局黑龙江省税务局省局数据中心强电气运维服务</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15</w:t>
            </w:r>
            <w:r>
              <w:rPr>
                <w:rFonts w:hint="eastAsia" w:ascii="宋体" w:hAnsi="宋体" w:eastAsia="宋体" w:cs="宋体"/>
                <w:color w:val="auto"/>
                <w:highlight w:val="none"/>
              </w:rPr>
              <w:t>日9点00分（北京时间）前递交投标文件。</w:t>
            </w:r>
          </w:p>
        </w:tc>
      </w:tr>
    </w:tbl>
    <w:p>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HTCL-ZB-243125</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国家税务总局黑龙江省税务局省局数据中心强电气运维服务</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37.5万元</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37.5万元</w:t>
      </w:r>
    </w:p>
    <w:p>
      <w:pPr>
        <w:pStyle w:val="35"/>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采购需求：</w:t>
      </w:r>
      <w:r>
        <w:rPr>
          <w:rFonts w:hint="eastAsia" w:ascii="Times New Roman" w:hAnsi="Times New Roman" w:eastAsia="宋体" w:cs="Times New Roman"/>
          <w:color w:val="auto"/>
          <w:highlight w:val="none"/>
          <w:lang w:val="en-US" w:eastAsia="zh-CN"/>
        </w:rPr>
        <w:t>采购第三方强电气运维服务，提供</w:t>
      </w:r>
      <w:r>
        <w:rPr>
          <w:rFonts w:hint="eastAsia" w:cs="Times New Roman"/>
          <w:color w:val="auto"/>
          <w:highlight w:val="none"/>
          <w:lang w:val="en-US" w:eastAsia="zh-CN"/>
        </w:rPr>
        <w:t>至少</w:t>
      </w:r>
      <w:r>
        <w:rPr>
          <w:rFonts w:hint="eastAsia" w:ascii="Times New Roman" w:hAnsi="Times New Roman" w:eastAsia="宋体" w:cs="Times New Roman"/>
          <w:color w:val="auto"/>
          <w:highlight w:val="none"/>
          <w:lang w:val="en-US" w:eastAsia="zh-CN"/>
        </w:rPr>
        <w:t>4名驻场电力专业人员，</w:t>
      </w:r>
      <w:r>
        <w:rPr>
          <w:rFonts w:hint="eastAsia" w:cs="Times New Roman"/>
          <w:color w:val="auto"/>
          <w:highlight w:val="none"/>
          <w:lang w:val="en-US" w:eastAsia="zh-CN"/>
        </w:rPr>
        <w:t>包括</w:t>
      </w:r>
      <w:r>
        <w:rPr>
          <w:rFonts w:hint="eastAsia" w:ascii="Times New Roman" w:hAnsi="Times New Roman" w:eastAsia="宋体" w:cs="Times New Roman"/>
          <w:color w:val="auto"/>
          <w:highlight w:val="none"/>
          <w:lang w:val="en-US" w:eastAsia="zh-CN"/>
        </w:rPr>
        <w:t>各类供电设备及线路日常及专项巡检、排障，日常养护和监控，免费维修，更换老化及失效零配件，应急电力恢复，电力系统改造（人工费用），电力系统隐患分析等服务。</w:t>
      </w:r>
    </w:p>
    <w:p>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合同履行期限：自合同生效之日起1年。</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color w:val="auto"/>
          <w:highlight w:val="none"/>
        </w:rPr>
        <w:t>本项目专门面向中小企业</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rPr>
      </w:pPr>
      <w:bookmarkStart w:id="8" w:name="_Toc28359004"/>
      <w:bookmarkStart w:id="9" w:name="_Toc28359081"/>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25</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pPr>
        <w:rPr>
          <w:rFonts w:hint="eastAsia" w:ascii="宋体" w:hAnsi="宋体" w:eastAsia="宋体" w:cs="宋体"/>
          <w:color w:val="auto"/>
          <w:highlight w:val="none"/>
        </w:rPr>
      </w:pPr>
      <w:bookmarkStart w:id="10" w:name="_Toc28359005"/>
      <w:bookmarkStart w:id="11" w:name="_Toc28359082"/>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15</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15</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7915"/>
      <w:bookmarkStart w:id="19" w:name="_Toc26518_WPSOffice_Level1"/>
      <w:bookmarkStart w:id="20" w:name="_Toc78902191"/>
      <w:r>
        <w:rPr>
          <w:rStyle w:val="37"/>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sys_招标项目基本内容及要求：Block"/>
            <w:bookmarkEnd w:id="23"/>
            <w:bookmarkStart w:id="24" w:name="招标项目基本内容及要求其他：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37.5万元</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A3"/>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其他未列明行业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6000元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lang w:eastAsia="zh-CN"/>
              </w:rPr>
            </w:pPr>
            <w:r>
              <w:rPr>
                <w:rFonts w:hint="eastAsia" w:ascii="宋体" w:hAnsi="宋体" w:cs="宋体"/>
                <w:color w:val="auto"/>
                <w:highlight w:val="none"/>
                <w:lang w:val="en-US" w:eastAsia="zh-CN"/>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4"/>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4604_WPSOffice_Level2"/>
      <w:bookmarkStart w:id="35" w:name="_Toc25935_WPSOffice_Level2"/>
      <w:bookmarkStart w:id="36" w:name="_Toc188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13276_WPSOffice_Level2"/>
      <w:bookmarkStart w:id="38" w:name="_Toc32235_WPSOffice_Level2"/>
      <w:bookmarkStart w:id="39" w:name="_Toc2443_WPSOffice_Level2"/>
      <w:bookmarkStart w:id="40" w:name="_Toc31424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7005_WPSOffice_Level2"/>
      <w:bookmarkStart w:id="42" w:name="_Toc16269_WPSOffice_Level2"/>
      <w:bookmarkStart w:id="43" w:name="_Toc24836_WPSOffice_Level2"/>
      <w:bookmarkStart w:id="44" w:name="_Toc441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16294_WPSOffice_Level2"/>
      <w:bookmarkStart w:id="46" w:name="_Toc23459_WPSOffice_Level2"/>
      <w:bookmarkStart w:id="47" w:name="_Toc25382_WPSOffice_Level2"/>
      <w:bookmarkStart w:id="48" w:name="_Toc16119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28106_WPSOffice_Level2"/>
      <w:bookmarkStart w:id="50" w:name="_Toc16368_WPSOffice_Level2"/>
      <w:bookmarkStart w:id="51" w:name="_Toc9629_WPSOffice_Level2"/>
      <w:bookmarkStart w:id="52" w:name="_Toc17794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17725_WPSOffice_Level1"/>
      <w:bookmarkStart w:id="62" w:name="_Toc78902192"/>
      <w:bookmarkStart w:id="63" w:name="_Toc29813"/>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7"/>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31052_WPSOffice_Level2"/>
      <w:bookmarkStart w:id="69" w:name="_Toc1266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7"/>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7"/>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7"/>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4011_WPSOffice_Level2"/>
      <w:bookmarkStart w:id="77" w:name="_Toc23127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304_WPSOffice_Level2"/>
      <w:bookmarkStart w:id="81" w:name="_Toc2141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122_WPSOffice_Level2"/>
      <w:bookmarkStart w:id="85" w:name="_Toc21833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12037_WPSOffice_Level2"/>
      <w:bookmarkStart w:id="87" w:name="_Toc23728_WPSOffice_Level2"/>
      <w:r>
        <w:rPr>
          <w:rFonts w:hint="eastAsia" w:ascii="宋体" w:hAnsi="宋体" w:eastAsia="宋体" w:cs="宋体"/>
          <w:color w:val="auto"/>
          <w:highlight w:val="none"/>
        </w:rPr>
        <w:t>具备履行合同所必需的设备和专业技术能力声明函</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6"/>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6"/>
        <w:ind w:firstLine="420" w:firstLineChars="200"/>
        <w:rPr>
          <w:rFonts w:hint="eastAsia" w:ascii="宋体" w:hAnsi="宋体" w:eastAsia="宋体" w:cs="宋体"/>
          <w:color w:val="auto"/>
          <w:highlight w:val="none"/>
          <w:u w:val="single"/>
        </w:rPr>
      </w:pPr>
      <w:bookmarkStart w:id="92" w:name="_Toc23749_WPSOffice_Level2"/>
      <w:bookmarkStart w:id="93" w:name="_Toc15561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6"/>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6"/>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6"/>
        <w:ind w:firstLine="420" w:firstLineChars="200"/>
        <w:rPr>
          <w:rFonts w:hint="eastAsia" w:ascii="宋体" w:hAnsi="宋体" w:eastAsia="宋体" w:cs="宋体"/>
          <w:color w:val="auto"/>
          <w:highlight w:val="none"/>
        </w:rPr>
      </w:pP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5"/>
        <w:ind w:firstLine="560"/>
        <w:rPr>
          <w:rFonts w:hint="eastAsia" w:ascii="宋体" w:hAnsi="宋体" w:eastAsia="宋体" w:cs="宋体"/>
          <w:color w:val="auto"/>
          <w:sz w:val="28"/>
          <w:szCs w:val="28"/>
          <w:highlight w:val="none"/>
        </w:rPr>
      </w:pPr>
    </w:p>
    <w:p>
      <w:pPr>
        <w:pStyle w:val="16"/>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6"/>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6"/>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14782_WPSOffice_Level2"/>
      <w:bookmarkStart w:id="99" w:name="_Toc24841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eastAsia="zh-CN"/>
        </w:rPr>
        <w:t xml:space="preserve">                                       </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5"/>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Times New Roman" w:hAnsi="Times New Roman" w:eastAsia="宋体" w:cs="Times New Roman"/>
                <w:color w:val="auto"/>
                <w:highlight w:val="none"/>
                <w:lang w:val="en-US" w:eastAsia="zh-CN"/>
              </w:rPr>
              <w:t>自合同生效之日起1年</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5"/>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13566_WPSOffice_Level2"/>
      <w:bookmarkStart w:id="107" w:name="_Toc29880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78902193"/>
      <w:bookmarkStart w:id="110" w:name="_Toc18902"/>
      <w:r>
        <w:rPr>
          <w:rStyle w:val="37"/>
          <w:rFonts w:hint="eastAsia" w:ascii="宋体" w:hAnsi="宋体" w:eastAsia="宋体" w:cs="宋体"/>
          <w:color w:val="auto"/>
          <w:highlight w:val="none"/>
        </w:rPr>
        <w:t>第三章 服务需求</w:t>
      </w:r>
      <w:bookmarkEnd w:id="108"/>
      <w:bookmarkEnd w:id="109"/>
      <w:bookmarkEnd w:id="110"/>
    </w:p>
    <w:p>
      <w:pPr>
        <w:keepNext w:val="0"/>
        <w:keepLines w:val="0"/>
        <w:pageBreakBefore w:val="0"/>
        <w:kinsoku/>
        <w:wordWrap/>
        <w:overflowPunct/>
        <w:topLinePunct w:val="0"/>
        <w:autoSpaceDE/>
        <w:autoSpaceDN/>
        <w:bidi w:val="0"/>
        <w:spacing w:line="360" w:lineRule="auto"/>
        <w:ind w:firstLine="422" w:firstLineChars="200"/>
        <w:textAlignment w:val="auto"/>
        <w:rPr>
          <w:rFonts w:hint="eastAsia" w:asciiTheme="minorEastAsia" w:hAnsiTheme="minorEastAsia" w:eastAsiaTheme="minorEastAsia" w:cstheme="minorEastAsia"/>
          <w:b/>
          <w:sz w:val="21"/>
          <w:szCs w:val="21"/>
        </w:rPr>
      </w:pPr>
      <w:bookmarkStart w:id="111" w:name="_Toc78902194"/>
      <w:bookmarkStart w:id="112" w:name="_Toc2821_WPSOffice_Level1"/>
      <w:r>
        <w:rPr>
          <w:rFonts w:hint="eastAsia" w:asciiTheme="minorEastAsia" w:hAnsiTheme="minorEastAsia" w:eastAsiaTheme="minorEastAsia" w:cstheme="minorEastAsia"/>
          <w:b/>
          <w:sz w:val="21"/>
          <w:szCs w:val="21"/>
        </w:rPr>
        <w:t>一、项目概述</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sz w:val="21"/>
          <w:szCs w:val="21"/>
          <w:shd w:val="clear" w:color="auto" w:fill="FFFFFF"/>
          <w:lang w:eastAsia="zh-CN"/>
        </w:rPr>
        <w:t>为</w:t>
      </w:r>
      <w:r>
        <w:rPr>
          <w:rFonts w:hint="eastAsia" w:asciiTheme="minorEastAsia" w:hAnsiTheme="minorEastAsia" w:eastAsiaTheme="minorEastAsia" w:cstheme="minorEastAsia"/>
          <w:color w:val="auto"/>
          <w:sz w:val="21"/>
          <w:szCs w:val="21"/>
          <w:shd w:val="clear" w:color="auto" w:fill="FFFFFF"/>
        </w:rPr>
        <w:t>保证</w:t>
      </w:r>
      <w:r>
        <w:rPr>
          <w:rFonts w:hint="eastAsia" w:asciiTheme="minorEastAsia" w:hAnsiTheme="minorEastAsia" w:eastAsiaTheme="minorEastAsia" w:cstheme="minorEastAsia"/>
          <w:color w:val="auto"/>
          <w:sz w:val="21"/>
          <w:szCs w:val="21"/>
          <w:shd w:val="clear" w:color="auto" w:fill="FFFFFF"/>
          <w:lang w:eastAsia="zh-CN"/>
        </w:rPr>
        <w:t>黑龙江省税务局数据中心电力设施及</w:t>
      </w:r>
      <w:r>
        <w:rPr>
          <w:rFonts w:hint="eastAsia" w:asciiTheme="minorEastAsia" w:hAnsiTheme="minorEastAsia" w:eastAsiaTheme="minorEastAsia" w:cstheme="minorEastAsia"/>
          <w:color w:val="auto"/>
          <w:sz w:val="21"/>
          <w:szCs w:val="21"/>
          <w:shd w:val="clear" w:color="auto" w:fill="FFFFFF"/>
        </w:rPr>
        <w:t>系统</w:t>
      </w:r>
      <w:r>
        <w:rPr>
          <w:rFonts w:hint="eastAsia" w:asciiTheme="minorEastAsia" w:hAnsiTheme="minorEastAsia" w:eastAsiaTheme="minorEastAsia" w:cstheme="minorEastAsia"/>
          <w:color w:val="auto"/>
          <w:sz w:val="21"/>
          <w:szCs w:val="21"/>
          <w:shd w:val="clear" w:color="auto" w:fill="FFFFFF"/>
          <w:lang w:eastAsia="zh-CN"/>
        </w:rPr>
        <w:t>稳定、</w:t>
      </w:r>
      <w:r>
        <w:rPr>
          <w:rFonts w:hint="eastAsia" w:asciiTheme="minorEastAsia" w:hAnsiTheme="minorEastAsia" w:eastAsiaTheme="minorEastAsia" w:cstheme="minorEastAsia"/>
          <w:color w:val="auto"/>
          <w:sz w:val="21"/>
          <w:szCs w:val="21"/>
          <w:shd w:val="clear" w:color="auto" w:fill="FFFFFF"/>
        </w:rPr>
        <w:t>良好运行，需购买第三方</w:t>
      </w:r>
      <w:r>
        <w:rPr>
          <w:rFonts w:hint="eastAsia" w:asciiTheme="minorEastAsia" w:hAnsiTheme="minorEastAsia" w:eastAsiaTheme="minorEastAsia" w:cstheme="minorEastAsia"/>
          <w:color w:val="auto"/>
          <w:sz w:val="21"/>
          <w:szCs w:val="21"/>
          <w:shd w:val="clear" w:color="auto" w:fill="FFFFFF"/>
          <w:lang w:eastAsia="zh-CN"/>
        </w:rPr>
        <w:t>强电气运维</w:t>
      </w:r>
      <w:r>
        <w:rPr>
          <w:rFonts w:hint="eastAsia" w:asciiTheme="minorEastAsia" w:hAnsiTheme="minorEastAsia" w:eastAsiaTheme="minorEastAsia" w:cstheme="minorEastAsia"/>
          <w:color w:val="auto"/>
          <w:sz w:val="21"/>
          <w:szCs w:val="21"/>
          <w:shd w:val="clear" w:color="auto" w:fill="FFFFFF"/>
        </w:rPr>
        <w:t>服务</w:t>
      </w:r>
      <w:r>
        <w:rPr>
          <w:rFonts w:hint="eastAsia" w:asciiTheme="minorEastAsia" w:hAnsiTheme="minorEastAsia" w:eastAsiaTheme="minorEastAsia" w:cstheme="minorEastAsia"/>
          <w:color w:val="auto"/>
          <w:sz w:val="21"/>
          <w:szCs w:val="21"/>
          <w:shd w:val="clear" w:color="auto" w:fill="FFFFFF"/>
          <w:lang w:eastAsia="zh-CN"/>
        </w:rPr>
        <w:t>。提供值班值守人员</w:t>
      </w:r>
      <w:r>
        <w:rPr>
          <w:rFonts w:hint="eastAsia" w:asciiTheme="minorEastAsia" w:hAnsiTheme="minorEastAsia" w:eastAsiaTheme="minorEastAsia" w:cstheme="minorEastAsia"/>
          <w:color w:val="auto"/>
          <w:sz w:val="21"/>
          <w:szCs w:val="21"/>
          <w:shd w:val="clear" w:color="auto" w:fill="FFFFFF"/>
          <w:lang w:val="en-US" w:eastAsia="zh-CN"/>
        </w:rPr>
        <w:t>4人，</w:t>
      </w:r>
      <w:r>
        <w:rPr>
          <w:rFonts w:hint="eastAsia" w:asciiTheme="minorEastAsia" w:hAnsiTheme="minorEastAsia" w:eastAsiaTheme="minorEastAsia" w:cstheme="minorEastAsia"/>
          <w:color w:val="auto"/>
          <w:sz w:val="21"/>
          <w:szCs w:val="21"/>
          <w:shd w:val="clear" w:color="auto" w:fill="FFFFFF"/>
        </w:rPr>
        <w:t>对省局</w:t>
      </w:r>
      <w:r>
        <w:rPr>
          <w:rFonts w:hint="eastAsia" w:asciiTheme="minorEastAsia" w:hAnsiTheme="minorEastAsia" w:eastAsiaTheme="minorEastAsia" w:cstheme="minorEastAsia"/>
          <w:color w:val="auto"/>
          <w:sz w:val="21"/>
          <w:szCs w:val="21"/>
          <w:shd w:val="clear" w:color="auto" w:fill="FFFFFF"/>
          <w:lang w:eastAsia="zh-CN"/>
        </w:rPr>
        <w:t>数据</w:t>
      </w:r>
      <w:r>
        <w:rPr>
          <w:rFonts w:hint="eastAsia" w:asciiTheme="minorEastAsia" w:hAnsiTheme="minorEastAsia" w:eastAsiaTheme="minorEastAsia" w:cstheme="minorEastAsia"/>
          <w:color w:val="auto"/>
          <w:sz w:val="21"/>
          <w:szCs w:val="21"/>
          <w:shd w:val="clear" w:color="auto" w:fill="FFFFFF"/>
        </w:rPr>
        <w:t>中心</w:t>
      </w:r>
      <w:r>
        <w:rPr>
          <w:rFonts w:hint="eastAsia" w:asciiTheme="minorEastAsia" w:hAnsiTheme="minorEastAsia" w:eastAsiaTheme="minorEastAsia" w:cstheme="minorEastAsia"/>
          <w:color w:val="auto"/>
          <w:sz w:val="21"/>
          <w:szCs w:val="21"/>
          <w:shd w:val="clear" w:color="auto" w:fill="FFFFFF"/>
          <w:lang w:eastAsia="zh-CN"/>
        </w:rPr>
        <w:t>电力</w:t>
      </w:r>
      <w:r>
        <w:rPr>
          <w:rFonts w:hint="eastAsia" w:asciiTheme="minorEastAsia" w:hAnsiTheme="minorEastAsia" w:eastAsiaTheme="minorEastAsia" w:cstheme="minorEastAsia"/>
          <w:color w:val="auto"/>
          <w:sz w:val="21"/>
          <w:szCs w:val="21"/>
          <w:shd w:val="clear" w:color="auto" w:fill="FFFFFF"/>
        </w:rPr>
        <w:t>设施</w:t>
      </w:r>
      <w:r>
        <w:rPr>
          <w:rFonts w:hint="eastAsia" w:asciiTheme="minorEastAsia" w:hAnsiTheme="minorEastAsia" w:eastAsiaTheme="minorEastAsia" w:cstheme="minorEastAsia"/>
          <w:color w:val="auto"/>
          <w:sz w:val="21"/>
          <w:szCs w:val="21"/>
          <w:shd w:val="clear" w:color="auto" w:fill="FFFFFF"/>
          <w:lang w:eastAsia="zh-CN"/>
        </w:rPr>
        <w:t>及</w:t>
      </w:r>
      <w:r>
        <w:rPr>
          <w:rFonts w:hint="eastAsia" w:asciiTheme="minorEastAsia" w:hAnsiTheme="minorEastAsia" w:eastAsiaTheme="minorEastAsia" w:cstheme="minorEastAsia"/>
          <w:color w:val="auto"/>
          <w:sz w:val="21"/>
          <w:szCs w:val="21"/>
          <w:shd w:val="clear" w:color="auto" w:fill="FFFFFF"/>
        </w:rPr>
        <w:t>系统进行定期维护和保养，提供</w:t>
      </w:r>
      <w:r>
        <w:rPr>
          <w:rFonts w:hint="eastAsia" w:asciiTheme="minorEastAsia" w:hAnsiTheme="minorEastAsia" w:eastAsiaTheme="minorEastAsia" w:cstheme="minorEastAsia"/>
          <w:color w:val="auto"/>
          <w:sz w:val="21"/>
          <w:szCs w:val="21"/>
          <w:shd w:val="clear" w:color="auto" w:fill="FFFFFF"/>
          <w:lang w:eastAsia="zh-CN"/>
        </w:rPr>
        <w:t>电力</w:t>
      </w:r>
      <w:r>
        <w:rPr>
          <w:rFonts w:hint="eastAsia" w:asciiTheme="minorEastAsia" w:hAnsiTheme="minorEastAsia" w:eastAsiaTheme="minorEastAsia" w:cstheme="minorEastAsia"/>
          <w:color w:val="auto"/>
          <w:sz w:val="21"/>
          <w:szCs w:val="21"/>
          <w:shd w:val="clear" w:color="auto" w:fill="FFFFFF"/>
        </w:rPr>
        <w:t>设施日常巡</w:t>
      </w:r>
      <w:r>
        <w:rPr>
          <w:rFonts w:hint="eastAsia" w:asciiTheme="minorEastAsia" w:hAnsiTheme="minorEastAsia" w:eastAsiaTheme="minorEastAsia" w:cstheme="minorEastAsia"/>
          <w:color w:val="auto"/>
          <w:sz w:val="21"/>
          <w:szCs w:val="21"/>
          <w:shd w:val="clear" w:color="auto" w:fill="FFFFFF"/>
          <w:lang w:eastAsia="zh-CN"/>
        </w:rPr>
        <w:t>检</w:t>
      </w:r>
      <w:r>
        <w:rPr>
          <w:rFonts w:hint="eastAsia" w:asciiTheme="minorEastAsia" w:hAnsiTheme="minorEastAsia" w:eastAsiaTheme="minorEastAsia" w:cstheme="minorEastAsia"/>
          <w:color w:val="auto"/>
          <w:sz w:val="21"/>
          <w:szCs w:val="21"/>
          <w:shd w:val="clear" w:color="auto" w:fill="FFFFFF"/>
        </w:rPr>
        <w:t>、定期检测、维修改造、应急排险</w:t>
      </w:r>
      <w:r>
        <w:rPr>
          <w:rFonts w:hint="eastAsia" w:asciiTheme="minorEastAsia" w:hAnsiTheme="minorEastAsia" w:eastAsiaTheme="minorEastAsia" w:cstheme="minorEastAsia"/>
          <w:color w:val="auto"/>
          <w:sz w:val="21"/>
          <w:szCs w:val="21"/>
          <w:shd w:val="clear" w:color="auto" w:fill="FFFFFF"/>
          <w:lang w:eastAsia="zh-CN"/>
        </w:rPr>
        <w:t>、设备清洁</w:t>
      </w:r>
      <w:r>
        <w:rPr>
          <w:rFonts w:hint="eastAsia" w:asciiTheme="minorEastAsia" w:hAnsiTheme="minorEastAsia" w:eastAsiaTheme="minorEastAsia" w:cstheme="minorEastAsia"/>
          <w:color w:val="auto"/>
          <w:sz w:val="21"/>
          <w:szCs w:val="21"/>
          <w:shd w:val="clear" w:color="auto" w:fill="FFFFFF"/>
        </w:rPr>
        <w:t>及</w:t>
      </w:r>
      <w:r>
        <w:rPr>
          <w:rFonts w:hint="eastAsia" w:asciiTheme="minorEastAsia" w:hAnsiTheme="minorEastAsia" w:eastAsiaTheme="minorEastAsia" w:cstheme="minorEastAsia"/>
          <w:color w:val="auto"/>
          <w:sz w:val="21"/>
          <w:szCs w:val="21"/>
          <w:shd w:val="clear" w:color="auto" w:fill="FFFFFF"/>
          <w:lang w:eastAsia="zh-CN"/>
        </w:rPr>
        <w:t>提供</w:t>
      </w:r>
      <w:r>
        <w:rPr>
          <w:rFonts w:hint="eastAsia" w:asciiTheme="minorEastAsia" w:hAnsiTheme="minorEastAsia" w:eastAsiaTheme="minorEastAsia" w:cstheme="minorEastAsia"/>
          <w:color w:val="auto"/>
          <w:sz w:val="21"/>
          <w:szCs w:val="21"/>
          <w:shd w:val="clear" w:color="auto" w:fill="FFFFFF"/>
        </w:rPr>
        <w:t>日常维护</w:t>
      </w:r>
      <w:r>
        <w:rPr>
          <w:rFonts w:hint="eastAsia" w:asciiTheme="minorEastAsia" w:hAnsiTheme="minorEastAsia" w:eastAsiaTheme="minorEastAsia" w:cstheme="minorEastAsia"/>
          <w:color w:val="auto"/>
          <w:sz w:val="21"/>
          <w:szCs w:val="21"/>
          <w:shd w:val="clear" w:color="auto" w:fill="FFFFFF"/>
          <w:lang w:eastAsia="zh-CN"/>
        </w:rPr>
        <w:t>工具、</w:t>
      </w:r>
      <w:r>
        <w:rPr>
          <w:rFonts w:hint="eastAsia" w:asciiTheme="minorEastAsia" w:hAnsiTheme="minorEastAsia" w:eastAsiaTheme="minorEastAsia" w:cstheme="minorEastAsia"/>
          <w:color w:val="auto"/>
          <w:sz w:val="21"/>
          <w:szCs w:val="21"/>
          <w:shd w:val="clear" w:color="auto" w:fill="FFFFFF"/>
        </w:rPr>
        <w:t>材料等服务。</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服务期限为1年，项目预算为</w:t>
      </w:r>
      <w:r>
        <w:rPr>
          <w:rFonts w:hint="eastAsia" w:asciiTheme="minorEastAsia" w:hAnsiTheme="minorEastAsia" w:eastAsiaTheme="minorEastAsia" w:cstheme="minorEastAsia"/>
          <w:b/>
          <w:bCs/>
          <w:color w:val="auto"/>
          <w:sz w:val="21"/>
          <w:szCs w:val="21"/>
          <w:shd w:val="clear" w:color="auto" w:fill="FFFFFF"/>
          <w:lang w:val="en-US" w:eastAsia="zh-CN"/>
        </w:rPr>
        <w:t>37.5</w:t>
      </w:r>
      <w:r>
        <w:rPr>
          <w:rFonts w:hint="eastAsia" w:asciiTheme="minorEastAsia" w:hAnsiTheme="minorEastAsia" w:eastAsiaTheme="minorEastAsia" w:cstheme="minorEastAsia"/>
          <w:b/>
          <w:bCs/>
          <w:color w:val="auto"/>
          <w:sz w:val="21"/>
          <w:szCs w:val="21"/>
          <w:shd w:val="clear" w:color="auto" w:fill="FFFFFF"/>
        </w:rPr>
        <w:t>万元</w:t>
      </w:r>
      <w:r>
        <w:rPr>
          <w:rFonts w:hint="eastAsia" w:asciiTheme="minorEastAsia" w:hAnsiTheme="minorEastAsia" w:eastAsiaTheme="minorEastAsia" w:cstheme="minorEastAsia"/>
          <w:color w:val="auto"/>
          <w:sz w:val="21"/>
          <w:szCs w:val="21"/>
          <w:shd w:val="clear" w:color="auto" w:fill="FFFFFF"/>
        </w:rPr>
        <w:t>。</w:t>
      </w:r>
    </w:p>
    <w:p>
      <w:pPr>
        <w:keepNext w:val="0"/>
        <w:keepLines w:val="0"/>
        <w:pageBreakBefore w:val="0"/>
        <w:kinsoku/>
        <w:wordWrap/>
        <w:overflowPunct/>
        <w:topLinePunct w:val="0"/>
        <w:autoSpaceDE/>
        <w:autoSpaceDN/>
        <w:bidi w:val="0"/>
        <w:spacing w:line="360" w:lineRule="auto"/>
        <w:ind w:firstLine="422" w:firstLineChars="200"/>
        <w:textAlignment w:val="auto"/>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b/>
          <w:color w:val="auto"/>
          <w:sz w:val="21"/>
          <w:szCs w:val="21"/>
        </w:rPr>
        <w:t>二、项目内容</w:t>
      </w:r>
      <w:r>
        <w:rPr>
          <w:rFonts w:hint="eastAsia" w:asciiTheme="minorEastAsia" w:hAnsiTheme="minorEastAsia" w:eastAsiaTheme="minorEastAsia" w:cstheme="minorEastAsia"/>
          <w:b/>
          <w:color w:val="auto"/>
          <w:sz w:val="21"/>
          <w:szCs w:val="21"/>
          <w:lang w:eastAsia="zh-CN"/>
        </w:rPr>
        <w:t>及</w:t>
      </w:r>
      <w:r>
        <w:rPr>
          <w:rFonts w:hint="eastAsia" w:asciiTheme="minorEastAsia" w:hAnsiTheme="minorEastAsia" w:eastAsiaTheme="minorEastAsia" w:cstheme="minorEastAsia"/>
          <w:b/>
          <w:color w:val="auto"/>
          <w:sz w:val="21"/>
          <w:szCs w:val="21"/>
        </w:rPr>
        <w:t>服务要求</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（一）运维内容</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提供</w:t>
      </w:r>
      <w:r>
        <w:rPr>
          <w:rFonts w:hint="eastAsia" w:asciiTheme="minorEastAsia" w:hAnsiTheme="minorEastAsia" w:eastAsiaTheme="minorEastAsia" w:cstheme="minorEastAsia"/>
          <w:color w:val="auto"/>
          <w:sz w:val="21"/>
          <w:szCs w:val="21"/>
          <w:shd w:val="clear" w:color="auto" w:fill="FFFFFF"/>
          <w:lang w:eastAsia="zh-CN"/>
        </w:rPr>
        <w:t>动力中心</w:t>
      </w:r>
      <w:r>
        <w:rPr>
          <w:rFonts w:hint="eastAsia" w:asciiTheme="minorEastAsia" w:hAnsiTheme="minorEastAsia" w:eastAsiaTheme="minorEastAsia" w:cstheme="minorEastAsia"/>
          <w:color w:val="auto"/>
          <w:sz w:val="21"/>
          <w:szCs w:val="21"/>
          <w:shd w:val="clear" w:color="auto" w:fill="FFFFFF"/>
        </w:rPr>
        <w:t>现场7*24小时值班值守</w:t>
      </w:r>
      <w:r>
        <w:rPr>
          <w:rFonts w:hint="eastAsia" w:asciiTheme="minorEastAsia" w:hAnsiTheme="minorEastAsia" w:eastAsiaTheme="minorEastAsia" w:cstheme="minorEastAsia"/>
          <w:color w:val="auto"/>
          <w:sz w:val="21"/>
          <w:szCs w:val="21"/>
          <w:shd w:val="clear" w:color="auto" w:fill="FFFFFF"/>
          <w:lang w:eastAsia="zh-CN"/>
        </w:rPr>
        <w:t>服务</w:t>
      </w:r>
      <w:r>
        <w:rPr>
          <w:rFonts w:hint="eastAsia" w:asciiTheme="minorEastAsia" w:hAnsiTheme="minorEastAsia" w:eastAsiaTheme="minorEastAsia" w:cstheme="minorEastAsia"/>
          <w:color w:val="auto"/>
          <w:sz w:val="21"/>
          <w:szCs w:val="21"/>
          <w:shd w:val="clear" w:color="auto" w:fill="FFFFFF"/>
        </w:rPr>
        <w:t>（含全年法定节假日），值班人需具有</w:t>
      </w:r>
      <w:r>
        <w:rPr>
          <w:rFonts w:hint="eastAsia" w:asciiTheme="minorEastAsia" w:hAnsiTheme="minorEastAsia" w:eastAsiaTheme="minorEastAsia" w:cstheme="minorEastAsia"/>
          <w:color w:val="auto"/>
          <w:sz w:val="21"/>
          <w:szCs w:val="21"/>
          <w:shd w:val="clear" w:color="auto" w:fill="FFFFFF"/>
          <w:lang w:eastAsia="zh-CN"/>
        </w:rPr>
        <w:t>高压操作</w:t>
      </w:r>
      <w:r>
        <w:rPr>
          <w:rFonts w:hint="eastAsia" w:asciiTheme="minorEastAsia" w:hAnsiTheme="minorEastAsia" w:eastAsiaTheme="minorEastAsia" w:cstheme="minorEastAsia"/>
          <w:color w:val="auto"/>
          <w:sz w:val="21"/>
          <w:szCs w:val="21"/>
          <w:shd w:val="clear" w:color="auto" w:fill="FFFFFF"/>
        </w:rPr>
        <w:t>职业资格证书，每班值班人数不少于2人、总计4人执行轮岗。维保期间，如</w:t>
      </w:r>
      <w:r>
        <w:rPr>
          <w:rFonts w:hint="eastAsia" w:asciiTheme="minorEastAsia" w:hAnsiTheme="minorEastAsia" w:eastAsiaTheme="minorEastAsia" w:cstheme="minorEastAsia"/>
          <w:color w:val="auto"/>
          <w:sz w:val="21"/>
          <w:szCs w:val="21"/>
          <w:shd w:val="clear" w:color="auto" w:fill="FFFFFF"/>
          <w:lang w:eastAsia="zh-CN"/>
        </w:rPr>
        <w:t>电力</w:t>
      </w:r>
      <w:r>
        <w:rPr>
          <w:rFonts w:hint="eastAsia" w:asciiTheme="minorEastAsia" w:hAnsiTheme="minorEastAsia" w:eastAsiaTheme="minorEastAsia" w:cstheme="minorEastAsia"/>
          <w:color w:val="auto"/>
          <w:sz w:val="21"/>
          <w:szCs w:val="21"/>
          <w:shd w:val="clear" w:color="auto" w:fill="FFFFFF"/>
        </w:rPr>
        <w:t>设备发生损坏</w:t>
      </w:r>
      <w:r>
        <w:rPr>
          <w:rFonts w:hint="eastAsia" w:asciiTheme="minorEastAsia" w:hAnsiTheme="minorEastAsia" w:eastAsiaTheme="minorEastAsia" w:cstheme="minorEastAsia"/>
          <w:color w:val="auto"/>
          <w:sz w:val="21"/>
          <w:szCs w:val="21"/>
          <w:shd w:val="clear" w:color="auto" w:fill="FFFFFF"/>
          <w:lang w:eastAsia="zh-CN"/>
        </w:rPr>
        <w:t>且</w:t>
      </w:r>
      <w:r>
        <w:rPr>
          <w:rFonts w:hint="eastAsia" w:asciiTheme="minorEastAsia" w:hAnsiTheme="minorEastAsia" w:eastAsiaTheme="minorEastAsia" w:cstheme="minorEastAsia"/>
          <w:color w:val="auto"/>
          <w:sz w:val="21"/>
          <w:szCs w:val="21"/>
          <w:shd w:val="clear" w:color="auto" w:fill="FFFFFF"/>
        </w:rPr>
        <w:t>具备维修价值的，由服务方负责维修，维修材料费用单项单价低于人民币300元的(含300元)，乙方负责免费修复;超过人民币300元的，材料费用由甲方承担，乙方负责免费修复，按季度进行审核确认后汇总结算。如设备、配件不具备维修价值需要更换时，由乙方负责更换，一年维保期内更换备品备件设备及材料费用累计总价人民币30000元以内的(含30000元),由乙方负责提供；累计总价超过人民币30000元的，材料费用由甲方承担</w:t>
      </w:r>
      <w:r>
        <w:rPr>
          <w:rFonts w:hint="eastAsia" w:asciiTheme="minorEastAsia" w:hAnsiTheme="minorEastAsia" w:eastAsiaTheme="minorEastAsia" w:cstheme="minorEastAsia"/>
          <w:color w:val="auto"/>
          <w:sz w:val="21"/>
          <w:szCs w:val="21"/>
          <w:shd w:val="clear" w:color="auto" w:fill="FFFFFF"/>
          <w:lang w:eastAsia="zh-CN"/>
        </w:rPr>
        <w:t>，</w:t>
      </w:r>
      <w:r>
        <w:rPr>
          <w:rFonts w:hint="eastAsia" w:asciiTheme="minorEastAsia" w:hAnsiTheme="minorEastAsia" w:eastAsiaTheme="minorEastAsia" w:cstheme="minorEastAsia"/>
          <w:color w:val="auto"/>
          <w:sz w:val="21"/>
          <w:szCs w:val="21"/>
          <w:shd w:val="clear" w:color="auto" w:fill="FFFFFF"/>
        </w:rPr>
        <w:t>乙方负责</w:t>
      </w:r>
      <w:r>
        <w:rPr>
          <w:rFonts w:hint="eastAsia" w:asciiTheme="minorEastAsia" w:hAnsiTheme="minorEastAsia" w:eastAsiaTheme="minorEastAsia" w:cstheme="minorEastAsia"/>
          <w:color w:val="auto"/>
          <w:sz w:val="21"/>
          <w:szCs w:val="21"/>
          <w:shd w:val="clear" w:color="auto" w:fill="FFFFFF"/>
          <w:lang w:eastAsia="zh-CN"/>
        </w:rPr>
        <w:t>免费</w:t>
      </w:r>
      <w:r>
        <w:rPr>
          <w:rFonts w:hint="eastAsia" w:asciiTheme="minorEastAsia" w:hAnsiTheme="minorEastAsia" w:eastAsiaTheme="minorEastAsia" w:cstheme="minorEastAsia"/>
          <w:color w:val="auto"/>
          <w:sz w:val="21"/>
          <w:szCs w:val="21"/>
          <w:shd w:val="clear" w:color="auto" w:fill="FFFFFF"/>
        </w:rPr>
        <w:t>更换</w:t>
      </w:r>
      <w:r>
        <w:rPr>
          <w:rFonts w:hint="eastAsia" w:asciiTheme="minorEastAsia" w:hAnsiTheme="minorEastAsia" w:eastAsiaTheme="minorEastAsia" w:cstheme="minorEastAsia"/>
          <w:color w:val="auto"/>
          <w:sz w:val="21"/>
          <w:szCs w:val="21"/>
          <w:shd w:val="clear" w:color="auto" w:fill="FFFFFF"/>
          <w:lang w:eastAsia="zh-CN"/>
        </w:rPr>
        <w:t>；在运维期间，甲方电力及线路需进行改造，费用由甲方自行承担，乙方负责实施</w:t>
      </w:r>
      <w:r>
        <w:rPr>
          <w:rFonts w:hint="eastAsia" w:asciiTheme="minorEastAsia" w:hAnsiTheme="minorEastAsia" w:eastAsiaTheme="minorEastAsia" w:cstheme="minorEastAsia"/>
          <w:color w:val="auto"/>
          <w:sz w:val="21"/>
          <w:szCs w:val="21"/>
          <w:shd w:val="clear" w:color="auto" w:fill="FFFFFF"/>
        </w:rPr>
        <w:t>。</w:t>
      </w:r>
    </w:p>
    <w:p>
      <w:pPr>
        <w:keepNext w:val="0"/>
        <w:keepLines w:val="0"/>
        <w:pageBreakBefore w:val="0"/>
        <w:numPr>
          <w:ilvl w:val="0"/>
          <w:numId w:val="6"/>
        </w:numPr>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lang w:eastAsia="zh-CN"/>
        </w:rPr>
        <w:t>电力</w:t>
      </w:r>
      <w:r>
        <w:rPr>
          <w:rFonts w:hint="eastAsia" w:asciiTheme="minorEastAsia" w:hAnsiTheme="minorEastAsia" w:eastAsiaTheme="minorEastAsia" w:cstheme="minorEastAsia"/>
          <w:color w:val="auto"/>
          <w:sz w:val="21"/>
          <w:szCs w:val="21"/>
          <w:shd w:val="clear" w:color="auto" w:fill="FFFFFF"/>
        </w:rPr>
        <w:t>设施维护保养范围包括:</w:t>
      </w:r>
    </w:p>
    <w:p>
      <w:pPr>
        <w:keepNext w:val="0"/>
        <w:keepLines w:val="0"/>
        <w:pageBreakBefore w:val="0"/>
        <w:numPr>
          <w:ilvl w:val="0"/>
          <w:numId w:val="0"/>
        </w:numPr>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 xml:space="preserve"> </w:t>
      </w:r>
    </w:p>
    <w:tbl>
      <w:tblPr>
        <w:tblStyle w:val="27"/>
        <w:tblW w:w="8338" w:type="dxa"/>
        <w:jc w:val="center"/>
        <w:tblInd w:w="0" w:type="dxa"/>
        <w:tblLayout w:type="fixed"/>
        <w:tblCellMar>
          <w:top w:w="0" w:type="dxa"/>
          <w:left w:w="108" w:type="dxa"/>
          <w:bottom w:w="0" w:type="dxa"/>
          <w:right w:w="108" w:type="dxa"/>
        </w:tblCellMar>
      </w:tblPr>
      <w:tblGrid>
        <w:gridCol w:w="912"/>
        <w:gridCol w:w="2797"/>
        <w:gridCol w:w="2453"/>
        <w:gridCol w:w="1172"/>
        <w:gridCol w:w="1004"/>
      </w:tblGrid>
      <w:tr>
        <w:tblPrEx>
          <w:tblLayout w:type="fixed"/>
          <w:tblCellMar>
            <w:top w:w="0" w:type="dxa"/>
            <w:left w:w="108" w:type="dxa"/>
            <w:bottom w:w="0" w:type="dxa"/>
            <w:right w:w="108" w:type="dxa"/>
          </w:tblCellMar>
        </w:tblPrEx>
        <w:trPr>
          <w:trHeight w:val="895" w:hRule="exact"/>
          <w:jc w:val="center"/>
        </w:trPr>
        <w:tc>
          <w:tcPr>
            <w:tcW w:w="912"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序号</w:t>
            </w:r>
          </w:p>
        </w:tc>
        <w:tc>
          <w:tcPr>
            <w:tcW w:w="2797" w:type="dxa"/>
            <w:tcBorders>
              <w:top w:val="single" w:color="auto" w:sz="4" w:space="0"/>
              <w:left w:val="nil"/>
              <w:bottom w:val="single" w:color="auto" w:sz="4" w:space="0"/>
              <w:right w:val="single" w:color="auto" w:sz="4" w:space="0"/>
            </w:tcBorders>
            <w:shd w:val="clear" w:color="000000" w:fill="FFFFFF"/>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eastAsia="zh-CN"/>
              </w:rPr>
            </w:pPr>
            <w:r>
              <w:rPr>
                <w:rFonts w:hint="eastAsia" w:asciiTheme="minorEastAsia" w:hAnsiTheme="minorEastAsia" w:eastAsiaTheme="minorEastAsia" w:cstheme="minorEastAsia"/>
                <w:color w:val="auto"/>
                <w:sz w:val="21"/>
                <w:szCs w:val="21"/>
                <w:shd w:val="clear" w:color="auto" w:fill="FFFFFF"/>
                <w:lang w:val="en-US" w:eastAsia="zh-CN"/>
              </w:rPr>
              <w:t>项目</w:t>
            </w:r>
          </w:p>
        </w:tc>
        <w:tc>
          <w:tcPr>
            <w:tcW w:w="2453" w:type="dxa"/>
            <w:tcBorders>
              <w:top w:val="single" w:color="auto" w:sz="4" w:space="0"/>
              <w:left w:val="nil"/>
              <w:bottom w:val="single" w:color="auto" w:sz="4" w:space="0"/>
              <w:right w:val="single" w:color="auto" w:sz="4" w:space="0"/>
            </w:tcBorders>
            <w:shd w:val="clear" w:color="000000" w:fill="FFFFFF"/>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lang w:val="en-US" w:eastAsia="zh-CN"/>
              </w:rPr>
              <w:t>规格/</w:t>
            </w:r>
            <w:r>
              <w:rPr>
                <w:rFonts w:hint="eastAsia" w:asciiTheme="minorEastAsia" w:hAnsiTheme="minorEastAsia" w:eastAsiaTheme="minorEastAsia" w:cstheme="minorEastAsia"/>
                <w:color w:val="auto"/>
                <w:sz w:val="21"/>
                <w:szCs w:val="21"/>
                <w:shd w:val="clear" w:color="auto" w:fill="FFFFFF"/>
              </w:rPr>
              <w:t>型号</w:t>
            </w:r>
          </w:p>
        </w:tc>
        <w:tc>
          <w:tcPr>
            <w:tcW w:w="1172" w:type="dxa"/>
            <w:tcBorders>
              <w:top w:val="single" w:color="auto" w:sz="4" w:space="0"/>
              <w:left w:val="nil"/>
              <w:bottom w:val="single" w:color="auto" w:sz="4" w:space="0"/>
              <w:right w:val="single" w:color="auto" w:sz="4" w:space="0"/>
            </w:tcBorders>
            <w:shd w:val="clear" w:color="000000" w:fill="FFFFFF"/>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数量</w:t>
            </w:r>
          </w:p>
        </w:tc>
        <w:tc>
          <w:tcPr>
            <w:tcW w:w="1004" w:type="dxa"/>
            <w:tcBorders>
              <w:top w:val="single" w:color="auto" w:sz="4" w:space="0"/>
              <w:left w:val="nil"/>
              <w:bottom w:val="single" w:color="auto" w:sz="4" w:space="0"/>
              <w:right w:val="single" w:color="auto" w:sz="4" w:space="0"/>
            </w:tcBorders>
            <w:shd w:val="clear" w:color="000000" w:fill="FFFFFF"/>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单位</w:t>
            </w:r>
          </w:p>
        </w:tc>
      </w:tr>
      <w:tr>
        <w:tblPrEx>
          <w:tblLayout w:type="fixed"/>
          <w:tblCellMar>
            <w:top w:w="0" w:type="dxa"/>
            <w:left w:w="108" w:type="dxa"/>
            <w:bottom w:w="0" w:type="dxa"/>
            <w:right w:w="108" w:type="dxa"/>
          </w:tblCellMar>
        </w:tblPrEx>
        <w:trPr>
          <w:trHeight w:val="1134" w:hRule="exact"/>
          <w:jc w:val="center"/>
        </w:trPr>
        <w:tc>
          <w:tcPr>
            <w:tcW w:w="9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1</w:t>
            </w:r>
          </w:p>
        </w:tc>
        <w:tc>
          <w:tcPr>
            <w:tcW w:w="279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10kV高压柜代维服务</w:t>
            </w:r>
          </w:p>
        </w:tc>
        <w:tc>
          <w:tcPr>
            <w:tcW w:w="245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KYN28</w:t>
            </w:r>
          </w:p>
        </w:tc>
        <w:tc>
          <w:tcPr>
            <w:tcW w:w="117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8</w:t>
            </w:r>
          </w:p>
        </w:tc>
        <w:tc>
          <w:tcPr>
            <w:tcW w:w="100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台</w:t>
            </w:r>
          </w:p>
        </w:tc>
      </w:tr>
      <w:tr>
        <w:tblPrEx>
          <w:tblLayout w:type="fixed"/>
          <w:tblCellMar>
            <w:top w:w="0" w:type="dxa"/>
            <w:left w:w="108" w:type="dxa"/>
            <w:bottom w:w="0" w:type="dxa"/>
            <w:right w:w="108" w:type="dxa"/>
          </w:tblCellMar>
        </w:tblPrEx>
        <w:trPr>
          <w:trHeight w:val="1134" w:hRule="exact"/>
          <w:jc w:val="center"/>
        </w:trPr>
        <w:tc>
          <w:tcPr>
            <w:tcW w:w="9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3</w:t>
            </w:r>
          </w:p>
        </w:tc>
        <w:tc>
          <w:tcPr>
            <w:tcW w:w="279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变压器代维服务</w:t>
            </w:r>
          </w:p>
        </w:tc>
        <w:tc>
          <w:tcPr>
            <w:tcW w:w="245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SCB11-2000kVA</w:t>
            </w:r>
          </w:p>
        </w:tc>
        <w:tc>
          <w:tcPr>
            <w:tcW w:w="117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2</w:t>
            </w:r>
          </w:p>
        </w:tc>
        <w:tc>
          <w:tcPr>
            <w:tcW w:w="100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台</w:t>
            </w:r>
          </w:p>
        </w:tc>
      </w:tr>
      <w:tr>
        <w:tblPrEx>
          <w:tblLayout w:type="fixed"/>
          <w:tblCellMar>
            <w:top w:w="0" w:type="dxa"/>
            <w:left w:w="108" w:type="dxa"/>
            <w:bottom w:w="0" w:type="dxa"/>
            <w:right w:w="108" w:type="dxa"/>
          </w:tblCellMar>
        </w:tblPrEx>
        <w:trPr>
          <w:trHeight w:val="1134" w:hRule="exact"/>
          <w:jc w:val="center"/>
        </w:trPr>
        <w:tc>
          <w:tcPr>
            <w:tcW w:w="9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4</w:t>
            </w:r>
          </w:p>
        </w:tc>
        <w:tc>
          <w:tcPr>
            <w:tcW w:w="279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直流屏代维服务</w:t>
            </w:r>
          </w:p>
        </w:tc>
        <w:tc>
          <w:tcPr>
            <w:tcW w:w="245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65AH</w:t>
            </w:r>
          </w:p>
        </w:tc>
        <w:tc>
          <w:tcPr>
            <w:tcW w:w="117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1</w:t>
            </w:r>
          </w:p>
        </w:tc>
        <w:tc>
          <w:tcPr>
            <w:tcW w:w="100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套</w:t>
            </w:r>
          </w:p>
        </w:tc>
      </w:tr>
      <w:tr>
        <w:tblPrEx>
          <w:tblLayout w:type="fixed"/>
          <w:tblCellMar>
            <w:top w:w="0" w:type="dxa"/>
            <w:left w:w="108" w:type="dxa"/>
            <w:bottom w:w="0" w:type="dxa"/>
            <w:right w:w="108" w:type="dxa"/>
          </w:tblCellMar>
        </w:tblPrEx>
        <w:trPr>
          <w:trHeight w:val="1134" w:hRule="exact"/>
          <w:jc w:val="center"/>
        </w:trPr>
        <w:tc>
          <w:tcPr>
            <w:tcW w:w="9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5</w:t>
            </w:r>
          </w:p>
        </w:tc>
        <w:tc>
          <w:tcPr>
            <w:tcW w:w="279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高压电缆代维服务</w:t>
            </w:r>
          </w:p>
        </w:tc>
        <w:tc>
          <w:tcPr>
            <w:tcW w:w="245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YJV22-70-120²</w:t>
            </w:r>
          </w:p>
        </w:tc>
        <w:tc>
          <w:tcPr>
            <w:tcW w:w="117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6</w:t>
            </w:r>
          </w:p>
        </w:tc>
        <w:tc>
          <w:tcPr>
            <w:tcW w:w="100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条</w:t>
            </w:r>
          </w:p>
        </w:tc>
      </w:tr>
      <w:tr>
        <w:tblPrEx>
          <w:tblLayout w:type="fixed"/>
          <w:tblCellMar>
            <w:top w:w="0" w:type="dxa"/>
            <w:left w:w="108" w:type="dxa"/>
            <w:bottom w:w="0" w:type="dxa"/>
            <w:right w:w="108" w:type="dxa"/>
          </w:tblCellMar>
        </w:tblPrEx>
        <w:trPr>
          <w:trHeight w:val="1134" w:hRule="exact"/>
          <w:jc w:val="center"/>
        </w:trPr>
        <w:tc>
          <w:tcPr>
            <w:tcW w:w="9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6</w:t>
            </w:r>
          </w:p>
        </w:tc>
        <w:tc>
          <w:tcPr>
            <w:tcW w:w="279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户外柱上真空开关</w:t>
            </w:r>
          </w:p>
        </w:tc>
        <w:tc>
          <w:tcPr>
            <w:tcW w:w="245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p>
        </w:tc>
        <w:tc>
          <w:tcPr>
            <w:tcW w:w="117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2</w:t>
            </w:r>
          </w:p>
        </w:tc>
        <w:tc>
          <w:tcPr>
            <w:tcW w:w="100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套</w:t>
            </w:r>
          </w:p>
        </w:tc>
      </w:tr>
      <w:tr>
        <w:tblPrEx>
          <w:tblLayout w:type="fixed"/>
          <w:tblCellMar>
            <w:top w:w="0" w:type="dxa"/>
            <w:left w:w="108" w:type="dxa"/>
            <w:bottom w:w="0" w:type="dxa"/>
            <w:right w:w="108" w:type="dxa"/>
          </w:tblCellMar>
        </w:tblPrEx>
        <w:trPr>
          <w:trHeight w:val="1134" w:hRule="exact"/>
          <w:jc w:val="center"/>
        </w:trPr>
        <w:tc>
          <w:tcPr>
            <w:tcW w:w="9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7</w:t>
            </w:r>
          </w:p>
        </w:tc>
        <w:tc>
          <w:tcPr>
            <w:tcW w:w="279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远程智能运维监测服务</w:t>
            </w:r>
          </w:p>
        </w:tc>
        <w:tc>
          <w:tcPr>
            <w:tcW w:w="245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7x24小时</w:t>
            </w:r>
          </w:p>
        </w:tc>
        <w:tc>
          <w:tcPr>
            <w:tcW w:w="117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1</w:t>
            </w:r>
          </w:p>
        </w:tc>
        <w:tc>
          <w:tcPr>
            <w:tcW w:w="100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rPr>
            </w:pPr>
            <w:r>
              <w:rPr>
                <w:rFonts w:hint="eastAsia" w:asciiTheme="minorEastAsia" w:hAnsiTheme="minorEastAsia" w:eastAsiaTheme="minorEastAsia" w:cstheme="minorEastAsia"/>
                <w:color w:val="auto"/>
                <w:sz w:val="21"/>
                <w:szCs w:val="21"/>
                <w:shd w:val="clear" w:color="auto" w:fill="FFFFFF"/>
                <w:lang w:val="en-US" w:eastAsia="zh-CN"/>
              </w:rPr>
              <w:t>年</w:t>
            </w:r>
          </w:p>
        </w:tc>
      </w:tr>
    </w:tbl>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（三）服务要求</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依据国家</w:t>
      </w:r>
      <w:r>
        <w:rPr>
          <w:rFonts w:hint="eastAsia" w:asciiTheme="minorEastAsia" w:hAnsiTheme="minorEastAsia" w:eastAsiaTheme="minorEastAsia" w:cstheme="minorEastAsia"/>
          <w:color w:val="auto"/>
          <w:sz w:val="21"/>
          <w:szCs w:val="21"/>
          <w:shd w:val="clear" w:color="auto" w:fill="FFFFFF"/>
          <w:lang w:eastAsia="zh-CN"/>
        </w:rPr>
        <w:t>电力</w:t>
      </w:r>
      <w:r>
        <w:rPr>
          <w:rFonts w:hint="eastAsia" w:asciiTheme="minorEastAsia" w:hAnsiTheme="minorEastAsia" w:eastAsiaTheme="minorEastAsia" w:cstheme="minorEastAsia"/>
          <w:color w:val="auto"/>
          <w:sz w:val="21"/>
          <w:szCs w:val="21"/>
          <w:shd w:val="clear" w:color="auto" w:fill="FFFFFF"/>
        </w:rPr>
        <w:t>规范、技术标准提供维保服务，按时完成维保工作，每</w:t>
      </w:r>
      <w:r>
        <w:rPr>
          <w:rFonts w:hint="eastAsia" w:asciiTheme="minorEastAsia" w:hAnsiTheme="minorEastAsia" w:eastAsiaTheme="minorEastAsia" w:cstheme="minorEastAsia"/>
          <w:color w:val="auto"/>
          <w:sz w:val="21"/>
          <w:szCs w:val="21"/>
          <w:shd w:val="clear" w:color="auto" w:fill="FFFFFF"/>
          <w:lang w:eastAsia="zh-CN"/>
        </w:rPr>
        <w:t>季度</w:t>
      </w:r>
      <w:r>
        <w:rPr>
          <w:rFonts w:hint="eastAsia" w:asciiTheme="minorEastAsia" w:hAnsiTheme="minorEastAsia" w:eastAsiaTheme="minorEastAsia" w:cstheme="minorEastAsia"/>
          <w:color w:val="auto"/>
          <w:sz w:val="21"/>
          <w:szCs w:val="21"/>
          <w:shd w:val="clear" w:color="auto" w:fill="FFFFFF"/>
        </w:rPr>
        <w:t>定期对承担维护保养的</w:t>
      </w:r>
      <w:r>
        <w:rPr>
          <w:rFonts w:hint="eastAsia" w:asciiTheme="minorEastAsia" w:hAnsiTheme="minorEastAsia" w:eastAsiaTheme="minorEastAsia" w:cstheme="minorEastAsia"/>
          <w:color w:val="auto"/>
          <w:sz w:val="21"/>
          <w:szCs w:val="21"/>
          <w:shd w:val="clear" w:color="auto" w:fill="FFFFFF"/>
          <w:lang w:eastAsia="zh-CN"/>
        </w:rPr>
        <w:t>电力</w:t>
      </w:r>
      <w:r>
        <w:rPr>
          <w:rFonts w:hint="eastAsia" w:asciiTheme="minorEastAsia" w:hAnsiTheme="minorEastAsia" w:eastAsiaTheme="minorEastAsia" w:cstheme="minorEastAsia"/>
          <w:color w:val="auto"/>
          <w:sz w:val="21"/>
          <w:szCs w:val="21"/>
          <w:shd w:val="clear" w:color="auto" w:fill="FFFFFF"/>
        </w:rPr>
        <w:t>设施进行维保测试一次。维保工作内容及质量要求均依据国家相关法律</w:t>
      </w:r>
      <w:bookmarkStart w:id="123" w:name="_GoBack"/>
      <w:bookmarkEnd w:id="123"/>
      <w:r>
        <w:rPr>
          <w:rFonts w:hint="eastAsia" w:asciiTheme="minorEastAsia" w:hAnsiTheme="minorEastAsia" w:eastAsiaTheme="minorEastAsia" w:cstheme="minorEastAsia"/>
          <w:color w:val="auto"/>
          <w:sz w:val="21"/>
          <w:szCs w:val="21"/>
          <w:shd w:val="clear" w:color="auto" w:fill="FFFFFF"/>
        </w:rPr>
        <w:t>及相关规范、技术标准实施。</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b w:val="0"/>
          <w:bCs/>
          <w:color w:val="auto"/>
          <w:sz w:val="21"/>
          <w:szCs w:val="21"/>
        </w:rPr>
      </w:pPr>
      <w:r>
        <w:rPr>
          <w:rFonts w:hint="eastAsia" w:asciiTheme="minorEastAsia" w:hAnsiTheme="minorEastAsia" w:eastAsiaTheme="minorEastAsia" w:cstheme="minorEastAsia"/>
          <w:b w:val="0"/>
          <w:bCs/>
          <w:color w:val="auto"/>
          <w:sz w:val="21"/>
          <w:szCs w:val="21"/>
          <w:lang w:eastAsia="zh-CN"/>
        </w:rPr>
        <w:t>（四）</w:t>
      </w:r>
      <w:r>
        <w:rPr>
          <w:rFonts w:hint="eastAsia" w:asciiTheme="minorEastAsia" w:hAnsiTheme="minorEastAsia" w:eastAsiaTheme="minorEastAsia" w:cstheme="minorEastAsia"/>
          <w:b w:val="0"/>
          <w:bCs/>
          <w:color w:val="auto"/>
          <w:sz w:val="21"/>
          <w:szCs w:val="21"/>
        </w:rPr>
        <w:t xml:space="preserve">服务承诺 </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1、乙方需派遣技术人员每月执行二次日常的维护巡检服务，确保变电所设备的正常、稳定运行，同时填写《变电所设备巡检卡》并提交《变电所设备月度维护巡检记录表》，表中需附带动态时时监测数据。</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2、乙方需派遣技术人员每季执行一次专业的维护检修服务，甲方具备停电条件时，对设备进行全面检修、清扫及保养，同时撰写上报《变电所设备季度运行情况汇报》，汇报中应详细描述设备运行状态、存在的隐患及解决方案。</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3、乙方需及时响应、完成二次抢修任务，并免费提供单价在300元以下的养护及维修材料。</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4、乙方代维期内免费提供监控设备及监测数据、春秋二检、特种工具年检、电缆试验、预防性试验等服务，并提交供电单位(国家电网)或国家相关监督管理部门认可的检测报告。</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5、乙方需免费提供设备迭代技术上的支撑。</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6、乙方需代表甲方配合当地供电单位(国家电网)开展的检查、供电线路检修或送电等变电所所属区域内相关工作。</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7、乙方需协助甲方进行变电所行业制度建设和紧急故障处理培训。</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8、乙方在变电所内履行代维服务时，发生的所有安全事故、安全责任或经济损失，均由乙方承担。</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9、按甲方要求对主要电力设备，如温度、电流、电压等进行7x24小时监控，在发生异常时需第一时间通知甲方，同时组织进场维修，及时阻断障碍源，远程监控服务费包含所需相关设备及安装等一切相关费用。</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b w:val="0"/>
          <w:bCs/>
          <w:color w:val="auto"/>
          <w:sz w:val="21"/>
          <w:szCs w:val="21"/>
        </w:rPr>
      </w:pPr>
      <w:r>
        <w:rPr>
          <w:rFonts w:hint="eastAsia" w:asciiTheme="minorEastAsia" w:hAnsiTheme="minorEastAsia" w:eastAsiaTheme="minorEastAsia" w:cstheme="minorEastAsia"/>
          <w:b w:val="0"/>
          <w:bCs/>
          <w:color w:val="auto"/>
          <w:sz w:val="21"/>
          <w:szCs w:val="21"/>
          <w:lang w:eastAsia="zh-CN"/>
        </w:rPr>
        <w:t>（五）</w:t>
      </w:r>
      <w:r>
        <w:rPr>
          <w:rFonts w:hint="eastAsia" w:asciiTheme="minorEastAsia" w:hAnsiTheme="minorEastAsia" w:eastAsiaTheme="minorEastAsia" w:cstheme="minorEastAsia"/>
          <w:b w:val="0"/>
          <w:bCs/>
          <w:color w:val="auto"/>
          <w:sz w:val="21"/>
          <w:szCs w:val="21"/>
        </w:rPr>
        <w:t>服务人员要求</w:t>
      </w:r>
    </w:p>
    <w:p>
      <w:pPr>
        <w:keepNext w:val="0"/>
        <w:keepLines w:val="0"/>
        <w:pageBreakBefore w:val="0"/>
        <w:kinsoku/>
        <w:wordWrap/>
        <w:overflowPunct/>
        <w:topLinePunct w:val="0"/>
        <w:autoSpaceDE/>
        <w:autoSpaceDN/>
        <w:bidi w:val="0"/>
        <w:spacing w:line="360" w:lineRule="auto"/>
        <w:ind w:firstLine="420" w:firstLineChars="200"/>
        <w:textAlignment w:val="auto"/>
        <w:rPr>
          <w:rFonts w:hint="eastAsia" w:asciiTheme="minorEastAsia" w:hAnsiTheme="minorEastAsia" w:eastAsiaTheme="minorEastAsia" w:cstheme="minorEastAsia"/>
          <w:color w:val="auto"/>
          <w:sz w:val="21"/>
          <w:szCs w:val="21"/>
          <w:shd w:val="clear" w:color="auto" w:fill="FFFFFF"/>
        </w:rPr>
      </w:pPr>
      <w:r>
        <w:rPr>
          <w:rFonts w:hint="eastAsia" w:asciiTheme="minorEastAsia" w:hAnsiTheme="minorEastAsia" w:eastAsiaTheme="minorEastAsia" w:cstheme="minorEastAsia"/>
          <w:color w:val="auto"/>
          <w:sz w:val="21"/>
          <w:szCs w:val="21"/>
          <w:shd w:val="clear" w:color="auto" w:fill="FFFFFF"/>
        </w:rPr>
        <w:t>服务方</w:t>
      </w:r>
      <w:r>
        <w:rPr>
          <w:rFonts w:hint="eastAsia" w:asciiTheme="minorEastAsia" w:hAnsiTheme="minorEastAsia" w:eastAsiaTheme="minorEastAsia" w:cstheme="minorEastAsia"/>
          <w:color w:val="auto"/>
          <w:sz w:val="21"/>
          <w:szCs w:val="21"/>
          <w:shd w:val="clear" w:color="auto" w:fill="FFFFFF"/>
          <w:lang w:eastAsia="zh-CN"/>
        </w:rPr>
        <w:t>需</w:t>
      </w:r>
      <w:r>
        <w:rPr>
          <w:rFonts w:hint="eastAsia" w:asciiTheme="minorEastAsia" w:hAnsiTheme="minorEastAsia" w:eastAsiaTheme="minorEastAsia" w:cstheme="minorEastAsia"/>
          <w:color w:val="auto"/>
          <w:sz w:val="21"/>
          <w:szCs w:val="21"/>
          <w:shd w:val="clear" w:color="auto" w:fill="FFFFFF"/>
        </w:rPr>
        <w:t>具备有高压电工作业证</w:t>
      </w:r>
      <w:r>
        <w:rPr>
          <w:rFonts w:hint="eastAsia" w:asciiTheme="minorEastAsia" w:hAnsiTheme="minorEastAsia" w:eastAsiaTheme="minorEastAsia" w:cstheme="minorEastAsia"/>
          <w:color w:val="auto"/>
          <w:sz w:val="21"/>
          <w:szCs w:val="21"/>
          <w:shd w:val="clear" w:color="auto" w:fill="FFFFFF"/>
          <w:lang w:eastAsia="zh-CN"/>
        </w:rPr>
        <w:t>资质人员，</w:t>
      </w:r>
      <w:r>
        <w:rPr>
          <w:rFonts w:hint="eastAsia" w:asciiTheme="minorEastAsia" w:hAnsiTheme="minorEastAsia" w:eastAsiaTheme="minorEastAsia" w:cstheme="minorEastAsia"/>
          <w:color w:val="auto"/>
          <w:sz w:val="21"/>
          <w:szCs w:val="21"/>
          <w:shd w:val="clear" w:color="auto" w:fill="FFFFFF"/>
          <w:lang w:val="en-US" w:eastAsia="zh-CN"/>
        </w:rPr>
        <w:t>并配备至少4名驻场服务人员，驻场服务人员具有电力相关专业中级以上职称人员,且</w:t>
      </w:r>
      <w:r>
        <w:rPr>
          <w:rFonts w:hint="eastAsia" w:asciiTheme="minorEastAsia" w:hAnsiTheme="minorEastAsia" w:eastAsiaTheme="minorEastAsia" w:cstheme="minorEastAsia"/>
          <w:color w:val="auto"/>
          <w:sz w:val="21"/>
          <w:szCs w:val="21"/>
          <w:shd w:val="clear" w:color="auto" w:fill="FFFFFF"/>
        </w:rPr>
        <w:t>具有2年以上相关项目维护服务经验。</w:t>
      </w:r>
    </w:p>
    <w:p>
      <w:pPr>
        <w:pStyle w:val="7"/>
        <w:rPr>
          <w:rFonts w:hint="eastAsia"/>
          <w:lang w:val="en-US" w:eastAsia="zh-CN"/>
        </w:rPr>
      </w:pPr>
    </w:p>
    <w:p>
      <w:pPr>
        <w:pStyle w:val="23"/>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13" w:name="_Toc17739"/>
      <w:r>
        <w:rPr>
          <w:rStyle w:val="37"/>
          <w:rFonts w:hint="eastAsia" w:ascii="宋体" w:hAnsi="宋体" w:eastAsia="宋体" w:cs="宋体"/>
          <w:color w:val="auto"/>
          <w:highlight w:val="none"/>
        </w:rPr>
        <w:t>第四章 评标方法</w:t>
      </w:r>
      <w:bookmarkEnd w:id="111"/>
      <w:bookmarkEnd w:id="112"/>
      <w:bookmarkEnd w:id="113"/>
    </w:p>
    <w:p>
      <w:pPr>
        <w:adjustRightInd w:val="0"/>
        <w:snapToGrid w:val="0"/>
        <w:ind w:firstLine="422" w:firstLineChars="200"/>
        <w:rPr>
          <w:rFonts w:hint="eastAsia" w:ascii="宋体" w:hAnsi="宋体" w:eastAsia="宋体" w:cs="宋体"/>
          <w:b/>
          <w:color w:val="auto"/>
          <w:kern w:val="0"/>
          <w:highlight w:val="none"/>
        </w:rPr>
      </w:pPr>
      <w:bookmarkStart w:id="114" w:name="_Toc22313_WPSOffice_Level2"/>
      <w:r>
        <w:rPr>
          <w:rFonts w:hint="eastAsia" w:ascii="宋体" w:hAnsi="宋体" w:eastAsia="宋体" w:cs="宋体"/>
          <w:b/>
          <w:color w:val="auto"/>
          <w:kern w:val="0"/>
          <w:highlight w:val="none"/>
        </w:rPr>
        <w:t>一、评标方法</w:t>
      </w:r>
      <w:bookmarkEnd w:id="114"/>
    </w:p>
    <w:p>
      <w:pPr>
        <w:adjustRightInd w:val="0"/>
        <w:snapToGrid w:val="0"/>
        <w:ind w:firstLine="420" w:firstLineChars="200"/>
        <w:textAlignment w:val="baseline"/>
        <w:rPr>
          <w:rFonts w:hint="eastAsia" w:ascii="宋体" w:hAnsi="宋体" w:eastAsia="宋体" w:cs="宋体"/>
          <w:color w:val="auto"/>
          <w:highlight w:val="none"/>
        </w:rPr>
      </w:pPr>
      <w:bookmarkStart w:id="115"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5"/>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16"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6"/>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7"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7"/>
    </w:p>
    <w:tbl>
      <w:tblPr>
        <w:tblStyle w:val="27"/>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4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64"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02"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rFonts w:hint="eastAsia" w:ascii="宋体" w:hAnsi="宋体" w:eastAsia="宋体" w:cs="宋体"/>
                <w:color w:val="auto"/>
                <w:highlight w:val="none"/>
              </w:rPr>
            </w:pPr>
          </w:p>
        </w:tc>
        <w:tc>
          <w:tcPr>
            <w:tcW w:w="3647" w:type="dxa"/>
            <w:vMerge w:val="continue"/>
            <w:vAlign w:val="center"/>
          </w:tcPr>
          <w:p>
            <w:pPr>
              <w:spacing w:line="300" w:lineRule="exact"/>
              <w:rPr>
                <w:rFonts w:hint="eastAsia" w:ascii="宋体" w:hAnsi="宋体" w:eastAsia="宋体" w:cs="宋体"/>
                <w:color w:val="auto"/>
                <w:highlight w:val="none"/>
              </w:rPr>
            </w:pPr>
          </w:p>
        </w:tc>
        <w:tc>
          <w:tcPr>
            <w:tcW w:w="1964" w:type="dxa"/>
            <w:vMerge w:val="continue"/>
            <w:vAlign w:val="center"/>
          </w:tcPr>
          <w:p>
            <w:pPr>
              <w:spacing w:line="300" w:lineRule="exact"/>
              <w:rPr>
                <w:rFonts w:hint="eastAsia" w:ascii="宋体" w:hAnsi="宋体" w:eastAsia="宋体" w:cs="宋体"/>
                <w:color w:val="auto"/>
                <w:highlight w:val="none"/>
              </w:rPr>
            </w:pP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8"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18"/>
    </w:p>
    <w:tbl>
      <w:tblPr>
        <w:tblStyle w:val="27"/>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58"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5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865"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rFonts w:hint="eastAsia" w:ascii="宋体" w:hAnsi="宋体" w:eastAsia="宋体" w:cs="宋体"/>
                <w:color w:val="auto"/>
                <w:highlight w:val="none"/>
              </w:rPr>
            </w:pPr>
          </w:p>
        </w:tc>
        <w:tc>
          <w:tcPr>
            <w:tcW w:w="2258" w:type="dxa"/>
            <w:vMerge w:val="continue"/>
            <w:vAlign w:val="center"/>
          </w:tcPr>
          <w:p>
            <w:pPr>
              <w:spacing w:line="300" w:lineRule="exact"/>
              <w:rPr>
                <w:rFonts w:hint="eastAsia" w:ascii="宋体" w:hAnsi="宋体" w:eastAsia="宋体" w:cs="宋体"/>
                <w:color w:val="auto"/>
                <w:highlight w:val="none"/>
              </w:rPr>
            </w:pPr>
          </w:p>
        </w:tc>
        <w:tc>
          <w:tcPr>
            <w:tcW w:w="2755" w:type="dxa"/>
            <w:vMerge w:val="continue"/>
            <w:vAlign w:val="center"/>
          </w:tcPr>
          <w:p>
            <w:pPr>
              <w:spacing w:line="300" w:lineRule="exact"/>
              <w:rPr>
                <w:rFonts w:hint="eastAsia" w:ascii="宋体" w:hAnsi="宋体" w:eastAsia="宋体" w:cs="宋体"/>
                <w:color w:val="auto"/>
                <w:highlight w:val="none"/>
              </w:rPr>
            </w:pP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19"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19"/>
    </w:p>
    <w:tbl>
      <w:tblPr>
        <w:tblStyle w:val="27"/>
        <w:tblpPr w:leftFromText="180" w:rightFromText="180" w:vertAnchor="text" w:horzAnchor="page" w:tblpX="2190" w:tblpY="632"/>
        <w:tblOverlap w:val="never"/>
        <w:tblW w:w="77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206"/>
        <w:gridCol w:w="1071"/>
        <w:gridCol w:w="667"/>
        <w:gridCol w:w="40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2" w:hRule="atLeast"/>
        </w:trPr>
        <w:tc>
          <w:tcPr>
            <w:tcW w:w="79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1206"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评审项目</w:t>
            </w:r>
          </w:p>
        </w:tc>
        <w:tc>
          <w:tcPr>
            <w:tcW w:w="107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分项</w:t>
            </w:r>
          </w:p>
        </w:tc>
        <w:tc>
          <w:tcPr>
            <w:tcW w:w="667"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分值</w:t>
            </w:r>
          </w:p>
        </w:tc>
        <w:tc>
          <w:tcPr>
            <w:tcW w:w="4032"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1206"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价格（30分）</w:t>
            </w:r>
          </w:p>
        </w:tc>
        <w:tc>
          <w:tcPr>
            <w:tcW w:w="107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报价得分</w:t>
            </w:r>
          </w:p>
        </w:tc>
        <w:tc>
          <w:tcPr>
            <w:tcW w:w="667"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30</w:t>
            </w:r>
          </w:p>
        </w:tc>
        <w:tc>
          <w:tcPr>
            <w:tcW w:w="4032"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vMerge w:val="restart"/>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1206" w:type="dxa"/>
            <w:vMerge w:val="restart"/>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商务部分（1</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w:t>
            </w:r>
          </w:p>
        </w:tc>
        <w:tc>
          <w:tcPr>
            <w:tcW w:w="107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售后服务承诺</w:t>
            </w:r>
          </w:p>
        </w:tc>
        <w:tc>
          <w:tcPr>
            <w:tcW w:w="667"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4</w:t>
            </w:r>
          </w:p>
        </w:tc>
        <w:tc>
          <w:tcPr>
            <w:tcW w:w="4032"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根据供应商提供的售后服务承诺进行打分，内容包括服务大纲、故障响应、服务应答、备机备件等方面，以上内容每具备一项且与本项目相关得1分，最多得4分。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vMerge w:val="continue"/>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p>
        </w:tc>
        <w:tc>
          <w:tcPr>
            <w:tcW w:w="1206" w:type="dxa"/>
            <w:vMerge w:val="continue"/>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p>
        </w:tc>
        <w:tc>
          <w:tcPr>
            <w:tcW w:w="107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供应商资质</w:t>
            </w:r>
          </w:p>
        </w:tc>
        <w:tc>
          <w:tcPr>
            <w:tcW w:w="667"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6</w:t>
            </w:r>
          </w:p>
        </w:tc>
        <w:tc>
          <w:tcPr>
            <w:tcW w:w="4032"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重点考核供应商保证本项目履约能力的相关企业资质证书。根据供应商提供的资质证明，质量管理体系认证（ISO9001）、</w:t>
            </w:r>
            <w:r>
              <w:rPr>
                <w:rFonts w:hint="eastAsia" w:asciiTheme="minorEastAsia" w:hAnsiTheme="minorEastAsia" w:eastAsiaTheme="minorEastAsia" w:cstheme="minorEastAsia"/>
                <w:sz w:val="21"/>
                <w:szCs w:val="21"/>
                <w:lang w:eastAsia="zh-CN"/>
              </w:rPr>
              <w:t>环境管理体系认证</w:t>
            </w:r>
            <w:r>
              <w:rPr>
                <w:rFonts w:hint="eastAsia" w:asciiTheme="minorEastAsia" w:hAnsiTheme="minorEastAsia" w:eastAsiaTheme="minorEastAsia" w:cstheme="minorEastAsia"/>
                <w:sz w:val="21"/>
                <w:szCs w:val="21"/>
              </w:rPr>
              <w:t>（ISO</w:t>
            </w:r>
            <w:r>
              <w:rPr>
                <w:rFonts w:hint="eastAsia" w:asciiTheme="minorEastAsia" w:hAnsiTheme="minorEastAsia" w:eastAsiaTheme="minorEastAsia" w:cstheme="minorEastAsia"/>
                <w:sz w:val="21"/>
                <w:szCs w:val="21"/>
                <w:lang w:val="en-US" w:eastAsia="zh-CN"/>
              </w:rPr>
              <w:t>14001</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职业健康安全管理体系认证</w:t>
            </w:r>
            <w:r>
              <w:rPr>
                <w:rFonts w:hint="eastAsia" w:asciiTheme="minorEastAsia" w:hAnsiTheme="minorEastAsia" w:eastAsiaTheme="minorEastAsia" w:cstheme="minorEastAsia"/>
                <w:sz w:val="21"/>
                <w:szCs w:val="21"/>
              </w:rPr>
              <w:t>（ISO</w:t>
            </w:r>
            <w:r>
              <w:rPr>
                <w:rFonts w:hint="eastAsia" w:asciiTheme="minorEastAsia" w:hAnsiTheme="minorEastAsia" w:eastAsiaTheme="minorEastAsia" w:cstheme="minorEastAsia"/>
                <w:sz w:val="21"/>
                <w:szCs w:val="21"/>
                <w:lang w:val="en-US" w:eastAsia="zh-CN"/>
              </w:rPr>
              <w:t>45001</w:t>
            </w:r>
            <w:r>
              <w:rPr>
                <w:rFonts w:hint="eastAsia" w:asciiTheme="minorEastAsia" w:hAnsiTheme="minorEastAsia" w:eastAsiaTheme="minorEastAsia" w:cstheme="minorEastAsia"/>
                <w:sz w:val="21"/>
                <w:szCs w:val="21"/>
              </w:rPr>
              <w:t>），每提供一个得2分；满分6分。（提供证书复印件</w:t>
            </w:r>
            <w:r>
              <w:rPr>
                <w:rFonts w:hint="eastAsia" w:asciiTheme="minorEastAsia" w:hAnsiTheme="minorEastAsia" w:eastAsiaTheme="minorEastAsia" w:cstheme="minorEastAsia"/>
                <w:sz w:val="21"/>
                <w:szCs w:val="21"/>
                <w:lang w:val="en-US" w:eastAsia="zh-CN"/>
              </w:rPr>
              <w:t>与全国认证认可信息公共服务平台http://cx.cnca.cn查询截图，原件备查</w:t>
            </w:r>
            <w:r>
              <w:rPr>
                <w:rFonts w:hint="eastAsia" w:asciiTheme="minorEastAsia" w:hAnsiTheme="minorEastAsia" w:eastAsiaTheme="minorEastAsia" w:cstheme="minor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vMerge w:val="continue"/>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p>
        </w:tc>
        <w:tc>
          <w:tcPr>
            <w:tcW w:w="1206" w:type="dxa"/>
            <w:vMerge w:val="continue"/>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rPr>
            </w:pPr>
          </w:p>
        </w:tc>
        <w:tc>
          <w:tcPr>
            <w:tcW w:w="1071"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供应商类似项目业绩</w:t>
            </w:r>
          </w:p>
        </w:tc>
        <w:tc>
          <w:tcPr>
            <w:tcW w:w="667"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5</w:t>
            </w:r>
          </w:p>
        </w:tc>
        <w:tc>
          <w:tcPr>
            <w:tcW w:w="4032"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提供20</w:t>
            </w:r>
            <w:r>
              <w:rPr>
                <w:rFonts w:hint="eastAsia" w:asciiTheme="minorEastAsia" w:hAnsiTheme="minorEastAsia" w:eastAsiaTheme="minorEastAsia" w:cstheme="minorEastAsia"/>
                <w:sz w:val="21"/>
                <w:szCs w:val="21"/>
                <w:lang w:val="en-US" w:eastAsia="zh-CN"/>
              </w:rPr>
              <w:t>21</w:t>
            </w:r>
            <w:r>
              <w:rPr>
                <w:rFonts w:hint="eastAsia" w:asciiTheme="minorEastAsia" w:hAnsiTheme="minorEastAsia" w:eastAsiaTheme="minorEastAsia" w:cstheme="minorEastAsia"/>
                <w:sz w:val="21"/>
                <w:szCs w:val="21"/>
              </w:rPr>
              <w:t>年1月1日之后供应商类似项目</w:t>
            </w:r>
            <w:r>
              <w:rPr>
                <w:rFonts w:hint="eastAsia" w:asciiTheme="minorEastAsia" w:hAnsiTheme="minorEastAsia" w:eastAsiaTheme="minorEastAsia" w:cstheme="minorEastAsia"/>
                <w:sz w:val="21"/>
                <w:szCs w:val="21"/>
                <w:lang w:val="en-US" w:eastAsia="zh-CN"/>
              </w:rPr>
              <w:t>运维</w:t>
            </w:r>
            <w:r>
              <w:rPr>
                <w:rFonts w:hint="eastAsia" w:asciiTheme="minorEastAsia" w:hAnsiTheme="minorEastAsia" w:eastAsiaTheme="minorEastAsia" w:cstheme="minorEastAsia"/>
                <w:sz w:val="21"/>
                <w:szCs w:val="21"/>
              </w:rPr>
              <w:t>合同，以合同个数为准，每提供一个合同得1分，最多得5分。时间以签订合同时间为准。</w:t>
            </w:r>
          </w:p>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vMerge w:val="restart"/>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1206" w:type="dxa"/>
            <w:vMerge w:val="restart"/>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eastAsia="zh-CN"/>
              </w:rPr>
              <w:t>技术</w:t>
            </w:r>
            <w:r>
              <w:rPr>
                <w:rFonts w:hint="eastAsia" w:asciiTheme="minorEastAsia" w:hAnsiTheme="minorEastAsia" w:eastAsiaTheme="minorEastAsia" w:cstheme="minorEastAsia"/>
                <w:sz w:val="21"/>
                <w:szCs w:val="21"/>
              </w:rPr>
              <w:t>部分（</w:t>
            </w:r>
            <w:r>
              <w:rPr>
                <w:rFonts w:hint="eastAsia" w:asciiTheme="minorEastAsia" w:hAnsiTheme="minorEastAsia" w:eastAsiaTheme="minorEastAsia" w:cstheme="minorEastAsia"/>
                <w:sz w:val="21"/>
                <w:szCs w:val="21"/>
                <w:lang w:val="en-US" w:eastAsia="zh-CN"/>
              </w:rPr>
              <w:t>55</w:t>
            </w:r>
            <w:r>
              <w:rPr>
                <w:rFonts w:hint="eastAsia" w:asciiTheme="minorEastAsia" w:hAnsiTheme="minorEastAsia" w:eastAsiaTheme="minorEastAsia" w:cstheme="minorEastAsia"/>
                <w:sz w:val="21"/>
                <w:szCs w:val="21"/>
              </w:rPr>
              <w:t>分）</w:t>
            </w:r>
          </w:p>
        </w:tc>
        <w:tc>
          <w:tcPr>
            <w:tcW w:w="1071" w:type="dxa"/>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sz w:val="21"/>
                <w:szCs w:val="21"/>
              </w:rPr>
              <w:t>应急响应</w:t>
            </w:r>
          </w:p>
        </w:tc>
        <w:tc>
          <w:tcPr>
            <w:tcW w:w="667" w:type="dxa"/>
            <w:noWrap w:val="0"/>
            <w:vAlign w:val="center"/>
          </w:tcPr>
          <w:p>
            <w:pPr>
              <w:keepLines w:val="0"/>
              <w:pageBreakBefore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bCs/>
                <w:sz w:val="21"/>
                <w:szCs w:val="21"/>
                <w:lang w:val="en-US" w:eastAsia="zh-CN" w:bidi="ar-SA"/>
              </w:rPr>
            </w:pPr>
            <w:r>
              <w:rPr>
                <w:rFonts w:hint="eastAsia" w:asciiTheme="minorEastAsia" w:hAnsiTheme="minorEastAsia" w:eastAsiaTheme="minorEastAsia" w:cstheme="minorEastAsia"/>
                <w:bCs/>
                <w:sz w:val="21"/>
                <w:szCs w:val="21"/>
                <w:lang w:val="en-US" w:eastAsia="zh-CN" w:bidi="ar-SA"/>
              </w:rPr>
              <w:t>10</w:t>
            </w:r>
          </w:p>
        </w:tc>
        <w:tc>
          <w:tcPr>
            <w:tcW w:w="4032" w:type="dxa"/>
            <w:noWrap w:val="0"/>
            <w:vAlign w:val="center"/>
          </w:tcPr>
          <w:p>
            <w:pPr>
              <w:pStyle w:val="12"/>
              <w:keepLines w:val="0"/>
              <w:pageBreakBefore w:val="0"/>
              <w:tabs>
                <w:tab w:val="left" w:pos="180"/>
              </w:tabs>
              <w:kinsoku/>
              <w:wordWrap/>
              <w:overflowPunct/>
              <w:topLinePunct w:val="0"/>
              <w:autoSpaceDE/>
              <w:autoSpaceDN/>
              <w:bidi w:val="0"/>
              <w:adjustRightInd w:val="0"/>
              <w:snapToGrid w:val="0"/>
              <w:spacing w:after="0" w:line="360" w:lineRule="auto"/>
              <w:jc w:val="left"/>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sz w:val="21"/>
                <w:szCs w:val="21"/>
              </w:rPr>
              <w:t>针对本项目服务需求，维保服务中突发事件处理预案，内容包括：应急管理机构</w:t>
            </w:r>
            <w:r>
              <w:rPr>
                <w:rFonts w:hint="eastAsia" w:asciiTheme="minorEastAsia" w:hAnsiTheme="minorEastAsia" w:eastAsiaTheme="minorEastAsia" w:cstheme="minorEastAsia"/>
                <w:sz w:val="21"/>
                <w:szCs w:val="21"/>
                <w:lang w:val="en"/>
              </w:rPr>
              <w:t>,</w:t>
            </w:r>
            <w:r>
              <w:rPr>
                <w:rFonts w:hint="eastAsia" w:asciiTheme="minorEastAsia" w:hAnsiTheme="minorEastAsia" w:eastAsiaTheme="minorEastAsia" w:cstheme="minorEastAsia"/>
                <w:sz w:val="21"/>
                <w:szCs w:val="21"/>
              </w:rPr>
              <w:t>应急响应时间</w:t>
            </w:r>
            <w:r>
              <w:rPr>
                <w:rFonts w:hint="eastAsia" w:asciiTheme="minorEastAsia" w:hAnsiTheme="minorEastAsia" w:eastAsiaTheme="minorEastAsia" w:cstheme="minorEastAsia"/>
                <w:sz w:val="21"/>
                <w:szCs w:val="21"/>
                <w:lang w:val="en"/>
              </w:rPr>
              <w:t>,</w:t>
            </w:r>
            <w:r>
              <w:rPr>
                <w:rFonts w:hint="eastAsia" w:asciiTheme="minorEastAsia" w:hAnsiTheme="minorEastAsia" w:eastAsiaTheme="minorEastAsia" w:cstheme="minorEastAsia"/>
                <w:sz w:val="21"/>
                <w:szCs w:val="21"/>
              </w:rPr>
              <w:t>应急组织程序</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紧急情况应对措施</w:t>
            </w:r>
            <w:r>
              <w:rPr>
                <w:rFonts w:hint="eastAsia" w:asciiTheme="minorEastAsia" w:hAnsiTheme="minorEastAsia" w:eastAsiaTheme="minorEastAsia" w:cstheme="minorEastAsia"/>
                <w:sz w:val="21"/>
                <w:szCs w:val="21"/>
                <w:lang w:eastAsia="zh-CN"/>
              </w:rPr>
              <w:t>，应急处置流程</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以上内容每具备一项且无缺陷的，得</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分，最多得</w:t>
            </w:r>
            <w:r>
              <w:rPr>
                <w:rFonts w:hint="eastAsia" w:asciiTheme="minorEastAsia" w:hAnsiTheme="minorEastAsia" w:eastAsiaTheme="minorEastAsia" w:cstheme="minorEastAsia"/>
                <w:sz w:val="21"/>
                <w:szCs w:val="21"/>
                <w:lang w:val="en-US" w:eastAsia="zh-CN"/>
              </w:rPr>
              <w:t>10</w:t>
            </w:r>
            <w:r>
              <w:rPr>
                <w:rFonts w:hint="eastAsia" w:asciiTheme="minorEastAsia" w:hAnsiTheme="minorEastAsia" w:eastAsiaTheme="minorEastAsia" w:cstheme="minorEastAsia"/>
                <w:sz w:val="21"/>
                <w:szCs w:val="21"/>
              </w:rPr>
              <w:t>分。</w:t>
            </w:r>
            <w:r>
              <w:rPr>
                <w:rFonts w:hint="eastAsia" w:asciiTheme="minorEastAsia" w:hAnsiTheme="minorEastAsia" w:eastAsiaTheme="minorEastAsia" w:cstheme="minorEastAsia"/>
                <w:bCs/>
                <w:sz w:val="21"/>
                <w:szCs w:val="21"/>
              </w:rPr>
              <w:t>（以上缺陷是指：内容前后不一致、前后逻辑错误、涉及的规范及标准错误、地点区域错误、内容缺失）</w:t>
            </w:r>
            <w:r>
              <w:rPr>
                <w:rFonts w:hint="eastAsia" w:asciiTheme="minorEastAsia" w:hAnsiTheme="minorEastAsia" w:eastAsiaTheme="minorEastAsia" w:cstheme="minor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vMerge w:val="continue"/>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206" w:type="dxa"/>
            <w:vMerge w:val="continue"/>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071" w:type="dxa"/>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rPr>
              <w:t>人员配备及自有设备</w:t>
            </w:r>
          </w:p>
        </w:tc>
        <w:tc>
          <w:tcPr>
            <w:tcW w:w="667" w:type="dxa"/>
            <w:noWrap w:val="0"/>
            <w:vAlign w:val="center"/>
          </w:tcPr>
          <w:p>
            <w:pPr>
              <w:keepLines w:val="0"/>
              <w:pageBreakBefore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bCs/>
                <w:sz w:val="21"/>
                <w:szCs w:val="21"/>
                <w:lang w:val="en-US" w:eastAsia="zh-CN" w:bidi="ar-SA"/>
              </w:rPr>
            </w:pPr>
            <w:r>
              <w:rPr>
                <w:rFonts w:hint="eastAsia" w:asciiTheme="minorEastAsia" w:hAnsiTheme="minorEastAsia" w:eastAsiaTheme="minorEastAsia" w:cstheme="minorEastAsia"/>
                <w:bCs/>
                <w:sz w:val="21"/>
                <w:szCs w:val="21"/>
                <w:lang w:val="en-US" w:eastAsia="zh-CN" w:bidi="ar-SA"/>
              </w:rPr>
              <w:t>15</w:t>
            </w:r>
          </w:p>
        </w:tc>
        <w:tc>
          <w:tcPr>
            <w:tcW w:w="4032" w:type="dxa"/>
            <w:noWrap w:val="0"/>
            <w:vAlign w:val="center"/>
          </w:tcPr>
          <w:p>
            <w:pPr>
              <w:pStyle w:val="3"/>
              <w:keepNext/>
              <w:keepLines w:val="0"/>
              <w:pageBreakBefore w:val="0"/>
              <w:widowControl w:val="0"/>
              <w:numPr>
                <w:ilvl w:val="0"/>
                <w:numId w:val="0"/>
              </w:numPr>
              <w:kinsoku/>
              <w:wordWrap/>
              <w:overflowPunct/>
              <w:topLinePunct w:val="0"/>
              <w:autoSpaceDE/>
              <w:autoSpaceDN/>
              <w:bidi w:val="0"/>
              <w:adjustRightInd w:val="0"/>
              <w:snapToGrid w:val="0"/>
              <w:spacing w:before="0" w:line="360" w:lineRule="auto"/>
              <w:ind w:left="0" w:leftChars="0" w:right="0" w:rightChars="0" w:firstLine="0" w:firstLineChars="0"/>
              <w:jc w:val="left"/>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lang w:val="en-US" w:eastAsia="zh-CN"/>
              </w:rPr>
              <w:t>1、</w:t>
            </w:r>
            <w:r>
              <w:rPr>
                <w:rFonts w:hint="eastAsia" w:asciiTheme="minorEastAsia" w:hAnsiTheme="minorEastAsia" w:eastAsiaTheme="minorEastAsia" w:cstheme="minorEastAsia"/>
                <w:color w:val="auto"/>
                <w:sz w:val="21"/>
                <w:szCs w:val="21"/>
                <w:shd w:val="clear" w:color="auto" w:fill="FFFFFF"/>
              </w:rPr>
              <w:t>人</w:t>
            </w:r>
            <w:r>
              <w:rPr>
                <w:rFonts w:hint="eastAsia" w:asciiTheme="minorEastAsia" w:hAnsiTheme="minorEastAsia" w:eastAsiaTheme="minorEastAsia" w:cstheme="minorEastAsia"/>
                <w:color w:val="auto"/>
                <w:sz w:val="21"/>
                <w:szCs w:val="21"/>
                <w:shd w:val="clear" w:color="auto" w:fill="FFFFFF"/>
                <w:lang w:val="en-US" w:eastAsia="zh-CN"/>
              </w:rPr>
              <w:t>员设置齐全,每提供高压电工作业证1人得2分，没有不得分,满分8分；2、具有电力相关专业中级以上职称人员且服务人员具有2年及以上从业经验（从业经验以证书时间为准），每提供1人得1分，没有不得分,满分7分。人员需提供证书复印件加盖公章及在本企业缴纳6个月以上社保证明文件，不提供人员证书复印件及在本企业缴纳社保证明文件的该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1" w:type="dxa"/>
            <w:vMerge w:val="continue"/>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206" w:type="dxa"/>
            <w:vMerge w:val="continue"/>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071" w:type="dxa"/>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rPr>
              <w:t>服务方案</w:t>
            </w:r>
          </w:p>
        </w:tc>
        <w:tc>
          <w:tcPr>
            <w:tcW w:w="667" w:type="dxa"/>
            <w:noWrap w:val="0"/>
            <w:vAlign w:val="center"/>
          </w:tcPr>
          <w:p>
            <w:pPr>
              <w:keepLines w:val="0"/>
              <w:pageBreakBefore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bidi="ar-SA"/>
              </w:rPr>
              <w:t>14</w:t>
            </w:r>
          </w:p>
        </w:tc>
        <w:tc>
          <w:tcPr>
            <w:tcW w:w="4032" w:type="dxa"/>
            <w:noWrap w:val="0"/>
            <w:vAlign w:val="center"/>
          </w:tcPr>
          <w:p>
            <w:pPr>
              <w:pStyle w:val="3"/>
              <w:keepNext/>
              <w:keepLines w:val="0"/>
              <w:pageBreakBefore w:val="0"/>
              <w:widowControl w:val="0"/>
              <w:numPr>
                <w:ilvl w:val="0"/>
                <w:numId w:val="0"/>
              </w:numPr>
              <w:kinsoku/>
              <w:wordWrap/>
              <w:overflowPunct/>
              <w:topLinePunct w:val="0"/>
              <w:autoSpaceDE/>
              <w:autoSpaceDN/>
              <w:bidi w:val="0"/>
              <w:adjustRightInd w:val="0"/>
              <w:snapToGrid w:val="0"/>
              <w:spacing w:before="0" w:line="360" w:lineRule="auto"/>
              <w:ind w:left="0" w:leftChars="0" w:right="0" w:rightChars="0" w:firstLine="0" w:firstLineChars="0"/>
              <w:jc w:val="left"/>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rPr>
              <w:t>1.方案及流程（10分）</w:t>
            </w:r>
            <w:r>
              <w:rPr>
                <w:rFonts w:hint="eastAsia" w:asciiTheme="minorEastAsia" w:hAnsiTheme="minorEastAsia" w:eastAsiaTheme="minorEastAsia" w:cstheme="minorEastAsia"/>
                <w:color w:val="auto"/>
                <w:sz w:val="21"/>
                <w:szCs w:val="21"/>
                <w:shd w:val="clear" w:color="auto" w:fill="FFFFFF"/>
                <w:lang w:eastAsia="zh-CN"/>
              </w:rPr>
              <w:t>服务</w:t>
            </w:r>
            <w:r>
              <w:rPr>
                <w:rFonts w:hint="eastAsia" w:asciiTheme="minorEastAsia" w:hAnsiTheme="minorEastAsia" w:eastAsiaTheme="minorEastAsia" w:cstheme="minorEastAsia"/>
                <w:color w:val="auto"/>
                <w:sz w:val="21"/>
                <w:szCs w:val="21"/>
                <w:shd w:val="clear" w:color="auto" w:fill="FFFFFF"/>
              </w:rPr>
              <w:t>方</w:t>
            </w:r>
            <w:r>
              <w:rPr>
                <w:rFonts w:hint="eastAsia" w:asciiTheme="minorEastAsia" w:hAnsiTheme="minorEastAsia" w:eastAsiaTheme="minorEastAsia" w:cstheme="minorEastAsia"/>
                <w:bCs/>
                <w:color w:val="auto"/>
                <w:kern w:val="44"/>
                <w:sz w:val="21"/>
                <w:szCs w:val="21"/>
                <w:shd w:val="clear" w:color="auto" w:fill="FFFFFF"/>
                <w:lang w:val="en-US" w:eastAsia="zh-CN" w:bidi="ar-SA"/>
              </w:rPr>
              <w:t>案及流程完整无缺陷的得10分，</w:t>
            </w:r>
            <w:r>
              <w:rPr>
                <w:rFonts w:hint="eastAsia" w:asciiTheme="minorEastAsia" w:hAnsiTheme="minorEastAsia" w:eastAsiaTheme="minorEastAsia" w:cstheme="minorEastAsia"/>
                <w:color w:val="auto"/>
                <w:sz w:val="21"/>
                <w:szCs w:val="21"/>
                <w:shd w:val="clear" w:color="auto" w:fill="FFFFFF"/>
                <w:lang w:eastAsia="zh-CN"/>
              </w:rPr>
              <w:t>服务</w:t>
            </w:r>
            <w:r>
              <w:rPr>
                <w:rFonts w:hint="eastAsia" w:asciiTheme="minorEastAsia" w:hAnsiTheme="minorEastAsia" w:eastAsiaTheme="minorEastAsia" w:cstheme="minorEastAsia"/>
                <w:color w:val="auto"/>
                <w:sz w:val="21"/>
                <w:szCs w:val="21"/>
                <w:shd w:val="clear" w:color="auto" w:fill="FFFFFF"/>
              </w:rPr>
              <w:t>方</w:t>
            </w:r>
            <w:r>
              <w:rPr>
                <w:rFonts w:hint="eastAsia" w:asciiTheme="minorEastAsia" w:hAnsiTheme="minorEastAsia" w:eastAsiaTheme="minorEastAsia" w:cstheme="minorEastAsia"/>
                <w:bCs/>
                <w:color w:val="auto"/>
                <w:kern w:val="44"/>
                <w:sz w:val="21"/>
                <w:szCs w:val="21"/>
                <w:shd w:val="clear" w:color="auto" w:fill="FFFFFF"/>
                <w:lang w:val="en-US" w:eastAsia="zh-CN" w:bidi="ar-SA"/>
              </w:rPr>
              <w:t>案及流程不完整或有缺陷的得5分，</w:t>
            </w:r>
            <w:r>
              <w:rPr>
                <w:rFonts w:hint="eastAsia" w:asciiTheme="minorEastAsia" w:hAnsiTheme="minorEastAsia" w:eastAsiaTheme="minorEastAsia" w:cstheme="minorEastAsia"/>
                <w:color w:val="auto"/>
                <w:sz w:val="21"/>
                <w:szCs w:val="21"/>
                <w:shd w:val="clear" w:color="auto" w:fill="FFFFFF"/>
                <w:lang w:val="en-US" w:eastAsia="zh-CN"/>
              </w:rPr>
              <w:t>没有</w:t>
            </w:r>
            <w:r>
              <w:rPr>
                <w:rFonts w:hint="eastAsia" w:asciiTheme="minorEastAsia" w:hAnsiTheme="minorEastAsia" w:eastAsiaTheme="minorEastAsia" w:cstheme="minorEastAsia"/>
                <w:bCs/>
                <w:color w:val="auto"/>
                <w:kern w:val="44"/>
                <w:sz w:val="21"/>
                <w:szCs w:val="21"/>
                <w:shd w:val="clear" w:color="auto" w:fill="FFFFFF"/>
                <w:lang w:val="en-US" w:eastAsia="zh-CN" w:bidi="ar-SA"/>
              </w:rPr>
              <w:t>此项得0分；2.进度执行（4分），制定进度执行方案，无缺陷的得4分，不完整或有缺陷得2分，没有此项得0分。</w:t>
            </w:r>
            <w:r>
              <w:rPr>
                <w:rFonts w:hint="eastAsia" w:asciiTheme="minorEastAsia" w:hAnsiTheme="minorEastAsia" w:eastAsiaTheme="minorEastAsia" w:cstheme="minorEastAsia"/>
                <w:bCs/>
                <w:sz w:val="21"/>
                <w:szCs w:val="21"/>
              </w:rPr>
              <w:t>（以上缺陷是指：内容前后不一致、前后逻辑错误、涉及的规范及标准错误、地点区域错误、内容缺失）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38" w:hRule="atLeast"/>
        </w:trPr>
        <w:tc>
          <w:tcPr>
            <w:tcW w:w="791" w:type="dxa"/>
            <w:vMerge w:val="continue"/>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206" w:type="dxa"/>
            <w:vMerge w:val="continue"/>
            <w:noWrap w:val="0"/>
            <w:vAlign w:val="center"/>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071" w:type="dxa"/>
            <w:noWrap w:val="0"/>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lang w:val="en-US" w:eastAsia="zh-CN"/>
              </w:rPr>
              <w:t>服务能力</w:t>
            </w:r>
          </w:p>
        </w:tc>
        <w:tc>
          <w:tcPr>
            <w:tcW w:w="667" w:type="dxa"/>
            <w:noWrap w:val="0"/>
            <w:vAlign w:val="center"/>
          </w:tcPr>
          <w:p>
            <w:pPr>
              <w:keepLines w:val="0"/>
              <w:pageBreakBefore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bidi="ar-SA"/>
              </w:rPr>
              <w:t>8</w:t>
            </w:r>
          </w:p>
        </w:tc>
        <w:tc>
          <w:tcPr>
            <w:tcW w:w="4032" w:type="dxa"/>
            <w:noWrap w:val="0"/>
            <w:vAlign w:val="center"/>
          </w:tcPr>
          <w:p>
            <w:pPr>
              <w:pStyle w:val="3"/>
              <w:keepNext/>
              <w:keepLines w:val="0"/>
              <w:pageBreakBefore w:val="0"/>
              <w:widowControl w:val="0"/>
              <w:numPr>
                <w:ilvl w:val="0"/>
                <w:numId w:val="0"/>
              </w:numPr>
              <w:kinsoku/>
              <w:wordWrap/>
              <w:overflowPunct/>
              <w:topLinePunct w:val="0"/>
              <w:autoSpaceDE/>
              <w:autoSpaceDN/>
              <w:bidi w:val="0"/>
              <w:adjustRightInd w:val="0"/>
              <w:snapToGrid w:val="0"/>
              <w:spacing w:before="0" w:line="360" w:lineRule="auto"/>
              <w:ind w:left="0" w:leftChars="0" w:right="0" w:rightChars="0" w:firstLine="0" w:firstLineChars="0"/>
              <w:jc w:val="left"/>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lang w:val="en-US" w:eastAsia="zh-CN"/>
              </w:rPr>
              <w:t>1.变电所7*24小时智能监测技术响应方案</w:t>
            </w:r>
            <w:r>
              <w:rPr>
                <w:rFonts w:hint="eastAsia" w:asciiTheme="minorEastAsia" w:hAnsiTheme="minorEastAsia" w:eastAsiaTheme="minorEastAsia" w:cstheme="minorEastAsia"/>
                <w:bCs/>
                <w:color w:val="auto"/>
                <w:kern w:val="44"/>
                <w:sz w:val="21"/>
                <w:szCs w:val="21"/>
                <w:shd w:val="clear" w:color="auto" w:fill="FFFFFF"/>
                <w:lang w:val="en-US" w:eastAsia="zh-CN" w:bidi="ar-SA"/>
              </w:rPr>
              <w:t>无缺陷的得</w:t>
            </w:r>
            <w:r>
              <w:rPr>
                <w:rFonts w:hint="eastAsia" w:asciiTheme="minorEastAsia" w:hAnsiTheme="minorEastAsia" w:eastAsiaTheme="minorEastAsia" w:cstheme="minorEastAsia"/>
                <w:color w:val="auto"/>
                <w:sz w:val="21"/>
                <w:szCs w:val="21"/>
                <w:shd w:val="clear" w:color="auto" w:fill="FFFFFF"/>
                <w:lang w:val="en-US" w:eastAsia="zh-CN"/>
              </w:rPr>
              <w:t>3</w:t>
            </w:r>
            <w:r>
              <w:rPr>
                <w:rFonts w:hint="eastAsia" w:asciiTheme="minorEastAsia" w:hAnsiTheme="minorEastAsia" w:eastAsiaTheme="minorEastAsia" w:cstheme="minorEastAsia"/>
                <w:color w:val="auto"/>
                <w:sz w:val="21"/>
                <w:szCs w:val="21"/>
                <w:shd w:val="clear" w:color="auto" w:fill="FFFFFF"/>
              </w:rPr>
              <w:t>分</w:t>
            </w:r>
            <w:r>
              <w:rPr>
                <w:rFonts w:hint="eastAsia" w:asciiTheme="minorEastAsia" w:hAnsiTheme="minorEastAsia" w:eastAsiaTheme="minorEastAsia" w:cstheme="minorEastAsia"/>
                <w:color w:val="auto"/>
                <w:sz w:val="21"/>
                <w:szCs w:val="21"/>
                <w:shd w:val="clear" w:color="auto" w:fill="FFFFFF"/>
                <w:lang w:eastAsia="zh-CN"/>
              </w:rPr>
              <w:t>，否则不得分；</w:t>
            </w:r>
            <w:r>
              <w:rPr>
                <w:rFonts w:hint="eastAsia" w:asciiTheme="minorEastAsia" w:hAnsiTheme="minorEastAsia" w:eastAsiaTheme="minorEastAsia" w:cstheme="minorEastAsia"/>
                <w:color w:val="auto"/>
                <w:sz w:val="21"/>
                <w:szCs w:val="21"/>
                <w:shd w:val="clear" w:color="auto" w:fill="FFFFFF"/>
                <w:lang w:val="en-US" w:eastAsia="zh-CN"/>
              </w:rPr>
              <w:t>2.承诺提供售后服务及其他承诺，技术支持与服务、远程通信支持服务、现场维护服务、设备维修服务、技术支持服务（含保修登记服务），</w:t>
            </w:r>
            <w:r>
              <w:rPr>
                <w:rFonts w:hint="eastAsia" w:asciiTheme="minorEastAsia" w:hAnsiTheme="minorEastAsia" w:eastAsiaTheme="minorEastAsia" w:cstheme="minorEastAsia"/>
                <w:bCs/>
                <w:color w:val="auto"/>
                <w:kern w:val="44"/>
                <w:sz w:val="21"/>
                <w:szCs w:val="21"/>
                <w:shd w:val="clear" w:color="auto" w:fill="FFFFFF"/>
                <w:lang w:val="en-US" w:eastAsia="zh-CN" w:bidi="ar-SA"/>
              </w:rPr>
              <w:t>以上服务每提供一项且无缺陷的得1分，满分5分。</w:t>
            </w:r>
            <w:r>
              <w:rPr>
                <w:rFonts w:hint="eastAsia" w:asciiTheme="minorEastAsia" w:hAnsiTheme="minorEastAsia" w:eastAsiaTheme="minorEastAsia" w:cstheme="minorEastAsia"/>
                <w:bCs/>
                <w:sz w:val="21"/>
                <w:szCs w:val="21"/>
              </w:rPr>
              <w:t>（以上缺陷是指：内容前后不一致、前后逻辑错误、涉及的规范及标准错误、地点区域错误、内容缺失）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5" w:hRule="atLeast"/>
        </w:trPr>
        <w:tc>
          <w:tcPr>
            <w:tcW w:w="791" w:type="dxa"/>
            <w:vMerge w:val="continue"/>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206" w:type="dxa"/>
            <w:vMerge w:val="continue"/>
          </w:tcPr>
          <w:p>
            <w:pPr>
              <w:keepLines w:val="0"/>
              <w:pageBreakBefore w:val="0"/>
              <w:suppressAutoHyphens/>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rPr>
            </w:pPr>
          </w:p>
        </w:tc>
        <w:tc>
          <w:tcPr>
            <w:tcW w:w="1071" w:type="dxa"/>
            <w:vAlign w:val="center"/>
          </w:tcPr>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color w:val="auto"/>
                <w:sz w:val="21"/>
                <w:szCs w:val="21"/>
                <w:shd w:val="clear" w:color="auto" w:fill="FFFFFF"/>
                <w:lang w:val="en-US" w:eastAsia="zh-CN"/>
              </w:rPr>
              <w:t>服务质量</w:t>
            </w:r>
          </w:p>
        </w:tc>
        <w:tc>
          <w:tcPr>
            <w:tcW w:w="667" w:type="dxa"/>
            <w:vAlign w:val="center"/>
          </w:tcPr>
          <w:p>
            <w:pPr>
              <w:keepLines w:val="0"/>
              <w:pageBreakBefore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sz w:val="21"/>
                <w:szCs w:val="21"/>
                <w:lang w:val="en-US" w:eastAsia="zh-CN" w:bidi="ar-SA"/>
              </w:rPr>
            </w:pPr>
            <w:r>
              <w:rPr>
                <w:rFonts w:hint="eastAsia" w:asciiTheme="minorEastAsia" w:hAnsiTheme="minorEastAsia" w:eastAsiaTheme="minorEastAsia" w:cstheme="minorEastAsia"/>
                <w:sz w:val="21"/>
                <w:szCs w:val="21"/>
                <w:lang w:val="en-US" w:eastAsia="zh-CN" w:bidi="ar-SA"/>
              </w:rPr>
              <w:t>8</w:t>
            </w:r>
          </w:p>
        </w:tc>
        <w:tc>
          <w:tcPr>
            <w:tcW w:w="4032" w:type="dxa"/>
            <w:vAlign w:val="center"/>
          </w:tcPr>
          <w:p>
            <w:pPr>
              <w:pStyle w:val="3"/>
              <w:keepNext/>
              <w:keepLines w:val="0"/>
              <w:pageBreakBefore w:val="0"/>
              <w:widowControl w:val="0"/>
              <w:numPr>
                <w:ilvl w:val="0"/>
                <w:numId w:val="0"/>
              </w:numPr>
              <w:kinsoku/>
              <w:wordWrap/>
              <w:overflowPunct/>
              <w:topLinePunct w:val="0"/>
              <w:autoSpaceDE/>
              <w:autoSpaceDN/>
              <w:bidi w:val="0"/>
              <w:adjustRightInd w:val="0"/>
              <w:snapToGrid w:val="0"/>
              <w:spacing w:before="0" w:line="360" w:lineRule="auto"/>
              <w:ind w:left="0" w:leftChars="0" w:right="0" w:rightChars="0" w:firstLine="0" w:firstLineChars="0"/>
              <w:jc w:val="left"/>
              <w:textAlignment w:val="auto"/>
              <w:rPr>
                <w:rFonts w:hint="eastAsia" w:asciiTheme="minorEastAsia" w:hAnsiTheme="minorEastAsia" w:eastAsiaTheme="minorEastAsia" w:cstheme="minorEastAsia"/>
                <w:color w:val="auto"/>
                <w:sz w:val="21"/>
                <w:szCs w:val="21"/>
                <w:shd w:val="clear" w:color="auto" w:fill="FFFFFF"/>
                <w:lang w:val="en-US" w:eastAsia="zh-CN" w:bidi="ar-SA"/>
              </w:rPr>
            </w:pPr>
            <w:r>
              <w:rPr>
                <w:rFonts w:hint="eastAsia" w:asciiTheme="minorEastAsia" w:hAnsiTheme="minorEastAsia" w:eastAsiaTheme="minorEastAsia" w:cstheme="minorEastAsia"/>
                <w:bCs/>
                <w:color w:val="auto"/>
                <w:kern w:val="44"/>
                <w:sz w:val="21"/>
                <w:szCs w:val="21"/>
                <w:shd w:val="clear" w:color="auto" w:fill="FFFFFF"/>
                <w:lang w:val="en-US" w:eastAsia="zh-CN" w:bidi="ar-SA"/>
              </w:rPr>
              <w:t>1.承诺执行电力系统颁发的行业标准，满足国家及地方相关法规、施工质量验收规范标准和建设单位的企业标准，达到100%</w:t>
            </w:r>
            <w:r>
              <w:rPr>
                <w:rFonts w:hint="eastAsia" w:asciiTheme="minorEastAsia" w:hAnsiTheme="minorEastAsia" w:eastAsiaTheme="minorEastAsia" w:cstheme="minorEastAsia"/>
                <w:color w:val="auto"/>
                <w:sz w:val="21"/>
                <w:szCs w:val="21"/>
                <w:shd w:val="clear" w:color="auto" w:fill="FFFFFF"/>
                <w:lang w:val="en-US" w:eastAsia="zh-CN"/>
              </w:rPr>
              <w:t>合格</w:t>
            </w:r>
            <w:r>
              <w:rPr>
                <w:rFonts w:hint="eastAsia" w:asciiTheme="minorEastAsia" w:hAnsiTheme="minorEastAsia" w:eastAsiaTheme="minorEastAsia" w:cstheme="minorEastAsia"/>
                <w:bCs/>
                <w:color w:val="auto"/>
                <w:kern w:val="44"/>
                <w:sz w:val="21"/>
                <w:szCs w:val="21"/>
                <w:shd w:val="clear" w:color="auto" w:fill="FFFFFF"/>
                <w:lang w:val="en-US" w:eastAsia="zh-CN" w:bidi="ar-SA"/>
              </w:rPr>
              <w:t>标准的得3分，否则不得分；2.对本项目服务需求，制定服务质量保证措施，方案内容的完整性且无缺陷的得5分，否则不得分。</w:t>
            </w:r>
            <w:r>
              <w:rPr>
                <w:rFonts w:hint="eastAsia" w:asciiTheme="minorEastAsia" w:hAnsiTheme="minorEastAsia" w:eastAsiaTheme="minorEastAsia" w:cstheme="minorEastAsia"/>
                <w:bCs/>
                <w:sz w:val="21"/>
                <w:szCs w:val="21"/>
              </w:rPr>
              <w:t>（以上缺陷是指：内容前后不一致、前后逻辑错误、涉及的规范及标准错误、地点区域错误、内容缺失）</w:t>
            </w:r>
          </w:p>
        </w:tc>
      </w:tr>
    </w:tbl>
    <w:p>
      <w:pPr>
        <w:pStyle w:val="2"/>
        <w:rPr>
          <w:rFonts w:hint="eastAsia" w:ascii="宋体" w:hAnsi="宋体" w:eastAsia="宋体" w:cs="宋体"/>
          <w:color w:val="auto"/>
          <w:highlight w:val="none"/>
          <w:lang w:eastAsia="zh-CN"/>
        </w:rPr>
      </w:pPr>
    </w:p>
    <w:p>
      <w:pPr>
        <w:pStyle w:val="2"/>
        <w:rPr>
          <w:rFonts w:hint="eastAsia" w:ascii="宋体" w:hAnsi="宋体" w:eastAsia="宋体" w:cs="宋体"/>
          <w:color w:val="auto"/>
          <w:highlight w:val="none"/>
          <w:lang w:eastAsia="zh-CN"/>
        </w:rPr>
      </w:pPr>
    </w:p>
    <w:p>
      <w:pPr>
        <w:pStyle w:val="2"/>
        <w:rPr>
          <w:rFonts w:hint="eastAsia" w:ascii="宋体" w:hAnsi="宋体" w:eastAsia="宋体" w:cs="宋体"/>
          <w:color w:val="auto"/>
          <w:highlight w:val="none"/>
          <w:lang w:eastAsia="zh-CN"/>
        </w:rPr>
      </w:pPr>
    </w:p>
    <w:p>
      <w:pPr>
        <w:pStyle w:val="33"/>
        <w:ind w:firstLine="420"/>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20"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21" w:name="_Toc25807"/>
      <w:bookmarkStart w:id="122" w:name="_Toc78902195"/>
      <w:r>
        <w:rPr>
          <w:rFonts w:hint="eastAsia" w:ascii="宋体" w:hAnsi="宋体" w:eastAsia="宋体" w:cs="宋体"/>
          <w:color w:val="auto"/>
          <w:highlight w:val="none"/>
        </w:rPr>
        <w:t>第五章 政府采购合同条款</w:t>
      </w:r>
      <w:bookmarkEnd w:id="120"/>
      <w:r>
        <w:rPr>
          <w:rFonts w:hint="eastAsia" w:ascii="宋体" w:hAnsi="宋体" w:eastAsia="宋体" w:cs="宋体"/>
          <w:color w:val="auto"/>
          <w:highlight w:val="none"/>
        </w:rPr>
        <w:t>及格式</w:t>
      </w:r>
      <w:bookmarkEnd w:id="121"/>
      <w:bookmarkEnd w:id="122"/>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color w:val="000000"/>
          <w:sz w:val="36"/>
        </w:rPr>
      </w:pPr>
    </w:p>
    <w:p>
      <w:pPr>
        <w:rPr>
          <w:rFonts w:hint="eastAsia"/>
          <w:b/>
          <w:sz w:val="52"/>
        </w:rPr>
      </w:pPr>
    </w:p>
    <w:p>
      <w:pPr>
        <w:rPr>
          <w:rFonts w:hint="eastAsia"/>
          <w:b/>
          <w:sz w:val="52"/>
        </w:rPr>
      </w:pPr>
    </w:p>
    <w:p>
      <w:pPr>
        <w:spacing w:line="600" w:lineRule="auto"/>
        <w:jc w:val="center"/>
        <w:rPr>
          <w:rFonts w:hint="eastAsia"/>
          <w:b/>
          <w:sz w:val="48"/>
        </w:rPr>
      </w:pPr>
      <w:r>
        <w:rPr>
          <w:rFonts w:hint="eastAsia"/>
          <w:b/>
          <w:sz w:val="48"/>
        </w:rPr>
        <w:t>国家税务总局黑龙江省税务局</w:t>
      </w:r>
    </w:p>
    <w:p>
      <w:pPr>
        <w:pStyle w:val="24"/>
        <w:keepNext w:val="0"/>
        <w:keepLines w:val="0"/>
        <w:pageBreakBefore w:val="0"/>
        <w:widowControl/>
        <w:suppressLineNumbers w:val="0"/>
        <w:kinsoku/>
        <w:wordWrap/>
        <w:overflowPunct/>
        <w:topLinePunct w:val="0"/>
        <w:autoSpaceDE/>
        <w:autoSpaceDN/>
        <w:bidi w:val="0"/>
        <w:spacing w:before="0" w:beforeAutospacing="0" w:after="0" w:afterAutospacing="0" w:line="560" w:lineRule="atLeast"/>
        <w:ind w:left="0" w:right="0" w:firstLine="0"/>
        <w:jc w:val="center"/>
        <w:textAlignment w:val="auto"/>
        <w:rPr>
          <w:rFonts w:hint="eastAsia" w:ascii="Times New Roman" w:hAnsi="Times New Roman" w:eastAsia="宋体" w:cs="Times New Roman"/>
          <w:b/>
          <w:kern w:val="2"/>
          <w:sz w:val="48"/>
          <w:szCs w:val="24"/>
          <w:lang w:val="en-US" w:eastAsia="zh-CN" w:bidi="ar-SA"/>
        </w:rPr>
      </w:pPr>
      <w:r>
        <w:rPr>
          <w:rFonts w:hint="eastAsia" w:ascii="Times New Roman" w:hAnsi="Times New Roman" w:eastAsia="宋体" w:cs="Times New Roman"/>
          <w:b/>
          <w:kern w:val="2"/>
          <w:sz w:val="48"/>
          <w:szCs w:val="24"/>
          <w:lang w:val="en-US" w:eastAsia="zh-CN" w:bidi="ar-SA"/>
        </w:rPr>
        <w:t>数据中心强电气运维服务项目</w:t>
      </w:r>
    </w:p>
    <w:p>
      <w:pPr>
        <w:spacing w:line="600" w:lineRule="auto"/>
        <w:jc w:val="center"/>
        <w:rPr>
          <w:rFonts w:hint="eastAsia"/>
          <w:b/>
          <w:sz w:val="48"/>
        </w:rPr>
      </w:pPr>
      <w:r>
        <w:rPr>
          <w:rFonts w:hint="eastAsia"/>
          <w:b/>
          <w:sz w:val="48"/>
        </w:rPr>
        <w:t>政府采购合同</w:t>
      </w: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b/>
          <w:sz w:val="48"/>
        </w:rPr>
      </w:pPr>
    </w:p>
    <w:p>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pPr>
        <w:rPr>
          <w:rFonts w:hint="eastAsia" w:ascii="宋体" w:hAnsi="宋体"/>
          <w:sz w:val="24"/>
        </w:rPr>
      </w:pPr>
      <w:r>
        <w:rPr>
          <w:rFonts w:hint="eastAsia" w:ascii="宋体" w:hAnsi="宋体"/>
          <w:sz w:val="24"/>
        </w:rPr>
        <w:br w:type="page"/>
      </w: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rPr>
          <w:rFonts w:ascii="宋体" w:hAnsi="宋体"/>
          <w:sz w:val="24"/>
        </w:rPr>
      </w:pPr>
      <w:r>
        <w:rPr>
          <w:rFonts w:hint="eastAsia" w:ascii="宋体" w:hAnsi="宋体"/>
          <w:sz w:val="24"/>
        </w:rPr>
        <w:t>国家税务总局黑龙江省税务局组织的</w:t>
      </w:r>
      <w:r>
        <w:rPr>
          <w:rFonts w:hint="eastAsia" w:ascii="宋体" w:hAnsi="宋体" w:eastAsia="宋体" w:cs="Times New Roman"/>
          <w:sz w:val="24"/>
        </w:rPr>
        <w:t>国家税务总局黑龙江省税务局</w:t>
      </w:r>
      <w:r>
        <w:rPr>
          <w:rFonts w:hint="eastAsia" w:ascii="宋体" w:hAnsi="宋体" w:eastAsia="宋体" w:cs="Times New Roman"/>
          <w:sz w:val="24"/>
          <w:lang w:val="en-US" w:eastAsia="zh-CN"/>
        </w:rPr>
        <w:t>数据中心强电气运维服务项目</w:t>
      </w:r>
      <w:r>
        <w:rPr>
          <w:rFonts w:hint="eastAsia" w:ascii="宋体" w:hAnsi="宋体"/>
          <w:sz w:val="24"/>
        </w:rPr>
        <w:t>（招标编号：</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pPr>
        <w:pStyle w:val="33"/>
        <w:rPr>
          <w:rFonts w:hint="eastAsia" w:ascii="宋体" w:hAnsi="宋体"/>
          <w:sz w:val="24"/>
        </w:rPr>
      </w:pPr>
    </w:p>
    <w:p>
      <w:pPr>
        <w:pStyle w:val="4"/>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4"/>
        <w:rPr>
          <w:rFonts w:hint="eastAsia" w:ascii="宋体" w:hAnsi="宋体"/>
          <w:sz w:val="24"/>
          <w:szCs w:val="24"/>
        </w:rPr>
      </w:pPr>
      <w:r>
        <w:rPr>
          <w:rFonts w:hint="eastAsia" w:ascii="宋体" w:hAnsi="宋体"/>
          <w:sz w:val="24"/>
          <w:szCs w:val="24"/>
        </w:rPr>
        <w:t>第二条服务内容及相关事项</w:t>
      </w:r>
    </w:p>
    <w:tbl>
      <w:tblPr>
        <w:tblStyle w:val="27"/>
        <w:tblW w:w="8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9" w:type="dxa"/>
            <w:noWrap w:val="0"/>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hint="eastAsia" w:ascii="宋体" w:hAnsi="宋体"/>
                <w:sz w:val="24"/>
              </w:rPr>
            </w:pPr>
            <w:r>
              <w:rPr>
                <w:rFonts w:hint="eastAsia" w:ascii="宋体" w:hAnsi="宋体"/>
                <w:sz w:val="24"/>
              </w:rPr>
              <w:t>国家税务总局黑龙江省</w:t>
            </w:r>
          </w:p>
          <w:p>
            <w:pPr>
              <w:rPr>
                <w:rFonts w:ascii="宋体" w:hAnsi="宋体"/>
                <w:sz w:val="24"/>
              </w:rPr>
            </w:pPr>
            <w:r>
              <w:rPr>
                <w:rFonts w:hint="eastAsia" w:ascii="宋体" w:hAnsi="宋体"/>
                <w:sz w:val="24"/>
              </w:rPr>
              <w:t>税务局</w:t>
            </w:r>
            <w:r>
              <w:rPr>
                <w:rFonts w:hint="eastAsia" w:ascii="宋体" w:hAnsi="宋体" w:eastAsia="宋体" w:cs="Times New Roman"/>
                <w:sz w:val="24"/>
                <w:lang w:val="en-US" w:eastAsia="zh-CN"/>
              </w:rPr>
              <w:t>数据中心强电气运维服务项目</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sz w:val="24"/>
              </w:rPr>
            </w:pPr>
          </w:p>
        </w:tc>
      </w:tr>
    </w:tbl>
    <w:p>
      <w:pPr>
        <w:rPr>
          <w:rFonts w:hint="eastAsia" w:ascii="宋体" w:hAnsi="宋体"/>
          <w:sz w:val="24"/>
        </w:rPr>
      </w:pPr>
    </w:p>
    <w:p>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pPr>
        <w:numPr>
          <w:ilvl w:val="0"/>
          <w:numId w:val="9"/>
        </w:numPr>
        <w:rPr>
          <w:rFonts w:hint="eastAsia" w:ascii="宋体" w:hAnsi="宋体"/>
          <w:sz w:val="24"/>
        </w:rPr>
      </w:pPr>
      <w:r>
        <w:rPr>
          <w:rFonts w:hint="eastAsia" w:ascii="宋体" w:hAnsi="宋体"/>
          <w:sz w:val="24"/>
        </w:rPr>
        <w:t>在一年服务期内，乙方为完成“</w:t>
      </w:r>
      <w:r>
        <w:rPr>
          <w:rFonts w:hint="eastAsia" w:ascii="宋体" w:hAnsi="宋体" w:eastAsia="宋体" w:cs="Times New Roman"/>
          <w:sz w:val="24"/>
        </w:rPr>
        <w:t>国家税务总局黑龙江省税务局</w:t>
      </w:r>
      <w:r>
        <w:rPr>
          <w:rFonts w:hint="eastAsia" w:ascii="宋体" w:hAnsi="宋体" w:eastAsia="宋体" w:cs="Times New Roman"/>
          <w:sz w:val="24"/>
          <w:lang w:val="en-US" w:eastAsia="zh-CN"/>
        </w:rPr>
        <w:t>数据中心强电气运维服务项目</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9"/>
        </w:numPr>
        <w:rPr>
          <w:rFonts w:hint="eastAsia" w:ascii="宋体" w:hAnsi="宋体"/>
          <w:sz w:val="24"/>
        </w:rPr>
      </w:pPr>
      <w:r>
        <w:rPr>
          <w:rFonts w:hint="eastAsia" w:ascii="宋体" w:hAnsi="宋体"/>
          <w:sz w:val="24"/>
        </w:rPr>
        <w:t>乙方委派。</w:t>
      </w:r>
    </w:p>
    <w:p>
      <w:pPr>
        <w:pStyle w:val="33"/>
        <w:ind w:firstLine="420"/>
        <w:rPr>
          <w:rFonts w:hint="eastAsia"/>
        </w:rPr>
      </w:pPr>
      <w:r>
        <w:rPr>
          <w:rFonts w:hint="eastAsia"/>
        </w:rPr>
        <w:t>（同“附件2”人员）</w:t>
      </w:r>
    </w:p>
    <w:p>
      <w:pPr>
        <w:numPr>
          <w:ilvl w:val="0"/>
          <w:numId w:val="9"/>
        </w:numPr>
        <w:rPr>
          <w:rFonts w:hint="eastAsia" w:ascii="宋体" w:hAnsi="宋体"/>
          <w:sz w:val="24"/>
        </w:rPr>
      </w:pPr>
      <w:r>
        <w:rPr>
          <w:rFonts w:hint="eastAsia" w:ascii="宋体" w:hAnsi="宋体"/>
          <w:sz w:val="24"/>
        </w:rPr>
        <w:t>服务电话。</w:t>
      </w:r>
    </w:p>
    <w:p>
      <w:pPr>
        <w:pStyle w:val="33"/>
        <w:rPr>
          <w:rFonts w:hint="eastAsia" w:ascii="宋体" w:hAnsi="宋体"/>
          <w:sz w:val="24"/>
        </w:rPr>
      </w:pPr>
      <w:r>
        <w:rPr>
          <w:rFonts w:hint="eastAsia" w:ascii="宋体" w:hAnsi="宋体"/>
          <w:sz w:val="24"/>
        </w:rPr>
        <w:t>（售后电话，必填项）</w:t>
      </w:r>
    </w:p>
    <w:p>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hint="eastAsia" w:ascii="宋体" w:hAnsi="宋体"/>
          <w:color w:val="000000"/>
          <w:sz w:val="24"/>
        </w:rPr>
      </w:pPr>
      <w:r>
        <w:rPr>
          <w:rFonts w:hint="eastAsia" w:ascii="宋体" w:hAnsi="宋体"/>
          <w:color w:val="000000"/>
          <w:sz w:val="24"/>
        </w:rPr>
        <w:t>本合同有效期一年，自＿年  ＿月＿日起至＿年＿月＿日止。</w:t>
      </w:r>
    </w:p>
    <w:p>
      <w:pPr>
        <w:pStyle w:val="33"/>
        <w:rPr>
          <w:rFonts w:ascii="宋体" w:hAnsi="宋体"/>
          <w:sz w:val="24"/>
        </w:rPr>
      </w:pPr>
    </w:p>
    <w:p>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7"/>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pPr>
        <w:rPr>
          <w:rFonts w:hint="eastAsia" w:ascii="宋体" w:hAnsi="宋体" w:eastAsia="宋体" w:cs="Times New Roman"/>
          <w:color w:val="000000"/>
          <w:sz w:val="24"/>
        </w:rPr>
      </w:pPr>
      <w:r>
        <w:rPr>
          <w:rFonts w:hint="eastAsia" w:ascii="宋体" w:hAnsi="宋体" w:eastAsia="宋体" w:cs="Times New Roman"/>
          <w:color w:val="000000"/>
          <w:sz w:val="24"/>
          <w:lang w:eastAsia="zh-CN"/>
        </w:rPr>
        <w:t>合同标的服务费金额为人民币     万元（大写：整）。合同签订后，收到乙方发票后30个工作日内，甲方支付给乙方合同价款的50%，人民币     万元（大写：      元整）；项目终期验收合格后，收到乙方发票后30个工作日内，甲方支付给乙方人民币合同价款的50%，人民币   万元（大写：      元整）。乙方应在每次付款前向甲方提供等额发票等凭据。</w:t>
      </w: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4"/>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33"/>
        <w:ind w:firstLine="0" w:firstLineChars="0"/>
        <w:rPr>
          <w:rFonts w:hint="eastAsia"/>
        </w:rPr>
      </w:pPr>
    </w:p>
    <w:p>
      <w:pPr>
        <w:pStyle w:val="4"/>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33"/>
        <w:rPr>
          <w:rFonts w:hint="eastAsia" w:ascii="宋体" w:hAnsi="宋体"/>
          <w:sz w:val="24"/>
        </w:rPr>
      </w:pPr>
    </w:p>
    <w:p>
      <w:pPr>
        <w:pStyle w:val="4"/>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4"/>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318A3F4"/>
    <w:multiLevelType w:val="singleLevel"/>
    <w:tmpl w:val="2318A3F4"/>
    <w:lvl w:ilvl="0" w:tentative="0">
      <w:start w:val="2"/>
      <w:numFmt w:val="chineseCounting"/>
      <w:suff w:val="nothing"/>
      <w:lvlText w:val="（%1）"/>
      <w:lvlJc w:val="left"/>
      <w:rPr>
        <w:rFonts w:hint="eastAsia"/>
      </w:rPr>
    </w:lvl>
  </w:abstractNum>
  <w:abstractNum w:abstractNumId="6">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7">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8">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7"/>
  </w:num>
  <w:num w:numId="4">
    <w:abstractNumId w:val="0"/>
  </w:num>
  <w:num w:numId="5">
    <w:abstractNumId w:val="1"/>
  </w:num>
  <w:num w:numId="6">
    <w:abstractNumId w:val="5"/>
  </w:num>
  <w:num w:numId="7">
    <w:abstractNumId w:val="6"/>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5174C8"/>
    <w:rsid w:val="05594FD2"/>
    <w:rsid w:val="07861826"/>
    <w:rsid w:val="082C0673"/>
    <w:rsid w:val="088562C4"/>
    <w:rsid w:val="08B573AC"/>
    <w:rsid w:val="0C6B37C3"/>
    <w:rsid w:val="0D1A4228"/>
    <w:rsid w:val="0E575CBB"/>
    <w:rsid w:val="0E7D42BB"/>
    <w:rsid w:val="0EE71081"/>
    <w:rsid w:val="103F356B"/>
    <w:rsid w:val="110849BF"/>
    <w:rsid w:val="115F1A85"/>
    <w:rsid w:val="11E17978"/>
    <w:rsid w:val="13533D6F"/>
    <w:rsid w:val="13593647"/>
    <w:rsid w:val="14FE49FC"/>
    <w:rsid w:val="15132098"/>
    <w:rsid w:val="180C69F3"/>
    <w:rsid w:val="18807C4B"/>
    <w:rsid w:val="18BC6A4A"/>
    <w:rsid w:val="19D626B5"/>
    <w:rsid w:val="1BE64FC7"/>
    <w:rsid w:val="1FBC673A"/>
    <w:rsid w:val="1FCB245D"/>
    <w:rsid w:val="23F07DC3"/>
    <w:rsid w:val="26170342"/>
    <w:rsid w:val="27C13B82"/>
    <w:rsid w:val="28DA283E"/>
    <w:rsid w:val="2AEB3A8A"/>
    <w:rsid w:val="2B821B32"/>
    <w:rsid w:val="2D497F35"/>
    <w:rsid w:val="2F611A30"/>
    <w:rsid w:val="30BD213F"/>
    <w:rsid w:val="33F60296"/>
    <w:rsid w:val="3533276E"/>
    <w:rsid w:val="35980CA9"/>
    <w:rsid w:val="36B31F5F"/>
    <w:rsid w:val="37852C4A"/>
    <w:rsid w:val="37DA4CA6"/>
    <w:rsid w:val="38B16276"/>
    <w:rsid w:val="392F341B"/>
    <w:rsid w:val="398D59F8"/>
    <w:rsid w:val="39B40727"/>
    <w:rsid w:val="3A197CA5"/>
    <w:rsid w:val="40137CA8"/>
    <w:rsid w:val="40A73D35"/>
    <w:rsid w:val="423A6C9B"/>
    <w:rsid w:val="42A62ACD"/>
    <w:rsid w:val="446723D4"/>
    <w:rsid w:val="448F691B"/>
    <w:rsid w:val="459314F7"/>
    <w:rsid w:val="45DC4749"/>
    <w:rsid w:val="4B262FC3"/>
    <w:rsid w:val="4B6F4E42"/>
    <w:rsid w:val="4C242C23"/>
    <w:rsid w:val="4CBE335D"/>
    <w:rsid w:val="4DC27B03"/>
    <w:rsid w:val="4EFF6BD2"/>
    <w:rsid w:val="4FCE8257"/>
    <w:rsid w:val="50B415EA"/>
    <w:rsid w:val="53C92CD5"/>
    <w:rsid w:val="54AF23FC"/>
    <w:rsid w:val="570436F2"/>
    <w:rsid w:val="57182A2A"/>
    <w:rsid w:val="57854F95"/>
    <w:rsid w:val="581A4428"/>
    <w:rsid w:val="59DF6221"/>
    <w:rsid w:val="5A5746FC"/>
    <w:rsid w:val="5A6E105D"/>
    <w:rsid w:val="5DA7155A"/>
    <w:rsid w:val="5DC53457"/>
    <w:rsid w:val="5F4468FD"/>
    <w:rsid w:val="603973AC"/>
    <w:rsid w:val="610B60EE"/>
    <w:rsid w:val="61CD6F76"/>
    <w:rsid w:val="627333FC"/>
    <w:rsid w:val="62985ABA"/>
    <w:rsid w:val="696D37AB"/>
    <w:rsid w:val="6A144077"/>
    <w:rsid w:val="6A154333"/>
    <w:rsid w:val="6BBDEA0E"/>
    <w:rsid w:val="6EF9071C"/>
    <w:rsid w:val="6FF006A6"/>
    <w:rsid w:val="7052058D"/>
    <w:rsid w:val="70B1597A"/>
    <w:rsid w:val="71815530"/>
    <w:rsid w:val="72BD75D3"/>
    <w:rsid w:val="74FD35B0"/>
    <w:rsid w:val="77E73431"/>
    <w:rsid w:val="78916B04"/>
    <w:rsid w:val="7AA83FCF"/>
    <w:rsid w:val="7AAF66A3"/>
    <w:rsid w:val="7CD63399"/>
    <w:rsid w:val="7D974A70"/>
    <w:rsid w:val="7E8E48BA"/>
    <w:rsid w:val="7FF7473C"/>
    <w:rsid w:val="7FFF2236"/>
    <w:rsid w:val="C6FE5207"/>
    <w:rsid w:val="F7DFEC61"/>
    <w:rsid w:val="F7FDDF8C"/>
    <w:rsid w:val="FBFBFCF8"/>
    <w:rsid w:val="FD3E55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customStyle="1" w:styleId="13">
    <w:name w:val="默认段落字体 Para Char"/>
    <w:basedOn w:val="1"/>
    <w:qFormat/>
    <w:uiPriority w:val="0"/>
    <w:rPr>
      <w:sz w:val="24"/>
      <w:szCs w:val="20"/>
    </w:rPr>
  </w:style>
  <w:style w:type="paragraph" w:styleId="14">
    <w:name w:val="Body Text Indent"/>
    <w:basedOn w:val="1"/>
    <w:qFormat/>
    <w:uiPriority w:val="0"/>
    <w:pPr>
      <w:spacing w:after="120"/>
      <w:ind w:left="420" w:leftChars="200"/>
    </w:pPr>
  </w:style>
  <w:style w:type="paragraph" w:styleId="15">
    <w:name w:val="index 4"/>
    <w:basedOn w:val="1"/>
    <w:next w:val="1"/>
    <w:unhideWhenUsed/>
    <w:qFormat/>
    <w:uiPriority w:val="99"/>
    <w:pPr>
      <w:ind w:left="600" w:leftChars="600"/>
    </w:pPr>
  </w:style>
  <w:style w:type="paragraph" w:styleId="16">
    <w:name w:val="Plain Text"/>
    <w:basedOn w:val="1"/>
    <w:qFormat/>
    <w:uiPriority w:val="0"/>
    <w:rPr>
      <w:rFonts w:ascii="宋体" w:hAnsi="宋体" w:cs="Courier New"/>
    </w:r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4"/>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正文（缩进）"/>
    <w:basedOn w:val="1"/>
    <w:qFormat/>
    <w:uiPriority w:val="0"/>
    <w:pPr>
      <w:spacing w:before="156" w:after="156"/>
      <w:ind w:firstLine="480" w:firstLineChars="200"/>
    </w:pPr>
  </w:style>
  <w:style w:type="paragraph" w:customStyle="1" w:styleId="34">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Layout w:type="fixed"/>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character" w:customStyle="1" w:styleId="70">
    <w:name w:val="font91"/>
    <w:basedOn w:val="29"/>
    <w:qFormat/>
    <w:uiPriority w:val="0"/>
    <w:rPr>
      <w:rFonts w:ascii="宋体" w:hAnsi="宋体" w:eastAsia="宋体" w:cs="宋体"/>
      <w:b/>
      <w:bCs/>
      <w:color w:val="000000"/>
      <w:sz w:val="20"/>
      <w:szCs w:val="20"/>
      <w:u w:val="none"/>
    </w:rPr>
  </w:style>
  <w:style w:type="character" w:customStyle="1" w:styleId="71">
    <w:name w:val="font61"/>
    <w:basedOn w:val="29"/>
    <w:qFormat/>
    <w:uiPriority w:val="0"/>
    <w:rPr>
      <w:rFonts w:hint="eastAsia" w:ascii="宋体" w:hAnsi="宋体" w:eastAsia="宋体" w:cs="宋体"/>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61</Pages>
  <Words>27855</Words>
  <Characters>29141</Characters>
  <Lines>302</Lines>
  <Paragraphs>85</Paragraphs>
  <TotalTime>1</TotalTime>
  <ScaleCrop>false</ScaleCrop>
  <LinksUpToDate>false</LinksUpToDate>
  <CharactersWithSpaces>31252</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2022-07-14T20:44:00Z</dcterms:created>
  <dc:creator>QIQI</dc:creator>
  <cp:lastModifiedBy>haochunyang</cp:lastModifiedBy>
  <dcterms:modified xsi:type="dcterms:W3CDTF">2025-02-14T07:44:16Z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