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color w:val="auto"/>
          <w:sz w:val="100"/>
          <w:szCs w:val="100"/>
          <w:highlight w:val="none"/>
        </w:rPr>
      </w:pPr>
      <w:bookmarkStart w:id="0" w:name="OLE_LINK1"/>
    </w:p>
    <w:p>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pStyle w:val="12"/>
        <w:spacing w:line="360" w:lineRule="auto"/>
        <w:rPr>
          <w:rFonts w:hint="eastAsia" w:ascii="宋体" w:hAnsi="宋体" w:eastAsia="宋体" w:cs="宋体"/>
          <w:color w:val="auto"/>
          <w:sz w:val="28"/>
          <w:szCs w:val="28"/>
          <w:highlight w:val="none"/>
        </w:rPr>
      </w:pPr>
    </w:p>
    <w:p>
      <w:pPr>
        <w:pStyle w:val="12"/>
        <w:spacing w:line="360" w:lineRule="auto"/>
        <w:rPr>
          <w:rFonts w:hint="eastAsia" w:ascii="宋体" w:hAnsi="宋体" w:eastAsia="宋体" w:cs="宋体"/>
          <w:color w:val="auto"/>
          <w:sz w:val="28"/>
          <w:szCs w:val="28"/>
          <w:highlight w:val="none"/>
        </w:rPr>
      </w:pPr>
    </w:p>
    <w:p>
      <w:pPr>
        <w:snapToGrid w:val="0"/>
        <w:jc w:val="center"/>
        <w:rPr>
          <w:rFonts w:hint="eastAsia" w:ascii="宋体" w:hAnsi="宋体" w:eastAsia="宋体" w:cs="宋体"/>
          <w:b/>
          <w:bCs/>
          <w:color w:val="auto"/>
          <w:highlight w:val="none"/>
        </w:rPr>
      </w:pPr>
    </w:p>
    <w:p>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国家税务总局黑龙江省税务局门户网站安全监测、操作系统更换和网站漏洞修补服务项目</w:t>
      </w:r>
    </w:p>
    <w:p>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HTCL-ZB-243199</w:t>
      </w:r>
    </w:p>
    <w:p>
      <w:pPr>
        <w:snapToGrid w:val="0"/>
        <w:jc w:val="center"/>
        <w:rPr>
          <w:rFonts w:hint="eastAsia" w:ascii="宋体" w:hAnsi="宋体" w:eastAsia="宋体" w:cs="宋体"/>
          <w:b/>
          <w:bCs/>
          <w:color w:val="auto"/>
          <w:sz w:val="32"/>
          <w:szCs w:val="32"/>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12</w:t>
      </w:r>
      <w:r>
        <w:rPr>
          <w:rFonts w:hint="eastAsia" w:ascii="宋体" w:hAnsi="宋体" w:eastAsia="宋体" w:cs="宋体"/>
          <w:color w:val="auto"/>
          <w:kern w:val="0"/>
          <w:sz w:val="28"/>
          <w:szCs w:val="28"/>
          <w:highlight w:val="none"/>
        </w:rPr>
        <w:t>月</w:t>
      </w:r>
    </w:p>
    <w:p>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pPr>
        <w:pStyle w:val="19"/>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pPr>
        <w:pStyle w:val="35"/>
        <w:tabs>
          <w:tab w:val="right" w:leader="dot" w:pos="8306"/>
        </w:tabs>
        <w:spacing w:line="600" w:lineRule="exact"/>
        <w:rPr>
          <w:rFonts w:hint="eastAsia" w:ascii="宋体" w:hAnsi="宋体" w:eastAsia="宋体" w:cs="宋体"/>
          <w:b/>
          <w:bCs/>
          <w:color w:val="auto"/>
          <w:highlight w:val="none"/>
        </w:rPr>
        <w:sectPr>
          <w:headerReference r:id="rId5" w:type="default"/>
          <w:footerReference r:id="rId6"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pPr>
        <w:pStyle w:val="5"/>
        <w:rPr>
          <w:rFonts w:hint="eastAsia" w:ascii="宋体" w:hAnsi="宋体" w:eastAsia="宋体" w:cs="宋体"/>
          <w:color w:val="auto"/>
          <w:highlight w:val="none"/>
        </w:rPr>
      </w:pPr>
      <w:bookmarkStart w:id="1" w:name="_Toc78902190"/>
      <w:bookmarkStart w:id="2" w:name="_Toc1124_WPSOffice_Level1"/>
      <w:bookmarkStart w:id="3" w:name="_Toc15817"/>
      <w:r>
        <w:rPr>
          <w:rFonts w:hint="eastAsia" w:ascii="宋体" w:hAnsi="宋体" w:eastAsia="宋体" w:cs="宋体"/>
          <w:color w:val="auto"/>
          <w:highlight w:val="none"/>
        </w:rPr>
        <w:t>招标公告</w:t>
      </w:r>
      <w:bookmarkEnd w:id="1"/>
      <w:bookmarkEnd w:id="2"/>
      <w:bookmarkEnd w:id="3"/>
    </w:p>
    <w:tbl>
      <w:tblPr>
        <w:tblStyle w:val="2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 w:hRule="atLeast"/>
        </w:trPr>
        <w:tc>
          <w:tcPr>
            <w:tcW w:w="5000" w:type="pct"/>
            <w:noWrap w:val="0"/>
            <w:vAlign w:val="top"/>
          </w:tcPr>
          <w:p>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国家税务总局黑龙江省税务局门户网站安全监测、操作系统更换和网站漏洞修补服务项目</w:t>
            </w:r>
            <w:r>
              <w:rPr>
                <w:rFonts w:hint="eastAsia" w:ascii="宋体" w:hAnsi="宋体" w:eastAsia="宋体" w:cs="宋体"/>
                <w:color w:val="auto"/>
                <w:highlight w:val="none"/>
              </w:rPr>
              <w:t>的潜在供应商应在</w:t>
            </w:r>
            <w:r>
              <w:rPr>
                <w:rFonts w:hint="eastAsia" w:ascii="宋体" w:hAnsi="宋体" w:cs="宋体"/>
                <w:color w:val="auto"/>
                <w:highlight w:val="none"/>
                <w:lang w:val="en-US" w:eastAsia="zh-CN"/>
              </w:rPr>
              <w:t>线上</w:t>
            </w:r>
            <w:r>
              <w:rPr>
                <w:rFonts w:hint="eastAsia" w:ascii="宋体" w:hAnsi="宋体" w:eastAsia="宋体" w:cs="宋体"/>
                <w:color w:val="auto"/>
                <w:highlight w:val="none"/>
              </w:rPr>
              <w:t>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12月23日9点00分</w:t>
            </w:r>
            <w:r>
              <w:rPr>
                <w:rFonts w:hint="eastAsia" w:ascii="宋体" w:hAnsi="宋体" w:eastAsia="宋体" w:cs="宋体"/>
                <w:color w:val="auto"/>
                <w:highlight w:val="none"/>
              </w:rPr>
              <w:t>（北京时间）前递交投标文件。</w:t>
            </w:r>
          </w:p>
        </w:tc>
      </w:tr>
    </w:tbl>
    <w:p>
      <w:pPr>
        <w:rPr>
          <w:rFonts w:hint="eastAsia" w:ascii="宋体" w:hAnsi="宋体" w:eastAsia="宋体" w:cs="宋体"/>
          <w:color w:val="auto"/>
          <w:highlight w:val="none"/>
        </w:rPr>
      </w:pPr>
      <w:bookmarkStart w:id="4" w:name="_Toc28359079"/>
      <w:bookmarkStart w:id="5" w:name="_Toc28359002"/>
      <w:bookmarkStart w:id="6" w:name="_Hlk24379207"/>
      <w:r>
        <w:rPr>
          <w:rFonts w:hint="eastAsia" w:ascii="宋体" w:hAnsi="宋体" w:eastAsia="宋体" w:cs="宋体"/>
          <w:color w:val="auto"/>
          <w:highlight w:val="none"/>
        </w:rPr>
        <w:t>一、项目基本情况</w:t>
      </w:r>
      <w:bookmarkEnd w:id="4"/>
      <w:bookmarkEnd w:id="5"/>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cs="宋体"/>
          <w:color w:val="auto"/>
          <w:highlight w:val="none"/>
          <w:lang w:eastAsia="zh-CN"/>
        </w:rPr>
        <w:t>HTCL-ZB-243199</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6"/>
      <w:r>
        <w:rPr>
          <w:rFonts w:hint="eastAsia" w:ascii="宋体" w:hAnsi="宋体" w:cs="宋体"/>
          <w:color w:val="auto"/>
          <w:highlight w:val="none"/>
          <w:lang w:eastAsia="zh-CN"/>
        </w:rPr>
        <w:t>国家税务总局黑龙江省税务局门户网站安全监测、操作系统更换和网站漏洞修补服务项目</w:t>
      </w:r>
    </w:p>
    <w:p>
      <w:pPr>
        <w:rPr>
          <w:rFonts w:hint="default" w:ascii="宋体" w:hAnsi="宋体" w:eastAsia="宋体" w:cs="宋体"/>
          <w:color w:val="auto"/>
          <w:highlight w:val="none"/>
          <w:u w:val="single"/>
          <w:lang w:val="en-US" w:eastAsia="zh-CN"/>
        </w:rPr>
      </w:pPr>
      <w:r>
        <w:rPr>
          <w:rFonts w:hint="eastAsia" w:ascii="宋体" w:hAnsi="宋体" w:eastAsia="宋体" w:cs="宋体"/>
          <w:color w:val="auto"/>
          <w:highlight w:val="none"/>
        </w:rPr>
        <w:t>预算金额：</w:t>
      </w:r>
      <w:r>
        <w:rPr>
          <w:rFonts w:hint="eastAsia" w:ascii="宋体" w:hAnsi="宋体" w:cs="宋体"/>
          <w:color w:val="auto"/>
          <w:highlight w:val="none"/>
          <w:lang w:val="en-US" w:eastAsia="zh-CN"/>
        </w:rPr>
        <w:t>30.9万元</w:t>
      </w:r>
    </w:p>
    <w:p>
      <w:pPr>
        <w:rPr>
          <w:rFonts w:hint="eastAsia" w:ascii="宋体" w:hAnsi="宋体" w:eastAsia="宋体" w:cs="宋体"/>
          <w:color w:val="auto"/>
          <w:highlight w:val="none"/>
        </w:rPr>
      </w:pPr>
      <w:r>
        <w:rPr>
          <w:rFonts w:hint="eastAsia" w:ascii="宋体" w:hAnsi="宋体" w:eastAsia="宋体" w:cs="宋体"/>
          <w:color w:val="auto"/>
          <w:highlight w:val="none"/>
        </w:rPr>
        <w:t>最高限价：</w:t>
      </w:r>
      <w:r>
        <w:rPr>
          <w:rFonts w:hint="eastAsia" w:ascii="宋体" w:hAnsi="宋体" w:cs="宋体"/>
          <w:color w:val="auto"/>
          <w:highlight w:val="none"/>
          <w:lang w:val="en-US" w:eastAsia="zh-CN"/>
        </w:rPr>
        <w:t>30.9万元</w:t>
      </w:r>
    </w:p>
    <w:p>
      <w:pPr>
        <w:pStyle w:val="34"/>
        <w:ind w:firstLine="0" w:firstLineChars="0"/>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采购需求：按照《国家税务总局关于印发省税务局网站建设管理规范的通知》（税总发〔2019〕78号）、《国务院办公厅关于印发政府网站发展指引的通知》（国办发〔2017〕47号）、《中华人民共和国网络安全法》的安排部署，通过对黑龙江省税务局集约化站群系统的建设运维管理、服务器国产化适配、安全漏洞修补、重大保障服务、数据迁移、技术支持保障等方面进行规范建设，不断提升黑龙江省税务局内外网站安全平稳运行。为了进一步做好全省税务局内外网站的安全运维服务，保证内外网站全天候24小时不间断正常运行，需要做好黑龙江省税务局集约化站群系统应急安全保障、服务器系统扫描和安全加固、数据备份、国产化替换、数据迁移、漏洞修补。提高内外网站群的安全运维服务</w:t>
      </w:r>
    </w:p>
    <w:p>
      <w:pPr>
        <w:pStyle w:val="34"/>
        <w:ind w:left="0" w:leftChars="0" w:firstLine="0" w:firstLineChars="0"/>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合同履行期限：</w:t>
      </w:r>
      <w:r>
        <w:rPr>
          <w:rFonts w:hint="eastAsia"/>
        </w:rPr>
        <w:t>自合同签订之日起至2025年</w:t>
      </w:r>
      <w:r>
        <w:rPr>
          <w:rFonts w:hint="eastAsia"/>
          <w:lang w:val="en-US" w:eastAsia="zh-CN"/>
        </w:rPr>
        <w:t>9</w:t>
      </w:r>
      <w:r>
        <w:rPr>
          <w:rFonts w:hint="eastAsia"/>
        </w:rPr>
        <w:t>月</w:t>
      </w:r>
      <w:r>
        <w:rPr>
          <w:rFonts w:hint="eastAsia"/>
          <w:lang w:val="en-US" w:eastAsia="zh-CN"/>
        </w:rPr>
        <w:t>14</w:t>
      </w:r>
      <w:r>
        <w:rPr>
          <w:rFonts w:hint="eastAsia"/>
        </w:rPr>
        <w:t>日</w:t>
      </w:r>
      <w:r>
        <w:rPr>
          <w:rFonts w:hint="eastAsia" w:ascii="宋体" w:hAnsi="宋体" w:eastAsia="宋体" w:cs="宋体"/>
          <w:color w:val="auto"/>
          <w:highlight w:val="none"/>
          <w:lang w:val="en-US" w:eastAsia="zh-CN"/>
        </w:rPr>
        <w:t>。</w:t>
      </w:r>
    </w:p>
    <w:p>
      <w:pPr>
        <w:rPr>
          <w:rFonts w:hint="eastAsia" w:ascii="宋体" w:hAnsi="宋体" w:eastAsia="宋体" w:cs="宋体"/>
          <w:color w:val="auto"/>
          <w:highlight w:val="none"/>
        </w:rPr>
      </w:pPr>
      <w:r>
        <w:rPr>
          <w:rFonts w:hint="eastAsia" w:ascii="宋体" w:hAnsi="宋体" w:eastAsia="宋体" w:cs="宋体"/>
          <w:color w:val="auto"/>
          <w:highlight w:val="none"/>
        </w:rPr>
        <w:t>本项目不接受联合体投标。</w:t>
      </w:r>
    </w:p>
    <w:p>
      <w:pPr>
        <w:rPr>
          <w:rFonts w:hint="eastAsia" w:ascii="宋体" w:hAnsi="宋体" w:eastAsia="宋体" w:cs="宋体"/>
          <w:color w:val="auto"/>
          <w:highlight w:val="none"/>
        </w:rPr>
      </w:pPr>
      <w:bookmarkStart w:id="7" w:name="_Toc28359080"/>
      <w:bookmarkStart w:id="8" w:name="_Toc28359003"/>
      <w:r>
        <w:rPr>
          <w:rFonts w:hint="eastAsia" w:ascii="宋体" w:hAnsi="宋体" w:eastAsia="宋体" w:cs="宋体"/>
          <w:color w:val="auto"/>
          <w:highlight w:val="none"/>
        </w:rPr>
        <w:t>二、申请人的资格要求</w:t>
      </w:r>
      <w:bookmarkEnd w:id="7"/>
      <w:bookmarkEnd w:id="8"/>
    </w:p>
    <w:p>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2、落实政府采购政策需满足的资格要求：</w:t>
      </w:r>
      <w:r>
        <w:rPr>
          <w:rFonts w:hint="eastAsia" w:ascii="宋体" w:hAnsi="宋体" w:cs="宋体"/>
          <w:color w:val="auto"/>
          <w:highlight w:val="none"/>
          <w:lang w:val="en-US" w:eastAsia="zh-CN"/>
        </w:rPr>
        <w:t>本项目专门面向中小企业</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pPr>
        <w:rPr>
          <w:rFonts w:hint="eastAsia" w:ascii="宋体" w:hAnsi="宋体" w:eastAsia="宋体" w:cs="宋体"/>
          <w:color w:val="auto"/>
          <w:highlight w:val="none"/>
        </w:rPr>
      </w:pPr>
      <w:bookmarkStart w:id="9" w:name="_Toc28359004"/>
      <w:bookmarkStart w:id="10" w:name="_Toc28359081"/>
      <w:r>
        <w:rPr>
          <w:rFonts w:hint="eastAsia" w:ascii="宋体" w:hAnsi="宋体" w:eastAsia="宋体" w:cs="宋体"/>
          <w:color w:val="auto"/>
          <w:highlight w:val="none"/>
        </w:rPr>
        <w:t>三、获取招标文件</w:t>
      </w:r>
      <w:bookmarkEnd w:id="9"/>
      <w:bookmarkEnd w:id="10"/>
    </w:p>
    <w:p>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12</w:t>
      </w:r>
      <w:r>
        <w:rPr>
          <w:rFonts w:hint="eastAsia" w:ascii="宋体" w:hAnsi="宋体" w:eastAsia="宋体" w:cs="宋体"/>
          <w:color w:val="auto"/>
          <w:highlight w:val="none"/>
        </w:rPr>
        <w:t>月</w:t>
      </w:r>
      <w:r>
        <w:rPr>
          <w:rFonts w:hint="eastAsia" w:ascii="宋体" w:hAnsi="宋体" w:cs="宋体"/>
          <w:color w:val="auto"/>
          <w:highlight w:val="none"/>
          <w:lang w:val="en-US" w:eastAsia="zh-CN"/>
        </w:rPr>
        <w:t>2</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12</w:t>
      </w:r>
      <w:r>
        <w:rPr>
          <w:rFonts w:hint="eastAsia" w:ascii="宋体" w:hAnsi="宋体" w:eastAsia="宋体" w:cs="宋体"/>
          <w:color w:val="auto"/>
          <w:highlight w:val="none"/>
        </w:rPr>
        <w:t>月</w:t>
      </w:r>
      <w:r>
        <w:rPr>
          <w:rFonts w:hint="eastAsia" w:ascii="宋体" w:hAnsi="宋体" w:cs="宋体"/>
          <w:color w:val="auto"/>
          <w:highlight w:val="none"/>
          <w:lang w:val="en-US" w:eastAsia="zh-CN"/>
        </w:rPr>
        <w:t>9</w:t>
      </w:r>
      <w:r>
        <w:rPr>
          <w:rFonts w:hint="eastAsia" w:ascii="宋体" w:hAnsi="宋体" w:eastAsia="宋体" w:cs="宋体"/>
          <w:color w:val="auto"/>
          <w:highlight w:val="none"/>
        </w:rPr>
        <w:t>日，每天上午8点30分至11点30分，下午13点至16点（北京时间，法定节假日除外）</w:t>
      </w:r>
    </w:p>
    <w:p>
      <w:pPr>
        <w:rPr>
          <w:rFonts w:hint="default" w:ascii="宋体" w:hAnsi="宋体" w:eastAsia="宋体" w:cs="宋体"/>
          <w:color w:val="auto"/>
          <w:highlight w:val="none"/>
          <w:lang w:val="en-US" w:eastAsia="zh-CN"/>
        </w:rPr>
      </w:pPr>
      <w:r>
        <w:rPr>
          <w:rFonts w:hint="eastAsia" w:ascii="宋体" w:hAnsi="宋体" w:eastAsia="宋体" w:cs="宋体"/>
          <w:color w:val="auto"/>
          <w:highlight w:val="none"/>
        </w:rPr>
        <w:t>地点：</w:t>
      </w:r>
      <w:r>
        <w:rPr>
          <w:rFonts w:hint="eastAsia" w:ascii="宋体" w:hAnsi="宋体" w:cs="宋体"/>
          <w:color w:val="auto"/>
          <w:highlight w:val="none"/>
          <w:lang w:val="en-US" w:eastAsia="zh-CN"/>
        </w:rPr>
        <w:t>线上获取。</w:t>
      </w:r>
    </w:p>
    <w:p>
      <w:pPr>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方式：</w:t>
      </w:r>
      <w:r>
        <w:rPr>
          <w:rFonts w:hint="eastAsia" w:ascii="宋体" w:hAnsi="宋体" w:eastAsia="宋体" w:cs="Times New Roman"/>
          <w:color w:val="auto"/>
          <w:szCs w:val="21"/>
          <w:highlight w:val="none"/>
        </w:rPr>
        <w:t>凡有意参加投标者，请</w:t>
      </w:r>
      <w:r>
        <w:rPr>
          <w:rFonts w:hint="eastAsia" w:ascii="宋体" w:hAnsi="宋体"/>
          <w:color w:val="auto"/>
          <w:szCs w:val="21"/>
          <w:highlight w:val="none"/>
        </w:rPr>
        <w:t>登陆中招联合招标采购平台下载电子招标文件。下载者登陆平台前，须前往中招联合招标采购平台:http://www.365trade.com.cn/免费注册（平台仅对供应商注册信息与其提供的附件信息进行一致性检查）；注册为一次性工作，以后若有需要只需变更及完善相关信息；注册成功后，可以及时参与平台上所有发布的招标项目。平台注册成功后，登陆平台真实准确完善用户信息</w:t>
      </w:r>
      <w:r>
        <w:rPr>
          <w:rFonts w:hint="eastAsia"/>
          <w:color w:val="auto"/>
          <w:spacing w:val="-3"/>
          <w:highlight w:val="none"/>
        </w:rPr>
        <w:t>。</w:t>
      </w:r>
      <w:r>
        <w:rPr>
          <w:rFonts w:hint="eastAsia" w:ascii="宋体" w:hAnsi="宋体" w:eastAsia="宋体" w:cs="Times New Roman"/>
          <w:color w:val="auto"/>
          <w:kern w:val="2"/>
          <w:sz w:val="21"/>
          <w:szCs w:val="21"/>
          <w:highlight w:val="none"/>
          <w:lang w:val="en-US" w:eastAsia="zh-CN" w:bidi="ar-SA"/>
        </w:rPr>
        <w:t>投标人可通过中招联合招标采购平台官网首页右侧“帮助中心”，获取投标人投标操作手册。</w:t>
      </w:r>
    </w:p>
    <w:p>
      <w:pPr>
        <w:rPr>
          <w:rFonts w:hint="eastAsia" w:ascii="宋体" w:hAnsi="宋体" w:eastAsia="宋体" w:cs="宋体"/>
          <w:color w:val="auto"/>
          <w:highlight w:val="none"/>
        </w:rPr>
      </w:pPr>
      <w:r>
        <w:rPr>
          <w:rFonts w:hint="eastAsia" w:ascii="宋体" w:hAnsi="宋体" w:eastAsia="宋体" w:cs="宋体"/>
          <w:color w:val="auto"/>
          <w:highlight w:val="none"/>
        </w:rPr>
        <w:t>售价：</w:t>
      </w:r>
      <w:r>
        <w:rPr>
          <w:rFonts w:hint="eastAsia" w:ascii="宋体" w:hAnsi="宋体" w:cs="宋体"/>
          <w:color w:val="auto"/>
          <w:highlight w:val="none"/>
          <w:lang w:val="en-US" w:eastAsia="zh-CN"/>
        </w:rPr>
        <w:t>0</w:t>
      </w:r>
      <w:r>
        <w:rPr>
          <w:rFonts w:hint="eastAsia" w:ascii="宋体" w:hAnsi="宋体" w:eastAsia="宋体" w:cs="宋体"/>
          <w:color w:val="auto"/>
          <w:highlight w:val="none"/>
        </w:rPr>
        <w:t>元</w:t>
      </w:r>
    </w:p>
    <w:p>
      <w:pPr>
        <w:rPr>
          <w:rFonts w:hint="eastAsia" w:ascii="宋体" w:hAnsi="宋体" w:eastAsia="宋体" w:cs="宋体"/>
          <w:color w:val="auto"/>
          <w:highlight w:val="none"/>
        </w:rPr>
      </w:pPr>
      <w:bookmarkStart w:id="11" w:name="_Toc28359005"/>
      <w:bookmarkStart w:id="12" w:name="_Toc28359082"/>
      <w:r>
        <w:rPr>
          <w:rFonts w:hint="eastAsia" w:ascii="宋体" w:hAnsi="宋体" w:eastAsia="宋体" w:cs="宋体"/>
          <w:color w:val="auto"/>
          <w:highlight w:val="none"/>
        </w:rPr>
        <w:t>四、投标文件递交</w:t>
      </w:r>
      <w:bookmarkEnd w:id="11"/>
      <w:bookmarkEnd w:id="12"/>
    </w:p>
    <w:p>
      <w:pPr>
        <w:rPr>
          <w:rFonts w:hint="eastAsia" w:ascii="宋体" w:hAnsi="宋体" w:eastAsia="宋体" w:cs="宋体"/>
          <w:color w:val="auto"/>
          <w:highlight w:val="none"/>
        </w:rPr>
      </w:pPr>
      <w:r>
        <w:rPr>
          <w:rFonts w:hint="eastAsia" w:ascii="宋体" w:hAnsi="宋体" w:eastAsia="宋体" w:cs="宋体"/>
          <w:color w:val="auto"/>
          <w:highlight w:val="none"/>
        </w:rPr>
        <w:t>投标截止</w:t>
      </w:r>
      <w:bookmarkStart w:id="124" w:name="_GoBack"/>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12月23日9点00分</w:t>
      </w:r>
      <w:r>
        <w:rPr>
          <w:rFonts w:hint="eastAsia" w:ascii="宋体" w:hAnsi="宋体" w:eastAsia="宋体" w:cs="宋体"/>
          <w:color w:val="auto"/>
          <w:highlight w:val="none"/>
        </w:rPr>
        <w:t>（北京时间）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pPr>
        <w:rPr>
          <w:rFonts w:hint="eastAsia" w:ascii="宋体" w:hAnsi="宋体" w:eastAsia="宋体" w:cs="宋体"/>
          <w:color w:val="auto"/>
          <w:highlight w:val="none"/>
        </w:rPr>
      </w:pPr>
      <w:bookmarkStart w:id="13" w:name="_Toc28359083"/>
      <w:bookmarkStart w:id="14" w:name="_Toc28359006"/>
      <w:r>
        <w:rPr>
          <w:rFonts w:hint="eastAsia" w:ascii="宋体" w:hAnsi="宋体" w:eastAsia="宋体" w:cs="宋体"/>
          <w:color w:val="auto"/>
          <w:highlight w:val="none"/>
        </w:rPr>
        <w:t>五、开标</w:t>
      </w:r>
      <w:bookmarkEnd w:id="13"/>
      <w:bookmarkEnd w:id="14"/>
    </w:p>
    <w:p>
      <w:pPr>
        <w:rPr>
          <w:rFonts w:hint="eastAsia" w:ascii="宋体" w:hAnsi="宋体" w:eastAsia="宋体" w:cs="宋体"/>
          <w:color w:val="auto"/>
          <w:highlight w:val="none"/>
        </w:rPr>
      </w:pPr>
      <w:bookmarkStart w:id="15" w:name="_Toc28359007"/>
      <w:bookmarkStart w:id="16" w:name="_Toc28359084"/>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12月23日9点00分</w:t>
      </w:r>
      <w:r>
        <w:rPr>
          <w:rFonts w:hint="eastAsia" w:ascii="宋体" w:hAnsi="宋体" w:eastAsia="宋体" w:cs="宋体"/>
          <w:color w:val="auto"/>
          <w:highlight w:val="none"/>
        </w:rPr>
        <w:t>（北京时</w:t>
      </w:r>
      <w:bookmarkEnd w:id="124"/>
      <w:r>
        <w:rPr>
          <w:rFonts w:hint="eastAsia" w:ascii="宋体" w:hAnsi="宋体" w:eastAsia="宋体" w:cs="宋体"/>
          <w:color w:val="auto"/>
          <w:highlight w:val="none"/>
        </w:rPr>
        <w:t>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pPr>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5"/>
      <w:bookmarkEnd w:id="16"/>
    </w:p>
    <w:p>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pPr>
        <w:rPr>
          <w:rFonts w:hint="eastAsia" w:ascii="宋体" w:hAnsi="宋体" w:eastAsia="宋体" w:cs="宋体"/>
          <w:color w:val="auto"/>
          <w:highlight w:val="none"/>
        </w:rPr>
      </w:pPr>
      <w:bookmarkStart w:id="17" w:name="_Toc28359008"/>
      <w:bookmarkStart w:id="18" w:name="_Toc28359085"/>
      <w:r>
        <w:rPr>
          <w:rFonts w:hint="eastAsia" w:ascii="宋体" w:hAnsi="宋体" w:eastAsia="宋体" w:cs="宋体"/>
          <w:color w:val="auto"/>
          <w:highlight w:val="none"/>
        </w:rPr>
        <w:t>七、对本次招标提出询问，请按以下方式联系。</w:t>
      </w:r>
      <w:bookmarkEnd w:id="17"/>
      <w:bookmarkEnd w:id="18"/>
    </w:p>
    <w:p>
      <w:pPr>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w:t>
      </w:r>
      <w:r>
        <w:rPr>
          <w:rFonts w:hint="eastAsia" w:ascii="宋体" w:hAnsi="宋体" w:cs="宋体"/>
          <w:color w:val="auto"/>
          <w:highlight w:val="none"/>
          <w:lang w:val="en-US" w:eastAsia="zh-CN"/>
        </w:rPr>
        <w:t>高</w:t>
      </w:r>
      <w:r>
        <w:rPr>
          <w:rFonts w:hint="eastAsia" w:ascii="宋体" w:hAnsi="宋体" w:eastAsia="宋体" w:cs="宋体"/>
          <w:color w:val="auto"/>
          <w:highlight w:val="none"/>
        </w:rPr>
        <w:t>女士</w:t>
      </w:r>
    </w:p>
    <w:p>
      <w:pPr>
        <w:rPr>
          <w:rFonts w:hint="eastAsia" w:ascii="宋体" w:hAnsi="宋体" w:cs="宋体"/>
          <w:color w:val="auto"/>
          <w:highlight w:val="none"/>
          <w:lang w:val="en-US" w:eastAsia="zh-CN"/>
        </w:rPr>
      </w:pPr>
      <w:r>
        <w:rPr>
          <w:rFonts w:hint="eastAsia" w:ascii="宋体" w:hAnsi="宋体" w:eastAsia="宋体" w:cs="宋体"/>
          <w:color w:val="auto"/>
          <w:highlight w:val="none"/>
        </w:rPr>
        <w:t>联系方式：0451-53611</w:t>
      </w:r>
      <w:r>
        <w:rPr>
          <w:rFonts w:hint="eastAsia" w:ascii="宋体" w:hAnsi="宋体" w:cs="宋体"/>
          <w:color w:val="auto"/>
          <w:highlight w:val="none"/>
          <w:lang w:val="en-US" w:eastAsia="zh-CN"/>
        </w:rPr>
        <w:t>260</w:t>
      </w:r>
    </w:p>
    <w:p>
      <w:pPr>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pPr>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pPr>
        <w:jc w:val="center"/>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9" w:name="_Toc27915"/>
      <w:bookmarkStart w:id="20" w:name="_Toc78902191"/>
      <w:bookmarkStart w:id="21" w:name="_Toc26518_WPSOffice_Level1"/>
      <w:r>
        <w:rPr>
          <w:rStyle w:val="36"/>
          <w:rFonts w:hint="eastAsia" w:ascii="宋体" w:hAnsi="宋体" w:eastAsia="宋体" w:cs="宋体"/>
          <w:color w:val="auto"/>
          <w:highlight w:val="none"/>
        </w:rPr>
        <w:t>第一章 供应商须知</w:t>
      </w:r>
      <w:bookmarkEnd w:id="19"/>
      <w:bookmarkEnd w:id="20"/>
      <w:bookmarkEnd w:id="21"/>
    </w:p>
    <w:p>
      <w:pPr>
        <w:pStyle w:val="6"/>
        <w:rPr>
          <w:rFonts w:hint="eastAsia" w:ascii="宋体" w:hAnsi="宋体" w:eastAsia="宋体" w:cs="宋体"/>
          <w:color w:val="auto"/>
          <w:highlight w:val="none"/>
        </w:rPr>
      </w:pPr>
      <w:bookmarkStart w:id="22" w:name="_Toc18613_WPSOffice_Level2"/>
      <w:r>
        <w:rPr>
          <w:rFonts w:hint="eastAsia" w:ascii="宋体" w:hAnsi="宋体" w:eastAsia="宋体" w:cs="宋体"/>
          <w:color w:val="auto"/>
          <w:highlight w:val="none"/>
        </w:rPr>
        <w:t>一 供应商须知表</w:t>
      </w:r>
      <w:bookmarkEnd w:id="22"/>
    </w:p>
    <w:tbl>
      <w:tblPr>
        <w:tblStyle w:val="25"/>
        <w:tblW w:w="8656" w:type="dxa"/>
        <w:tblInd w:w="108" w:type="dxa"/>
        <w:tblLayout w:type="fixed"/>
        <w:tblCellMar>
          <w:top w:w="0" w:type="dxa"/>
          <w:left w:w="108" w:type="dxa"/>
          <w:bottom w:w="0" w:type="dxa"/>
          <w:right w:w="108" w:type="dxa"/>
        </w:tblCellMar>
      </w:tblPr>
      <w:tblGrid>
        <w:gridCol w:w="852"/>
        <w:gridCol w:w="1917"/>
        <w:gridCol w:w="5887"/>
      </w:tblGrid>
      <w:tr>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bookmarkStart w:id="23" w:name="sys_招标项目基本内容及要求：Block"/>
            <w:bookmarkEnd w:id="23"/>
            <w:bookmarkStart w:id="24" w:name="sys_招标项目基本内容及要求其他：Block"/>
            <w:bookmarkEnd w:id="24"/>
            <w:bookmarkStart w:id="25" w:name="招标项目基本内容及要求其他：Block"/>
            <w:bookmarkEnd w:id="25"/>
            <w:bookmarkStart w:id="26" w:name="招标项目基本内容及要求：Block"/>
            <w:bookmarkEnd w:id="26"/>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spacing w:line="300" w:lineRule="exact"/>
              <w:rPr>
                <w:rFonts w:hint="eastAsia" w:ascii="宋体" w:hAnsi="宋体" w:eastAsia="宋体" w:cs="宋体"/>
                <w:highlight w:val="none"/>
                <w:lang w:eastAsia="zh-CN"/>
              </w:rPr>
            </w:pPr>
            <w:r>
              <w:rPr>
                <w:rFonts w:hint="eastAsia" w:ascii="宋体" w:hAnsi="宋体" w:eastAsia="宋体" w:cs="宋体"/>
                <w:highlight w:val="none"/>
              </w:rPr>
              <w:t>联系人：</w:t>
            </w:r>
            <w:r>
              <w:rPr>
                <w:rFonts w:hint="eastAsia" w:ascii="宋体" w:hAnsi="宋体" w:cs="宋体"/>
                <w:highlight w:val="none"/>
                <w:lang w:val="en-US" w:eastAsia="zh-CN"/>
              </w:rPr>
              <w:t>高</w:t>
            </w:r>
            <w:r>
              <w:rPr>
                <w:rFonts w:hint="eastAsia" w:ascii="宋体" w:hAnsi="宋体" w:eastAsia="宋体" w:cs="宋体"/>
                <w:highlight w:val="none"/>
              </w:rPr>
              <w:t>女士</w:t>
            </w:r>
          </w:p>
          <w:p>
            <w:pPr>
              <w:spacing w:line="300" w:lineRule="exact"/>
              <w:rPr>
                <w:rFonts w:hint="default" w:ascii="宋体" w:hAnsi="宋体" w:eastAsia="宋体" w:cs="宋体"/>
                <w:color w:val="auto"/>
                <w:kern w:val="0"/>
                <w:highlight w:val="none"/>
                <w:lang w:val="en-US" w:eastAsia="zh-CN"/>
              </w:rPr>
            </w:pPr>
            <w:r>
              <w:rPr>
                <w:rFonts w:hint="eastAsia" w:ascii="宋体" w:hAnsi="宋体" w:eastAsia="宋体" w:cs="宋体"/>
                <w:highlight w:val="none"/>
              </w:rPr>
              <w:t>电话：0451-53611</w:t>
            </w:r>
            <w:r>
              <w:rPr>
                <w:rFonts w:hint="eastAsia" w:ascii="宋体" w:hAnsi="宋体" w:cs="宋体"/>
                <w:highlight w:val="none"/>
                <w:lang w:val="en-US" w:eastAsia="zh-CN"/>
              </w:rPr>
              <w:t>260</w:t>
            </w:r>
          </w:p>
        </w:tc>
      </w:tr>
      <w:tr>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是</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否</w:t>
            </w:r>
          </w:p>
        </w:tc>
      </w:tr>
      <w:tr>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tblPrEx>
          <w:tblCellMar>
            <w:top w:w="0" w:type="dxa"/>
            <w:left w:w="108" w:type="dxa"/>
            <w:bottom w:w="0" w:type="dxa"/>
            <w:right w:w="108" w:type="dxa"/>
          </w:tblCellMar>
        </w:tblPrEx>
        <w:trPr>
          <w:trHeight w:val="613"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宋体" w:hAnsi="宋体" w:eastAsia="宋体" w:cs="宋体"/>
                <w:color w:val="auto"/>
                <w:kern w:val="0"/>
                <w:highlight w:val="none"/>
                <w:lang w:val="en-US" w:eastAsia="zh-CN"/>
              </w:rPr>
            </w:pPr>
            <w:r>
              <w:rPr>
                <w:rFonts w:hint="eastAsia" w:ascii="宋体" w:hAnsi="宋体" w:cs="宋体"/>
                <w:color w:val="auto"/>
                <w:kern w:val="0"/>
                <w:highlight w:val="none"/>
                <w:lang w:val="en-US" w:eastAsia="zh-CN"/>
              </w:rPr>
              <w:t>30.9万元</w:t>
            </w:r>
          </w:p>
        </w:tc>
      </w:tr>
      <w:tr>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tblPrEx>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是</w:t>
            </w:r>
          </w:p>
          <w:p>
            <w:pPr>
              <w:spacing w:line="300" w:lineRule="exact"/>
              <w:rPr>
                <w:rFonts w:hint="eastAsia" w:ascii="宋体" w:hAnsi="宋体" w:eastAsia="宋体" w:cs="宋体"/>
                <w:bCs/>
                <w:color w:val="auto"/>
                <w:kern w:val="0"/>
                <w:highlight w:val="none"/>
              </w:rPr>
            </w:pPr>
            <w:r>
              <w:rPr>
                <w:color w:val="auto"/>
                <w:highlight w:val="none"/>
              </w:rPr>
              <w:sym w:font="Wingdings 2" w:char="00A3"/>
            </w:r>
            <w:r>
              <w:rPr>
                <w:rFonts w:hint="eastAsia"/>
                <w:color w:val="auto"/>
                <w:highlight w:val="none"/>
              </w:rPr>
              <w:t>否</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lang w:val="en-US" w:eastAsia="zh-CN"/>
              </w:rPr>
            </w:pPr>
            <w:r>
              <w:rPr>
                <w:rFonts w:hint="eastAsia" w:cs="宋体"/>
                <w:color w:val="auto"/>
                <w:kern w:val="0"/>
                <w:highlight w:val="none"/>
                <w:lang w:val="en-US" w:eastAsia="zh-CN"/>
              </w:rPr>
              <w:t>软件与信息技术服务业</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tblPrEx>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5000元</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tblPrEx>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tblPrEx>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tblPrEx>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tblPrEx>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lang w:eastAsia="zh-CN"/>
              </w:rPr>
            </w:pPr>
            <w:r>
              <w:rPr>
                <w:rFonts w:hint="eastAsia" w:ascii="宋体" w:hAnsi="宋体" w:cs="宋体"/>
                <w:color w:val="auto"/>
                <w:highlight w:val="none"/>
                <w:lang w:val="en-US" w:eastAsia="zh-CN"/>
              </w:rPr>
              <w:t>/</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不低于3名</w:t>
            </w:r>
          </w:p>
        </w:tc>
      </w:tr>
      <w:tr>
        <w:tblPrEx>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中标人数量：1名</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tblPrEx>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tblPrEx>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中标人与采购人签订合同后，代理机构向中标人按下列标准收取采购代理服务费。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（1）以《中标通知书》中确定的中标</w:t>
            </w:r>
            <w:r>
              <w:rPr>
                <w:rFonts w:hint="eastAsia" w:ascii="宋体" w:hAnsi="宋体" w:eastAsia="宋体" w:cs="宋体"/>
                <w:color w:val="auto"/>
                <w:highlight w:val="none"/>
                <w:lang w:val="en-US" w:eastAsia="zh-CN"/>
              </w:rPr>
              <w:t>金额</w:t>
            </w:r>
            <w:r>
              <w:rPr>
                <w:rFonts w:hint="eastAsia" w:ascii="宋体" w:hAnsi="宋体" w:eastAsia="宋体" w:cs="宋体"/>
                <w:color w:val="auto"/>
                <w:highlight w:val="none"/>
              </w:rPr>
              <w:t>为收费的计算基数：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（2）分段收取采购代理服务费即各中标金额区间乘相应费率后之和为采购代理服务费。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100万元人民币以下（含 100万元）按1.5%费率收取；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tblPrEx>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1.接收质疑函的方式：接收加盖单位公章的书面纸</w:t>
            </w:r>
            <w:r>
              <w:rPr>
                <w:rFonts w:hint="eastAsia" w:ascii="宋体" w:hAnsi="宋体" w:cs="宋体"/>
                <w:color w:val="auto"/>
                <w:highlight w:val="none"/>
                <w:lang w:eastAsia="zh-CN"/>
              </w:rPr>
              <w:t>质</w:t>
            </w:r>
            <w:r>
              <w:rPr>
                <w:rFonts w:hint="eastAsia" w:ascii="宋体" w:hAnsi="宋体" w:eastAsia="宋体" w:cs="宋体"/>
                <w:color w:val="auto"/>
                <w:highlight w:val="none"/>
              </w:rPr>
              <w:t>质疑函</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pPr>
        <w:pStyle w:val="6"/>
        <w:adjustRightInd w:val="0"/>
        <w:snapToGrid w:val="0"/>
        <w:rPr>
          <w:rStyle w:val="37"/>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7" w:name="_Toc30384_WPSOffice_Level2"/>
      <w:r>
        <w:rPr>
          <w:rStyle w:val="37"/>
          <w:rFonts w:hint="eastAsia" w:ascii="宋体" w:hAnsi="宋体" w:eastAsia="宋体" w:cs="宋体"/>
          <w:color w:val="auto"/>
          <w:highlight w:val="none"/>
        </w:rPr>
        <w:t>二 总则</w:t>
      </w:r>
      <w:bookmarkEnd w:id="27"/>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6"/>
        <w:jc w:val="left"/>
        <w:rPr>
          <w:rFonts w:hint="eastAsia" w:ascii="宋体" w:hAnsi="宋体" w:eastAsia="宋体" w:cs="宋体"/>
          <w:color w:val="auto"/>
          <w:highlight w:val="none"/>
        </w:rPr>
      </w:pPr>
      <w:bookmarkStart w:id="28" w:name="_Toc266951048"/>
      <w:r>
        <w:rPr>
          <w:rFonts w:hint="eastAsia" w:ascii="宋体" w:hAnsi="宋体" w:eastAsia="宋体" w:cs="宋体"/>
          <w:color w:val="auto"/>
          <w:highlight w:val="none"/>
        </w:rPr>
        <w:t>3.语言文字</w:t>
      </w:r>
      <w:bookmarkEnd w:id="28"/>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pPr>
        <w:pStyle w:val="6"/>
        <w:jc w:val="left"/>
        <w:rPr>
          <w:rFonts w:hint="eastAsia" w:ascii="宋体" w:hAnsi="宋体" w:eastAsia="宋体" w:cs="宋体"/>
          <w:color w:val="auto"/>
          <w:highlight w:val="none"/>
        </w:rPr>
      </w:pPr>
      <w:bookmarkStart w:id="29" w:name="_1.8_计量单位"/>
      <w:bookmarkEnd w:id="29"/>
      <w:bookmarkStart w:id="30" w:name="_Toc266951049"/>
      <w:r>
        <w:rPr>
          <w:rFonts w:hint="eastAsia" w:ascii="宋体" w:hAnsi="宋体" w:eastAsia="宋体" w:cs="宋体"/>
          <w:color w:val="auto"/>
          <w:highlight w:val="none"/>
        </w:rPr>
        <w:t>★4.</w:t>
      </w:r>
      <w:bookmarkEnd w:id="30"/>
      <w:r>
        <w:rPr>
          <w:rFonts w:hint="eastAsia" w:ascii="宋体" w:hAnsi="宋体" w:eastAsia="宋体" w:cs="宋体"/>
          <w:color w:val="auto"/>
          <w:highlight w:val="none"/>
        </w:rPr>
        <w:t>计量单位</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pPr>
        <w:pStyle w:val="6"/>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pPr>
        <w:rPr>
          <w:rFonts w:hint="eastAsia" w:ascii="宋体" w:hAnsi="宋体" w:eastAsia="宋体" w:cs="宋体"/>
          <w:color w:val="auto"/>
          <w:highlight w:val="none"/>
        </w:rPr>
      </w:pPr>
      <w:bookmarkStart w:id="31" w:name="_1.10_投标预备会"/>
      <w:bookmarkEnd w:id="31"/>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2"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2"/>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pPr>
        <w:pStyle w:val="32"/>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pPr>
        <w:pStyle w:val="6"/>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pPr>
        <w:pStyle w:val="6"/>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pPr>
        <w:pStyle w:val="6"/>
        <w:rPr>
          <w:rFonts w:hint="eastAsia" w:ascii="宋体" w:hAnsi="宋体" w:eastAsia="宋体" w:cs="宋体"/>
          <w:color w:val="auto"/>
          <w:highlight w:val="none"/>
        </w:rPr>
      </w:pPr>
      <w:bookmarkStart w:id="33" w:name="_Toc10106_WPSOffice_Level2"/>
    </w:p>
    <w:p>
      <w:pPr>
        <w:pStyle w:val="6"/>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3"/>
    </w:p>
    <w:p>
      <w:pPr>
        <w:pStyle w:val="6"/>
        <w:numPr>
          <w:ilvl w:val="0"/>
          <w:numId w:val="3"/>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pPr>
        <w:numPr>
          <w:ilvl w:val="1"/>
          <w:numId w:val="3"/>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pPr>
        <w:numPr>
          <w:ilvl w:val="0"/>
          <w:numId w:val="4"/>
        </w:numPr>
        <w:adjustRightInd w:val="0"/>
        <w:snapToGrid w:val="0"/>
        <w:ind w:firstLine="420" w:firstLineChars="200"/>
        <w:rPr>
          <w:rFonts w:hint="eastAsia" w:ascii="宋体" w:hAnsi="宋体" w:eastAsia="宋体" w:cs="宋体"/>
          <w:color w:val="auto"/>
          <w:highlight w:val="none"/>
        </w:rPr>
      </w:pPr>
      <w:bookmarkStart w:id="34" w:name="_Toc24604_WPSOffice_Level2"/>
      <w:bookmarkStart w:id="35" w:name="_Toc4961_WPSOffice_Level2"/>
      <w:bookmarkStart w:id="36" w:name="_Toc25935_WPSOffice_Level2"/>
      <w:bookmarkStart w:id="37" w:name="_Toc188_WPSOffice_Level2"/>
      <w:r>
        <w:rPr>
          <w:rFonts w:hint="eastAsia" w:ascii="宋体" w:hAnsi="宋体" w:eastAsia="宋体" w:cs="宋体"/>
          <w:color w:val="auto"/>
          <w:highlight w:val="none"/>
        </w:rPr>
        <w:t>供应商须知</w:t>
      </w:r>
      <w:bookmarkEnd w:id="34"/>
      <w:bookmarkEnd w:id="35"/>
      <w:bookmarkEnd w:id="36"/>
      <w:bookmarkEnd w:id="37"/>
    </w:p>
    <w:p>
      <w:pPr>
        <w:adjustRightInd w:val="0"/>
        <w:snapToGrid w:val="0"/>
        <w:ind w:firstLine="420" w:firstLineChars="200"/>
        <w:rPr>
          <w:rFonts w:hint="eastAsia" w:ascii="宋体" w:hAnsi="宋体" w:eastAsia="宋体" w:cs="宋体"/>
          <w:color w:val="auto"/>
          <w:highlight w:val="none"/>
        </w:rPr>
      </w:pPr>
      <w:bookmarkStart w:id="38" w:name="_Toc31424_WPSOffice_Level2"/>
      <w:bookmarkStart w:id="39" w:name="_Toc2443_WPSOffice_Level2"/>
      <w:bookmarkStart w:id="40" w:name="_Toc13276_WPSOffice_Level2"/>
      <w:bookmarkStart w:id="41" w:name="_Toc32235_WPSOffice_Level2"/>
      <w:r>
        <w:rPr>
          <w:rFonts w:hint="eastAsia" w:ascii="宋体" w:hAnsi="宋体" w:eastAsia="宋体" w:cs="宋体"/>
          <w:color w:val="auto"/>
          <w:highlight w:val="none"/>
        </w:rPr>
        <w:t>第二章 投标文件内容及格式</w:t>
      </w:r>
      <w:bookmarkEnd w:id="38"/>
      <w:bookmarkEnd w:id="39"/>
      <w:bookmarkEnd w:id="40"/>
      <w:bookmarkEnd w:id="41"/>
    </w:p>
    <w:p>
      <w:pPr>
        <w:adjustRightInd w:val="0"/>
        <w:snapToGrid w:val="0"/>
        <w:ind w:firstLine="420" w:firstLineChars="200"/>
        <w:rPr>
          <w:rFonts w:hint="eastAsia" w:ascii="宋体" w:hAnsi="宋体" w:eastAsia="宋体" w:cs="宋体"/>
          <w:color w:val="auto"/>
          <w:highlight w:val="none"/>
        </w:rPr>
      </w:pPr>
      <w:bookmarkStart w:id="42" w:name="_Toc7005_WPSOffice_Level2"/>
      <w:bookmarkStart w:id="43" w:name="_Toc16269_WPSOffice_Level2"/>
      <w:bookmarkStart w:id="44" w:name="_Toc24836_WPSOffice_Level2"/>
      <w:bookmarkStart w:id="45" w:name="_Toc4416_WPSOffice_Level2"/>
      <w:r>
        <w:rPr>
          <w:rFonts w:hint="eastAsia" w:ascii="宋体" w:hAnsi="宋体" w:eastAsia="宋体" w:cs="宋体"/>
          <w:color w:val="auto"/>
          <w:highlight w:val="none"/>
        </w:rPr>
        <w:t>第三章 服务需求</w:t>
      </w:r>
      <w:bookmarkEnd w:id="42"/>
      <w:bookmarkEnd w:id="43"/>
      <w:bookmarkEnd w:id="44"/>
      <w:bookmarkEnd w:id="45"/>
    </w:p>
    <w:p>
      <w:pPr>
        <w:adjustRightInd w:val="0"/>
        <w:snapToGrid w:val="0"/>
        <w:ind w:firstLine="420" w:firstLineChars="200"/>
        <w:rPr>
          <w:rFonts w:hint="eastAsia" w:ascii="宋体" w:hAnsi="宋体" w:eastAsia="宋体" w:cs="宋体"/>
          <w:color w:val="auto"/>
          <w:highlight w:val="none"/>
        </w:rPr>
      </w:pPr>
      <w:bookmarkStart w:id="46" w:name="_Toc16294_WPSOffice_Level2"/>
      <w:bookmarkStart w:id="47" w:name="_Toc25382_WPSOffice_Level2"/>
      <w:bookmarkStart w:id="48" w:name="_Toc23459_WPSOffice_Level2"/>
      <w:bookmarkStart w:id="49" w:name="_Toc16119_WPSOffice_Level2"/>
      <w:r>
        <w:rPr>
          <w:rFonts w:hint="eastAsia" w:ascii="宋体" w:hAnsi="宋体" w:eastAsia="宋体" w:cs="宋体"/>
          <w:color w:val="auto"/>
          <w:highlight w:val="none"/>
        </w:rPr>
        <w:t>第四章 评标方法</w:t>
      </w:r>
      <w:bookmarkEnd w:id="46"/>
      <w:bookmarkEnd w:id="47"/>
      <w:bookmarkEnd w:id="48"/>
      <w:bookmarkEnd w:id="49"/>
    </w:p>
    <w:p>
      <w:pPr>
        <w:adjustRightInd w:val="0"/>
        <w:snapToGrid w:val="0"/>
        <w:ind w:firstLine="420" w:firstLineChars="200"/>
        <w:rPr>
          <w:rFonts w:hint="eastAsia" w:ascii="宋体" w:hAnsi="宋体" w:eastAsia="宋体" w:cs="宋体"/>
          <w:color w:val="auto"/>
          <w:highlight w:val="none"/>
        </w:rPr>
      </w:pPr>
      <w:bookmarkStart w:id="50" w:name="_Toc17794_WPSOffice_Level2"/>
      <w:bookmarkStart w:id="51" w:name="_Toc28106_WPSOffice_Level2"/>
      <w:bookmarkStart w:id="52" w:name="_Toc16368_WPSOffice_Level2"/>
      <w:bookmarkStart w:id="53" w:name="_Toc9629_WPSOffice_Level2"/>
      <w:r>
        <w:rPr>
          <w:rFonts w:hint="eastAsia" w:ascii="宋体" w:hAnsi="宋体" w:eastAsia="宋体" w:cs="宋体"/>
          <w:color w:val="auto"/>
          <w:highlight w:val="none"/>
        </w:rPr>
        <w:t>第五章 政府采购合同</w:t>
      </w:r>
      <w:bookmarkEnd w:id="50"/>
      <w:bookmarkEnd w:id="51"/>
      <w:bookmarkEnd w:id="52"/>
      <w:bookmarkEnd w:id="53"/>
      <w:r>
        <w:rPr>
          <w:rFonts w:hint="eastAsia" w:ascii="宋体" w:hAnsi="宋体" w:eastAsia="宋体" w:cs="宋体"/>
          <w:color w:val="auto"/>
          <w:highlight w:val="none"/>
        </w:rPr>
        <w:t>条款及格式</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pPr>
        <w:pStyle w:val="6"/>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pPr>
        <w:pStyle w:val="6"/>
        <w:rPr>
          <w:rFonts w:hint="eastAsia" w:ascii="宋体" w:hAnsi="宋体" w:eastAsia="宋体" w:cs="宋体"/>
          <w:color w:val="auto"/>
          <w:highlight w:val="none"/>
        </w:rPr>
      </w:pPr>
      <w:bookmarkStart w:id="54" w:name="_Toc7415_WPSOffice_Level2"/>
      <w:r>
        <w:rPr>
          <w:rFonts w:hint="eastAsia" w:ascii="宋体" w:hAnsi="宋体" w:eastAsia="宋体" w:cs="宋体"/>
          <w:color w:val="auto"/>
          <w:highlight w:val="none"/>
        </w:rPr>
        <w:t>四</w:t>
      </w:r>
      <w:r>
        <w:rPr>
          <w:rFonts w:hint="eastAsia" w:ascii="宋体" w:hAnsi="宋体" w:eastAsia="宋体" w:cs="宋体"/>
          <w:color w:val="auto"/>
          <w:highlight w:val="none"/>
          <w:lang w:val="en-US" w:eastAsia="zh-CN"/>
        </w:rPr>
        <w:t xml:space="preserve"> </w:t>
      </w:r>
      <w:r>
        <w:rPr>
          <w:rFonts w:hint="eastAsia" w:ascii="宋体" w:hAnsi="宋体" w:eastAsia="宋体" w:cs="宋体"/>
          <w:color w:val="auto"/>
          <w:highlight w:val="none"/>
        </w:rPr>
        <w:t>投标文件的编制</w:t>
      </w:r>
      <w:bookmarkEnd w:id="54"/>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pPr>
        <w:adjustRightInd w:val="0"/>
        <w:snapToGrid w:val="0"/>
        <w:rPr>
          <w:rFonts w:hint="eastAsia" w:ascii="宋体" w:hAnsi="宋体" w:eastAsia="宋体" w:cs="宋体"/>
          <w:color w:val="auto"/>
          <w:highlight w:val="none"/>
        </w:rPr>
      </w:pPr>
      <w:bookmarkStart w:id="55" w:name="_Toc22507_WPSOffice_Level2"/>
      <w:bookmarkStart w:id="56" w:name="_Toc31973_WPSOffice_Level2"/>
      <w:r>
        <w:rPr>
          <w:rFonts w:hint="eastAsia" w:ascii="宋体" w:hAnsi="宋体" w:eastAsia="宋体" w:cs="宋体"/>
          <w:color w:val="auto"/>
          <w:highlight w:val="none"/>
        </w:rPr>
        <w:t>12.5除非招标文件另有规定，报价原则上精确到小数点后两位。</w:t>
      </w:r>
      <w:bookmarkEnd w:id="55"/>
      <w:bookmarkEnd w:id="56"/>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pPr>
        <w:pStyle w:val="6"/>
        <w:rPr>
          <w:rFonts w:hint="eastAsia" w:ascii="宋体" w:hAnsi="宋体" w:eastAsia="宋体" w:cs="宋体"/>
          <w:color w:val="auto"/>
          <w:highlight w:val="none"/>
        </w:rPr>
      </w:pPr>
      <w:bookmarkStart w:id="57" w:name="_Toc27725_WPSOffice_Level2"/>
      <w:r>
        <w:rPr>
          <w:rFonts w:hint="eastAsia" w:ascii="宋体" w:hAnsi="宋体" w:eastAsia="宋体" w:cs="宋体"/>
          <w:color w:val="auto"/>
          <w:highlight w:val="none"/>
        </w:rPr>
        <w:t>五 投标文件的递交</w:t>
      </w:r>
      <w:bookmarkEnd w:id="57"/>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pPr>
        <w:pStyle w:val="6"/>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pPr>
        <w:pStyle w:val="6"/>
        <w:rPr>
          <w:rFonts w:hint="eastAsia" w:ascii="宋体" w:hAnsi="宋体" w:eastAsia="宋体" w:cs="宋体"/>
          <w:color w:val="auto"/>
          <w:highlight w:val="none"/>
        </w:rPr>
      </w:pPr>
      <w:bookmarkStart w:id="58" w:name="_Toc988_WPSOffice_Level2"/>
      <w:r>
        <w:rPr>
          <w:rFonts w:hint="eastAsia" w:ascii="宋体" w:hAnsi="宋体" w:eastAsia="宋体" w:cs="宋体"/>
          <w:color w:val="auto"/>
          <w:highlight w:val="none"/>
        </w:rPr>
        <w:t>六 开标及评标</w:t>
      </w:r>
      <w:bookmarkEnd w:id="58"/>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9" w:name="_Hlk77063627"/>
      <w:r>
        <w:rPr>
          <w:rFonts w:hint="eastAsia" w:ascii="宋体" w:hAnsi="宋体" w:eastAsia="宋体" w:cs="宋体"/>
          <w:color w:val="auto"/>
          <w:highlight w:val="none"/>
        </w:rPr>
        <w:t>评标委员会组建后，</w:t>
      </w:r>
      <w:bookmarkEnd w:id="59"/>
      <w:r>
        <w:rPr>
          <w:rFonts w:hint="eastAsia" w:ascii="宋体" w:hAnsi="宋体" w:eastAsia="宋体" w:cs="宋体"/>
          <w:color w:val="auto"/>
          <w:highlight w:val="none"/>
        </w:rPr>
        <w:t>评标委员会成员共同推选组长，组长负责组织评标工作，采购人代表不得担任组长。</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pPr>
        <w:ind w:firstLine="0"/>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pPr>
        <w:pStyle w:val="6"/>
        <w:rPr>
          <w:rFonts w:hint="eastAsia" w:ascii="宋体" w:hAnsi="宋体" w:eastAsia="宋体" w:cs="宋体"/>
          <w:color w:val="auto"/>
          <w:highlight w:val="none"/>
        </w:rPr>
      </w:pPr>
      <w:bookmarkStart w:id="60" w:name="_Toc4544_WPSOffice_Level2"/>
      <w:r>
        <w:rPr>
          <w:rFonts w:hint="eastAsia" w:ascii="宋体" w:hAnsi="宋体" w:eastAsia="宋体" w:cs="宋体"/>
          <w:color w:val="auto"/>
          <w:highlight w:val="none"/>
        </w:rPr>
        <w:t>七 确定中标</w:t>
      </w:r>
      <w:bookmarkEnd w:id="60"/>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1" w:name="_Hlk77150539"/>
      <w:r>
        <w:rPr>
          <w:rFonts w:hint="eastAsia" w:ascii="宋体" w:hAnsi="宋体" w:eastAsia="宋体" w:cs="宋体"/>
          <w:color w:val="auto"/>
          <w:highlight w:val="none"/>
        </w:rPr>
        <w:t>详见中国政府采购网或</w:t>
      </w:r>
      <w:bookmarkEnd w:id="61"/>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pPr>
        <w:adjustRightInd w:val="0"/>
        <w:snapToGrid w:val="0"/>
        <w:ind w:firstLine="420"/>
        <w:rPr>
          <w:rFonts w:hint="eastAsia" w:ascii="宋体" w:hAnsi="宋体" w:eastAsia="宋体" w:cs="宋体"/>
          <w:b/>
          <w:color w:val="auto"/>
          <w:highlight w:val="none"/>
        </w:rPr>
        <w:sectPr>
          <w:footerReference r:id="rId7"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pPr>
        <w:pStyle w:val="5"/>
        <w:rPr>
          <w:rFonts w:hint="eastAsia" w:ascii="宋体" w:hAnsi="宋体" w:eastAsia="宋体" w:cs="宋体"/>
          <w:color w:val="auto"/>
          <w:highlight w:val="none"/>
        </w:rPr>
      </w:pPr>
      <w:bookmarkStart w:id="62" w:name="_Toc78902192"/>
      <w:bookmarkStart w:id="63" w:name="_Toc17725_WPSOffice_Level1"/>
      <w:bookmarkStart w:id="64" w:name="_Toc29813"/>
      <w:r>
        <w:rPr>
          <w:rFonts w:hint="eastAsia" w:ascii="宋体" w:hAnsi="宋体" w:eastAsia="宋体" w:cs="宋体"/>
          <w:color w:val="auto"/>
          <w:highlight w:val="none"/>
        </w:rPr>
        <w:t>第二章 投标文件内容及格式</w:t>
      </w:r>
      <w:bookmarkEnd w:id="62"/>
      <w:bookmarkEnd w:id="63"/>
      <w:bookmarkEnd w:id="64"/>
    </w:p>
    <w:p>
      <w:pPr>
        <w:pStyle w:val="7"/>
        <w:rPr>
          <w:rFonts w:hint="eastAsia" w:ascii="宋体" w:hAnsi="宋体" w:eastAsia="宋体" w:cs="宋体"/>
          <w:color w:val="auto"/>
          <w:highlight w:val="none"/>
        </w:rPr>
      </w:pPr>
      <w:bookmarkStart w:id="65" w:name="sys_投标文件内容及格式：Block"/>
      <w:bookmarkEnd w:id="65"/>
      <w:bookmarkStart w:id="66" w:name="投标文件内容及格式：Block"/>
      <w:bookmarkEnd w:id="66"/>
      <w:bookmarkStart w:id="67" w:name="_Toc1538_WPSOffice_Level2"/>
      <w:bookmarkStart w:id="68" w:name="_Toc2481_WPSOffice_Level2"/>
      <w:r>
        <w:rPr>
          <w:rFonts w:hint="eastAsia" w:ascii="宋体" w:hAnsi="宋体" w:eastAsia="宋体" w:cs="宋体"/>
          <w:color w:val="auto"/>
          <w:highlight w:val="none"/>
        </w:rPr>
        <w:t>一、投标文件、电子文档的外封面、封口、封皮及目录</w:t>
      </w:r>
      <w:bookmarkEnd w:id="67"/>
      <w:bookmarkEnd w:id="68"/>
    </w:p>
    <w:tbl>
      <w:tblPr>
        <w:tblStyle w:val="25"/>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7553"/>
        <w:gridCol w:w="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40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66"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52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40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6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52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6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52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6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52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pPr>
        <w:pStyle w:val="7"/>
        <w:rPr>
          <w:rFonts w:hint="eastAsia" w:ascii="宋体" w:hAnsi="宋体" w:eastAsia="宋体" w:cs="宋体"/>
          <w:b/>
          <w:color w:val="auto"/>
          <w:highlight w:val="none"/>
        </w:rPr>
      </w:pPr>
      <w:bookmarkStart w:id="69" w:name="_Toc1266_WPSOffice_Level2"/>
      <w:bookmarkStart w:id="70" w:name="_Toc31052_WPSOffice_Level2"/>
      <w:r>
        <w:rPr>
          <w:rFonts w:hint="eastAsia" w:ascii="宋体" w:hAnsi="宋体" w:eastAsia="宋体" w:cs="宋体"/>
          <w:color w:val="auto"/>
          <w:highlight w:val="none"/>
        </w:rPr>
        <w:t>二、资格证明材料</w:t>
      </w:r>
      <w:bookmarkEnd w:id="69"/>
      <w:bookmarkEnd w:id="70"/>
      <w:r>
        <w:rPr>
          <w:rFonts w:hint="eastAsia" w:ascii="宋体" w:hAnsi="宋体" w:eastAsia="宋体" w:cs="宋体"/>
          <w:color w:val="auto"/>
          <w:highlight w:val="none"/>
        </w:rPr>
        <w:t>（有一项不符合要求，不能进入下一阶段评审）</w:t>
      </w:r>
    </w:p>
    <w:tbl>
      <w:tblPr>
        <w:tblStyle w:val="25"/>
        <w:tblW w:w="4997" w:type="pct"/>
        <w:jc w:val="center"/>
        <w:tblLayout w:type="autofit"/>
        <w:tblCellMar>
          <w:top w:w="0" w:type="dxa"/>
          <w:left w:w="0" w:type="dxa"/>
          <w:bottom w:w="0" w:type="dxa"/>
          <w:right w:w="0" w:type="dxa"/>
        </w:tblCellMar>
      </w:tblPr>
      <w:tblGrid>
        <w:gridCol w:w="737"/>
        <w:gridCol w:w="7711"/>
        <w:gridCol w:w="834"/>
      </w:tblGrid>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bookmarkStart w:id="71" w:name="资格性证明材料：Document"/>
            <w:bookmarkStart w:id="72" w:name="sys_资格性证明材料：Document"/>
            <w:r>
              <w:rPr>
                <w:rFonts w:hint="eastAsia" w:ascii="宋体" w:hAnsi="宋体" w:eastAsia="宋体" w:cs="宋体"/>
                <w:color w:val="auto"/>
                <w:highlight w:val="none"/>
              </w:rPr>
              <w:t>序号</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CellMar>
            <w:top w:w="0" w:type="dxa"/>
            <w:left w:w="0" w:type="dxa"/>
            <w:bottom w:w="0" w:type="dxa"/>
            <w:right w:w="0" w:type="dxa"/>
          </w:tblCellMar>
        </w:tblPrEx>
        <w:trPr>
          <w:trHeight w:val="113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5若为自然人：提供“身份证明材料”。以上均提供复印件联合体各方均需提供上述证明（如适用）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cs="宋体"/>
                <w:color w:val="auto"/>
                <w:highlight w:val="none"/>
                <w:lang w:val="en-US" w:eastAsia="zh-CN"/>
              </w:rPr>
              <w:t>3</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评标当日之前一年内任一个月的依法缴纳税收的缴款凭据复印件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tblPrEx>
          <w:tblCellMar>
            <w:top w:w="0" w:type="dxa"/>
            <w:left w:w="0" w:type="dxa"/>
            <w:bottom w:w="0" w:type="dxa"/>
            <w:right w:w="0" w:type="dxa"/>
          </w:tblCellMar>
        </w:tblPrEx>
        <w:trPr>
          <w:trHeight w:val="9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中小企业声明函格式详见格式15</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CellMar>
            <w:top w:w="0" w:type="dxa"/>
            <w:left w:w="0" w:type="dxa"/>
            <w:bottom w:w="0" w:type="dxa"/>
            <w:right w:w="0" w:type="dxa"/>
          </w:tblCellMar>
        </w:tblPrEx>
        <w:trPr>
          <w:trHeight w:val="699"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11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bl>
    <w:p>
      <w:pPr>
        <w:pStyle w:val="7"/>
        <w:rPr>
          <w:rFonts w:hint="eastAsia" w:ascii="宋体" w:hAnsi="宋体" w:eastAsia="宋体" w:cs="宋体"/>
          <w:b/>
          <w:color w:val="auto"/>
          <w:highlight w:val="none"/>
        </w:rPr>
      </w:pPr>
      <w:bookmarkStart w:id="73" w:name="_Toc25206_WPSOffice_Level2"/>
      <w:bookmarkStart w:id="74" w:name="_Toc22359_WPSOffice_Level2"/>
      <w:r>
        <w:rPr>
          <w:rFonts w:hint="eastAsia" w:ascii="宋体" w:hAnsi="宋体" w:eastAsia="宋体" w:cs="宋体"/>
          <w:color w:val="auto"/>
          <w:highlight w:val="none"/>
        </w:rPr>
        <w:t>三、符合性证明材料</w:t>
      </w:r>
      <w:bookmarkEnd w:id="73"/>
      <w:bookmarkEnd w:id="74"/>
      <w:r>
        <w:rPr>
          <w:rFonts w:hint="eastAsia" w:ascii="宋体" w:hAnsi="宋体" w:eastAsia="宋体" w:cs="宋体"/>
          <w:color w:val="auto"/>
          <w:highlight w:val="none"/>
        </w:rPr>
        <w:t>（有一项不符合要求，不能进入下一阶段评审）</w:t>
      </w:r>
    </w:p>
    <w:bookmarkEnd w:id="71"/>
    <w:bookmarkEnd w:id="72"/>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bookmarkStart w:id="75" w:name="_Toc27769_WPSOffice_Level2"/>
            <w:bookmarkStart w:id="76" w:name="_Toc24432_WPSOffice_Level2"/>
            <w:r>
              <w:rPr>
                <w:rFonts w:hint="eastAsia" w:ascii="宋体" w:hAnsi="宋体" w:eastAsia="宋体" w:cs="宋体"/>
                <w:color w:val="auto"/>
                <w:highlight w:val="none"/>
              </w:rPr>
              <w:t>7</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pPr>
        <w:pStyle w:val="7"/>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5"/>
      <w:bookmarkEnd w:id="76"/>
    </w:p>
    <w:tbl>
      <w:tblPr>
        <w:tblStyle w:val="2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7587"/>
        <w:gridCol w:w="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37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85"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53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85"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1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85" w:type="pct"/>
            <w:vAlign w:val="center"/>
          </w:tcPr>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1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85"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1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rFonts w:hint="eastAsia" w:ascii="宋体" w:hAnsi="宋体" w:eastAsia="宋体" w:cs="宋体"/>
                <w:color w:val="auto"/>
                <w:highlight w:val="none"/>
              </w:rPr>
            </w:pPr>
          </w:p>
        </w:tc>
        <w:tc>
          <w:tcPr>
            <w:tcW w:w="4085"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537" w:type="pct"/>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b/>
          <w:color w:val="auto"/>
          <w:highlight w:val="none"/>
        </w:rPr>
      </w:pPr>
      <w:bookmarkStart w:id="77" w:name="_Toc24011_WPSOffice_Level2"/>
      <w:bookmarkStart w:id="78" w:name="_Toc23127_WPSOffice_Level2"/>
      <w:r>
        <w:rPr>
          <w:rFonts w:hint="eastAsia" w:ascii="宋体" w:hAnsi="宋体" w:eastAsia="宋体" w:cs="宋体"/>
          <w:b/>
          <w:color w:val="auto"/>
          <w:highlight w:val="none"/>
        </w:rPr>
        <w:t>重要提示：</w:t>
      </w:r>
      <w:bookmarkEnd w:id="77"/>
      <w:bookmarkEnd w:id="78"/>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pPr>
        <w:rPr>
          <w:rStyle w:val="38"/>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8"/>
          <w:rFonts w:hint="eastAsia" w:ascii="宋体" w:hAnsi="宋体" w:eastAsia="宋体" w:cs="宋体"/>
          <w:bCs/>
          <w:color w:val="auto"/>
          <w:highlight w:val="none"/>
        </w:rPr>
        <w:t>格式1</w:t>
      </w:r>
    </w:p>
    <w:p>
      <w:pPr>
        <w:pStyle w:val="6"/>
        <w:spacing w:before="0" w:after="0"/>
        <w:rPr>
          <w:rFonts w:hint="eastAsia" w:ascii="宋体" w:hAnsi="宋体" w:eastAsia="宋体" w:cs="宋体"/>
          <w:b/>
          <w:bCs/>
          <w:color w:val="auto"/>
          <w:highlight w:val="none"/>
        </w:rPr>
      </w:pPr>
      <w:bookmarkStart w:id="79" w:name="_Toc21090_WPSOffice_Level2"/>
      <w:bookmarkStart w:id="80" w:name="_Toc26322_WPSOffice_Level2"/>
      <w:r>
        <w:rPr>
          <w:rFonts w:hint="eastAsia" w:ascii="宋体" w:hAnsi="宋体" w:eastAsia="宋体" w:cs="宋体"/>
          <w:color w:val="auto"/>
          <w:highlight w:val="none"/>
        </w:rPr>
        <w:t>投标文件、电子文档外封面、封口格式</w:t>
      </w:r>
      <w:bookmarkEnd w:id="79"/>
      <w:bookmarkEnd w:id="80"/>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5"/>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pPr>
              <w:pStyle w:val="34"/>
              <w:ind w:firstLine="420"/>
              <w:rPr>
                <w:rFonts w:hint="eastAsia" w:ascii="宋体" w:hAnsi="宋体" w:eastAsia="宋体" w:cs="宋体"/>
                <w:color w:val="auto"/>
                <w:highlight w:val="none"/>
              </w:rPr>
            </w:pPr>
          </w:p>
          <w:p>
            <w:pPr>
              <w:pStyle w:val="34"/>
              <w:ind w:firstLine="420"/>
              <w:rPr>
                <w:rFonts w:hint="eastAsia" w:ascii="宋体" w:hAnsi="宋体" w:eastAsia="宋体" w:cs="宋体"/>
                <w:color w:val="auto"/>
                <w:highlight w:val="none"/>
              </w:rPr>
            </w:pPr>
          </w:p>
        </w:tc>
      </w:tr>
    </w:tbl>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pPr>
        <w:rPr>
          <w:rFonts w:hint="eastAsia" w:ascii="宋体" w:hAnsi="宋体" w:eastAsia="宋体" w:cs="宋体"/>
          <w:color w:val="auto"/>
          <w:highlight w:val="none"/>
        </w:rPr>
      </w:pPr>
    </w:p>
    <w:p>
      <w:pPr>
        <w:rPr>
          <w:rStyle w:val="38"/>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8"/>
          <w:rFonts w:hint="eastAsia" w:ascii="宋体" w:hAnsi="宋体" w:eastAsia="宋体" w:cs="宋体"/>
          <w:color w:val="auto"/>
          <w:highlight w:val="none"/>
        </w:rPr>
        <w:t>格式2</w:t>
      </w:r>
    </w:p>
    <w:p>
      <w:pPr>
        <w:pStyle w:val="6"/>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&#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mdnXnYAAAACgEAAA8AAAAAAAAAAQAgAAAAIgAAAGRy&#10;cy9kb3ducmV2LnhtbFBLAQIUABQAAAAIAIdO4kC0gua0BQIAADcEAAAOAAAAAAAAAAEAIAAAACcB&#10;AABkcnMvZTJvRG9jLnhtbFBLBQYAAAAABgAGAFkBAACeBQAAAAA=&#10;">
                <v:fill on="t" focussize="0,0"/>
                <v:stroke color="#000000" joinstyle="miter"/>
                <v:imagedata o:title=""/>
                <o:lock v:ext="edit" aspectratio="f"/>
                <v:textbo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4"/>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4"/>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4"/>
        <w:ind w:firstLine="560"/>
        <w:rPr>
          <w:rFonts w:hint="eastAsia" w:ascii="宋体" w:hAnsi="宋体" w:eastAsia="宋体" w:cs="宋体"/>
          <w:color w:val="auto"/>
          <w:sz w:val="28"/>
          <w:szCs w:val="28"/>
          <w:highlight w:val="none"/>
        </w:rPr>
      </w:pPr>
    </w:p>
    <w:p>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pPr>
        <w:rPr>
          <w:rStyle w:val="38"/>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8"/>
          <w:rFonts w:hint="eastAsia" w:ascii="宋体" w:hAnsi="宋体" w:eastAsia="宋体" w:cs="宋体"/>
          <w:color w:val="auto"/>
          <w:highlight w:val="none"/>
        </w:rPr>
        <w:t>格式3</w:t>
      </w:r>
    </w:p>
    <w:p>
      <w:pPr>
        <w:jc w:val="center"/>
        <w:rPr>
          <w:rFonts w:hint="eastAsia" w:ascii="宋体" w:hAnsi="宋体" w:eastAsia="宋体" w:cs="宋体"/>
          <w:color w:val="auto"/>
          <w:sz w:val="32"/>
          <w:szCs w:val="32"/>
          <w:highlight w:val="none"/>
        </w:rPr>
      </w:pPr>
      <w:bookmarkStart w:id="81" w:name="_Toc2304_WPSOffice_Level2"/>
      <w:bookmarkStart w:id="82" w:name="_Toc21414_WPSOffice_Level2"/>
      <w:r>
        <w:rPr>
          <w:rFonts w:hint="eastAsia" w:ascii="宋体" w:hAnsi="宋体" w:eastAsia="宋体" w:cs="宋体"/>
          <w:color w:val="auto"/>
          <w:sz w:val="32"/>
          <w:szCs w:val="32"/>
          <w:highlight w:val="none"/>
        </w:rPr>
        <w:t>目  录</w:t>
      </w:r>
      <w:bookmarkEnd w:id="81"/>
      <w:bookmarkEnd w:id="82"/>
    </w:p>
    <w:p>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pPr>
        <w:rPr>
          <w:rFonts w:hint="eastAsia" w:ascii="宋体" w:hAnsi="宋体" w:eastAsia="宋体" w:cs="宋体"/>
          <w:color w:val="auto"/>
          <w:highlight w:val="none"/>
        </w:rPr>
      </w:pPr>
    </w:p>
    <w:p>
      <w:pPr>
        <w:rPr>
          <w:rFonts w:hint="eastAsia" w:ascii="宋体" w:hAnsi="宋体" w:eastAsia="宋体" w:cs="宋体"/>
          <w:color w:val="auto"/>
          <w:sz w:val="28"/>
          <w:szCs w:val="28"/>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pPr>
        <w:pStyle w:val="6"/>
        <w:adjustRightInd w:val="0"/>
        <w:snapToGrid w:val="0"/>
        <w:spacing w:before="0" w:after="0"/>
        <w:jc w:val="left"/>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8"/>
          <w:rFonts w:hint="eastAsia" w:ascii="宋体" w:hAnsi="宋体" w:eastAsia="宋体" w:cs="宋体"/>
          <w:color w:val="auto"/>
          <w:highlight w:val="none"/>
        </w:rPr>
        <w:t>格式4</w:t>
      </w:r>
      <w:bookmarkStart w:id="83" w:name="_Toc16924_WPSOffice_Level2"/>
      <w:bookmarkStart w:id="84" w:name="_Toc3401_WPSOffice_Level2"/>
    </w:p>
    <w:p>
      <w:pPr>
        <w:pStyle w:val="6"/>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3"/>
      <w:bookmarkEnd w:id="84"/>
    </w:p>
    <w:p>
      <w:pPr>
        <w:ind w:firstLine="420" w:firstLineChars="200"/>
        <w:rPr>
          <w:rFonts w:hint="eastAsia" w:ascii="宋体" w:hAnsi="宋体" w:eastAsia="宋体" w:cs="宋体"/>
          <w:color w:val="auto"/>
          <w:highlight w:val="none"/>
          <w:u w:val="singl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tbl>
      <w:tblPr>
        <w:tblStyle w:val="2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8"/>
          <w:rFonts w:hint="eastAsia" w:ascii="宋体" w:hAnsi="宋体" w:eastAsia="宋体" w:cs="宋体"/>
          <w:color w:val="auto"/>
          <w:highlight w:val="none"/>
        </w:rPr>
        <w:t>格式5</w:t>
      </w:r>
      <w:bookmarkStart w:id="85" w:name="_Toc122_WPSOffice_Level2"/>
      <w:bookmarkStart w:id="86" w:name="_Toc21833_WPSOffice_Level2"/>
    </w:p>
    <w:p>
      <w:pPr>
        <w:pStyle w:val="6"/>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5"/>
      <w:bookmarkEnd w:id="86"/>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pPr>
        <w:rPr>
          <w:rFonts w:hint="eastAsia" w:ascii="宋体" w:hAnsi="宋体" w:eastAsia="宋体" w:cs="宋体"/>
          <w:color w:val="auto"/>
          <w:sz w:val="24"/>
          <w:highlight w:val="none"/>
        </w:rPr>
      </w:pPr>
    </w:p>
    <w:tbl>
      <w:tblPr>
        <w:tblStyle w:val="2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pPr>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8"/>
          <w:rFonts w:hint="eastAsia" w:ascii="宋体" w:hAnsi="宋体" w:eastAsia="宋体" w:cs="宋体"/>
          <w:color w:val="auto"/>
          <w:highlight w:val="none"/>
        </w:rPr>
        <w:t>格式6</w:t>
      </w:r>
    </w:p>
    <w:p>
      <w:pPr>
        <w:pStyle w:val="7"/>
        <w:jc w:val="center"/>
        <w:rPr>
          <w:rFonts w:hint="eastAsia" w:ascii="宋体" w:hAnsi="宋体" w:eastAsia="宋体" w:cs="宋体"/>
          <w:color w:val="auto"/>
          <w:highlight w:val="none"/>
        </w:rPr>
      </w:pPr>
      <w:bookmarkStart w:id="87" w:name="_Toc23728_WPSOffice_Level2"/>
      <w:bookmarkStart w:id="88" w:name="_Toc12037_WPSOffice_Level2"/>
      <w:r>
        <w:rPr>
          <w:rFonts w:hint="eastAsia" w:ascii="宋体" w:hAnsi="宋体" w:eastAsia="宋体" w:cs="宋体"/>
          <w:color w:val="auto"/>
          <w:highlight w:val="none"/>
        </w:rPr>
        <w:t>具备履行合同所必需的设备和专业技术能力声明函</w:t>
      </w:r>
    </w:p>
    <w:p>
      <w:pPr>
        <w:pStyle w:val="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pPr>
        <w:pStyle w:val="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pPr>
        <w:adjustRightInd w:val="0"/>
        <w:snapToGrid w:val="0"/>
        <w:ind w:right="105" w:rightChars="50" w:firstLine="544" w:firstLineChars="227"/>
        <w:jc w:val="right"/>
        <w:rPr>
          <w:rFonts w:hint="eastAsia" w:ascii="宋体" w:hAnsi="宋体" w:eastAsia="宋体" w:cs="宋体"/>
          <w:color w:val="auto"/>
          <w:sz w:val="24"/>
          <w:highlight w:val="none"/>
        </w:rPr>
      </w:pPr>
    </w:p>
    <w:p>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7"/>
    <w:bookmarkEnd w:id="88"/>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格式7</w:t>
      </w:r>
    </w:p>
    <w:p>
      <w:pPr>
        <w:pStyle w:val="6"/>
        <w:rPr>
          <w:rFonts w:hint="eastAsia" w:ascii="宋体" w:hAnsi="宋体" w:eastAsia="宋体" w:cs="宋体"/>
          <w:color w:val="auto"/>
          <w:highlight w:val="none"/>
        </w:rPr>
      </w:pPr>
      <w:bookmarkStart w:id="89" w:name="_Toc7498_WPSOffice_Level2"/>
      <w:bookmarkStart w:id="90" w:name="_Toc11967_WPSOffice_Level2"/>
      <w:r>
        <w:rPr>
          <w:rFonts w:hint="eastAsia" w:ascii="宋体" w:hAnsi="宋体" w:eastAsia="宋体" w:cs="宋体"/>
          <w:color w:val="auto"/>
          <w:highlight w:val="none"/>
        </w:rPr>
        <w:t>参加政府采购活动前3年内在经营活动中没有重大违法记录的书面声明</w:t>
      </w:r>
      <w:bookmarkEnd w:id="89"/>
      <w:bookmarkEnd w:id="90"/>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pPr>
        <w:spacing w:line="500" w:lineRule="exact"/>
        <w:ind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pPr>
        <w:ind w:left="2270" w:hanging="2270" w:hangingChars="1081"/>
        <w:jc w:val="left"/>
        <w:rPr>
          <w:rFonts w:hint="eastAsia" w:ascii="宋体" w:hAnsi="宋体" w:eastAsia="宋体" w:cs="宋体"/>
          <w:color w:val="auto"/>
          <w:highlight w:val="none"/>
          <w:u w:val="single"/>
        </w:rPr>
      </w:pPr>
    </w:p>
    <w:p>
      <w:pPr>
        <w:ind w:left="2270" w:hanging="2270" w:hangingChars="1081"/>
        <w:jc w:val="left"/>
        <w:rPr>
          <w:rFonts w:hint="eastAsia" w:ascii="宋体" w:hAnsi="宋体" w:eastAsia="宋体" w:cs="宋体"/>
          <w:color w:val="auto"/>
          <w:highlight w:val="none"/>
          <w:u w:val="single"/>
        </w:rPr>
      </w:pPr>
    </w:p>
    <w:p>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pPr>
        <w:rPr>
          <w:rFonts w:hint="eastAsia" w:ascii="宋体" w:hAnsi="宋体" w:eastAsia="宋体" w:cs="宋体"/>
          <w:color w:val="auto"/>
          <w:highlight w:val="none"/>
        </w:rPr>
      </w:pPr>
      <w:r>
        <w:rPr>
          <w:rFonts w:hint="eastAsia" w:ascii="宋体" w:hAnsi="宋体" w:eastAsia="宋体" w:cs="宋体"/>
          <w:color w:val="auto"/>
          <w:highlight w:val="none"/>
        </w:rPr>
        <w:br w:type="page"/>
      </w:r>
    </w:p>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格式8</w:t>
      </w:r>
    </w:p>
    <w:p>
      <w:pPr>
        <w:pStyle w:val="6"/>
        <w:rPr>
          <w:rFonts w:hint="eastAsia" w:ascii="宋体" w:hAnsi="宋体" w:eastAsia="宋体" w:cs="宋体"/>
          <w:color w:val="auto"/>
          <w:highlight w:val="none"/>
        </w:rPr>
      </w:pPr>
      <w:bookmarkStart w:id="91" w:name="_Toc30548_WPSOffice_Level2"/>
      <w:bookmarkStart w:id="92" w:name="_Toc16873_WPSOffice_Level2"/>
      <w:r>
        <w:rPr>
          <w:rFonts w:hint="eastAsia" w:ascii="宋体" w:hAnsi="宋体" w:eastAsia="宋体" w:cs="宋体"/>
          <w:color w:val="auto"/>
          <w:highlight w:val="none"/>
        </w:rPr>
        <w:t>联合体协议书</w:t>
      </w:r>
      <w:bookmarkEnd w:id="91"/>
      <w:bookmarkEnd w:id="92"/>
    </w:p>
    <w:p>
      <w:pPr>
        <w:pStyle w:val="15"/>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pPr>
        <w:pStyle w:val="15"/>
        <w:ind w:firstLine="420" w:firstLineChars="200"/>
        <w:rPr>
          <w:rFonts w:hint="eastAsia" w:ascii="宋体" w:hAnsi="宋体" w:eastAsia="宋体" w:cs="宋体"/>
          <w:color w:val="auto"/>
          <w:highlight w:val="none"/>
          <w:u w:val="single"/>
        </w:rPr>
      </w:pPr>
      <w:bookmarkStart w:id="93" w:name="_Toc15561_WPSOffice_Level2"/>
      <w:bookmarkStart w:id="94" w:name="_Toc23749_WPSOffice_Level2"/>
      <w:r>
        <w:rPr>
          <w:rFonts w:hint="eastAsia" w:ascii="宋体" w:hAnsi="宋体" w:eastAsia="宋体" w:cs="宋体"/>
          <w:color w:val="auto"/>
          <w:highlight w:val="none"/>
        </w:rPr>
        <w:t>1.</w:t>
      </w:r>
      <w:bookmarkEnd w:id="93"/>
      <w:bookmarkEnd w:id="94"/>
      <w:r>
        <w:rPr>
          <w:rFonts w:hint="eastAsia" w:ascii="宋体" w:hAnsi="宋体" w:eastAsia="宋体" w:cs="宋体"/>
          <w:color w:val="auto"/>
          <w:highlight w:val="none"/>
          <w:u w:val="single"/>
        </w:rPr>
        <w:t xml:space="preserve">                  </w:t>
      </w:r>
    </w:p>
    <w:p>
      <w:pPr>
        <w:pStyle w:val="15"/>
        <w:ind w:firstLine="420" w:firstLineChars="200"/>
        <w:rPr>
          <w:rFonts w:hint="eastAsia" w:ascii="宋体" w:hAnsi="宋体" w:eastAsia="宋体" w:cs="宋体"/>
          <w:color w:val="auto"/>
          <w:highlight w:val="none"/>
        </w:rPr>
      </w:pPr>
      <w:bookmarkStart w:id="95" w:name="_Toc22173_WPSOffice_Level2"/>
      <w:bookmarkStart w:id="96" w:name="_Toc405_WPSOffice_Level2"/>
      <w:r>
        <w:rPr>
          <w:rFonts w:hint="eastAsia" w:ascii="宋体" w:hAnsi="宋体" w:eastAsia="宋体" w:cs="宋体"/>
          <w:color w:val="auto"/>
          <w:highlight w:val="none"/>
        </w:rPr>
        <w:t>2.</w:t>
      </w:r>
      <w:bookmarkEnd w:id="95"/>
      <w:bookmarkEnd w:id="96"/>
      <w:r>
        <w:rPr>
          <w:rFonts w:hint="eastAsia" w:ascii="宋体" w:hAnsi="宋体" w:eastAsia="宋体" w:cs="宋体"/>
          <w:color w:val="auto"/>
          <w:highlight w:val="none"/>
          <w:u w:val="single"/>
        </w:rPr>
        <w:t xml:space="preserve">                  </w:t>
      </w:r>
    </w:p>
    <w:p>
      <w:pPr>
        <w:pStyle w:val="15"/>
        <w:ind w:firstLine="420" w:firstLineChars="200"/>
        <w:rPr>
          <w:rFonts w:hint="eastAsia" w:ascii="宋体" w:hAnsi="宋体" w:eastAsia="宋体" w:cs="宋体"/>
          <w:color w:val="auto"/>
          <w:highlight w:val="none"/>
        </w:rPr>
      </w:pPr>
      <w:bookmarkStart w:id="97" w:name="_Toc7084_WPSOffice_Level2"/>
      <w:bookmarkStart w:id="98" w:name="_Toc23482_WPSOffice_Level2"/>
      <w:r>
        <w:rPr>
          <w:rFonts w:hint="eastAsia" w:ascii="宋体" w:hAnsi="宋体" w:eastAsia="宋体" w:cs="宋体"/>
          <w:color w:val="auto"/>
          <w:highlight w:val="none"/>
        </w:rPr>
        <w:t>3.</w:t>
      </w:r>
      <w:bookmarkEnd w:id="97"/>
      <w:bookmarkEnd w:id="98"/>
      <w:r>
        <w:rPr>
          <w:rFonts w:hint="eastAsia" w:ascii="宋体" w:hAnsi="宋体" w:eastAsia="宋体" w:cs="宋体"/>
          <w:color w:val="auto"/>
          <w:highlight w:val="none"/>
          <w:u w:val="single"/>
        </w:rPr>
        <w:t xml:space="preserve">                  </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pPr>
        <w:pStyle w:val="15"/>
        <w:ind w:firstLine="420" w:firstLineChars="200"/>
        <w:rPr>
          <w:rFonts w:hint="eastAsia" w:ascii="宋体" w:hAnsi="宋体" w:eastAsia="宋体" w:cs="宋体"/>
          <w:color w:val="auto"/>
          <w:highlight w:val="none"/>
        </w:rPr>
      </w:pP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pPr>
        <w:adjustRightInd w:val="0"/>
        <w:snapToGrid w:val="0"/>
        <w:ind w:firstLine="420" w:firstLineChars="200"/>
        <w:rPr>
          <w:rFonts w:hint="eastAsia" w:ascii="宋体" w:hAnsi="宋体" w:eastAsia="宋体" w:cs="宋体"/>
          <w:color w:val="auto"/>
          <w:highlight w:val="none"/>
        </w:rPr>
      </w:pPr>
    </w:p>
    <w:p>
      <w:pPr>
        <w:pStyle w:val="34"/>
        <w:ind w:firstLine="560"/>
        <w:rPr>
          <w:rFonts w:hint="eastAsia" w:ascii="宋体" w:hAnsi="宋体" w:eastAsia="宋体" w:cs="宋体"/>
          <w:color w:val="auto"/>
          <w:sz w:val="28"/>
          <w:szCs w:val="28"/>
          <w:highlight w:val="none"/>
        </w:rPr>
      </w:pPr>
    </w:p>
    <w:p>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pPr>
        <w:pStyle w:val="15"/>
        <w:ind w:firstLine="420" w:firstLineChars="200"/>
        <w:rPr>
          <w:rFonts w:hint="eastAsia" w:ascii="宋体" w:hAnsi="宋体" w:eastAsia="宋体" w:cs="宋体"/>
          <w:color w:val="auto"/>
          <w:highlight w:val="none"/>
        </w:rPr>
        <w:sectPr>
          <w:footerReference r:id="rId8"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格式9</w:t>
      </w:r>
    </w:p>
    <w:p>
      <w:pPr>
        <w:pStyle w:val="6"/>
        <w:rPr>
          <w:rFonts w:hint="eastAsia" w:ascii="宋体" w:hAnsi="宋体" w:eastAsia="宋体" w:cs="宋体"/>
          <w:color w:val="auto"/>
          <w:highlight w:val="none"/>
        </w:rPr>
      </w:pPr>
      <w:bookmarkStart w:id="99" w:name="_Toc24841_WPSOffice_Level2"/>
      <w:bookmarkStart w:id="100" w:name="_Toc14782_WPSOffice_Level2"/>
      <w:r>
        <w:rPr>
          <w:rFonts w:hint="eastAsia" w:ascii="宋体" w:hAnsi="宋体" w:eastAsia="宋体" w:cs="宋体"/>
          <w:color w:val="auto"/>
          <w:highlight w:val="none"/>
        </w:rPr>
        <w:t>投标函</w:t>
      </w:r>
      <w:bookmarkEnd w:id="99"/>
      <w:bookmarkEnd w:id="100"/>
    </w:p>
    <w:p>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cs="宋体"/>
          <w:color w:val="auto"/>
          <w:highlight w:val="none"/>
          <w:u w:val="single"/>
          <w:lang w:val="en-US" w:eastAsia="zh-CN"/>
        </w:rPr>
        <w:t xml:space="preserve">                  </w:t>
      </w:r>
      <w:r>
        <w:rPr>
          <w:rFonts w:hint="eastAsia" w:ascii="宋体" w:hAnsi="宋体" w:eastAsia="宋体" w:cs="宋体"/>
          <w:color w:val="auto"/>
          <w:highlight w:val="none"/>
        </w:rPr>
        <w:t>。</w:t>
      </w:r>
    </w:p>
    <w:p>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pPr>
        <w:pStyle w:val="34"/>
        <w:ind w:firstLine="420"/>
        <w:rPr>
          <w:rFonts w:hint="eastAsia" w:ascii="宋体" w:hAnsi="宋体" w:eastAsia="宋体" w:cs="宋体"/>
          <w:color w:val="auto"/>
          <w:highlight w:val="none"/>
        </w:rPr>
      </w:pPr>
    </w:p>
    <w:p>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adjustRightInd w:val="0"/>
        <w:snapToGrid w:val="0"/>
        <w:ind w:right="1050" w:rightChars="500" w:firstLine="420" w:firstLineChars="200"/>
        <w:rPr>
          <w:rStyle w:val="38"/>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8"/>
          <w:rFonts w:hint="eastAsia" w:ascii="宋体" w:hAnsi="宋体" w:eastAsia="宋体" w:cs="宋体"/>
          <w:color w:val="auto"/>
          <w:highlight w:val="none"/>
        </w:rPr>
        <w:t>格式10</w:t>
      </w:r>
    </w:p>
    <w:p>
      <w:pPr>
        <w:pStyle w:val="6"/>
        <w:rPr>
          <w:rFonts w:hint="eastAsia" w:ascii="宋体" w:hAnsi="宋体" w:eastAsia="宋体" w:cs="宋体"/>
          <w:b/>
          <w:bCs/>
          <w:color w:val="auto"/>
          <w:highlight w:val="none"/>
        </w:rPr>
      </w:pPr>
      <w:bookmarkStart w:id="101" w:name="_Toc2673_WPSOffice_Level2"/>
      <w:bookmarkStart w:id="102" w:name="_Toc11267_WPSOffice_Level2"/>
      <w:r>
        <w:rPr>
          <w:rFonts w:hint="eastAsia" w:ascii="宋体" w:hAnsi="宋体" w:eastAsia="宋体" w:cs="宋体"/>
          <w:color w:val="auto"/>
          <w:highlight w:val="none"/>
        </w:rPr>
        <w:t>开标一览表</w:t>
      </w:r>
      <w:bookmarkEnd w:id="101"/>
      <w:bookmarkEnd w:id="102"/>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8"/>
        <w:gridCol w:w="1710"/>
        <w:gridCol w:w="1509"/>
        <w:gridCol w:w="1277"/>
        <w:gridCol w:w="1443"/>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868"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00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886"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750"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84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64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4" w:hRule="atLeast"/>
          <w:jc w:val="center"/>
        </w:trPr>
        <w:tc>
          <w:tcPr>
            <w:tcW w:w="868" w:type="pct"/>
            <w:vAlign w:val="center"/>
          </w:tcPr>
          <w:p>
            <w:pPr>
              <w:spacing w:line="300" w:lineRule="exact"/>
              <w:jc w:val="center"/>
              <w:rPr>
                <w:rFonts w:hint="eastAsia" w:ascii="宋体" w:hAnsi="宋体" w:eastAsia="宋体" w:cs="宋体"/>
                <w:color w:val="auto"/>
                <w:highlight w:val="none"/>
              </w:rPr>
            </w:pPr>
          </w:p>
        </w:tc>
        <w:tc>
          <w:tcPr>
            <w:tcW w:w="1004" w:type="pct"/>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小写：</w:t>
            </w:r>
          </w:p>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大写：</w:t>
            </w:r>
          </w:p>
        </w:tc>
        <w:tc>
          <w:tcPr>
            <w:tcW w:w="886" w:type="pct"/>
            <w:vAlign w:val="center"/>
          </w:tcPr>
          <w:p>
            <w:pPr>
              <w:spacing w:line="300" w:lineRule="exact"/>
              <w:jc w:val="center"/>
              <w:rPr>
                <w:rFonts w:hint="eastAsia" w:ascii="宋体" w:hAnsi="宋体" w:eastAsia="宋体" w:cs="宋体"/>
                <w:color w:val="auto"/>
                <w:highlight w:val="none"/>
              </w:rPr>
            </w:pPr>
          </w:p>
        </w:tc>
        <w:tc>
          <w:tcPr>
            <w:tcW w:w="750" w:type="pct"/>
            <w:vAlign w:val="center"/>
          </w:tcPr>
          <w:p>
            <w:pPr>
              <w:spacing w:line="300" w:lineRule="exact"/>
              <w:jc w:val="center"/>
              <w:rPr>
                <w:rFonts w:hint="eastAsia" w:ascii="宋体" w:hAnsi="宋体" w:eastAsia="宋体" w:cs="宋体"/>
                <w:color w:val="auto"/>
                <w:highlight w:val="none"/>
              </w:rPr>
            </w:pPr>
          </w:p>
        </w:tc>
        <w:tc>
          <w:tcPr>
            <w:tcW w:w="847" w:type="pct"/>
            <w:vAlign w:val="center"/>
          </w:tcPr>
          <w:p>
            <w:pPr>
              <w:spacing w:line="300" w:lineRule="exact"/>
              <w:jc w:val="center"/>
              <w:rPr>
                <w:rFonts w:hint="eastAsia" w:ascii="宋体" w:hAnsi="宋体" w:eastAsia="宋体" w:cs="宋体"/>
                <w:color w:val="auto"/>
                <w:highlight w:val="none"/>
              </w:rPr>
            </w:pPr>
          </w:p>
        </w:tc>
        <w:tc>
          <w:tcPr>
            <w:tcW w:w="643" w:type="pct"/>
            <w:vAlign w:val="center"/>
          </w:tcPr>
          <w:p>
            <w:pPr>
              <w:spacing w:line="300" w:lineRule="exact"/>
              <w:jc w:val="center"/>
              <w:rPr>
                <w:rFonts w:hint="eastAsia" w:ascii="宋体" w:hAnsi="宋体" w:eastAsia="宋体" w:cs="宋体"/>
                <w:color w:val="auto"/>
                <w:highlight w:val="none"/>
              </w:rPr>
            </w:pPr>
          </w:p>
        </w:tc>
      </w:tr>
    </w:tbl>
    <w:p>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pPr>
        <w:adjustRightInd w:val="0"/>
        <w:snapToGrid w:val="0"/>
        <w:ind w:right="105" w:rightChars="50" w:firstLine="544" w:firstLineChars="227"/>
        <w:jc w:val="left"/>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8"/>
          <w:rFonts w:hint="eastAsia" w:ascii="宋体" w:hAnsi="宋体" w:eastAsia="宋体" w:cs="宋体"/>
          <w:color w:val="auto"/>
          <w:highlight w:val="none"/>
        </w:rPr>
        <w:t>格式11</w:t>
      </w:r>
    </w:p>
    <w:p>
      <w:pPr>
        <w:pStyle w:val="6"/>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5"/>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8"/>
        <w:gridCol w:w="1523"/>
        <w:gridCol w:w="1169"/>
        <w:gridCol w:w="804"/>
        <w:gridCol w:w="774"/>
        <w:gridCol w:w="763"/>
        <w:gridCol w:w="763"/>
        <w:gridCol w:w="770"/>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60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89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686"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4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45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448"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448"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45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53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503" w:type="pct"/>
            <w:gridSpan w:val="2"/>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4"/>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firstLine="480" w:firstLineChars="200"/>
        <w:jc w:val="left"/>
        <w:rPr>
          <w:rFonts w:hint="eastAsia" w:ascii="宋体" w:hAnsi="宋体" w:eastAsia="宋体" w:cs="宋体"/>
          <w:color w:val="auto"/>
          <w:sz w:val="24"/>
          <w:highlight w:val="none"/>
        </w:rPr>
      </w:pPr>
    </w:p>
    <w:p>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格式12</w:t>
      </w:r>
    </w:p>
    <w:p>
      <w:pPr>
        <w:pStyle w:val="6"/>
        <w:rPr>
          <w:rFonts w:hint="eastAsia" w:ascii="宋体" w:hAnsi="宋体" w:eastAsia="宋体" w:cs="宋体"/>
          <w:color w:val="auto"/>
          <w:highlight w:val="none"/>
        </w:rPr>
      </w:pPr>
      <w:bookmarkStart w:id="103" w:name="_Toc31555_WPSOffice_Level2"/>
      <w:bookmarkStart w:id="104" w:name="_Toc9235_WPSOffice_Level2"/>
      <w:r>
        <w:rPr>
          <w:rFonts w:hint="eastAsia" w:ascii="宋体" w:hAnsi="宋体" w:eastAsia="宋体" w:cs="宋体"/>
          <w:color w:val="auto"/>
          <w:highlight w:val="none"/>
        </w:rPr>
        <w:t>服务需求响应表</w:t>
      </w:r>
      <w:bookmarkEnd w:id="103"/>
      <w:bookmarkEnd w:id="104"/>
    </w:p>
    <w:tbl>
      <w:tblPr>
        <w:tblStyle w:val="2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97"/>
        <w:gridCol w:w="2097"/>
        <w:gridCol w:w="1100"/>
        <w:gridCol w:w="1148"/>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1" w:hRule="atLeast"/>
        </w:trPr>
        <w:tc>
          <w:tcPr>
            <w:tcW w:w="5000" w:type="pct"/>
            <w:gridSpan w:val="5"/>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trPr>
        <w:tc>
          <w:tcPr>
            <w:tcW w:w="1760"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1231"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64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674"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68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1" w:hRule="atLeast"/>
        </w:trPr>
        <w:tc>
          <w:tcPr>
            <w:tcW w:w="1760"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1231"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64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1" w:hRule="atLeast"/>
        </w:trPr>
        <w:tc>
          <w:tcPr>
            <w:tcW w:w="1760"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231"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64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bl>
    <w:p>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ind w:firstLine="420" w:firstLineChars="200"/>
        <w:rPr>
          <w:rFonts w:hint="eastAsia" w:ascii="宋体" w:hAnsi="宋体" w:eastAsia="宋体" w:cs="宋体"/>
          <w:color w:val="auto"/>
          <w:highlight w:val="none"/>
        </w:rPr>
      </w:pPr>
    </w:p>
    <w:p>
      <w:pPr>
        <w:pStyle w:val="34"/>
        <w:ind w:firstLine="420"/>
        <w:rPr>
          <w:rFonts w:hint="eastAsia" w:ascii="宋体" w:hAnsi="宋体" w:eastAsia="宋体" w:cs="宋体"/>
          <w:color w:val="auto"/>
          <w:highlight w:val="none"/>
        </w:rPr>
      </w:pPr>
    </w:p>
    <w:p>
      <w:pPr>
        <w:pStyle w:val="34"/>
        <w:ind w:firstLine="420"/>
        <w:rPr>
          <w:rFonts w:hint="eastAsia" w:ascii="宋体" w:hAnsi="宋体" w:eastAsia="宋体" w:cs="宋体"/>
          <w:color w:val="auto"/>
          <w:highlight w:val="none"/>
        </w:rPr>
      </w:pPr>
    </w:p>
    <w:p>
      <w:pPr>
        <w:pStyle w:val="34"/>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8"/>
          <w:rFonts w:hint="eastAsia" w:ascii="宋体" w:hAnsi="宋体" w:eastAsia="宋体" w:cs="宋体"/>
          <w:color w:val="auto"/>
          <w:highlight w:val="none"/>
        </w:rPr>
        <w:t>格式13</w:t>
      </w:r>
    </w:p>
    <w:p>
      <w:pPr>
        <w:pStyle w:val="6"/>
        <w:rPr>
          <w:rFonts w:hint="eastAsia" w:ascii="宋体" w:hAnsi="宋体" w:eastAsia="宋体" w:cs="宋体"/>
          <w:color w:val="auto"/>
          <w:highlight w:val="none"/>
        </w:rPr>
      </w:pPr>
      <w:bookmarkStart w:id="105" w:name="_Toc8488_WPSOffice_Level2"/>
      <w:bookmarkStart w:id="106" w:name="_Toc4431_WPSOffice_Level2"/>
      <w:r>
        <w:rPr>
          <w:rFonts w:hint="eastAsia" w:ascii="宋体" w:hAnsi="宋体" w:eastAsia="宋体" w:cs="宋体"/>
          <w:color w:val="auto"/>
          <w:highlight w:val="none"/>
        </w:rPr>
        <w:t>商务条款偏离表</w:t>
      </w:r>
      <w:bookmarkEnd w:id="105"/>
      <w:bookmarkEnd w:id="106"/>
    </w:p>
    <w:p>
      <w:pPr>
        <w:adjustRightInd w:val="0"/>
        <w:snapToGrid w:val="0"/>
        <w:ind w:right="105" w:rightChars="50" w:firstLine="479" w:firstLineChars="227"/>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7"/>
        <w:gridCol w:w="3759"/>
        <w:gridCol w:w="2359"/>
        <w:gridCol w:w="1003"/>
        <w:gridCol w:w="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jc w:val="center"/>
        </w:trPr>
        <w:tc>
          <w:tcPr>
            <w:tcW w:w="321"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0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1385"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58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496"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★服务期：自合同签订之日起至2025年9月14日</w:t>
            </w:r>
          </w:p>
        </w:tc>
        <w:tc>
          <w:tcPr>
            <w:tcW w:w="1385" w:type="pct"/>
            <w:vAlign w:val="center"/>
          </w:tcPr>
          <w:p>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1385" w:type="pct"/>
            <w:vAlign w:val="center"/>
          </w:tcPr>
          <w:p>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321"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1385" w:type="pct"/>
            <w:vAlign w:val="center"/>
          </w:tcPr>
          <w:p>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321" w:type="pct"/>
            <w:vAlign w:val="center"/>
          </w:tcPr>
          <w:p>
            <w:pPr>
              <w:spacing w:line="300" w:lineRule="exact"/>
              <w:jc w:val="center"/>
              <w:rPr>
                <w:rFonts w:hint="eastAsia" w:ascii="宋体" w:hAnsi="宋体" w:eastAsia="宋体" w:cs="宋体"/>
                <w:color w:val="auto"/>
                <w:highlight w:val="none"/>
              </w:rPr>
            </w:pPr>
          </w:p>
        </w:tc>
        <w:tc>
          <w:tcPr>
            <w:tcW w:w="220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385"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589" w:type="pct"/>
            <w:vAlign w:val="center"/>
          </w:tcPr>
          <w:p>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pPr>
              <w:adjustRightInd w:val="0"/>
              <w:snapToGrid w:val="0"/>
              <w:ind w:right="105" w:rightChars="50"/>
              <w:jc w:val="center"/>
              <w:rPr>
                <w:rFonts w:hint="eastAsia" w:ascii="宋体" w:hAnsi="宋体" w:eastAsia="宋体" w:cs="宋体"/>
                <w:color w:val="auto"/>
                <w:highlight w:val="none"/>
              </w:rPr>
            </w:pPr>
          </w:p>
        </w:tc>
      </w:tr>
    </w:tbl>
    <w:p>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pStyle w:val="34"/>
        <w:ind w:firstLine="420"/>
        <w:rPr>
          <w:rFonts w:hint="eastAsia" w:ascii="宋体" w:hAnsi="宋体" w:eastAsia="宋体" w:cs="宋体"/>
          <w:color w:val="auto"/>
          <w:highlight w:val="none"/>
        </w:rPr>
      </w:pPr>
    </w:p>
    <w:p>
      <w:pPr>
        <w:pStyle w:val="34"/>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pStyle w:val="34"/>
        <w:ind w:firstLine="420"/>
        <w:rPr>
          <w:rFonts w:hint="eastAsia" w:ascii="宋体" w:hAnsi="宋体" w:eastAsia="宋体" w:cs="宋体"/>
          <w:color w:val="auto"/>
          <w:highlight w:val="none"/>
        </w:rPr>
      </w:pPr>
    </w:p>
    <w:p>
      <w:pPr>
        <w:ind w:firstLine="420" w:firstLineChars="200"/>
        <w:rPr>
          <w:rStyle w:val="38"/>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8"/>
          <w:rFonts w:hint="eastAsia" w:ascii="宋体" w:hAnsi="宋体" w:eastAsia="宋体" w:cs="宋体"/>
          <w:color w:val="auto"/>
          <w:highlight w:val="none"/>
        </w:rPr>
        <w:t>格式14</w:t>
      </w:r>
    </w:p>
    <w:p>
      <w:pPr>
        <w:pStyle w:val="7"/>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pPr>
        <w:adjustRightInd w:val="0"/>
        <w:snapToGrid w:val="0"/>
        <w:ind w:right="105" w:rightChars="50" w:firstLine="476" w:firstLineChars="227"/>
        <w:jc w:val="left"/>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pPr>
        <w:pStyle w:val="34"/>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kern w:val="0"/>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pPr>
        <w:adjustRightInd w:val="0"/>
        <w:snapToGrid w:val="0"/>
        <w:ind w:right="105" w:rightChars="50" w:firstLine="476" w:firstLineChars="227"/>
        <w:jc w:val="left"/>
        <w:rPr>
          <w:rFonts w:hint="eastAsia" w:ascii="宋体" w:hAnsi="宋体" w:eastAsia="宋体" w:cs="宋体"/>
          <w:color w:val="auto"/>
          <w:highlight w:val="none"/>
        </w:rPr>
      </w:pPr>
    </w:p>
    <w:p>
      <w:pPr>
        <w:pStyle w:val="34"/>
        <w:ind w:firstLine="420"/>
        <w:rPr>
          <w:rFonts w:hint="eastAsia" w:ascii="宋体" w:hAnsi="宋体" w:eastAsia="宋体" w:cs="宋体"/>
          <w:color w:val="auto"/>
          <w:highlight w:val="none"/>
        </w:rPr>
      </w:pP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Style w:val="38"/>
          <w:rFonts w:hint="eastAsia" w:ascii="宋体" w:hAnsi="宋体" w:eastAsia="宋体" w:cs="宋体"/>
          <w:color w:val="auto"/>
          <w:highlight w:val="none"/>
        </w:rPr>
      </w:pPr>
      <w:r>
        <w:rPr>
          <w:rStyle w:val="38"/>
          <w:rFonts w:hint="eastAsia" w:ascii="宋体" w:hAnsi="宋体" w:eastAsia="宋体" w:cs="宋体"/>
          <w:color w:val="auto"/>
          <w:highlight w:val="none"/>
        </w:rPr>
        <w:br w:type="page"/>
      </w:r>
    </w:p>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格式15</w:t>
      </w:r>
    </w:p>
    <w:p>
      <w:pPr>
        <w:pStyle w:val="6"/>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pPr>
        <w:pStyle w:val="34"/>
        <w:ind w:firstLine="444"/>
        <w:rPr>
          <w:rFonts w:hint="eastAsia" w:ascii="宋体" w:hAnsi="宋体" w:eastAsia="宋体" w:cs="宋体"/>
          <w:color w:val="auto"/>
          <w:spacing w:val="6"/>
          <w:highlight w:val="none"/>
        </w:rPr>
      </w:pPr>
    </w:p>
    <w:p>
      <w:pPr>
        <w:pStyle w:val="34"/>
        <w:ind w:firstLine="444"/>
        <w:rPr>
          <w:rFonts w:hint="eastAsia" w:ascii="宋体" w:hAnsi="宋体" w:eastAsia="宋体" w:cs="宋体"/>
          <w:color w:val="auto"/>
          <w:spacing w:val="6"/>
          <w:highlight w:val="none"/>
        </w:rPr>
      </w:pPr>
    </w:p>
    <w:p>
      <w:pPr>
        <w:pStyle w:val="34"/>
        <w:ind w:firstLine="444"/>
        <w:rPr>
          <w:rFonts w:hint="eastAsia" w:ascii="宋体" w:hAnsi="宋体" w:eastAsia="宋体" w:cs="宋体"/>
          <w:color w:val="auto"/>
          <w:spacing w:val="6"/>
          <w:highlight w:val="none"/>
        </w:rPr>
      </w:pPr>
    </w:p>
    <w:p>
      <w:pPr>
        <w:pStyle w:val="34"/>
        <w:ind w:firstLine="444"/>
        <w:rPr>
          <w:rFonts w:hint="eastAsia" w:ascii="宋体" w:hAnsi="宋体" w:eastAsia="宋体" w:cs="宋体"/>
          <w:color w:val="auto"/>
          <w:spacing w:val="6"/>
          <w:highlight w:val="none"/>
        </w:rPr>
      </w:pPr>
    </w:p>
    <w:p>
      <w:pPr>
        <w:pStyle w:val="34"/>
        <w:ind w:firstLine="444"/>
        <w:rPr>
          <w:rFonts w:hint="eastAsia" w:ascii="宋体" w:hAnsi="宋体" w:eastAsia="宋体" w:cs="宋体"/>
          <w:color w:val="auto"/>
          <w:spacing w:val="6"/>
          <w:highlight w:val="none"/>
        </w:rPr>
      </w:pPr>
    </w:p>
    <w:p>
      <w:pPr>
        <w:pStyle w:val="34"/>
        <w:ind w:firstLine="444"/>
        <w:rPr>
          <w:rFonts w:hint="eastAsia" w:ascii="宋体" w:hAnsi="宋体" w:eastAsia="宋体" w:cs="宋体"/>
          <w:color w:val="auto"/>
          <w:spacing w:val="6"/>
          <w:highlight w:val="none"/>
        </w:rPr>
      </w:pPr>
    </w:p>
    <w:p>
      <w:pPr>
        <w:pStyle w:val="34"/>
        <w:ind w:firstLine="444"/>
        <w:rPr>
          <w:rFonts w:hint="eastAsia" w:ascii="宋体" w:hAnsi="宋体" w:eastAsia="宋体" w:cs="宋体"/>
          <w:color w:val="auto"/>
          <w:spacing w:val="6"/>
          <w:highlight w:val="none"/>
        </w:rPr>
      </w:pPr>
    </w:p>
    <w:p>
      <w:pPr>
        <w:pStyle w:val="20"/>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pPr>
        <w:pStyle w:val="34"/>
        <w:ind w:firstLine="444"/>
        <w:rPr>
          <w:rFonts w:hint="eastAsia" w:ascii="宋体" w:hAnsi="宋体" w:eastAsia="宋体" w:cs="宋体"/>
          <w:color w:val="auto"/>
          <w:spacing w:val="6"/>
          <w:highlight w:val="none"/>
        </w:rPr>
      </w:pPr>
    </w:p>
    <w:p>
      <w:pPr>
        <w:pStyle w:val="34"/>
        <w:ind w:firstLine="444"/>
        <w:rPr>
          <w:rFonts w:hint="eastAsia" w:ascii="宋体" w:hAnsi="宋体" w:eastAsia="宋体" w:cs="宋体"/>
          <w:color w:val="auto"/>
          <w:spacing w:val="6"/>
          <w:highlight w:val="none"/>
        </w:rPr>
      </w:pPr>
    </w:p>
    <w:p>
      <w:pPr>
        <w:pStyle w:val="34"/>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格式16</w:t>
      </w:r>
    </w:p>
    <w:p>
      <w:pPr>
        <w:pStyle w:val="6"/>
        <w:rPr>
          <w:rFonts w:hint="eastAsia" w:ascii="宋体" w:hAnsi="宋体" w:eastAsia="宋体" w:cs="宋体"/>
          <w:color w:val="auto"/>
          <w:szCs w:val="21"/>
          <w:highlight w:val="none"/>
        </w:rPr>
      </w:pPr>
      <w:bookmarkStart w:id="107" w:name="_Toc29880_WPSOffice_Level2"/>
      <w:bookmarkStart w:id="108" w:name="_Toc13566_WPSOffice_Level2"/>
      <w:r>
        <w:rPr>
          <w:rFonts w:hint="eastAsia" w:ascii="宋体" w:hAnsi="宋体" w:eastAsia="宋体" w:cs="宋体"/>
          <w:color w:val="auto"/>
          <w:highlight w:val="none"/>
        </w:rPr>
        <w:t>残疾人福利性单位声明函</w:t>
      </w:r>
      <w:bookmarkEnd w:id="107"/>
      <w:bookmarkEnd w:id="108"/>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5"/>
        <w:tblpPr w:leftFromText="180" w:rightFromText="180" w:vertAnchor="text" w:horzAnchor="page" w:tblpX="1873" w:tblpY="403"/>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1617"/>
        <w:gridCol w:w="1623"/>
        <w:gridCol w:w="1459"/>
        <w:gridCol w:w="1459"/>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5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950"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95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85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85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80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950" w:type="pct"/>
            <w:vAlign w:val="center"/>
          </w:tcPr>
          <w:p>
            <w:pPr>
              <w:spacing w:line="300" w:lineRule="exact"/>
              <w:jc w:val="center"/>
              <w:rPr>
                <w:rFonts w:hint="eastAsia" w:ascii="宋体" w:hAnsi="宋体" w:eastAsia="宋体" w:cs="宋体"/>
                <w:color w:val="auto"/>
                <w:highlight w:val="none"/>
              </w:rPr>
            </w:pPr>
          </w:p>
        </w:tc>
        <w:tc>
          <w:tcPr>
            <w:tcW w:w="953"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07"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950" w:type="pct"/>
            <w:vAlign w:val="center"/>
          </w:tcPr>
          <w:p>
            <w:pPr>
              <w:spacing w:line="300" w:lineRule="exact"/>
              <w:jc w:val="center"/>
              <w:rPr>
                <w:rFonts w:hint="eastAsia" w:ascii="宋体" w:hAnsi="宋体" w:eastAsia="宋体" w:cs="宋体"/>
                <w:color w:val="auto"/>
                <w:highlight w:val="none"/>
              </w:rPr>
            </w:pPr>
          </w:p>
        </w:tc>
        <w:tc>
          <w:tcPr>
            <w:tcW w:w="953"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07"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950" w:type="pct"/>
            <w:vAlign w:val="center"/>
          </w:tcPr>
          <w:p>
            <w:pPr>
              <w:spacing w:line="300" w:lineRule="exact"/>
              <w:jc w:val="center"/>
              <w:rPr>
                <w:rFonts w:hint="eastAsia" w:ascii="宋体" w:hAnsi="宋体" w:eastAsia="宋体" w:cs="宋体"/>
                <w:color w:val="auto"/>
                <w:highlight w:val="none"/>
              </w:rPr>
            </w:pPr>
          </w:p>
        </w:tc>
        <w:tc>
          <w:tcPr>
            <w:tcW w:w="953"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07"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96" w:hRule="atLeast"/>
        </w:trPr>
        <w:tc>
          <w:tcPr>
            <w:tcW w:w="5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50" w:type="pct"/>
            <w:vAlign w:val="center"/>
          </w:tcPr>
          <w:p>
            <w:pPr>
              <w:spacing w:line="300" w:lineRule="exact"/>
              <w:jc w:val="center"/>
              <w:rPr>
                <w:rFonts w:hint="eastAsia" w:ascii="宋体" w:hAnsi="宋体" w:eastAsia="宋体" w:cs="宋体"/>
                <w:color w:val="auto"/>
                <w:highlight w:val="none"/>
              </w:rPr>
            </w:pPr>
          </w:p>
        </w:tc>
        <w:tc>
          <w:tcPr>
            <w:tcW w:w="953"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07"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trPr>
        <w:tc>
          <w:tcPr>
            <w:tcW w:w="5000" w:type="pct"/>
            <w:gridSpan w:val="6"/>
            <w:vAlign w:val="center"/>
          </w:tcPr>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pPr>
        <w:pStyle w:val="7"/>
        <w:spacing w:before="0" w:after="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pPr>
        <w:pStyle w:val="6"/>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34"/>
        <w:ind w:firstLine="480"/>
        <w:rPr>
          <w:rFonts w:hint="eastAsia" w:ascii="宋体" w:hAnsi="宋体" w:eastAsia="宋体" w:cs="宋体"/>
          <w:color w:val="auto"/>
          <w:sz w:val="24"/>
          <w:szCs w:val="24"/>
          <w:highlight w:val="none"/>
        </w:rPr>
      </w:pPr>
    </w:p>
    <w:p>
      <w:pPr>
        <w:pStyle w:val="34"/>
        <w:ind w:firstLine="480"/>
        <w:rPr>
          <w:rFonts w:hint="eastAsia" w:ascii="宋体" w:hAnsi="宋体" w:eastAsia="宋体" w:cs="宋体"/>
          <w:color w:val="auto"/>
          <w:sz w:val="24"/>
          <w:szCs w:val="24"/>
          <w:highlight w:val="none"/>
        </w:rPr>
      </w:pPr>
    </w:p>
    <w:p>
      <w:pPr>
        <w:pStyle w:val="34"/>
        <w:ind w:firstLine="480"/>
        <w:rPr>
          <w:rFonts w:hint="eastAsia" w:ascii="宋体" w:hAnsi="宋体" w:eastAsia="宋体" w:cs="宋体"/>
          <w:color w:val="auto"/>
          <w:sz w:val="24"/>
          <w:szCs w:val="24"/>
          <w:highlight w:val="none"/>
        </w:rPr>
      </w:pPr>
    </w:p>
    <w:p>
      <w:pPr>
        <w:spacing w:before="200" w:after="200"/>
        <w:jc w:val="center"/>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9" w:name="_Toc18902"/>
      <w:bookmarkStart w:id="110" w:name="_Toc78902193"/>
      <w:bookmarkStart w:id="111" w:name="_Toc4498_WPSOffice_Level1"/>
      <w:r>
        <w:rPr>
          <w:rStyle w:val="36"/>
          <w:rFonts w:hint="eastAsia" w:ascii="宋体" w:hAnsi="宋体" w:eastAsia="宋体" w:cs="宋体"/>
          <w:color w:val="auto"/>
          <w:highlight w:val="none"/>
        </w:rPr>
        <w:t>第三章 服务需求</w:t>
      </w:r>
      <w:bookmarkEnd w:id="109"/>
      <w:bookmarkEnd w:id="110"/>
      <w:bookmarkEnd w:id="111"/>
    </w:p>
    <w:p>
      <w:pPr>
        <w:snapToGrid w:val="0"/>
        <w:spacing w:line="396" w:lineRule="auto"/>
        <w:ind w:firstLine="420" w:firstLineChars="200"/>
        <w:jc w:val="left"/>
        <w:rPr>
          <w:rFonts w:hint="eastAsia" w:ascii="宋体" w:hAnsi="宋体" w:eastAsia="宋体" w:cs="宋体"/>
          <w:sz w:val="21"/>
          <w:szCs w:val="21"/>
        </w:rPr>
      </w:pPr>
      <w:bookmarkStart w:id="112" w:name="_Toc2821_WPSOffice_Level1"/>
      <w:bookmarkStart w:id="113" w:name="_Toc78902194"/>
      <w:r>
        <w:rPr>
          <w:rFonts w:hint="eastAsia" w:ascii="宋体" w:hAnsi="宋体" w:eastAsia="宋体" w:cs="宋体"/>
          <w:sz w:val="21"/>
          <w:szCs w:val="21"/>
        </w:rPr>
        <w:t>一、项目概述</w:t>
      </w:r>
    </w:p>
    <w:p>
      <w:pPr>
        <w:snapToGrid w:val="0"/>
        <w:spacing w:line="396"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1.项目背景</w:t>
      </w:r>
    </w:p>
    <w:p>
      <w:pPr>
        <w:spacing w:beforeLines="0" w:afterLines="0"/>
        <w:ind w:firstLine="420" w:firstLineChars="200"/>
        <w:rPr>
          <w:rFonts w:hint="eastAsia" w:ascii="宋体" w:hAnsi="宋体" w:eastAsia="宋体" w:cs="宋体"/>
          <w:sz w:val="21"/>
          <w:szCs w:val="21"/>
        </w:rPr>
      </w:pPr>
      <w:r>
        <w:rPr>
          <w:rFonts w:hint="eastAsia" w:ascii="宋体" w:hAnsi="宋体" w:eastAsia="宋体" w:cs="宋体"/>
          <w:sz w:val="21"/>
          <w:szCs w:val="21"/>
        </w:rPr>
        <w:t>按照《国家税务总局关于印发省税务局网站建设管理规范的通知》（税总发〔2019〕78号）、《国务院办公厅关于印发政府网站发展指引的通知》（国办发〔2017〕47号）、《中华人民共和国网络安全法》的安排部署，通过对黑龙江省税务局集约化站群系统的建设运维管理、服务器国产化适配、安全漏洞修补、重大保障服务、数据迁移、技术支持保障等方面进行规范建设，不断提升黑龙江省税务局内外网站安全平稳运行。</w:t>
      </w:r>
    </w:p>
    <w:p>
      <w:pPr>
        <w:spacing w:beforeLines="0" w:afterLines="0"/>
        <w:ind w:firstLine="420" w:firstLineChars="200"/>
        <w:rPr>
          <w:rFonts w:hint="eastAsia" w:ascii="宋体" w:hAnsi="宋体" w:eastAsia="宋体" w:cs="宋体"/>
          <w:sz w:val="21"/>
          <w:szCs w:val="21"/>
        </w:rPr>
      </w:pPr>
      <w:r>
        <w:rPr>
          <w:rFonts w:hint="eastAsia" w:ascii="宋体" w:hAnsi="宋体" w:eastAsia="宋体" w:cs="宋体"/>
          <w:sz w:val="21"/>
          <w:szCs w:val="21"/>
        </w:rPr>
        <w:t>为了进一步做好全省税务局内外网站的安全运维服务，保证内外网站全天候24小时不间断正常运行，需要做好黑龙江省税务局集约化站群系统应急安全保障、服务器系统扫描和安全加固、数据备份、国产化替换、数据迁移、漏洞修补。提高内外网站群的安全运维服务。</w:t>
      </w:r>
    </w:p>
    <w:p>
      <w:pPr>
        <w:snapToGrid w:val="0"/>
        <w:spacing w:line="396"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2.项目内容</w:t>
      </w:r>
    </w:p>
    <w:p>
      <w:pPr>
        <w:numPr>
          <w:ilvl w:val="0"/>
          <w:numId w:val="0"/>
        </w:numP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2.1.1黑龙江省税务局外网区门户网站及13个市税务局外网门户网站进行重大日期重保服务2个月，外网区黑龙江省税务局门户网站及13个市税务局门户网站所有操作系统实现国产化安装，外网区黑龙江省税务局门户网站及13个市税务局门户网站应用程序进行国产化适配调试，外网区黑龙江省税务局门户网站及13个市税务局外网门户网站所有外网应用程序进行数据迁移，黑龙江省税务局门户网站及13个市税务局门户网站外网区所有漏洞进行修补。</w:t>
      </w:r>
    </w:p>
    <w:p>
      <w:pPr>
        <w:numPr>
          <w:ilvl w:val="0"/>
          <w:numId w:val="0"/>
        </w:numP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2.1.2黑龙江省税务局内网区门户网站及13个市税务局内网门户网站进行重大日期重保服务2个月，内网区黑龙江省税务局门户网站及13个市税务局内网门户网站所有操作系统实现国产化安装，内网区黑龙江省税务局门户网站及13个市税务局内网门户网站应用程序进行国产化适配调试，内网区黑龙江省税务局门户网站及13个市税务局内网门户网站所有外网应用程序进行数据迁移，黑龙江省税务局内网门户网站及13个市税务局内网门户网站内网区所有漏洞进行修补。</w:t>
      </w:r>
    </w:p>
    <w:p>
      <w:pPr>
        <w:snapToGrid w:val="0"/>
        <w:spacing w:line="396" w:lineRule="auto"/>
        <w:ind w:firstLine="420" w:firstLineChars="200"/>
        <w:jc w:val="left"/>
        <w:rPr>
          <w:rFonts w:hint="eastAsia" w:ascii="宋体" w:hAnsi="宋体" w:eastAsia="宋体" w:cs="宋体"/>
          <w:b/>
          <w:bCs/>
          <w:color w:val="000000"/>
          <w:kern w:val="2"/>
          <w:sz w:val="21"/>
          <w:szCs w:val="21"/>
        </w:rPr>
      </w:pPr>
      <w:r>
        <w:rPr>
          <w:rFonts w:hint="eastAsia" w:ascii="宋体" w:hAnsi="宋体" w:eastAsia="宋体" w:cs="宋体"/>
          <w:sz w:val="21"/>
          <w:szCs w:val="21"/>
          <w:lang w:val="en-US" w:eastAsia="zh-CN"/>
        </w:rPr>
        <w:t>2.2</w:t>
      </w:r>
      <w:r>
        <w:rPr>
          <w:rFonts w:hint="eastAsia" w:ascii="宋体" w:hAnsi="宋体" w:eastAsia="宋体" w:cs="宋体"/>
          <w:b/>
          <w:bCs/>
          <w:kern w:val="2"/>
          <w:sz w:val="21"/>
          <w:szCs w:val="21"/>
          <w:lang w:val="en-US" w:eastAsia="zh-CN" w:bidi="ar"/>
        </w:rPr>
        <w:t>项目具体需求</w:t>
      </w:r>
    </w:p>
    <w:p>
      <w:pPr>
        <w:keepNext w:val="0"/>
        <w:keepLines w:val="0"/>
        <w:widowControl w:val="0"/>
        <w:suppressLineNumbers w:val="0"/>
        <w:spacing w:before="0" w:beforeAutospacing="0" w:after="0" w:afterAutospacing="0"/>
        <w:ind w:left="0" w:right="0" w:firstLine="422" w:firstLineChars="200"/>
        <w:jc w:val="both"/>
        <w:rPr>
          <w:rFonts w:hint="eastAsia" w:ascii="宋体" w:hAnsi="宋体" w:eastAsia="宋体" w:cs="宋体"/>
          <w:b/>
          <w:bCs/>
          <w:color w:val="000000"/>
          <w:kern w:val="2"/>
          <w:sz w:val="21"/>
          <w:szCs w:val="21"/>
        </w:rPr>
      </w:pPr>
      <w:r>
        <w:rPr>
          <w:rFonts w:hint="eastAsia" w:ascii="宋体" w:hAnsi="宋体" w:eastAsia="宋体" w:cs="宋体"/>
          <w:b/>
          <w:bCs/>
          <w:color w:val="000000"/>
          <w:kern w:val="2"/>
          <w:sz w:val="21"/>
          <w:szCs w:val="21"/>
          <w:lang w:val="en-US" w:eastAsia="zh-CN" w:bidi="ar"/>
        </w:rPr>
        <w:t>黑龙江省税务局外网门户网站重大保障服务</w:t>
      </w:r>
    </w:p>
    <w:p>
      <w:pPr>
        <w:keepNext w:val="0"/>
        <w:keepLines w:val="0"/>
        <w:widowControl w:val="0"/>
        <w:suppressLineNumbers w:val="0"/>
        <w:spacing w:before="0" w:beforeAutospacing="0" w:after="0" w:afterAutospacing="0"/>
        <w:ind w:left="0" w:right="0" w:firstLine="420" w:firstLineChars="200"/>
        <w:jc w:val="both"/>
        <w:rPr>
          <w:rFonts w:hint="eastAsia" w:ascii="宋体" w:hAnsi="宋体" w:eastAsia="宋体" w:cs="宋体"/>
          <w:kern w:val="2"/>
          <w:sz w:val="21"/>
          <w:szCs w:val="21"/>
        </w:rPr>
      </w:pPr>
      <w:r>
        <w:rPr>
          <w:rFonts w:hint="eastAsia" w:ascii="宋体" w:hAnsi="宋体" w:eastAsia="宋体" w:cs="宋体"/>
          <w:color w:val="000000"/>
          <w:kern w:val="2"/>
          <w:sz w:val="21"/>
          <w:szCs w:val="21"/>
          <w:lang w:val="en-US" w:eastAsia="zh-CN" w:bidi="ar"/>
        </w:rPr>
        <w:t>1.攻防演练期间需提供省局外网门户网站群</w:t>
      </w:r>
      <w:r>
        <w:rPr>
          <w:rFonts w:hint="eastAsia" w:ascii="宋体" w:hAnsi="宋体" w:eastAsia="宋体" w:cs="宋体"/>
          <w:kern w:val="2"/>
          <w:sz w:val="21"/>
          <w:szCs w:val="21"/>
          <w:lang w:val="en-US" w:eastAsia="zh-CN" w:bidi="ar"/>
        </w:rPr>
        <w:t>驻场服务工程师3人（7*24）小时安全运维服务60日。</w:t>
      </w:r>
    </w:p>
    <w:p>
      <w:pPr>
        <w:keepNext w:val="0"/>
        <w:keepLines w:val="0"/>
        <w:widowControl w:val="0"/>
        <w:suppressLineNumbers w:val="0"/>
        <w:spacing w:before="0" w:beforeAutospacing="0" w:after="0" w:afterAutospacing="0"/>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2.提供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、黑河市税务局外网站群、绥化市税务局外网站群、大兴安岭地区税务局外网站群。木马扫描、后门文件查杀服务。</w:t>
      </w:r>
    </w:p>
    <w:p>
      <w:pPr>
        <w:keepNext w:val="0"/>
        <w:keepLines w:val="0"/>
        <w:widowControl w:val="0"/>
        <w:suppressLineNumbers w:val="0"/>
        <w:spacing w:before="0" w:beforeAutospacing="0" w:after="0" w:afterAutospacing="0"/>
        <w:ind w:left="0" w:leftChars="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3.提供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、黑河市税务局外网站群、绥化市税务局外网站群、大兴安岭地区税务局外网站群。安全漏洞扫描服务，包含服务器、中间件、数据库等相关应用程序。</w:t>
      </w:r>
    </w:p>
    <w:p>
      <w:pPr>
        <w:keepNext w:val="0"/>
        <w:keepLines w:val="0"/>
        <w:widowControl w:val="0"/>
        <w:suppressLineNumbers w:val="0"/>
        <w:spacing w:before="0" w:beforeAutospacing="0" w:after="0" w:afterAutospacing="0"/>
        <w:ind w:left="0" w:leftChars="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4.提供外网区服务器防火墙严格安全策略制定服务，增加服务器访问策略安全性，保障服务器安全运行，减少服务器被攻击风险。</w:t>
      </w:r>
    </w:p>
    <w:p>
      <w:pPr>
        <w:keepNext w:val="0"/>
        <w:keepLines w:val="0"/>
        <w:widowControl w:val="0"/>
        <w:suppressLineNumbers w:val="0"/>
        <w:spacing w:before="0" w:beforeAutospacing="0" w:after="0" w:afterAutospacing="0"/>
        <w:ind w:left="0" w:leftChars="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5.提供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所有流量实时监控服务并可实时分析所有网站群流量数据，监测所有外网站群是否遭到攻击，及浏览量情况，将攻击情况及时上报，进行分析研判，是否被入侵等情况。</w:t>
      </w:r>
    </w:p>
    <w:p>
      <w:pPr>
        <w:keepNext w:val="0"/>
        <w:keepLines w:val="0"/>
        <w:widowControl w:val="0"/>
        <w:suppressLineNumbers w:val="0"/>
        <w:spacing w:before="0" w:beforeAutospacing="0" w:after="0" w:afterAutospacing="0"/>
        <w:ind w:left="0" w:leftChars="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6.提供安全分析软件服务对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、黑河市税务局外网站群、绥化市税务局外网站群、大兴安岭地区税务局外网站群。进行安全分析，需能分析出使用哪种攻击方法攻击（如：DDoS、SQL注入、XSS等）行为。</w:t>
      </w:r>
    </w:p>
    <w:p>
      <w:pPr>
        <w:keepNext w:val="0"/>
        <w:keepLines w:val="0"/>
        <w:widowControl w:val="0"/>
        <w:suppressLineNumbers w:val="0"/>
        <w:spacing w:before="0" w:beforeAutospacing="0" w:after="0" w:afterAutospacing="0"/>
        <w:ind w:left="0" w:leftChars="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7.提供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、黑河市税务局外网站群、绥化市税务局外网站群、大兴安岭地区税务局外网站群。实时监测服务器是否存在异常文件、是否有异常账号登录等情况，并每两小时进行记录截图保存。</w:t>
      </w:r>
    </w:p>
    <w:p>
      <w:pPr>
        <w:keepNext w:val="0"/>
        <w:keepLines w:val="0"/>
        <w:widowControl w:val="0"/>
        <w:suppressLineNumbers w:val="0"/>
        <w:spacing w:before="0" w:beforeAutospacing="0" w:after="0" w:afterAutospacing="0"/>
        <w:ind w:left="0" w:leftChars="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8.如有对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、黑河市税务局外网站群、绥化市税务局外网站群、大兴安岭地区税务局外网站群。攻击行为的发生，需对攻击者ip及时拦截封堵，保障网站群安全运行。</w:t>
      </w:r>
    </w:p>
    <w:p>
      <w:pPr>
        <w:keepNext w:val="0"/>
        <w:keepLines w:val="0"/>
        <w:widowControl w:val="0"/>
        <w:suppressLineNumbers w:val="0"/>
        <w:spacing w:before="0" w:beforeAutospacing="0" w:after="0" w:afterAutospacing="0"/>
        <w:ind w:left="0" w:leftChars="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9.提供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、黑河市税务局外网站群、绥化市税务局外网站群、大兴安岭地区税务局外网站群。实时监测服务确保服务正常运行，发现异常情况30分钟处理并解决，保障网站群安全平稳运行。</w:t>
      </w:r>
    </w:p>
    <w:p>
      <w:pPr>
        <w:keepNext w:val="0"/>
        <w:keepLines w:val="0"/>
        <w:widowControl w:val="0"/>
        <w:suppressLineNumbers w:val="0"/>
        <w:spacing w:before="0" w:beforeAutospacing="0" w:after="0" w:afterAutospacing="0"/>
        <w:ind w:left="0" w:leftChars="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10.提供每2小时对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、黑河市税务局外网站群、绥化市税务局外网站群、大兴安岭地区税务局外网站群。服务器、中间件、数据库、应用程序日志分析服务并截图保存进行上报。</w:t>
      </w:r>
    </w:p>
    <w:p>
      <w:pPr>
        <w:keepNext w:val="0"/>
        <w:keepLines w:val="0"/>
        <w:widowControl w:val="0"/>
        <w:suppressLineNumbers w:val="0"/>
        <w:spacing w:before="0" w:beforeAutospacing="0" w:after="0" w:afterAutospacing="0"/>
        <w:ind w:left="0" w:leftChars="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11.对外网区开启的SNMP协议指定严格的访问策略，禁止一些相关功能的介入规则。</w:t>
      </w:r>
    </w:p>
    <w:p>
      <w:pPr>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宋体" w:eastAsia="宋体" w:cs="宋体"/>
          <w:b/>
          <w:bCs/>
          <w:kern w:val="2"/>
          <w:sz w:val="21"/>
          <w:szCs w:val="21"/>
        </w:rPr>
      </w:pPr>
      <w:r>
        <w:rPr>
          <w:rFonts w:hint="eastAsia" w:ascii="宋体" w:hAnsi="宋体" w:eastAsia="宋体" w:cs="宋体"/>
          <w:b/>
          <w:bCs/>
          <w:kern w:val="2"/>
          <w:sz w:val="21"/>
          <w:szCs w:val="21"/>
          <w:lang w:val="en-US" w:eastAsia="zh-CN" w:bidi="ar"/>
        </w:rPr>
        <w:t>黑龙江省税务局外网区门户网站漏洞修补服务</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保障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安全平稳运行情况下，提供外网区服务器、外网区中间件、外网区数据库等漏洞修补服务，避免因存在漏洞遭到网络攻击行为发生。</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2.如外网区出现服务器宕机、系统错误等重大问题需30分钟内响应2小时内解决问题，保障外网站群正常访问。</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3.重大保障日时期需7*24小时配合相关部门处理外网税务局站群安全漏洞问题，及时按照规定对相关漏洞进行修补，提高外网区省税务局门户网站群及13个市税务局外网门户网站群安全平稳运行。</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4.排查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、黑河市税务局外网站群、绥化市税务局外网站群、大兴安岭地区税务局外网站群。是否存在安全隐患、对远程设备、高危端口做好安全防范。</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5.提供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、黑河市税务局外网站群、绥化市税务局外网站群、大兴安岭地区税务局外网站群。服务器运行优化调整服务。</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6.配合处理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、黑河市税务局外网站群、绥化市税务局外网站群、大兴安岭地区税务局外网站群。因服务器运行出现的缺陷问题、出现其他故障时进行现场维护。</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7.对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、黑河市税务局外网站群、绥化市税务局外网站群、大兴安岭地区税务局外网站群。系统工作中遇到的问题及疑问，提供咨询、解答及技术支持服务，远程技术支持（7*24）小时服务。</w:t>
      </w:r>
    </w:p>
    <w:p>
      <w:pPr>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宋体" w:eastAsia="宋体" w:cs="宋体"/>
          <w:b/>
          <w:bCs/>
          <w:kern w:val="2"/>
          <w:sz w:val="21"/>
          <w:szCs w:val="21"/>
        </w:rPr>
      </w:pPr>
      <w:r>
        <w:rPr>
          <w:rFonts w:hint="eastAsia" w:ascii="宋体" w:hAnsi="宋体" w:eastAsia="宋体" w:cs="宋体"/>
          <w:b/>
          <w:bCs/>
          <w:kern w:val="2"/>
          <w:sz w:val="21"/>
          <w:szCs w:val="21"/>
          <w:lang w:val="en-US" w:eastAsia="zh-CN" w:bidi="ar"/>
        </w:rPr>
        <w:t>黑龙江省税务局外网区国产化系统替换服务</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b w:val="0"/>
          <w:bCs w:val="0"/>
          <w:kern w:val="2"/>
          <w:sz w:val="21"/>
          <w:szCs w:val="21"/>
          <w:lang w:val="en-US" w:eastAsia="zh-CN" w:bidi="ar"/>
        </w:rPr>
        <w:t>1.需保障</w:t>
      </w:r>
      <w:r>
        <w:rPr>
          <w:rFonts w:hint="eastAsia" w:ascii="宋体" w:hAnsi="宋体" w:eastAsia="宋体" w:cs="宋体"/>
          <w:kern w:val="2"/>
          <w:sz w:val="21"/>
          <w:szCs w:val="21"/>
          <w:lang w:val="en-US" w:eastAsia="zh-CN" w:bidi="ar"/>
        </w:rPr>
        <w:t>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、黑河市税务局外网站群、绥化市税务局外网站群、大兴安岭地区税务局外网站群。安全平稳运行情况下，提供服务器国产化系统升级替换及安装服务。</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2.调试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、黑河市税务局外网站群、绥化市税务局外网站群、大兴安岭地区税务局外网站群。应用系统程序，所有网站群应用系统需匹配国产化操作系统。</w:t>
      </w:r>
    </w:p>
    <w:p>
      <w:pPr>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宋体" w:eastAsia="宋体" w:cs="宋体"/>
          <w:b/>
          <w:bCs/>
          <w:kern w:val="2"/>
          <w:sz w:val="21"/>
          <w:szCs w:val="21"/>
        </w:rPr>
      </w:pPr>
      <w:r>
        <w:rPr>
          <w:rFonts w:hint="eastAsia" w:ascii="宋体" w:hAnsi="宋体" w:eastAsia="宋体" w:cs="宋体"/>
          <w:b/>
          <w:bCs/>
          <w:kern w:val="2"/>
          <w:sz w:val="21"/>
          <w:szCs w:val="21"/>
          <w:lang w:val="en-US" w:eastAsia="zh-CN" w:bidi="ar"/>
        </w:rPr>
        <w:t>黑龙江省税务局外网区数据迁移服务</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、黑河市税务局外网站群、绥化市税务局外网站群、大兴安岭地区税务局外网站群。所有外网站群数据、外网应用系统数据、外网数据库及数据库数据进行迁移服务。</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2.提供对所有外网迁移数据、外网应用系统数据、外网数据库数据进行迁移验证服务。确保外网所有站群后续平稳运行。</w:t>
      </w:r>
    </w:p>
    <w:p>
      <w:pPr>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宋体" w:eastAsia="宋体" w:cs="宋体"/>
          <w:b/>
          <w:bCs/>
          <w:kern w:val="2"/>
          <w:sz w:val="21"/>
          <w:szCs w:val="21"/>
        </w:rPr>
      </w:pPr>
      <w:r>
        <w:rPr>
          <w:rFonts w:hint="eastAsia" w:ascii="宋体" w:hAnsi="宋体" w:eastAsia="宋体" w:cs="宋体"/>
          <w:b/>
          <w:bCs/>
          <w:kern w:val="2"/>
          <w:sz w:val="21"/>
          <w:szCs w:val="21"/>
          <w:lang w:val="en-US" w:eastAsia="zh-CN" w:bidi="ar"/>
        </w:rPr>
        <w:t>黑龙江省税务局外网区备份服务</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b w:val="0"/>
          <w:bCs w:val="0"/>
          <w:kern w:val="2"/>
          <w:sz w:val="21"/>
          <w:szCs w:val="21"/>
          <w:lang w:val="en-US" w:eastAsia="zh-CN" w:bidi="ar"/>
        </w:rPr>
        <w:t>1.每个月对</w:t>
      </w:r>
      <w:r>
        <w:rPr>
          <w:rFonts w:hint="eastAsia" w:ascii="宋体" w:hAnsi="宋体" w:eastAsia="宋体" w:cs="宋体"/>
          <w:kern w:val="2"/>
          <w:sz w:val="21"/>
          <w:szCs w:val="21"/>
          <w:lang w:val="en-US" w:eastAsia="zh-CN" w:bidi="ar"/>
        </w:rPr>
        <w:t>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、黑河市税务局外网站群、绥化市税务局外网站群、大兴安岭地区税务局外网站群。操作系统进行全面巡检，包含磁盘清理，相关性能查看，并给出合理化建议。</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2.每周提供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、黑河市税务局外网站群、绥化市税务局外网站群、大兴安岭地区税务局外网站群。所有数据备份服务。</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3.根据用户软硬件情况，对外网区所有站群预定义各种失败状况的恢复，提供一个针对所有失败状况的恢复解决方案。</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4.每月对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、黑河市税务局外网站群、绥化市税务局外网站群、大兴安岭地区税务局外网站群的备份有效性加以校验。</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5.数据库维护：每三个月对黑龙江省税务局外网站群及哈尔滨市税务局外网站群、齐齐哈尔市税务局外网站群、牡丹江市税务局外网站群、佳木斯市税务局外网站群、大庆市税务局外网站群、鸡西市税务局外网站群、双鸭山市税务局外网站群、伊春市税务局外网站群、七台河市税务局外网站群、鹤岗市税务局外网站群 、黑河市税务局外网站群、绥化市税务局外网站群、大兴安岭地区税务局外网站群的数据库进行一次全面维护，包括垃圾数据清理、数据备份等。</w:t>
      </w:r>
    </w:p>
    <w:p>
      <w:pPr>
        <w:keepNext w:val="0"/>
        <w:keepLines w:val="0"/>
        <w:widowControl w:val="0"/>
        <w:suppressLineNumbers w:val="0"/>
        <w:spacing w:before="0" w:beforeAutospacing="0" w:after="0" w:afterAutospacing="0"/>
        <w:ind w:left="0" w:right="0" w:firstLine="422" w:firstLineChars="200"/>
        <w:jc w:val="both"/>
        <w:rPr>
          <w:rFonts w:hint="eastAsia" w:ascii="宋体" w:hAnsi="宋体" w:eastAsia="宋体" w:cs="宋体"/>
          <w:b/>
          <w:bCs/>
          <w:color w:val="000000"/>
          <w:kern w:val="2"/>
          <w:sz w:val="21"/>
          <w:szCs w:val="21"/>
        </w:rPr>
      </w:pPr>
      <w:r>
        <w:rPr>
          <w:rFonts w:hint="eastAsia" w:ascii="宋体" w:hAnsi="宋体" w:eastAsia="宋体" w:cs="宋体"/>
          <w:b/>
          <w:bCs/>
          <w:color w:val="000000"/>
          <w:kern w:val="2"/>
          <w:sz w:val="21"/>
          <w:szCs w:val="21"/>
          <w:lang w:val="en-US" w:eastAsia="zh-CN" w:bidi="ar"/>
        </w:rPr>
        <w:t>黑龙江省税务局内网门户网站重大保障服务</w:t>
      </w:r>
    </w:p>
    <w:p>
      <w:pPr>
        <w:keepNext w:val="0"/>
        <w:keepLines w:val="0"/>
        <w:widowControl w:val="0"/>
        <w:suppressLineNumbers w:val="0"/>
        <w:spacing w:before="0" w:beforeAutospacing="0" w:after="0" w:afterAutospacing="0"/>
        <w:ind w:left="0" w:right="0" w:firstLine="420" w:firstLineChars="200"/>
        <w:jc w:val="both"/>
        <w:rPr>
          <w:rFonts w:hint="eastAsia" w:ascii="宋体" w:hAnsi="宋体" w:eastAsia="宋体" w:cs="宋体"/>
          <w:kern w:val="2"/>
          <w:sz w:val="21"/>
          <w:szCs w:val="21"/>
        </w:rPr>
      </w:pPr>
      <w:r>
        <w:rPr>
          <w:rFonts w:hint="eastAsia" w:ascii="宋体" w:hAnsi="宋体" w:eastAsia="宋体" w:cs="宋体"/>
          <w:color w:val="000000"/>
          <w:kern w:val="2"/>
          <w:sz w:val="21"/>
          <w:szCs w:val="21"/>
          <w:lang w:val="en-US" w:eastAsia="zh-CN" w:bidi="ar"/>
        </w:rPr>
        <w:t>1.攻防演练期间需提供省局内网门户网站群</w:t>
      </w:r>
      <w:r>
        <w:rPr>
          <w:rFonts w:hint="eastAsia" w:ascii="宋体" w:hAnsi="宋体" w:eastAsia="宋体" w:cs="宋体"/>
          <w:kern w:val="2"/>
          <w:sz w:val="21"/>
          <w:szCs w:val="21"/>
          <w:lang w:val="en-US" w:eastAsia="zh-CN" w:bidi="ar"/>
        </w:rPr>
        <w:t>驻场服务工程师3人（7*24）小时安全运维服务60日。</w:t>
      </w:r>
    </w:p>
    <w:p>
      <w:pPr>
        <w:keepNext w:val="0"/>
        <w:keepLines w:val="0"/>
        <w:widowControl w:val="0"/>
        <w:suppressLineNumbers w:val="0"/>
        <w:spacing w:before="0" w:beforeAutospacing="0" w:after="0" w:afterAutospacing="0"/>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2.提供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、黑河市税务局内网站群、绥化市税务局内网站群、大兴安岭地区税务局内网站群。木马扫描、后门文件查杀服务。</w:t>
      </w:r>
    </w:p>
    <w:p>
      <w:pPr>
        <w:keepNext w:val="0"/>
        <w:keepLines w:val="0"/>
        <w:widowControl w:val="0"/>
        <w:suppressLineNumbers w:val="0"/>
        <w:spacing w:before="0" w:beforeAutospacing="0" w:after="0" w:afterAutospacing="0"/>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3.提供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、黑河市税务局内网站群、绥化市税务局内网站群、大兴安岭地区税务局内网站群。安全漏洞扫描服务，包含服务器、中间件、数据库等相关应用程序。</w:t>
      </w:r>
    </w:p>
    <w:p>
      <w:pPr>
        <w:keepNext w:val="0"/>
        <w:keepLines w:val="0"/>
        <w:widowControl w:val="0"/>
        <w:suppressLineNumbers w:val="0"/>
        <w:spacing w:before="0" w:beforeAutospacing="0" w:after="0" w:afterAutospacing="0"/>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4.提供内网区服务器防火墙严格安全策略制定服务，增加服务器访问策略安全性，保障服务器安全运行，减少服务器被攻击风险。</w:t>
      </w:r>
    </w:p>
    <w:p>
      <w:pPr>
        <w:keepNext w:val="0"/>
        <w:keepLines w:val="0"/>
        <w:widowControl w:val="0"/>
        <w:suppressLineNumbers w:val="0"/>
        <w:spacing w:before="0" w:beforeAutospacing="0" w:after="0" w:afterAutospacing="0"/>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5.提供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所有流量实时监控服务并可实时分析所有网站群流量数据，监测所有内网站群是否遭到攻击，及浏览量情况，将攻击情况及时上报，进行分析研判，是否被入侵等情况。</w:t>
      </w:r>
    </w:p>
    <w:p>
      <w:pPr>
        <w:keepNext w:val="0"/>
        <w:keepLines w:val="0"/>
        <w:widowControl w:val="0"/>
        <w:suppressLineNumbers w:val="0"/>
        <w:spacing w:before="0" w:beforeAutospacing="0" w:after="0" w:afterAutospacing="0"/>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6.提供安全分析软件服务对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、黑河市税务局内网站群、绥化市税务局内网站群、大兴安岭地区税务局内网站群。进行安全分析，需能分析出使用哪种攻击方法攻击（如：DDoS、SQL注入、XSS等）行为。</w:t>
      </w:r>
    </w:p>
    <w:p>
      <w:pPr>
        <w:keepNext w:val="0"/>
        <w:keepLines w:val="0"/>
        <w:widowControl w:val="0"/>
        <w:suppressLineNumbers w:val="0"/>
        <w:spacing w:before="0" w:beforeAutospacing="0" w:after="0" w:afterAutospacing="0"/>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7.提供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、黑河市税务局内网站群、绥化市税务局内网站群、大兴安岭地区税务局内网站群。实时监测服务器是否存在异常文件、是否有异常账号登录等情况，并每两小时进行记录截图保存。</w:t>
      </w:r>
    </w:p>
    <w:p>
      <w:pPr>
        <w:keepNext w:val="0"/>
        <w:keepLines w:val="0"/>
        <w:widowControl w:val="0"/>
        <w:suppressLineNumbers w:val="0"/>
        <w:spacing w:before="0" w:beforeAutospacing="0" w:after="0" w:afterAutospacing="0"/>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8.如有对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、黑河市税务局内网站群、绥化市税务局内网站群、大兴安岭地区税务局内网站群。攻击行为的发生，需对攻击者ip及时拦截封堵，保障网站群安全运行。</w:t>
      </w:r>
    </w:p>
    <w:p>
      <w:pPr>
        <w:keepNext w:val="0"/>
        <w:keepLines w:val="0"/>
        <w:widowControl w:val="0"/>
        <w:suppressLineNumbers w:val="0"/>
        <w:spacing w:before="0" w:beforeAutospacing="0" w:after="0" w:afterAutospacing="0"/>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9.提供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、黑河市税务局内网站群、绥化市税务局内网站群、大兴安岭地区税务局内网站群。实时监测服务确保服务正常运行，发现异常情况30分钟处理并解决，保障网站群安全平稳运行。</w:t>
      </w:r>
    </w:p>
    <w:p>
      <w:pPr>
        <w:keepNext w:val="0"/>
        <w:keepLines w:val="0"/>
        <w:widowControl w:val="0"/>
        <w:suppressLineNumbers w:val="0"/>
        <w:spacing w:before="0" w:beforeAutospacing="0" w:after="0" w:afterAutospacing="0"/>
        <w:ind w:left="0" w:leftChars="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10.提供每2小时对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、黑河市税务局内网站群、绥化市税务局内网站群、大兴安岭地区税务局内网站群。服务器、中间件、数据库、应用程序日志分析服务并截图保存进行上报。</w:t>
      </w:r>
    </w:p>
    <w:p>
      <w:pPr>
        <w:keepNext w:val="0"/>
        <w:keepLines w:val="0"/>
        <w:widowControl w:val="0"/>
        <w:suppressLineNumbers w:val="0"/>
        <w:spacing w:before="0" w:beforeAutospacing="0" w:after="0" w:afterAutospacing="0"/>
        <w:ind w:left="0" w:leftChars="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11.对内网区开启的SNMP协议指定严格的访问策略，禁止一些相关功能的介入规则。</w:t>
      </w:r>
    </w:p>
    <w:p>
      <w:pPr>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宋体" w:eastAsia="宋体" w:cs="宋体"/>
          <w:b/>
          <w:bCs/>
          <w:kern w:val="2"/>
          <w:sz w:val="21"/>
          <w:szCs w:val="21"/>
        </w:rPr>
      </w:pPr>
      <w:r>
        <w:rPr>
          <w:rFonts w:hint="eastAsia" w:ascii="宋体" w:hAnsi="宋体" w:eastAsia="宋体" w:cs="宋体"/>
          <w:b/>
          <w:bCs/>
          <w:kern w:val="2"/>
          <w:sz w:val="21"/>
          <w:szCs w:val="21"/>
          <w:lang w:val="en-US" w:eastAsia="zh-CN" w:bidi="ar"/>
        </w:rPr>
        <w:t>黑龙江省税务局内网区门户网站漏洞修补服务</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保障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黑河市税务局内网站群、绥化市税务局内网站群、大兴安岭地区税务局内网站群。安全平稳运行情况下，提供内网区服务器、内网区中间件、内网区数据库等漏洞修补服务，避免因存在漏洞遭到网络攻击行为发生。</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2.如内网区出现服务器宕机、系统错误等重大问题需30分钟内响应2小时内解决问题，保障内网站群正常访问。</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3.重大保障日时期需7*24小时配合相关部门处理内网税务局站群安全漏洞问题，及时按照规定对相关漏洞进行修补，提高内网区省税务局门户网站群及13个市税务局内网门户网站群安全平稳运行。</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4.排查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黑河市税务局内网站群、绥化市税务局内网站群、大兴安岭地区税务局内网站群。是否存在安全隐患、对远程设备、高危端口做好安全防范。</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5.提供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、黑河市税务局内网站群、绥化市税务局内网站群、大兴安岭地区税务局内网站群。服务器运行优化调整服务。</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6.配合处理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、黑河市税务局内网站群、绥化市税务局内网站群、大兴安岭地区税务局内网站群。因服务器运行出现的缺陷问题、出现其他故障时进行现场维护。</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7.对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、黑河市税务局内网站群、绥化市税务局内网站群、大兴安岭地区税务局内网站群。系统工作中遇到的问题及疑问，提供咨询、解答及技术支持服务，远程技术支持（7*24）小时服务。</w:t>
      </w:r>
    </w:p>
    <w:p>
      <w:pPr>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宋体" w:eastAsia="宋体" w:cs="宋体"/>
          <w:b/>
          <w:bCs/>
          <w:kern w:val="2"/>
          <w:sz w:val="21"/>
          <w:szCs w:val="21"/>
        </w:rPr>
      </w:pPr>
      <w:r>
        <w:rPr>
          <w:rFonts w:hint="eastAsia" w:ascii="宋体" w:hAnsi="宋体" w:eastAsia="宋体" w:cs="宋体"/>
          <w:b/>
          <w:bCs/>
          <w:kern w:val="2"/>
          <w:sz w:val="21"/>
          <w:szCs w:val="21"/>
          <w:lang w:val="en-US" w:eastAsia="zh-CN" w:bidi="ar"/>
        </w:rPr>
        <w:t>黑龙江省税务局内网区国产化系统替换服务</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b w:val="0"/>
          <w:bCs w:val="0"/>
          <w:kern w:val="2"/>
          <w:sz w:val="21"/>
          <w:szCs w:val="21"/>
          <w:lang w:val="en-US" w:eastAsia="zh-CN" w:bidi="ar"/>
        </w:rPr>
        <w:t>1.需保障</w:t>
      </w:r>
      <w:r>
        <w:rPr>
          <w:rFonts w:hint="eastAsia" w:ascii="宋体" w:hAnsi="宋体" w:eastAsia="宋体" w:cs="宋体"/>
          <w:kern w:val="2"/>
          <w:sz w:val="21"/>
          <w:szCs w:val="21"/>
          <w:lang w:val="en-US" w:eastAsia="zh-CN" w:bidi="ar"/>
        </w:rPr>
        <w:t>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、黑河市税务局内网站群、绥化市税务局内网站群、大兴安岭地区税务局内网站群。安全平稳运行情况下，提供服务器国产化系统升级替换及安装服务。</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2.调试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、黑河市税务局内网站群、绥化市税务局内网站群、大兴安岭地区税务局内网站群。应用系统程序，所有网站群应用系统需匹配国产化操作系统。</w:t>
      </w:r>
    </w:p>
    <w:p>
      <w:pPr>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宋体" w:eastAsia="宋体" w:cs="宋体"/>
          <w:b/>
          <w:bCs/>
          <w:kern w:val="2"/>
          <w:sz w:val="21"/>
          <w:szCs w:val="21"/>
        </w:rPr>
      </w:pPr>
      <w:r>
        <w:rPr>
          <w:rFonts w:hint="eastAsia" w:ascii="宋体" w:hAnsi="宋体" w:eastAsia="宋体" w:cs="宋体"/>
          <w:b/>
          <w:bCs/>
          <w:kern w:val="2"/>
          <w:sz w:val="21"/>
          <w:szCs w:val="21"/>
          <w:lang w:val="en-US" w:eastAsia="zh-CN" w:bidi="ar"/>
        </w:rPr>
        <w:t>黑龙江省税务局内网区数据迁移服务</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、黑河市税务局内网站群、绥化市税务局内网站群、大兴安岭地区税务局内网站群。所有内网站群数据、内网应用系统数据、内网数据库及数据库数据进行迁移服务。</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2.提供对所有内网迁移数据、内网应用系统数据、内网数据库数据进行迁移验证服务。确保内网所有站群后续平稳运行。</w:t>
      </w:r>
    </w:p>
    <w:p>
      <w:pPr>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宋体" w:eastAsia="宋体" w:cs="宋体"/>
          <w:b/>
          <w:bCs/>
          <w:kern w:val="2"/>
          <w:sz w:val="21"/>
          <w:szCs w:val="21"/>
        </w:rPr>
      </w:pPr>
      <w:r>
        <w:rPr>
          <w:rFonts w:hint="eastAsia" w:ascii="宋体" w:hAnsi="宋体" w:eastAsia="宋体" w:cs="宋体"/>
          <w:b/>
          <w:bCs/>
          <w:kern w:val="2"/>
          <w:sz w:val="21"/>
          <w:szCs w:val="21"/>
          <w:lang w:val="en-US" w:eastAsia="zh-CN" w:bidi="ar"/>
        </w:rPr>
        <w:t>黑龙江省税务局内网区备份服务</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b w:val="0"/>
          <w:bCs w:val="0"/>
          <w:kern w:val="2"/>
          <w:sz w:val="21"/>
          <w:szCs w:val="21"/>
          <w:lang w:val="en-US" w:eastAsia="zh-CN" w:bidi="ar"/>
        </w:rPr>
        <w:t>1.每个月对</w:t>
      </w:r>
      <w:r>
        <w:rPr>
          <w:rFonts w:hint="eastAsia" w:ascii="宋体" w:hAnsi="宋体" w:eastAsia="宋体" w:cs="宋体"/>
          <w:kern w:val="2"/>
          <w:sz w:val="21"/>
          <w:szCs w:val="21"/>
          <w:lang w:val="en-US" w:eastAsia="zh-CN" w:bidi="ar"/>
        </w:rPr>
        <w:t>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、黑河市税务局内网站群、绥化市税务局内网站群、大兴安岭地区税务局内网站群。操作系统进行全面巡检，包含磁盘清理，相关性能查看，并给出合理化建议。</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2.每周提供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、黑河市税务局内网站群、绥化市税务局内网站群、大兴安岭地区税务局内网站群。所有数据备份服务。</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3.根据用户软硬件情况，对内网区所有站群预定义各种失败状况的恢复，提供一个针对所有失败状况的恢复解决方案。</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4.每月对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、黑河市税务局内网站群、绥化市税务局内网站群、大兴安岭地区税务局内网站群的备份有效性加以校验。</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5.数据库维护：每三个月对黑龙江省税务局内网站群及哈尔滨市税务局内网站群、齐齐哈尔市税务局内网站群、牡丹江市税务局内网站群、佳木斯市税务局内网站群、大庆市税务局内网站群、鸡西市税务局内网站群、双鸭山市税务局内网站群、伊春市税务局内网站群、七台河市税务局内网站群、鹤岗市税务局内网站群 、黑河市税务局内网站群、绥化市税务局内网站群、大兴安岭地区税务局内网站群的数据库进行一次全面维护，包括垃圾数据清理、数据备份等。</w:t>
      </w:r>
    </w:p>
    <w:p>
      <w:pPr>
        <w:snapToGrid w:val="0"/>
        <w:spacing w:line="396" w:lineRule="auto"/>
        <w:ind w:firstLine="420" w:firstLineChars="200"/>
        <w:jc w:val="left"/>
        <w:rPr>
          <w:rFonts w:hint="eastAsia" w:ascii="宋体" w:hAnsi="宋体" w:eastAsia="宋体" w:cs="宋体"/>
          <w:b/>
          <w:bCs/>
          <w:sz w:val="21"/>
          <w:szCs w:val="21"/>
        </w:rPr>
      </w:pPr>
      <w:r>
        <w:rPr>
          <w:rFonts w:hint="eastAsia" w:ascii="宋体" w:hAnsi="宋体" w:eastAsia="宋体" w:cs="宋体"/>
          <w:sz w:val="21"/>
          <w:szCs w:val="21"/>
        </w:rPr>
        <w:t>二、投标</w:t>
      </w:r>
      <w:r>
        <w:rPr>
          <w:rFonts w:hint="eastAsia" w:ascii="宋体" w:hAnsi="宋体" w:eastAsia="宋体" w:cs="宋体"/>
          <w:sz w:val="21"/>
          <w:szCs w:val="21"/>
          <w:lang w:val="en"/>
        </w:rPr>
        <w:t>/</w:t>
      </w:r>
      <w:r>
        <w:rPr>
          <w:rFonts w:hint="eastAsia" w:ascii="宋体" w:hAnsi="宋体" w:eastAsia="宋体" w:cs="宋体"/>
          <w:sz w:val="21"/>
          <w:szCs w:val="21"/>
        </w:rPr>
        <w:t>响应要求</w:t>
      </w:r>
    </w:p>
    <w:p>
      <w:pPr>
        <w:snapToGrid w:val="0"/>
        <w:spacing w:line="396"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投标</w:t>
      </w:r>
      <w:r>
        <w:rPr>
          <w:rFonts w:hint="eastAsia" w:ascii="宋体" w:hAnsi="宋体" w:eastAsia="宋体" w:cs="宋体"/>
          <w:sz w:val="21"/>
          <w:szCs w:val="21"/>
          <w:lang w:val="en"/>
        </w:rPr>
        <w:t>/</w:t>
      </w:r>
      <w:r>
        <w:rPr>
          <w:rFonts w:hint="eastAsia" w:ascii="宋体" w:hAnsi="宋体" w:eastAsia="宋体" w:cs="宋体"/>
          <w:sz w:val="21"/>
          <w:szCs w:val="21"/>
        </w:rPr>
        <w:t>响应要求主要包括供应商资质要求、投标</w:t>
      </w:r>
      <w:r>
        <w:rPr>
          <w:rFonts w:hint="eastAsia" w:ascii="宋体" w:hAnsi="宋体" w:eastAsia="宋体" w:cs="宋体"/>
          <w:sz w:val="21"/>
          <w:szCs w:val="21"/>
          <w:lang w:val="en"/>
        </w:rPr>
        <w:t>/</w:t>
      </w:r>
      <w:r>
        <w:rPr>
          <w:rFonts w:hint="eastAsia" w:ascii="宋体" w:hAnsi="宋体" w:eastAsia="宋体" w:cs="宋体"/>
          <w:sz w:val="21"/>
          <w:szCs w:val="21"/>
        </w:rPr>
        <w:t>响应产品资质要求、投标</w:t>
      </w:r>
      <w:r>
        <w:rPr>
          <w:rFonts w:hint="eastAsia" w:ascii="宋体" w:hAnsi="宋体" w:eastAsia="宋体" w:cs="宋体"/>
          <w:sz w:val="21"/>
          <w:szCs w:val="21"/>
          <w:lang w:val="en"/>
        </w:rPr>
        <w:t>/</w:t>
      </w:r>
      <w:r>
        <w:rPr>
          <w:rFonts w:hint="eastAsia" w:ascii="宋体" w:hAnsi="宋体" w:eastAsia="宋体" w:cs="宋体"/>
          <w:sz w:val="21"/>
          <w:szCs w:val="21"/>
        </w:rPr>
        <w:t>响应文件技术部分的响应内容要求等。</w:t>
      </w:r>
    </w:p>
    <w:p>
      <w:pPr>
        <w:numPr>
          <w:ilvl w:val="0"/>
          <w:numId w:val="6"/>
        </w:numPr>
        <w:snapToGrid w:val="0"/>
        <w:spacing w:line="396"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对供应商的资质要求</w:t>
      </w:r>
    </w:p>
    <w:p>
      <w:pPr>
        <w:numPr>
          <w:ilvl w:val="0"/>
          <w:numId w:val="0"/>
        </w:numPr>
        <w:snapToGrid w:val="0"/>
        <w:spacing w:line="396"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（1）具备《政府采购法》第二十二条规定的条件：</w:t>
      </w:r>
    </w:p>
    <w:p>
      <w:pPr>
        <w:ind w:firstLine="420" w:firstLineChars="200"/>
        <w:rPr>
          <w:rFonts w:hint="eastAsia" w:ascii="宋体" w:hAnsi="宋体" w:eastAsia="宋体" w:cs="宋体"/>
          <w:sz w:val="21"/>
          <w:szCs w:val="21"/>
        </w:rPr>
      </w:pPr>
      <w:r>
        <w:rPr>
          <w:rFonts w:hint="eastAsia" w:ascii="宋体" w:hAnsi="宋体" w:eastAsia="宋体" w:cs="宋体"/>
          <w:sz w:val="21"/>
          <w:szCs w:val="21"/>
        </w:rPr>
        <w:t>1）具有独立承担民事责任的能力；</w:t>
      </w:r>
    </w:p>
    <w:p>
      <w:pPr>
        <w:ind w:firstLine="420" w:firstLineChars="200"/>
        <w:rPr>
          <w:rFonts w:hint="eastAsia" w:ascii="宋体" w:hAnsi="宋体" w:eastAsia="宋体" w:cs="宋体"/>
          <w:sz w:val="21"/>
          <w:szCs w:val="21"/>
        </w:rPr>
      </w:pPr>
      <w:r>
        <w:rPr>
          <w:rFonts w:hint="eastAsia" w:ascii="宋体" w:hAnsi="宋体" w:eastAsia="宋体" w:cs="宋体"/>
          <w:sz w:val="21"/>
          <w:szCs w:val="21"/>
        </w:rPr>
        <w:t>2）具有良好的商业信誉和健全的财务会计制度；</w:t>
      </w:r>
    </w:p>
    <w:p>
      <w:pPr>
        <w:ind w:firstLine="420" w:firstLineChars="200"/>
        <w:rPr>
          <w:rFonts w:hint="eastAsia" w:ascii="宋体" w:hAnsi="宋体" w:eastAsia="宋体" w:cs="宋体"/>
          <w:sz w:val="21"/>
          <w:szCs w:val="21"/>
        </w:rPr>
      </w:pPr>
      <w:r>
        <w:rPr>
          <w:rFonts w:hint="eastAsia" w:ascii="宋体" w:hAnsi="宋体" w:eastAsia="宋体" w:cs="宋体"/>
          <w:sz w:val="21"/>
          <w:szCs w:val="21"/>
        </w:rPr>
        <w:t>3）具有履行合同所必须的设备和专业技术能力；</w:t>
      </w:r>
    </w:p>
    <w:p>
      <w:pPr>
        <w:ind w:firstLine="420" w:firstLineChars="200"/>
        <w:rPr>
          <w:rFonts w:hint="eastAsia" w:ascii="宋体" w:hAnsi="宋体" w:eastAsia="宋体" w:cs="宋体"/>
          <w:sz w:val="21"/>
          <w:szCs w:val="21"/>
        </w:rPr>
      </w:pPr>
      <w:r>
        <w:rPr>
          <w:rFonts w:hint="eastAsia" w:ascii="宋体" w:hAnsi="宋体" w:eastAsia="宋体" w:cs="宋体"/>
          <w:sz w:val="21"/>
          <w:szCs w:val="21"/>
        </w:rPr>
        <w:t>4）有依法缴纳税收和社会保障资金的良好记录；</w:t>
      </w:r>
    </w:p>
    <w:p>
      <w:pPr>
        <w:ind w:firstLine="420" w:firstLineChars="200"/>
        <w:rPr>
          <w:rFonts w:hint="eastAsia" w:ascii="宋体" w:hAnsi="宋体" w:eastAsia="宋体" w:cs="宋体"/>
          <w:sz w:val="21"/>
          <w:szCs w:val="21"/>
        </w:rPr>
      </w:pPr>
      <w:r>
        <w:rPr>
          <w:rFonts w:hint="eastAsia" w:ascii="宋体" w:hAnsi="宋体" w:eastAsia="宋体" w:cs="宋体"/>
          <w:sz w:val="21"/>
          <w:szCs w:val="21"/>
        </w:rPr>
        <w:t>5）参加政府采购活动前三年内，在经营活动中没有重大违法记录；</w:t>
      </w:r>
    </w:p>
    <w:p>
      <w:pPr>
        <w:ind w:firstLine="420" w:firstLineChars="200"/>
        <w:rPr>
          <w:rFonts w:hint="eastAsia" w:ascii="宋体" w:hAnsi="宋体" w:eastAsia="宋体" w:cs="宋体"/>
          <w:sz w:val="21"/>
          <w:szCs w:val="21"/>
        </w:rPr>
      </w:pPr>
      <w:r>
        <w:rPr>
          <w:rFonts w:hint="eastAsia" w:ascii="宋体" w:hAnsi="宋体" w:eastAsia="宋体" w:cs="宋体"/>
          <w:sz w:val="21"/>
          <w:szCs w:val="21"/>
        </w:rPr>
        <w:t>6）法律、行政法规规定的其他条件。</w:t>
      </w:r>
    </w:p>
    <w:p>
      <w:pPr>
        <w:ind w:firstLine="420" w:firstLineChars="200"/>
        <w:rPr>
          <w:rFonts w:hint="eastAsia" w:ascii="宋体" w:hAnsi="宋体" w:eastAsia="宋体" w:cs="宋体"/>
          <w:sz w:val="21"/>
          <w:szCs w:val="21"/>
        </w:rPr>
      </w:pPr>
      <w:r>
        <w:rPr>
          <w:rFonts w:hint="eastAsia" w:ascii="宋体" w:hAnsi="宋体" w:eastAsia="宋体" w:cs="宋体"/>
          <w:sz w:val="21"/>
          <w:szCs w:val="21"/>
        </w:rPr>
        <w:t>（2）未被“信用中国”网站（www.creditchina.gov.cn）、中国政府采购网（www.ccgp.gov.cn）列入失信被执行人、重大税收违法案件当事人名单。</w:t>
      </w:r>
    </w:p>
    <w:p>
      <w:pPr>
        <w:ind w:firstLine="420" w:firstLineChars="200"/>
        <w:rPr>
          <w:rFonts w:hint="eastAsia" w:ascii="宋体" w:hAnsi="宋体" w:eastAsia="宋体" w:cs="宋体"/>
          <w:sz w:val="21"/>
          <w:szCs w:val="21"/>
        </w:rPr>
      </w:pPr>
      <w:r>
        <w:rPr>
          <w:rFonts w:hint="eastAsia" w:ascii="宋体" w:hAnsi="宋体" w:eastAsia="宋体" w:cs="宋体"/>
          <w:sz w:val="21"/>
          <w:szCs w:val="21"/>
        </w:rPr>
        <w:t>（</w:t>
      </w:r>
      <w:r>
        <w:rPr>
          <w:rFonts w:hint="eastAsia" w:ascii="宋体" w:hAnsi="宋体" w:eastAsia="宋体" w:cs="宋体"/>
          <w:sz w:val="21"/>
          <w:szCs w:val="21"/>
          <w:lang w:val="en-US" w:eastAsia="zh-CN"/>
        </w:rPr>
        <w:t>3</w:t>
      </w:r>
      <w:r>
        <w:rPr>
          <w:rFonts w:hint="eastAsia" w:ascii="宋体" w:hAnsi="宋体" w:eastAsia="宋体" w:cs="宋体"/>
          <w:sz w:val="21"/>
          <w:szCs w:val="21"/>
        </w:rPr>
        <w:t>）供应商具有以下</w:t>
      </w:r>
      <w:r>
        <w:rPr>
          <w:rFonts w:hint="eastAsia" w:ascii="宋体" w:hAnsi="宋体" w:eastAsia="宋体" w:cs="宋体"/>
          <w:sz w:val="21"/>
          <w:szCs w:val="21"/>
          <w:lang w:val="en-US" w:eastAsia="zh-CN"/>
        </w:rPr>
        <w:t>内容</w:t>
      </w:r>
      <w:r>
        <w:rPr>
          <w:rFonts w:hint="eastAsia" w:ascii="宋体" w:hAnsi="宋体" w:eastAsia="宋体" w:cs="宋体"/>
          <w:sz w:val="21"/>
          <w:szCs w:val="21"/>
        </w:rPr>
        <w:t>的，可优先考虑：</w:t>
      </w:r>
    </w:p>
    <w:p>
      <w:pPr>
        <w:numPr>
          <w:ilvl w:val="0"/>
          <w:numId w:val="0"/>
        </w:numPr>
        <w:snapToGrid w:val="0"/>
        <w:spacing w:line="396" w:lineRule="auto"/>
        <w:ind w:firstLine="840" w:firstLineChars="400"/>
        <w:jc w:val="left"/>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供应商提供类似项目合同复印件或中标通知书</w:t>
      </w:r>
      <w:r>
        <w:rPr>
          <w:rFonts w:hint="eastAsia" w:ascii="宋体" w:hAnsi="宋体" w:cs="宋体"/>
          <w:sz w:val="21"/>
          <w:szCs w:val="21"/>
          <w:lang w:val="en-US" w:eastAsia="zh-CN"/>
        </w:rPr>
        <w:t>。</w:t>
      </w:r>
    </w:p>
    <w:p>
      <w:pPr>
        <w:numPr>
          <w:ilvl w:val="0"/>
          <w:numId w:val="0"/>
        </w:numPr>
        <w:snapToGrid w:val="0"/>
        <w:spacing w:line="396"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lang w:val="en-US" w:eastAsia="zh-CN"/>
        </w:rPr>
        <w:t>2</w:t>
      </w:r>
      <w:r>
        <w:rPr>
          <w:rFonts w:hint="eastAsia" w:ascii="宋体" w:hAnsi="宋体" w:eastAsia="宋体" w:cs="宋体"/>
          <w:sz w:val="21"/>
          <w:szCs w:val="21"/>
        </w:rPr>
        <w:t>.投标</w:t>
      </w:r>
      <w:r>
        <w:rPr>
          <w:rFonts w:hint="eastAsia" w:ascii="宋体" w:hAnsi="宋体" w:eastAsia="宋体" w:cs="宋体"/>
          <w:sz w:val="21"/>
          <w:szCs w:val="21"/>
          <w:lang w:val="en"/>
        </w:rPr>
        <w:t>/</w:t>
      </w:r>
      <w:r>
        <w:rPr>
          <w:rFonts w:hint="eastAsia" w:ascii="宋体" w:hAnsi="宋体" w:eastAsia="宋体" w:cs="宋体"/>
          <w:sz w:val="21"/>
          <w:szCs w:val="21"/>
        </w:rPr>
        <w:t>响应文件技术部分</w:t>
      </w:r>
    </w:p>
    <w:p>
      <w:pPr>
        <w:ind w:firstLine="420" w:firstLineChars="200"/>
        <w:rPr>
          <w:rFonts w:hint="eastAsia" w:ascii="宋体" w:hAnsi="宋体" w:eastAsia="宋体" w:cs="宋体"/>
          <w:sz w:val="21"/>
          <w:szCs w:val="21"/>
        </w:rPr>
      </w:pPr>
      <w:r>
        <w:rPr>
          <w:rFonts w:hint="eastAsia" w:ascii="宋体" w:hAnsi="宋体" w:eastAsia="宋体" w:cs="宋体"/>
          <w:sz w:val="21"/>
          <w:szCs w:val="21"/>
        </w:rPr>
        <w:t>供应商须提供</w:t>
      </w:r>
      <w:r>
        <w:rPr>
          <w:rFonts w:hint="eastAsia" w:ascii="宋体" w:hAnsi="宋体" w:eastAsia="宋体" w:cs="宋体"/>
          <w:sz w:val="21"/>
          <w:szCs w:val="21"/>
          <w:lang w:val="en-US" w:eastAsia="zh-CN"/>
        </w:rPr>
        <w:t>以下服务</w:t>
      </w:r>
      <w:r>
        <w:rPr>
          <w:rFonts w:hint="eastAsia" w:ascii="宋体" w:hAnsi="宋体" w:eastAsia="宋体" w:cs="宋体"/>
          <w:sz w:val="21"/>
          <w:szCs w:val="21"/>
        </w:rPr>
        <w:t>，这些</w:t>
      </w:r>
      <w:r>
        <w:rPr>
          <w:rFonts w:hint="eastAsia" w:ascii="宋体" w:hAnsi="宋体" w:eastAsia="宋体" w:cs="宋体"/>
          <w:sz w:val="21"/>
          <w:szCs w:val="21"/>
          <w:lang w:val="en-US" w:eastAsia="zh-CN"/>
        </w:rPr>
        <w:t>服务</w:t>
      </w:r>
      <w:r>
        <w:rPr>
          <w:rFonts w:hint="eastAsia" w:ascii="宋体" w:hAnsi="宋体" w:eastAsia="宋体" w:cs="宋体"/>
          <w:sz w:val="21"/>
          <w:szCs w:val="21"/>
        </w:rPr>
        <w:t>及措施将作为项目评审的重要依据：</w:t>
      </w:r>
    </w:p>
    <w:p>
      <w:pPr>
        <w:numPr>
          <w:ilvl w:val="0"/>
          <w:numId w:val="7"/>
        </w:numPr>
        <w:snapToGrid w:val="0"/>
        <w:spacing w:line="396" w:lineRule="auto"/>
        <w:ind w:firstLine="420" w:firstLineChars="200"/>
        <w:jc w:val="left"/>
        <w:rPr>
          <w:rFonts w:hint="eastAsia" w:ascii="宋体" w:hAnsi="宋体" w:eastAsia="宋体" w:cs="宋体"/>
          <w:sz w:val="21"/>
          <w:szCs w:val="21"/>
          <w:lang w:val="en-US" w:eastAsia="zh-CN"/>
        </w:rPr>
      </w:pPr>
      <w:r>
        <w:rPr>
          <w:rFonts w:hint="eastAsia" w:ascii="宋体" w:hAnsi="宋体" w:eastAsia="宋体" w:cs="宋体"/>
          <w:snapToGrid/>
          <w:color w:val="auto"/>
          <w:kern w:val="2"/>
          <w:sz w:val="21"/>
          <w:szCs w:val="21"/>
        </w:rPr>
        <w:t>护网</w:t>
      </w:r>
      <w:r>
        <w:rPr>
          <w:rFonts w:hint="eastAsia" w:ascii="宋体" w:hAnsi="宋体" w:eastAsia="宋体" w:cs="宋体"/>
          <w:snapToGrid/>
          <w:color w:val="auto"/>
          <w:kern w:val="2"/>
          <w:sz w:val="21"/>
          <w:szCs w:val="21"/>
          <w:lang w:val="en-US" w:eastAsia="zh-CN"/>
        </w:rPr>
        <w:t>及重大保障日</w:t>
      </w:r>
      <w:r>
        <w:rPr>
          <w:rFonts w:hint="eastAsia" w:ascii="宋体" w:hAnsi="宋体" w:eastAsia="宋体" w:cs="宋体"/>
          <w:snapToGrid/>
          <w:color w:val="auto"/>
          <w:kern w:val="2"/>
          <w:sz w:val="21"/>
          <w:szCs w:val="21"/>
        </w:rPr>
        <w:t>期间</w:t>
      </w:r>
      <w:r>
        <w:rPr>
          <w:rFonts w:hint="eastAsia" w:ascii="宋体" w:hAnsi="宋体" w:eastAsia="宋体" w:cs="宋体"/>
          <w:snapToGrid/>
          <w:color w:val="auto"/>
          <w:kern w:val="2"/>
          <w:sz w:val="21"/>
          <w:szCs w:val="21"/>
          <w:lang w:val="en-US" w:eastAsia="zh-CN"/>
        </w:rPr>
        <w:t>需提供</w:t>
      </w:r>
      <w:r>
        <w:rPr>
          <w:rFonts w:hint="eastAsia" w:ascii="宋体" w:hAnsi="宋体" w:eastAsia="宋体" w:cs="宋体"/>
          <w:snapToGrid/>
          <w:color w:val="auto"/>
          <w:kern w:val="2"/>
          <w:sz w:val="21"/>
          <w:szCs w:val="21"/>
        </w:rPr>
        <w:t>提供</w:t>
      </w:r>
      <w:r>
        <w:rPr>
          <w:rFonts w:hint="eastAsia" w:ascii="宋体" w:hAnsi="宋体" w:eastAsia="宋体" w:cs="宋体"/>
          <w:snapToGrid/>
          <w:color w:val="auto"/>
          <w:kern w:val="2"/>
          <w:sz w:val="21"/>
          <w:szCs w:val="21"/>
          <w:lang w:val="en-US" w:eastAsia="zh-CN"/>
        </w:rPr>
        <w:t>现场内外网站群各3人</w:t>
      </w:r>
      <w:r>
        <w:rPr>
          <w:rFonts w:hint="eastAsia" w:ascii="宋体" w:hAnsi="宋体" w:eastAsia="宋体" w:cs="宋体"/>
          <w:snapToGrid/>
          <w:color w:val="auto"/>
          <w:kern w:val="2"/>
          <w:sz w:val="21"/>
          <w:szCs w:val="21"/>
        </w:rPr>
        <w:t>7*24小时</w:t>
      </w:r>
      <w:r>
        <w:rPr>
          <w:rFonts w:hint="eastAsia" w:ascii="宋体" w:hAnsi="宋体" w:eastAsia="宋体" w:cs="宋体"/>
          <w:snapToGrid/>
          <w:color w:val="auto"/>
          <w:kern w:val="2"/>
          <w:sz w:val="21"/>
          <w:szCs w:val="21"/>
          <w:lang w:val="en-US" w:eastAsia="zh-CN"/>
        </w:rPr>
        <w:t>共60日，</w:t>
      </w:r>
      <w:r>
        <w:rPr>
          <w:rFonts w:hint="eastAsia" w:ascii="宋体" w:hAnsi="宋体" w:eastAsia="宋体" w:cs="宋体"/>
          <w:snapToGrid/>
          <w:color w:val="auto"/>
          <w:kern w:val="2"/>
          <w:sz w:val="21"/>
          <w:szCs w:val="21"/>
        </w:rPr>
        <w:t>安全</w:t>
      </w:r>
      <w:r>
        <w:rPr>
          <w:rFonts w:hint="eastAsia" w:ascii="宋体" w:hAnsi="宋体" w:eastAsia="宋体" w:cs="宋体"/>
          <w:snapToGrid/>
          <w:color w:val="auto"/>
          <w:kern w:val="2"/>
          <w:sz w:val="21"/>
          <w:szCs w:val="21"/>
          <w:lang w:val="en-US" w:eastAsia="zh-CN"/>
        </w:rPr>
        <w:t>技术</w:t>
      </w:r>
      <w:r>
        <w:rPr>
          <w:rFonts w:hint="eastAsia" w:ascii="宋体" w:hAnsi="宋体" w:eastAsia="宋体" w:cs="宋体"/>
          <w:snapToGrid/>
          <w:color w:val="auto"/>
          <w:kern w:val="2"/>
          <w:sz w:val="21"/>
          <w:szCs w:val="21"/>
        </w:rPr>
        <w:t>人员</w:t>
      </w:r>
      <w:r>
        <w:rPr>
          <w:rFonts w:hint="eastAsia" w:ascii="宋体" w:hAnsi="宋体" w:eastAsia="宋体" w:cs="宋体"/>
          <w:snapToGrid/>
          <w:color w:val="auto"/>
          <w:kern w:val="2"/>
          <w:sz w:val="21"/>
          <w:szCs w:val="21"/>
          <w:lang w:val="en-US" w:eastAsia="zh-CN"/>
        </w:rPr>
        <w:t>值守，</w:t>
      </w:r>
      <w:r>
        <w:rPr>
          <w:rFonts w:hint="eastAsia" w:ascii="宋体" w:hAnsi="宋体" w:eastAsia="宋体" w:cs="宋体"/>
          <w:b w:val="0"/>
          <w:bCs w:val="0"/>
          <w:snapToGrid/>
          <w:kern w:val="2"/>
          <w:sz w:val="21"/>
          <w:szCs w:val="21"/>
          <w:lang w:val="en-US" w:eastAsia="zh-CN"/>
        </w:rPr>
        <w:t>非重大保障日需每周巡检一次（服务器、应用程序、数据库）状态</w:t>
      </w:r>
      <w:r>
        <w:rPr>
          <w:rFonts w:hint="eastAsia" w:ascii="宋体" w:hAnsi="宋体" w:eastAsia="宋体" w:cs="宋体"/>
          <w:snapToGrid/>
          <w:color w:val="auto"/>
          <w:kern w:val="2"/>
          <w:sz w:val="21"/>
          <w:szCs w:val="21"/>
        </w:rPr>
        <w:t>，（提供承诺书，格式自拟加盖公章装订在投标文件中）</w:t>
      </w:r>
      <w:r>
        <w:rPr>
          <w:rFonts w:hint="eastAsia" w:ascii="宋体" w:hAnsi="宋体" w:eastAsia="宋体" w:cs="宋体"/>
          <w:snapToGrid/>
          <w:color w:val="auto"/>
          <w:kern w:val="2"/>
          <w:sz w:val="21"/>
          <w:szCs w:val="21"/>
          <w:lang w:eastAsia="zh-CN"/>
        </w:rPr>
        <w:t>；</w:t>
      </w:r>
    </w:p>
    <w:p>
      <w:pPr>
        <w:numPr>
          <w:ilvl w:val="0"/>
          <w:numId w:val="7"/>
        </w:numPr>
        <w:snapToGrid w:val="0"/>
        <w:spacing w:line="396" w:lineRule="auto"/>
        <w:ind w:firstLine="420" w:firstLineChars="200"/>
        <w:jc w:val="left"/>
        <w:rPr>
          <w:rFonts w:hint="eastAsia" w:ascii="宋体" w:hAnsi="宋体" w:eastAsia="宋体" w:cs="宋体"/>
          <w:sz w:val="21"/>
          <w:szCs w:val="21"/>
          <w:lang w:val="en-US" w:eastAsia="zh-CN"/>
        </w:rPr>
      </w:pPr>
      <w:r>
        <w:rPr>
          <w:rFonts w:hint="eastAsia" w:ascii="宋体" w:hAnsi="宋体" w:eastAsia="宋体" w:cs="宋体"/>
          <w:snapToGrid/>
          <w:color w:val="auto"/>
          <w:kern w:val="2"/>
          <w:sz w:val="21"/>
          <w:szCs w:val="21"/>
          <w:lang w:val="en-US" w:eastAsia="zh-CN"/>
        </w:rPr>
        <w:t>供应商须提供专人现场服务</w:t>
      </w:r>
      <w:r>
        <w:rPr>
          <w:rFonts w:hint="eastAsia" w:ascii="宋体" w:hAnsi="宋体" w:eastAsia="宋体" w:cs="宋体"/>
          <w:b w:val="0"/>
          <w:bCs w:val="0"/>
          <w:snapToGrid/>
          <w:kern w:val="2"/>
          <w:sz w:val="21"/>
          <w:szCs w:val="21"/>
          <w:lang w:val="en-US" w:eastAsia="zh-CN"/>
        </w:rPr>
        <w:t>每2小时对服务器、中间件、数据库、应用程序日志分析服务并截图保存进行上报的，</w:t>
      </w:r>
      <w:r>
        <w:rPr>
          <w:rFonts w:hint="eastAsia" w:ascii="宋体" w:hAnsi="宋体" w:eastAsia="宋体" w:cs="宋体"/>
          <w:snapToGrid/>
          <w:color w:val="auto"/>
          <w:kern w:val="2"/>
          <w:sz w:val="21"/>
          <w:szCs w:val="21"/>
        </w:rPr>
        <w:t>（提供承诺书，格式自拟加盖公章装订在投标文件中）</w:t>
      </w:r>
      <w:r>
        <w:rPr>
          <w:rFonts w:hint="eastAsia" w:ascii="宋体" w:hAnsi="宋体" w:eastAsia="宋体" w:cs="宋体"/>
          <w:snapToGrid/>
          <w:color w:val="auto"/>
          <w:kern w:val="2"/>
          <w:sz w:val="21"/>
          <w:szCs w:val="21"/>
          <w:lang w:eastAsia="zh-CN"/>
        </w:rPr>
        <w:t>；</w:t>
      </w:r>
    </w:p>
    <w:p>
      <w:pPr>
        <w:numPr>
          <w:ilvl w:val="0"/>
          <w:numId w:val="7"/>
        </w:numPr>
        <w:snapToGrid w:val="0"/>
        <w:spacing w:line="396" w:lineRule="auto"/>
        <w:ind w:firstLine="420" w:firstLineChars="200"/>
        <w:jc w:val="left"/>
        <w:rPr>
          <w:rFonts w:hint="eastAsia" w:ascii="宋体" w:hAnsi="宋体" w:eastAsia="宋体" w:cs="宋体"/>
          <w:sz w:val="21"/>
          <w:szCs w:val="21"/>
          <w:lang w:val="en-US" w:eastAsia="zh-CN"/>
        </w:rPr>
      </w:pPr>
      <w:r>
        <w:rPr>
          <w:rFonts w:hint="eastAsia" w:ascii="宋体" w:hAnsi="宋体" w:eastAsia="宋体" w:cs="宋体"/>
          <w:snapToGrid/>
          <w:color w:val="auto"/>
          <w:kern w:val="2"/>
          <w:sz w:val="21"/>
          <w:szCs w:val="21"/>
          <w:lang w:val="en-US" w:eastAsia="zh-CN"/>
        </w:rPr>
        <w:t>供应商须提供安全分析软件案例，分析项包含（SQL注入攻击、跨站脚本XSS攻击、特殊字符访问、敏感目录访问、可疑文件访问）、（提供分析截图，</w:t>
      </w:r>
      <w:r>
        <w:rPr>
          <w:rFonts w:hint="eastAsia" w:ascii="宋体" w:hAnsi="宋体" w:eastAsia="宋体" w:cs="宋体"/>
          <w:snapToGrid/>
          <w:color w:val="auto"/>
          <w:kern w:val="2"/>
          <w:sz w:val="21"/>
          <w:szCs w:val="21"/>
        </w:rPr>
        <w:t>格式自拟加盖公章装订在投标文件中</w:t>
      </w:r>
      <w:r>
        <w:rPr>
          <w:rFonts w:hint="eastAsia" w:ascii="宋体" w:hAnsi="宋体" w:eastAsia="宋体" w:cs="宋体"/>
          <w:snapToGrid/>
          <w:color w:val="auto"/>
          <w:kern w:val="2"/>
          <w:sz w:val="21"/>
          <w:szCs w:val="21"/>
          <w:lang w:val="en-US" w:eastAsia="zh-CN"/>
        </w:rPr>
        <w:t>）；</w:t>
      </w:r>
    </w:p>
    <w:p>
      <w:pPr>
        <w:numPr>
          <w:ilvl w:val="0"/>
          <w:numId w:val="7"/>
        </w:numPr>
        <w:snapToGrid w:val="0"/>
        <w:spacing w:line="396" w:lineRule="auto"/>
        <w:ind w:firstLine="420" w:firstLineChars="200"/>
        <w:jc w:val="left"/>
        <w:rPr>
          <w:rFonts w:hint="eastAsia" w:ascii="宋体" w:hAnsi="宋体" w:eastAsia="宋体" w:cs="宋体"/>
          <w:sz w:val="21"/>
          <w:szCs w:val="21"/>
          <w:lang w:val="en-US" w:eastAsia="zh-CN"/>
        </w:rPr>
      </w:pPr>
      <w:r>
        <w:rPr>
          <w:rFonts w:hint="eastAsia" w:ascii="宋体" w:hAnsi="宋体" w:eastAsia="宋体" w:cs="宋体"/>
          <w:snapToGrid/>
          <w:color w:val="auto"/>
          <w:kern w:val="2"/>
          <w:sz w:val="21"/>
          <w:szCs w:val="21"/>
          <w:lang w:val="en-US" w:eastAsia="zh-CN"/>
        </w:rPr>
        <w:t>供应商须能提供访问量统计、pv数统计、UV数统计、独立IP数统计、异常访问统计（提供分析截图，</w:t>
      </w:r>
      <w:r>
        <w:rPr>
          <w:rFonts w:hint="eastAsia" w:ascii="宋体" w:hAnsi="宋体" w:eastAsia="宋体" w:cs="宋体"/>
          <w:snapToGrid/>
          <w:color w:val="auto"/>
          <w:kern w:val="2"/>
          <w:sz w:val="21"/>
          <w:szCs w:val="21"/>
        </w:rPr>
        <w:t>格式自拟加盖公章装订在投标文件中</w:t>
      </w:r>
      <w:r>
        <w:rPr>
          <w:rFonts w:hint="eastAsia" w:ascii="宋体" w:hAnsi="宋体" w:eastAsia="宋体" w:cs="宋体"/>
          <w:snapToGrid/>
          <w:color w:val="auto"/>
          <w:kern w:val="2"/>
          <w:sz w:val="21"/>
          <w:szCs w:val="21"/>
          <w:lang w:val="en-US" w:eastAsia="zh-CN"/>
        </w:rPr>
        <w:t>）；</w:t>
      </w:r>
    </w:p>
    <w:p>
      <w:pPr>
        <w:numPr>
          <w:ilvl w:val="0"/>
          <w:numId w:val="7"/>
        </w:numPr>
        <w:snapToGrid w:val="0"/>
        <w:spacing w:line="396" w:lineRule="auto"/>
        <w:ind w:firstLine="420" w:firstLineChars="200"/>
        <w:jc w:val="left"/>
        <w:rPr>
          <w:rFonts w:hint="eastAsia" w:ascii="宋体" w:hAnsi="宋体" w:eastAsia="宋体" w:cs="宋体"/>
          <w:sz w:val="21"/>
          <w:szCs w:val="21"/>
          <w:lang w:val="en-US" w:eastAsia="zh-CN"/>
        </w:rPr>
      </w:pPr>
      <w:r>
        <w:rPr>
          <w:rFonts w:hint="eastAsia" w:ascii="宋体" w:hAnsi="宋体" w:eastAsia="宋体" w:cs="宋体"/>
          <w:snapToGrid/>
          <w:color w:val="auto"/>
          <w:kern w:val="2"/>
          <w:sz w:val="21"/>
          <w:szCs w:val="21"/>
          <w:lang w:val="en-US" w:eastAsia="zh-CN"/>
        </w:rPr>
        <w:t>供应商须能提供服务器实时监控，异常登录情况。（提供分析截图，</w:t>
      </w:r>
      <w:r>
        <w:rPr>
          <w:rFonts w:hint="eastAsia" w:ascii="宋体" w:hAnsi="宋体" w:eastAsia="宋体" w:cs="宋体"/>
          <w:snapToGrid/>
          <w:color w:val="auto"/>
          <w:kern w:val="2"/>
          <w:sz w:val="21"/>
          <w:szCs w:val="21"/>
        </w:rPr>
        <w:t>格式自拟加盖公章装订在投标文件中</w:t>
      </w:r>
      <w:r>
        <w:rPr>
          <w:rFonts w:hint="eastAsia" w:ascii="宋体" w:hAnsi="宋体" w:eastAsia="宋体" w:cs="宋体"/>
          <w:snapToGrid/>
          <w:color w:val="auto"/>
          <w:kern w:val="2"/>
          <w:sz w:val="21"/>
          <w:szCs w:val="21"/>
          <w:lang w:val="en-US" w:eastAsia="zh-CN"/>
        </w:rPr>
        <w:t>）；</w:t>
      </w:r>
    </w:p>
    <w:p>
      <w:pPr>
        <w:numPr>
          <w:ilvl w:val="0"/>
          <w:numId w:val="7"/>
        </w:numPr>
        <w:snapToGrid w:val="0"/>
        <w:spacing w:line="396" w:lineRule="auto"/>
        <w:ind w:firstLine="420" w:firstLineChars="200"/>
        <w:jc w:val="left"/>
        <w:rPr>
          <w:rFonts w:hint="eastAsia" w:ascii="宋体" w:hAnsi="宋体" w:eastAsia="宋体" w:cs="宋体"/>
          <w:sz w:val="21"/>
          <w:szCs w:val="21"/>
          <w:lang w:val="en-US" w:eastAsia="zh-CN"/>
        </w:rPr>
      </w:pPr>
      <w:r>
        <w:rPr>
          <w:rFonts w:hint="eastAsia" w:ascii="宋体" w:hAnsi="宋体" w:eastAsia="宋体" w:cs="宋体"/>
          <w:snapToGrid/>
          <w:color w:val="auto"/>
          <w:kern w:val="2"/>
          <w:sz w:val="21"/>
          <w:szCs w:val="21"/>
          <w:lang w:val="en-US" w:eastAsia="zh-CN"/>
        </w:rPr>
        <w:t>供应商须能提供服务器木马扫描、后门文件查杀服务，（</w:t>
      </w:r>
      <w:r>
        <w:rPr>
          <w:rFonts w:hint="eastAsia" w:ascii="宋体" w:hAnsi="宋体" w:eastAsia="宋体" w:cs="宋体"/>
          <w:snapToGrid/>
          <w:color w:val="auto"/>
          <w:kern w:val="2"/>
          <w:sz w:val="21"/>
          <w:szCs w:val="21"/>
        </w:rPr>
        <w:t>提供承诺书，格式自拟加盖公章装订在投标文件中）</w:t>
      </w:r>
    </w:p>
    <w:p>
      <w:pPr>
        <w:numPr>
          <w:ilvl w:val="0"/>
          <w:numId w:val="7"/>
        </w:numPr>
        <w:snapToGrid w:val="0"/>
        <w:spacing w:line="396" w:lineRule="auto"/>
        <w:ind w:firstLine="420" w:firstLineChars="200"/>
        <w:jc w:val="left"/>
        <w:rPr>
          <w:rFonts w:hint="eastAsia" w:ascii="宋体" w:hAnsi="宋体" w:eastAsia="宋体" w:cs="宋体"/>
          <w:sz w:val="21"/>
          <w:szCs w:val="21"/>
          <w:lang w:val="en-US" w:eastAsia="zh-CN"/>
        </w:rPr>
      </w:pPr>
      <w:r>
        <w:rPr>
          <w:rFonts w:hint="eastAsia" w:ascii="宋体" w:hAnsi="宋体" w:eastAsia="宋体" w:cs="宋体"/>
          <w:snapToGrid/>
          <w:color w:val="auto"/>
          <w:kern w:val="2"/>
          <w:sz w:val="21"/>
          <w:szCs w:val="21"/>
          <w:lang w:val="en-US" w:eastAsia="zh-CN"/>
        </w:rPr>
        <w:t>供应商须能提供国产化系统的替换安装服务，并匹配现有应用程序适配国产化系统，保障内外网站群平稳安全运行</w:t>
      </w:r>
      <w:r>
        <w:rPr>
          <w:rFonts w:hint="eastAsia" w:ascii="宋体" w:hAnsi="宋体" w:eastAsia="宋体" w:cs="宋体"/>
          <w:snapToGrid/>
          <w:color w:val="auto"/>
          <w:kern w:val="2"/>
          <w:sz w:val="21"/>
          <w:szCs w:val="21"/>
        </w:rPr>
        <w:t>（提供承诺书，格式自拟加盖公章装订在投标文件中）</w:t>
      </w:r>
    </w:p>
    <w:p>
      <w:pPr>
        <w:numPr>
          <w:ilvl w:val="0"/>
          <w:numId w:val="7"/>
        </w:numPr>
        <w:snapToGrid w:val="0"/>
        <w:spacing w:line="396" w:lineRule="auto"/>
        <w:ind w:firstLine="420" w:firstLineChars="200"/>
        <w:jc w:val="left"/>
        <w:rPr>
          <w:rFonts w:hint="eastAsia" w:ascii="宋体" w:hAnsi="宋体" w:eastAsia="宋体" w:cs="宋体"/>
          <w:sz w:val="21"/>
          <w:szCs w:val="21"/>
          <w:lang w:val="en-US" w:eastAsia="zh-CN"/>
        </w:rPr>
      </w:pPr>
      <w:r>
        <w:rPr>
          <w:rFonts w:hint="eastAsia" w:ascii="宋体" w:hAnsi="宋体" w:eastAsia="宋体" w:cs="宋体"/>
          <w:snapToGrid/>
          <w:color w:val="auto"/>
          <w:kern w:val="2"/>
          <w:sz w:val="21"/>
          <w:szCs w:val="21"/>
          <w:lang w:val="en-US" w:eastAsia="zh-CN"/>
        </w:rPr>
        <w:t>供应商须能提供不影响业务使用的情况下对服务器应用数据、数据库数据迁移方案。</w:t>
      </w:r>
    </w:p>
    <w:p>
      <w:pPr>
        <w:numPr>
          <w:ilvl w:val="0"/>
          <w:numId w:val="7"/>
        </w:numPr>
        <w:snapToGrid w:val="0"/>
        <w:spacing w:line="396" w:lineRule="auto"/>
        <w:ind w:firstLine="420" w:firstLineChars="200"/>
        <w:jc w:val="left"/>
        <w:rPr>
          <w:rFonts w:hint="eastAsia" w:ascii="宋体" w:hAnsi="宋体" w:eastAsia="宋体" w:cs="宋体"/>
          <w:sz w:val="21"/>
          <w:szCs w:val="21"/>
          <w:lang w:val="en-US" w:eastAsia="zh-CN"/>
        </w:rPr>
      </w:pPr>
      <w:r>
        <w:rPr>
          <w:rFonts w:hint="eastAsia" w:ascii="宋体" w:hAnsi="宋体" w:eastAsia="宋体" w:cs="宋体"/>
          <w:snapToGrid/>
          <w:color w:val="auto"/>
          <w:kern w:val="2"/>
          <w:sz w:val="21"/>
          <w:szCs w:val="21"/>
          <w:lang w:val="en-US" w:eastAsia="zh-CN"/>
        </w:rPr>
        <w:t>供应商须能提供防火墙安全策略设置，保障业务系统正常运行。</w:t>
      </w:r>
    </w:p>
    <w:p>
      <w:pPr>
        <w:numPr>
          <w:ilvl w:val="0"/>
          <w:numId w:val="7"/>
        </w:numPr>
        <w:snapToGrid w:val="0"/>
        <w:spacing w:line="396" w:lineRule="auto"/>
        <w:ind w:firstLine="420" w:firstLineChars="200"/>
        <w:jc w:val="left"/>
        <w:rPr>
          <w:rFonts w:hint="eastAsia" w:ascii="宋体" w:hAnsi="宋体" w:eastAsia="宋体" w:cs="宋体"/>
          <w:sz w:val="21"/>
          <w:szCs w:val="21"/>
          <w:lang w:val="en-US" w:eastAsia="zh-CN"/>
        </w:rPr>
      </w:pPr>
      <w:r>
        <w:rPr>
          <w:rFonts w:hint="eastAsia" w:ascii="宋体" w:hAnsi="宋体" w:eastAsia="宋体" w:cs="宋体"/>
          <w:snapToGrid/>
          <w:color w:val="auto"/>
          <w:kern w:val="2"/>
          <w:sz w:val="21"/>
          <w:szCs w:val="21"/>
          <w:lang w:val="en-US" w:eastAsia="zh-CN"/>
        </w:rPr>
        <w:t>供应商须提供</w:t>
      </w:r>
      <w:r>
        <w:rPr>
          <w:rFonts w:hint="eastAsia" w:ascii="宋体" w:hAnsi="宋体" w:eastAsia="宋体" w:cs="宋体"/>
          <w:b w:val="0"/>
          <w:bCs w:val="0"/>
          <w:snapToGrid/>
          <w:kern w:val="2"/>
          <w:sz w:val="21"/>
          <w:szCs w:val="21"/>
          <w:lang w:val="en-US" w:eastAsia="zh-CN"/>
        </w:rPr>
        <w:t>实时监测服务包含服务器、内外网站群运行情况，流量攻击行为情况，发现异常情况30分钟内解决并处理</w:t>
      </w:r>
      <w:r>
        <w:rPr>
          <w:rFonts w:hint="eastAsia" w:ascii="宋体" w:hAnsi="宋体" w:eastAsia="宋体" w:cs="宋体"/>
          <w:snapToGrid/>
          <w:color w:val="auto"/>
          <w:kern w:val="2"/>
          <w:sz w:val="21"/>
          <w:szCs w:val="21"/>
        </w:rPr>
        <w:t>（</w:t>
      </w:r>
      <w:r>
        <w:rPr>
          <w:rFonts w:hint="eastAsia" w:ascii="宋体" w:hAnsi="宋体" w:eastAsia="宋体" w:cs="宋体"/>
          <w:snapToGrid/>
          <w:color w:val="auto"/>
          <w:kern w:val="2"/>
          <w:sz w:val="21"/>
          <w:szCs w:val="21"/>
          <w:lang w:val="en-US" w:eastAsia="zh-CN"/>
        </w:rPr>
        <w:t>提供分析截图，</w:t>
      </w:r>
      <w:r>
        <w:rPr>
          <w:rFonts w:hint="eastAsia" w:ascii="宋体" w:hAnsi="宋体" w:eastAsia="宋体" w:cs="宋体"/>
          <w:snapToGrid/>
          <w:color w:val="auto"/>
          <w:kern w:val="2"/>
          <w:sz w:val="21"/>
          <w:szCs w:val="21"/>
        </w:rPr>
        <w:t>格式自拟加盖公章装订在投标文件中）</w:t>
      </w:r>
    </w:p>
    <w:p>
      <w:pPr>
        <w:numPr>
          <w:ilvl w:val="0"/>
          <w:numId w:val="7"/>
        </w:numPr>
        <w:snapToGrid w:val="0"/>
        <w:spacing w:line="396" w:lineRule="auto"/>
        <w:ind w:firstLine="420" w:firstLineChars="200"/>
        <w:jc w:val="left"/>
        <w:rPr>
          <w:rFonts w:hint="eastAsia" w:ascii="宋体" w:hAnsi="宋体" w:eastAsia="宋体" w:cs="宋体"/>
          <w:sz w:val="21"/>
          <w:szCs w:val="21"/>
          <w:lang w:val="en-US" w:eastAsia="zh-CN"/>
        </w:rPr>
      </w:pPr>
      <w:r>
        <w:rPr>
          <w:rFonts w:hint="eastAsia" w:ascii="宋体" w:hAnsi="宋体" w:eastAsia="宋体" w:cs="宋体"/>
          <w:snapToGrid/>
          <w:color w:val="auto"/>
          <w:kern w:val="2"/>
          <w:sz w:val="21"/>
          <w:szCs w:val="21"/>
          <w:lang w:val="en-US" w:eastAsia="zh-CN"/>
        </w:rPr>
        <w:t>供应商须提供与政府类（服务器、中间件、数据库）漏洞修补合同的</w:t>
      </w:r>
      <w:r>
        <w:rPr>
          <w:rFonts w:hint="eastAsia" w:ascii="宋体" w:hAnsi="宋体" w:eastAsia="宋体" w:cs="宋体"/>
          <w:snapToGrid/>
          <w:color w:val="auto"/>
          <w:kern w:val="2"/>
          <w:sz w:val="21"/>
          <w:szCs w:val="21"/>
        </w:rPr>
        <w:t>（提供合同复印件</w:t>
      </w:r>
      <w:r>
        <w:rPr>
          <w:rFonts w:hint="eastAsia" w:ascii="宋体" w:hAnsi="宋体" w:eastAsia="宋体" w:cs="宋体"/>
          <w:snapToGrid/>
          <w:color w:val="auto"/>
          <w:kern w:val="2"/>
          <w:sz w:val="21"/>
          <w:szCs w:val="21"/>
          <w:lang w:eastAsia="zh-CN"/>
        </w:rPr>
        <w:t>，</w:t>
      </w:r>
      <w:r>
        <w:rPr>
          <w:rFonts w:hint="eastAsia" w:ascii="宋体" w:hAnsi="宋体" w:eastAsia="宋体" w:cs="宋体"/>
          <w:snapToGrid/>
          <w:color w:val="auto"/>
          <w:kern w:val="2"/>
          <w:sz w:val="21"/>
          <w:szCs w:val="21"/>
        </w:rPr>
        <w:t>格式自拟加盖公章装订在投标文件中）</w:t>
      </w:r>
      <w:r>
        <w:rPr>
          <w:rFonts w:hint="eastAsia" w:ascii="宋体" w:hAnsi="宋体" w:eastAsia="宋体" w:cs="宋体"/>
          <w:snapToGrid/>
          <w:color w:val="auto"/>
          <w:kern w:val="2"/>
          <w:sz w:val="21"/>
          <w:szCs w:val="21"/>
          <w:lang w:eastAsia="zh-CN"/>
        </w:rPr>
        <w:t>。</w:t>
      </w:r>
    </w:p>
    <w:p>
      <w:pPr>
        <w:numPr>
          <w:ilvl w:val="0"/>
          <w:numId w:val="7"/>
        </w:numPr>
        <w:snapToGrid w:val="0"/>
        <w:spacing w:line="396" w:lineRule="auto"/>
        <w:ind w:firstLine="420" w:firstLineChars="200"/>
        <w:jc w:val="left"/>
        <w:rPr>
          <w:rFonts w:hint="eastAsia" w:ascii="宋体" w:hAnsi="宋体" w:eastAsia="宋体" w:cs="宋体"/>
          <w:sz w:val="21"/>
          <w:szCs w:val="21"/>
        </w:rPr>
      </w:pPr>
      <w:r>
        <w:rPr>
          <w:rFonts w:hint="eastAsia" w:ascii="宋体" w:hAnsi="宋体" w:eastAsia="宋体" w:cs="宋体"/>
          <w:snapToGrid/>
          <w:color w:val="auto"/>
          <w:kern w:val="2"/>
          <w:sz w:val="21"/>
          <w:szCs w:val="21"/>
          <w:lang w:val="en-US" w:eastAsia="zh-CN"/>
        </w:rPr>
        <w:t>供应商须提供所有业务数据、应用程序、数据库备份方案。</w:t>
      </w:r>
    </w:p>
    <w:p>
      <w:pPr>
        <w:snapToGrid w:val="0"/>
        <w:spacing w:line="396"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三、项目需求</w:t>
      </w:r>
    </w:p>
    <w:p>
      <w:pPr>
        <w:ind w:firstLine="420" w:firstLineChars="200"/>
        <w:rPr>
          <w:rFonts w:hint="eastAsia" w:ascii="宋体" w:hAnsi="宋体" w:eastAsia="宋体" w:cs="宋体"/>
          <w:sz w:val="21"/>
          <w:szCs w:val="21"/>
          <w:lang w:val="en-US" w:eastAsia="zh-CN"/>
        </w:rPr>
      </w:pPr>
      <w:r>
        <w:rPr>
          <w:rFonts w:hint="eastAsia" w:ascii="宋体" w:hAnsi="宋体" w:eastAsia="宋体" w:cs="宋体"/>
          <w:sz w:val="21"/>
          <w:szCs w:val="21"/>
        </w:rPr>
        <w:t>按照《国家税务总局关于印发省税务局网站建设管理规范的通知》（税总发〔2019〕78号）、《国务院办公厅关于印发政府网站发展指引的通知》（国办发〔2017〕47号）、《中华人民共和国网络安全法》的安排部署</w:t>
      </w:r>
      <w:r>
        <w:rPr>
          <w:rFonts w:hint="eastAsia" w:ascii="宋体" w:hAnsi="宋体" w:eastAsia="宋体" w:cs="宋体"/>
          <w:sz w:val="21"/>
          <w:szCs w:val="21"/>
          <w:lang w:eastAsia="zh-CN"/>
        </w:rPr>
        <w:t>，</w:t>
      </w:r>
      <w:r>
        <w:rPr>
          <w:rFonts w:hint="eastAsia" w:ascii="宋体" w:hAnsi="宋体" w:eastAsia="宋体" w:cs="宋体"/>
          <w:sz w:val="21"/>
          <w:szCs w:val="21"/>
        </w:rPr>
        <w:t>通过对黑龙江省税务局集约化站群系统的建设运维管理</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服务器国产化适配、安全漏洞修补、重大保障服务、数据迁移、</w:t>
      </w:r>
      <w:r>
        <w:rPr>
          <w:rFonts w:hint="eastAsia" w:ascii="宋体" w:hAnsi="宋体" w:eastAsia="宋体" w:cs="宋体"/>
          <w:sz w:val="21"/>
          <w:szCs w:val="21"/>
        </w:rPr>
        <w:t>技术支持保障等方面进行规范建设</w:t>
      </w:r>
      <w:r>
        <w:rPr>
          <w:rFonts w:hint="eastAsia" w:ascii="宋体" w:hAnsi="宋体" w:eastAsia="宋体" w:cs="宋体"/>
          <w:sz w:val="21"/>
          <w:szCs w:val="21"/>
          <w:lang w:eastAsia="zh-CN"/>
        </w:rPr>
        <w:t>，</w:t>
      </w:r>
      <w:r>
        <w:rPr>
          <w:rFonts w:hint="eastAsia" w:ascii="宋体" w:hAnsi="宋体" w:eastAsia="宋体" w:cs="宋体"/>
          <w:sz w:val="21"/>
          <w:szCs w:val="21"/>
        </w:rPr>
        <w:t>不断提升黑龙江省税务</w:t>
      </w:r>
      <w:r>
        <w:rPr>
          <w:rFonts w:hint="eastAsia" w:ascii="宋体" w:hAnsi="宋体" w:eastAsia="宋体" w:cs="宋体"/>
          <w:sz w:val="21"/>
          <w:szCs w:val="21"/>
          <w:lang w:val="en-US" w:eastAsia="zh-CN"/>
        </w:rPr>
        <w:t>局内外网站安全平稳运行。</w:t>
      </w:r>
    </w:p>
    <w:p>
      <w:pPr>
        <w:ind w:firstLine="420" w:firstLineChars="200"/>
        <w:rPr>
          <w:rFonts w:hint="eastAsia" w:ascii="宋体" w:hAnsi="宋体" w:eastAsia="宋体" w:cs="宋体"/>
          <w:sz w:val="21"/>
          <w:szCs w:val="21"/>
          <w:lang w:val="en-US" w:eastAsia="zh-CN"/>
        </w:rPr>
      </w:pPr>
      <w:r>
        <w:rPr>
          <w:rFonts w:hint="eastAsia" w:ascii="宋体" w:hAnsi="宋体" w:eastAsia="宋体" w:cs="宋体"/>
          <w:sz w:val="21"/>
          <w:szCs w:val="21"/>
        </w:rPr>
        <w:t>为了进一步做好全省税务局内外网站的</w:t>
      </w:r>
      <w:r>
        <w:rPr>
          <w:rFonts w:hint="eastAsia" w:ascii="宋体" w:hAnsi="宋体" w:eastAsia="宋体" w:cs="宋体"/>
          <w:sz w:val="21"/>
          <w:szCs w:val="21"/>
          <w:lang w:val="en-US" w:eastAsia="zh-CN"/>
        </w:rPr>
        <w:t>安全运维服务，</w:t>
      </w:r>
      <w:r>
        <w:rPr>
          <w:rFonts w:hint="eastAsia" w:ascii="宋体" w:hAnsi="宋体" w:eastAsia="宋体" w:cs="宋体"/>
          <w:sz w:val="21"/>
          <w:szCs w:val="21"/>
        </w:rPr>
        <w:t>保证内外网站全天候24小时不间断正常运行，需要做好黑龙江省税务局集约化站群系统应急安全保障、</w:t>
      </w:r>
      <w:r>
        <w:rPr>
          <w:rFonts w:hint="eastAsia" w:ascii="宋体" w:hAnsi="宋体" w:eastAsia="宋体" w:cs="宋体"/>
          <w:sz w:val="21"/>
          <w:szCs w:val="21"/>
          <w:lang w:val="en-US" w:eastAsia="zh-CN"/>
        </w:rPr>
        <w:t>服务器</w:t>
      </w:r>
      <w:r>
        <w:rPr>
          <w:rFonts w:hint="eastAsia" w:ascii="宋体" w:hAnsi="宋体" w:eastAsia="宋体" w:cs="宋体"/>
          <w:sz w:val="21"/>
          <w:szCs w:val="21"/>
        </w:rPr>
        <w:t>系统扫描和安全加固、数据备份、</w:t>
      </w:r>
      <w:r>
        <w:rPr>
          <w:rFonts w:hint="eastAsia" w:ascii="宋体" w:hAnsi="宋体" w:eastAsia="宋体" w:cs="宋体"/>
          <w:sz w:val="21"/>
          <w:szCs w:val="21"/>
          <w:lang w:val="en-US" w:eastAsia="zh-CN"/>
        </w:rPr>
        <w:t>国产化替换、数据迁移、漏洞修补。提高内外网站群的安全运维服务。</w:t>
      </w:r>
    </w:p>
    <w:p>
      <w:pPr>
        <w:numPr>
          <w:ilvl w:val="0"/>
          <w:numId w:val="8"/>
        </w:numPr>
        <w:snapToGrid w:val="0"/>
        <w:spacing w:line="64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项目实施要求</w:t>
      </w:r>
    </w:p>
    <w:p>
      <w:pPr>
        <w:numPr>
          <w:ilvl w:val="0"/>
          <w:numId w:val="0"/>
        </w:numPr>
        <w:snapToGrid w:val="0"/>
        <w:spacing w:line="640" w:lineRule="exact"/>
        <w:rPr>
          <w:rFonts w:hint="eastAsia" w:ascii="宋体" w:hAnsi="宋体" w:eastAsia="宋体" w:cs="宋体"/>
          <w:sz w:val="21"/>
          <w:szCs w:val="21"/>
        </w:rPr>
      </w:pPr>
      <w:r>
        <w:rPr>
          <w:rFonts w:hint="eastAsia" w:ascii="宋体" w:hAnsi="宋体" w:eastAsia="宋体" w:cs="宋体"/>
          <w:sz w:val="21"/>
          <w:szCs w:val="21"/>
          <w:lang w:val="en-US" w:eastAsia="zh-CN"/>
        </w:rPr>
        <w:t>4.1</w:t>
      </w:r>
      <w:r>
        <w:rPr>
          <w:rFonts w:hint="eastAsia" w:ascii="宋体" w:hAnsi="宋体" w:eastAsia="宋体" w:cs="宋体"/>
          <w:sz w:val="21"/>
          <w:szCs w:val="21"/>
        </w:rPr>
        <w:t>项目实施内容</w:t>
      </w:r>
    </w:p>
    <w:p>
      <w:pPr>
        <w:keepNext w:val="0"/>
        <w:keepLines w:val="0"/>
        <w:widowControl w:val="0"/>
        <w:suppressLineNumbers w:val="0"/>
        <w:spacing w:before="0" w:beforeAutospacing="0" w:after="0" w:afterAutospacing="0"/>
        <w:ind w:left="0" w:right="0" w:firstLine="420" w:firstLineChars="200"/>
        <w:jc w:val="both"/>
        <w:rPr>
          <w:rFonts w:hint="eastAsia" w:ascii="宋体" w:hAnsi="宋体" w:eastAsia="宋体" w:cs="宋体"/>
          <w:b w:val="0"/>
          <w:bCs w:val="0"/>
          <w:color w:val="000000"/>
          <w:kern w:val="2"/>
          <w:sz w:val="21"/>
          <w:szCs w:val="21"/>
        </w:rPr>
      </w:pPr>
      <w:r>
        <w:rPr>
          <w:rFonts w:hint="eastAsia" w:ascii="宋体" w:hAnsi="宋体" w:eastAsia="宋体" w:cs="宋体"/>
          <w:b w:val="0"/>
          <w:bCs w:val="0"/>
          <w:color w:val="000000"/>
          <w:kern w:val="2"/>
          <w:sz w:val="21"/>
          <w:szCs w:val="21"/>
          <w:lang w:val="en-US" w:eastAsia="zh-CN" w:bidi="ar"/>
        </w:rPr>
        <w:t>提供黑龙江省税务局省局内外网群及13个市局内外网站群门户网站重大保障服务、</w:t>
      </w:r>
      <w:r>
        <w:rPr>
          <w:rFonts w:hint="eastAsia" w:ascii="宋体" w:hAnsi="宋体" w:eastAsia="宋体" w:cs="宋体"/>
          <w:b w:val="0"/>
          <w:bCs w:val="0"/>
          <w:kern w:val="2"/>
          <w:sz w:val="21"/>
          <w:szCs w:val="21"/>
          <w:lang w:val="en-US" w:eastAsia="zh-CN" w:bidi="ar"/>
        </w:rPr>
        <w:t>漏洞修补服务、国产化系统替换服务、数据迁移服务、国产化软件适配服务、备份服务。</w:t>
      </w:r>
    </w:p>
    <w:p>
      <w:pPr>
        <w:numPr>
          <w:ilvl w:val="0"/>
          <w:numId w:val="0"/>
        </w:numPr>
        <w:overflowPunct w:val="0"/>
        <w:autoSpaceDE w:val="0"/>
        <w:autoSpaceDN w:val="0"/>
        <w:adjustRightInd w:val="0"/>
        <w:snapToGrid w:val="0"/>
        <w:spacing w:line="640" w:lineRule="exact"/>
        <w:jc w:val="both"/>
        <w:textAlignment w:val="baseline"/>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4.2项目实施管理及项目人员管理</w:t>
      </w:r>
    </w:p>
    <w:p>
      <w:pPr>
        <w:numPr>
          <w:ilvl w:val="0"/>
          <w:numId w:val="0"/>
        </w:numPr>
        <w:overflowPunct w:val="0"/>
        <w:autoSpaceDE w:val="0"/>
        <w:autoSpaceDN w:val="0"/>
        <w:adjustRightInd w:val="0"/>
        <w:snapToGrid w:val="0"/>
        <w:spacing w:line="640" w:lineRule="exact"/>
        <w:ind w:firstLine="420" w:firstLineChars="0"/>
        <w:jc w:val="both"/>
        <w:textAlignment w:val="baseline"/>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项目实施管理及项目人员管理上需由项目经理选派责任心强、业务熟练的工作人员进行保障服务，项目管理人员需具备PMP证书，安全工程师需具备CISP证书。</w:t>
      </w:r>
    </w:p>
    <w:p>
      <w:pPr>
        <w:snapToGrid w:val="0"/>
        <w:spacing w:line="64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五、项目验收要求</w:t>
      </w:r>
    </w:p>
    <w:p>
      <w:pPr>
        <w:snapToGrid w:val="0"/>
        <w:spacing w:line="640" w:lineRule="exact"/>
        <w:ind w:firstLine="420" w:firstLineChars="200"/>
        <w:jc w:val="left"/>
        <w:rPr>
          <w:rFonts w:hint="eastAsia" w:ascii="宋体" w:hAnsi="宋体" w:eastAsia="宋体" w:cs="宋体"/>
          <w:sz w:val="21"/>
          <w:szCs w:val="21"/>
          <w:lang w:val="en-US" w:eastAsia="zh-CN"/>
        </w:rPr>
      </w:pPr>
      <w:r>
        <w:rPr>
          <w:rFonts w:hint="eastAsia" w:ascii="宋体" w:hAnsi="宋体" w:eastAsia="宋体" w:cs="宋体"/>
          <w:sz w:val="21"/>
          <w:szCs w:val="21"/>
        </w:rPr>
        <w:t>项目验收以项目合同和相关标准规范为依据，主要对合同规定的工作内容完成情况进行考核和评价。项目验收工作应当坚持实事求是、客观公正的原则，确保信息化项目验收工作的严肃性和科学性。本项目要针对服务期内的服务实施情况进行分期考核，结合考核情况和服务效果进行验收。项目验收阶段包括</w:t>
      </w:r>
      <w:r>
        <w:rPr>
          <w:rFonts w:hint="eastAsia" w:ascii="宋体" w:hAnsi="宋体" w:eastAsia="宋体" w:cs="宋体"/>
          <w:sz w:val="21"/>
          <w:szCs w:val="21"/>
          <w:lang w:val="en-US" w:eastAsia="zh-CN"/>
        </w:rPr>
        <w:t>初期</w:t>
      </w:r>
      <w:r>
        <w:rPr>
          <w:rFonts w:hint="eastAsia" w:ascii="宋体" w:hAnsi="宋体" w:eastAsia="宋体" w:cs="宋体"/>
          <w:sz w:val="21"/>
          <w:szCs w:val="21"/>
        </w:rPr>
        <w:t>验收和最终验收</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验收未通过甲方有权终止合同并无需支付本合同规定的金额。</w:t>
      </w:r>
    </w:p>
    <w:p>
      <w:pPr>
        <w:snapToGrid w:val="0"/>
        <w:spacing w:line="64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六、项目技术支持服务要求</w:t>
      </w:r>
    </w:p>
    <w:p>
      <w:pPr>
        <w:snapToGrid w:val="0"/>
        <w:spacing w:line="640" w:lineRule="exact"/>
        <w:ind w:firstLine="420" w:firstLineChars="200"/>
        <w:jc w:val="left"/>
        <w:rPr>
          <w:rFonts w:hint="eastAsia"/>
        </w:rPr>
      </w:pPr>
      <w:r>
        <w:rPr>
          <w:rFonts w:hint="eastAsia" w:ascii="宋体" w:hAnsi="宋体" w:eastAsia="宋体" w:cs="宋体"/>
          <w:sz w:val="21"/>
          <w:szCs w:val="21"/>
        </w:rPr>
        <w:t>1.服务时间要求：</w:t>
      </w:r>
      <w:r>
        <w:rPr>
          <w:rFonts w:hint="eastAsia"/>
        </w:rPr>
        <w:t>自合同签订之日起至2025年</w:t>
      </w:r>
      <w:r>
        <w:rPr>
          <w:rFonts w:hint="eastAsia"/>
          <w:lang w:val="en-US" w:eastAsia="zh-CN"/>
        </w:rPr>
        <w:t>9</w:t>
      </w:r>
      <w:r>
        <w:rPr>
          <w:rFonts w:hint="eastAsia"/>
        </w:rPr>
        <w:t>月</w:t>
      </w:r>
      <w:r>
        <w:rPr>
          <w:rFonts w:hint="eastAsia"/>
          <w:lang w:val="en-US" w:eastAsia="zh-CN"/>
        </w:rPr>
        <w:t>14</w:t>
      </w:r>
      <w:r>
        <w:rPr>
          <w:rFonts w:hint="eastAsia"/>
        </w:rPr>
        <w:t>日</w:t>
      </w:r>
    </w:p>
    <w:p>
      <w:pPr>
        <w:snapToGrid w:val="0"/>
        <w:spacing w:line="64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2.服务方式：</w:t>
      </w:r>
      <w:r>
        <w:rPr>
          <w:rFonts w:hint="eastAsia" w:ascii="宋体" w:hAnsi="宋体" w:eastAsia="宋体" w:cs="宋体"/>
          <w:sz w:val="21"/>
          <w:szCs w:val="21"/>
          <w:lang w:val="en-US" w:eastAsia="zh-CN"/>
        </w:rPr>
        <w:t>驻场和</w:t>
      </w:r>
      <w:r>
        <w:rPr>
          <w:rFonts w:hint="eastAsia" w:ascii="宋体" w:hAnsi="宋体" w:eastAsia="宋体" w:cs="宋体"/>
          <w:sz w:val="21"/>
          <w:szCs w:val="21"/>
        </w:rPr>
        <w:t>非驻场</w:t>
      </w:r>
    </w:p>
    <w:p>
      <w:pPr>
        <w:snapToGrid w:val="0"/>
        <w:spacing w:line="640" w:lineRule="exact"/>
        <w:ind w:firstLine="420" w:firstLineChars="200"/>
        <w:jc w:val="left"/>
        <w:rPr>
          <w:rFonts w:hint="eastAsia" w:ascii="宋体" w:hAnsi="宋体" w:eastAsia="宋体" w:cs="宋体"/>
          <w:sz w:val="21"/>
          <w:szCs w:val="21"/>
          <w:lang w:val="en-US" w:eastAsia="zh-CN"/>
        </w:rPr>
      </w:pPr>
      <w:r>
        <w:rPr>
          <w:rFonts w:hint="eastAsia" w:ascii="宋体" w:hAnsi="宋体" w:eastAsia="宋体" w:cs="宋体"/>
          <w:sz w:val="21"/>
          <w:szCs w:val="21"/>
        </w:rPr>
        <w:t>3.服务内容：</w:t>
      </w:r>
      <w:r>
        <w:rPr>
          <w:rFonts w:hint="eastAsia" w:ascii="宋体" w:hAnsi="宋体" w:eastAsia="宋体" w:cs="宋体"/>
          <w:sz w:val="21"/>
          <w:szCs w:val="21"/>
          <w:lang w:val="en-US" w:eastAsia="zh-CN"/>
        </w:rPr>
        <w:t>数据迁移、重保服务、国产化系统替换、漏洞修补、软硬件匹配国产化服务。</w:t>
      </w:r>
    </w:p>
    <w:p>
      <w:pPr>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4.服务人员要求：</w:t>
      </w:r>
      <w:r>
        <w:rPr>
          <w:rFonts w:hint="eastAsia" w:ascii="宋体" w:hAnsi="宋体" w:eastAsia="宋体" w:cs="宋体"/>
          <w:sz w:val="21"/>
          <w:szCs w:val="21"/>
          <w:lang w:val="en-US" w:eastAsia="zh-CN"/>
        </w:rPr>
        <w:t>项目人员需具备PMP、CISP证书</w:t>
      </w:r>
    </w:p>
    <w:p>
      <w:pPr>
        <w:snapToGrid w:val="0"/>
        <w:spacing w:line="64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七、税收信息化项目开发和应用管理工作要求</w:t>
      </w:r>
    </w:p>
    <w:p>
      <w:pPr>
        <w:snapToGrid w:val="0"/>
        <w:spacing w:line="64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供应商在采购以及后续项目实施过程中，应严格遵守税务总局税收信息化项目开发和应用管理工作要求。对于因失信行为纳入《税务系统信息化服务商失信行为记录名单》的供应商，存在一般失信行为的，由采购人函告服务商；存在严重失信行为的，由采购人约谈服务商主要负责人；对于违反合同约定的，依据合同约定及政府采购有关规定，采购人可采取要求限期改正、在应付合同金额中扣除违约金、解除合同、拒绝参加税务系统政府采购活动等措施；对于存在影响恶劣的严重违法失信行为的，由采购人按规定推送财政部纳入政府采购严重违法失信行为记录名单。</w:t>
      </w:r>
    </w:p>
    <w:p>
      <w:pPr>
        <w:snapToGrid w:val="0"/>
        <w:spacing w:line="64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八、其他要求</w:t>
      </w:r>
    </w:p>
    <w:p>
      <w:pPr>
        <w:widowControl w:val="0"/>
        <w:snapToGrid w:val="0"/>
        <w:spacing w:line="64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项目保密要求</w:t>
      </w:r>
    </w:p>
    <w:p>
      <w:pPr>
        <w:widowControl w:val="0"/>
        <w:snapToGrid w:val="0"/>
        <w:spacing w:line="640" w:lineRule="exact"/>
        <w:ind w:firstLine="420" w:firstLineChars="200"/>
        <w:jc w:val="left"/>
        <w:rPr>
          <w:rFonts w:hint="eastAsia" w:ascii="宋体" w:hAnsi="宋体" w:eastAsia="宋体" w:cs="宋体"/>
          <w:sz w:val="21"/>
          <w:szCs w:val="21"/>
          <w:lang w:val="en-US"/>
        </w:rPr>
      </w:pPr>
      <w:r>
        <w:rPr>
          <w:rFonts w:hint="eastAsia" w:ascii="宋体" w:hAnsi="宋体" w:eastAsia="宋体" w:cs="宋体"/>
          <w:sz w:val="21"/>
          <w:szCs w:val="21"/>
        </w:rPr>
        <w:t>供应商应根据项目</w:t>
      </w:r>
      <w:r>
        <w:rPr>
          <w:rFonts w:hint="eastAsia" w:ascii="宋体" w:hAnsi="宋体" w:eastAsia="宋体" w:cs="宋体"/>
          <w:sz w:val="21"/>
          <w:szCs w:val="21"/>
          <w:lang w:val="en-US" w:eastAsia="zh-CN"/>
        </w:rPr>
        <w:t>做好</w:t>
      </w:r>
      <w:r>
        <w:rPr>
          <w:rFonts w:hint="eastAsia" w:ascii="宋体" w:hAnsi="宋体" w:eastAsia="宋体" w:cs="宋体"/>
          <w:sz w:val="21"/>
          <w:szCs w:val="21"/>
        </w:rPr>
        <w:t>安全保密措施，内容包括但不限于系统安全、数据安全、人员安全、内容</w:t>
      </w:r>
      <w:r>
        <w:rPr>
          <w:rFonts w:hint="eastAsia" w:ascii="宋体" w:hAnsi="宋体" w:eastAsia="宋体" w:cs="宋体"/>
          <w:sz w:val="21"/>
          <w:szCs w:val="21"/>
          <w:lang w:val="en-US" w:eastAsia="zh-CN"/>
        </w:rPr>
        <w:t>安全等安全保密工作。</w:t>
      </w:r>
    </w:p>
    <w:p>
      <w:pPr>
        <w:rPr>
          <w:rFonts w:hint="eastAsia" w:ascii="宋体" w:hAnsi="宋体" w:eastAsia="宋体" w:cs="宋体"/>
          <w:color w:val="auto"/>
          <w:kern w:val="2"/>
          <w:sz w:val="21"/>
          <w:szCs w:val="21"/>
          <w:highlight w:val="none"/>
          <w:lang w:val="en-US" w:eastAsia="zh-CN" w:bidi="ar-SA"/>
        </w:rPr>
      </w:pPr>
    </w:p>
    <w:p>
      <w:pPr>
        <w:pStyle w:val="31"/>
        <w:rPr>
          <w:rFonts w:hint="eastAsia"/>
          <w:lang w:val="en-US" w:eastAsia="zh-CN"/>
        </w:rPr>
      </w:pPr>
    </w:p>
    <w:p>
      <w:pPr>
        <w:pStyle w:val="31"/>
        <w:rPr>
          <w:rFonts w:hint="eastAsia"/>
          <w:lang w:val="en-US" w:eastAsia="zh-CN"/>
        </w:rPr>
      </w:pPr>
    </w:p>
    <w:p>
      <w:pPr>
        <w:pStyle w:val="31"/>
        <w:rPr>
          <w:rFonts w:hint="eastAsia"/>
          <w:lang w:val="en-US" w:eastAsia="zh-CN"/>
        </w:rPr>
      </w:pPr>
    </w:p>
    <w:p>
      <w:pPr>
        <w:pStyle w:val="31"/>
        <w:rPr>
          <w:rFonts w:hint="eastAsia"/>
          <w:lang w:val="en-US" w:eastAsia="zh-CN"/>
        </w:rPr>
      </w:pPr>
    </w:p>
    <w:p>
      <w:pPr>
        <w:pStyle w:val="22"/>
        <w:jc w:val="left"/>
        <w:rPr>
          <w:rFonts w:hint="eastAsia" w:ascii="宋体" w:hAnsi="宋体" w:eastAsia="宋体" w:cs="宋体"/>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pPr>
        <w:spacing w:before="200" w:after="200"/>
        <w:jc w:val="center"/>
        <w:outlineLvl w:val="0"/>
        <w:rPr>
          <w:rFonts w:hint="eastAsia" w:ascii="宋体" w:hAnsi="宋体" w:eastAsia="宋体" w:cs="宋体"/>
          <w:color w:val="auto"/>
          <w:highlight w:val="none"/>
        </w:rPr>
      </w:pPr>
      <w:bookmarkStart w:id="114" w:name="_Toc17739"/>
      <w:r>
        <w:rPr>
          <w:rStyle w:val="36"/>
          <w:rFonts w:hint="eastAsia" w:ascii="宋体" w:hAnsi="宋体" w:eastAsia="宋体" w:cs="宋体"/>
          <w:color w:val="auto"/>
          <w:highlight w:val="none"/>
        </w:rPr>
        <w:t>第四章 评标方法</w:t>
      </w:r>
      <w:bookmarkEnd w:id="112"/>
      <w:bookmarkEnd w:id="113"/>
      <w:bookmarkEnd w:id="114"/>
    </w:p>
    <w:p>
      <w:pPr>
        <w:adjustRightInd w:val="0"/>
        <w:snapToGrid w:val="0"/>
        <w:ind w:firstLine="422" w:firstLineChars="200"/>
        <w:rPr>
          <w:rFonts w:hint="eastAsia" w:ascii="宋体" w:hAnsi="宋体" w:eastAsia="宋体" w:cs="宋体"/>
          <w:b/>
          <w:color w:val="auto"/>
          <w:kern w:val="0"/>
          <w:highlight w:val="none"/>
        </w:rPr>
      </w:pPr>
      <w:bookmarkStart w:id="115" w:name="_Toc22313_WPSOffice_Level2"/>
      <w:r>
        <w:rPr>
          <w:rFonts w:hint="eastAsia" w:ascii="宋体" w:hAnsi="宋体" w:eastAsia="宋体" w:cs="宋体"/>
          <w:b/>
          <w:color w:val="auto"/>
          <w:kern w:val="0"/>
          <w:highlight w:val="none"/>
        </w:rPr>
        <w:t>一、评标方法</w:t>
      </w:r>
      <w:bookmarkEnd w:id="115"/>
    </w:p>
    <w:p>
      <w:pPr>
        <w:adjustRightInd w:val="0"/>
        <w:snapToGrid w:val="0"/>
        <w:ind w:firstLine="420" w:firstLineChars="200"/>
        <w:textAlignment w:val="baseline"/>
        <w:rPr>
          <w:rFonts w:hint="eastAsia" w:ascii="宋体" w:hAnsi="宋体" w:eastAsia="宋体" w:cs="宋体"/>
          <w:color w:val="auto"/>
          <w:highlight w:val="none"/>
        </w:rPr>
      </w:pPr>
      <w:bookmarkStart w:id="116" w:name="_Toc21368_WPSOffice_Level2"/>
      <w:r>
        <w:rPr>
          <w:rFonts w:hint="eastAsia" w:ascii="宋体" w:hAnsi="宋体" w:eastAsia="宋体" w:cs="宋体"/>
          <w:color w:val="auto"/>
          <w:highlight w:val="none"/>
        </w:rPr>
        <w:t>本项目将按照招标文件第一章 供应商须知的相关要求及本章的规定评标。</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16"/>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pPr>
        <w:numPr>
          <w:ilvl w:val="0"/>
          <w:numId w:val="9"/>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pPr>
        <w:numPr>
          <w:ilvl w:val="0"/>
          <w:numId w:val="9"/>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pPr>
        <w:numPr>
          <w:ilvl w:val="0"/>
          <w:numId w:val="9"/>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pPr>
        <w:numPr>
          <w:ilvl w:val="0"/>
          <w:numId w:val="10"/>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pPr>
        <w:numPr>
          <w:ilvl w:val="0"/>
          <w:numId w:val="10"/>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pPr>
        <w:adjustRightInd w:val="0"/>
        <w:snapToGrid w:val="0"/>
        <w:ind w:firstLine="422" w:firstLineChars="200"/>
        <w:rPr>
          <w:rFonts w:hint="eastAsia" w:ascii="宋体" w:hAnsi="宋体" w:eastAsia="宋体" w:cs="宋体"/>
          <w:b/>
          <w:color w:val="auto"/>
          <w:kern w:val="0"/>
          <w:highlight w:val="none"/>
        </w:rPr>
      </w:pPr>
      <w:bookmarkStart w:id="117"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17"/>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pPr>
        <w:pStyle w:val="6"/>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18" w:name="_Toc32318_WPSOffice_Level2"/>
      <w:r>
        <w:rPr>
          <w:rStyle w:val="38"/>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pPr>
        <w:pStyle w:val="6"/>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18"/>
    </w:p>
    <w:tbl>
      <w:tblPr>
        <w:tblStyle w:val="2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0"/>
        <w:gridCol w:w="3647"/>
        <w:gridCol w:w="1964"/>
        <w:gridCol w:w="695"/>
        <w:gridCol w:w="886"/>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294" w:type="pct"/>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2142" w:type="pct"/>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152" w:type="pct"/>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1410" w:type="pct"/>
            <w:gridSpan w:val="3"/>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4" w:hRule="atLeast"/>
        </w:trPr>
        <w:tc>
          <w:tcPr>
            <w:tcW w:w="294" w:type="pct"/>
            <w:vMerge w:val="continue"/>
            <w:vAlign w:val="center"/>
          </w:tcPr>
          <w:p>
            <w:pPr>
              <w:spacing w:line="300" w:lineRule="exact"/>
              <w:rPr>
                <w:rFonts w:hint="eastAsia" w:ascii="宋体" w:hAnsi="宋体" w:eastAsia="宋体" w:cs="宋体"/>
                <w:color w:val="auto"/>
                <w:highlight w:val="none"/>
              </w:rPr>
            </w:pPr>
          </w:p>
        </w:tc>
        <w:tc>
          <w:tcPr>
            <w:tcW w:w="2142" w:type="pct"/>
            <w:vMerge w:val="continue"/>
            <w:vAlign w:val="center"/>
          </w:tcPr>
          <w:p>
            <w:pPr>
              <w:spacing w:line="300" w:lineRule="exact"/>
              <w:rPr>
                <w:rFonts w:hint="eastAsia" w:ascii="宋体" w:hAnsi="宋体" w:eastAsia="宋体" w:cs="宋体"/>
                <w:color w:val="auto"/>
                <w:highlight w:val="none"/>
              </w:rPr>
            </w:pPr>
          </w:p>
        </w:tc>
        <w:tc>
          <w:tcPr>
            <w:tcW w:w="1152" w:type="pct"/>
            <w:vMerge w:val="continue"/>
            <w:vAlign w:val="center"/>
          </w:tcPr>
          <w:p>
            <w:pPr>
              <w:spacing w:line="300" w:lineRule="exact"/>
              <w:rPr>
                <w:rFonts w:hint="eastAsia" w:ascii="宋体" w:hAnsi="宋体" w:eastAsia="宋体" w:cs="宋体"/>
                <w:color w:val="auto"/>
                <w:highlight w:val="none"/>
              </w:rPr>
            </w:pPr>
          </w:p>
        </w:tc>
        <w:tc>
          <w:tcPr>
            <w:tcW w:w="408" w:type="pct"/>
            <w:vAlign w:val="center"/>
          </w:tcPr>
          <w:p>
            <w:pPr>
              <w:spacing w:line="300" w:lineRule="exact"/>
              <w:rPr>
                <w:rFonts w:hint="eastAsia" w:ascii="宋体" w:hAnsi="宋体" w:eastAsia="宋体" w:cs="宋体"/>
                <w:color w:val="auto"/>
                <w:highlight w:val="none"/>
              </w:rPr>
            </w:pPr>
          </w:p>
        </w:tc>
        <w:tc>
          <w:tcPr>
            <w:tcW w:w="520" w:type="pct"/>
            <w:vAlign w:val="center"/>
          </w:tcPr>
          <w:p>
            <w:pPr>
              <w:spacing w:line="300" w:lineRule="exact"/>
              <w:rPr>
                <w:rFonts w:hint="eastAsia" w:ascii="宋体" w:hAnsi="宋体" w:eastAsia="宋体" w:cs="宋体"/>
                <w:color w:val="auto"/>
                <w:highlight w:val="none"/>
              </w:rPr>
            </w:pPr>
          </w:p>
        </w:tc>
        <w:tc>
          <w:tcPr>
            <w:tcW w:w="482" w:type="pct"/>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15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vAlign w:val="center"/>
          </w:tcPr>
          <w:p>
            <w:pPr>
              <w:spacing w:line="300" w:lineRule="exact"/>
              <w:rPr>
                <w:rFonts w:hint="eastAsia" w:ascii="宋体" w:hAnsi="宋体" w:eastAsia="宋体" w:cs="宋体"/>
                <w:color w:val="auto"/>
                <w:highlight w:val="none"/>
              </w:rPr>
            </w:pPr>
          </w:p>
        </w:tc>
        <w:tc>
          <w:tcPr>
            <w:tcW w:w="520" w:type="pct"/>
            <w:vAlign w:val="center"/>
          </w:tcPr>
          <w:p>
            <w:pPr>
              <w:spacing w:line="300" w:lineRule="exact"/>
              <w:rPr>
                <w:rFonts w:hint="eastAsia" w:ascii="宋体" w:hAnsi="宋体" w:eastAsia="宋体" w:cs="宋体"/>
                <w:color w:val="auto"/>
                <w:highlight w:val="none"/>
              </w:rPr>
            </w:pPr>
          </w:p>
        </w:tc>
        <w:tc>
          <w:tcPr>
            <w:tcW w:w="482" w:type="pct"/>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152" w:type="pct"/>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152" w:type="pct"/>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15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15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15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152" w:type="pct"/>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152" w:type="pct"/>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15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152" w:type="pct"/>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3589" w:type="pct"/>
            <w:gridSpan w:val="3"/>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keepNext/>
        <w:keepLines/>
        <w:adjustRightInd w:val="0"/>
        <w:snapToGrid w:val="0"/>
        <w:jc w:val="left"/>
        <w:rPr>
          <w:rFonts w:hint="eastAsia" w:ascii="宋体" w:hAnsi="宋体" w:eastAsia="宋体" w:cs="宋体"/>
          <w:b/>
          <w:color w:val="auto"/>
          <w:highlight w:val="none"/>
        </w:rPr>
      </w:pPr>
    </w:p>
    <w:p>
      <w:pPr>
        <w:pStyle w:val="4"/>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19" w:name="_Toc11558_WPSOffice_Level2"/>
      <w:r>
        <w:rPr>
          <w:rStyle w:val="38"/>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pPr>
        <w:pStyle w:val="4"/>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7"/>
          <w:rFonts w:hint="eastAsia" w:ascii="宋体" w:hAnsi="宋体" w:eastAsia="宋体" w:cs="宋体"/>
          <w:color w:val="auto"/>
          <w:highlight w:val="none"/>
        </w:rPr>
        <w:t xml:space="preserve"> 符合性审查表</w:t>
      </w:r>
      <w:bookmarkEnd w:id="119"/>
    </w:p>
    <w:tbl>
      <w:tblPr>
        <w:tblStyle w:val="2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5"/>
        <w:gridCol w:w="2258"/>
        <w:gridCol w:w="2755"/>
        <w:gridCol w:w="995"/>
        <w:gridCol w:w="969"/>
        <w:gridCol w:w="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373" w:type="pct"/>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326" w:type="pct"/>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1617" w:type="pct"/>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1682" w:type="pct"/>
            <w:gridSpan w:val="3"/>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8" w:hRule="atLeast"/>
        </w:trPr>
        <w:tc>
          <w:tcPr>
            <w:tcW w:w="373" w:type="pct"/>
            <w:vMerge w:val="continue"/>
            <w:vAlign w:val="center"/>
          </w:tcPr>
          <w:p>
            <w:pPr>
              <w:spacing w:line="300" w:lineRule="exact"/>
              <w:jc w:val="center"/>
              <w:rPr>
                <w:rFonts w:hint="eastAsia" w:ascii="宋体" w:hAnsi="宋体" w:eastAsia="宋体" w:cs="宋体"/>
                <w:color w:val="auto"/>
                <w:highlight w:val="none"/>
              </w:rPr>
            </w:pPr>
          </w:p>
        </w:tc>
        <w:tc>
          <w:tcPr>
            <w:tcW w:w="1326" w:type="pct"/>
            <w:vMerge w:val="continue"/>
            <w:vAlign w:val="center"/>
          </w:tcPr>
          <w:p>
            <w:pPr>
              <w:spacing w:line="300" w:lineRule="exact"/>
              <w:rPr>
                <w:rFonts w:hint="eastAsia" w:ascii="宋体" w:hAnsi="宋体" w:eastAsia="宋体" w:cs="宋体"/>
                <w:color w:val="auto"/>
                <w:highlight w:val="none"/>
              </w:rPr>
            </w:pPr>
          </w:p>
        </w:tc>
        <w:tc>
          <w:tcPr>
            <w:tcW w:w="1617" w:type="pct"/>
            <w:vMerge w:val="continue"/>
            <w:vAlign w:val="center"/>
          </w:tcPr>
          <w:p>
            <w:pPr>
              <w:spacing w:line="300" w:lineRule="exact"/>
              <w:rPr>
                <w:rFonts w:hint="eastAsia" w:ascii="宋体" w:hAnsi="宋体" w:eastAsia="宋体" w:cs="宋体"/>
                <w:color w:val="auto"/>
                <w:highlight w:val="none"/>
              </w:rPr>
            </w:pPr>
          </w:p>
        </w:tc>
        <w:tc>
          <w:tcPr>
            <w:tcW w:w="584" w:type="pct"/>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617" w:type="pct"/>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1617" w:type="pct"/>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584"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617" w:type="pct"/>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1617" w:type="pct"/>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617" w:type="pct"/>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617" w:type="pct"/>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617" w:type="pct"/>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584"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1617" w:type="pct"/>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584"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3317" w:type="pct"/>
            <w:gridSpan w:val="3"/>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584"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pStyle w:val="4"/>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pPr>
        <w:pStyle w:val="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pPr>
        <w:pStyle w:val="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6"/>
        <w:adjustRightInd w:val="0"/>
        <w:snapToGrid w:val="0"/>
        <w:spacing w:before="0" w:after="0" w:line="240" w:lineRule="auto"/>
        <w:jc w:val="left"/>
        <w:rPr>
          <w:rFonts w:hint="eastAsia" w:ascii="宋体" w:hAnsi="宋体" w:eastAsia="宋体" w:cs="宋体"/>
          <w:color w:val="auto"/>
          <w:highlight w:val="none"/>
        </w:rPr>
      </w:pPr>
      <w:bookmarkStart w:id="120" w:name="_Toc17433_WPSOffice_Level2"/>
      <w:r>
        <w:rPr>
          <w:rStyle w:val="38"/>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p>
      <w:pPr>
        <w:pStyle w:val="6"/>
        <w:spacing w:before="0" w:after="0"/>
        <w:rPr>
          <w:rFonts w:hint="eastAsia" w:ascii="宋体" w:hAnsi="宋体" w:eastAsia="宋体" w:cs="宋体"/>
          <w:color w:val="auto"/>
          <w:highlight w:val="none"/>
          <w:lang w:eastAsia="zh-CN"/>
        </w:rPr>
      </w:pPr>
      <w:r>
        <w:rPr>
          <w:rFonts w:hint="eastAsia" w:ascii="宋体" w:hAnsi="宋体" w:eastAsia="宋体" w:cs="宋体"/>
          <w:color w:val="auto"/>
          <w:highlight w:val="none"/>
        </w:rPr>
        <w:t>评分细则</w:t>
      </w:r>
      <w:bookmarkEnd w:id="120"/>
    </w:p>
    <w:tbl>
      <w:tblPr>
        <w:tblStyle w:val="2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1"/>
        <w:gridCol w:w="861"/>
        <w:gridCol w:w="714"/>
        <w:gridCol w:w="462"/>
        <w:gridCol w:w="61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序号</w:t>
            </w: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评分项目</w:t>
            </w: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项目描述</w:t>
            </w: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分值</w:t>
            </w: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3" w:hRule="atLeast"/>
        </w:trPr>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1</w:t>
            </w: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lang w:eastAsia="zh-CN"/>
              </w:rPr>
              <w:t>投标</w:t>
            </w:r>
            <w:r>
              <w:rPr>
                <w:rFonts w:hint="eastAsia" w:ascii="宋体" w:hAnsi="宋体" w:eastAsia="宋体" w:cs="宋体"/>
                <w:snapToGrid/>
                <w:kern w:val="2"/>
                <w:sz w:val="21"/>
                <w:szCs w:val="24"/>
              </w:rPr>
              <w:t>报价（</w:t>
            </w:r>
            <w:r>
              <w:rPr>
                <w:rFonts w:hint="eastAsia" w:ascii="宋体" w:hAnsi="宋体" w:cs="宋体"/>
                <w:snapToGrid/>
                <w:kern w:val="2"/>
                <w:sz w:val="21"/>
                <w:szCs w:val="24"/>
                <w:lang w:val="en-US" w:eastAsia="zh-CN"/>
              </w:rPr>
              <w:t>20</w:t>
            </w:r>
            <w:r>
              <w:rPr>
                <w:rFonts w:hint="eastAsia" w:ascii="宋体" w:hAnsi="宋体" w:eastAsia="宋体" w:cs="宋体"/>
                <w:snapToGrid/>
                <w:kern w:val="2"/>
                <w:sz w:val="21"/>
                <w:szCs w:val="24"/>
              </w:rPr>
              <w:t>分）</w:t>
            </w: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报价得分</w:t>
            </w: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eastAsia="宋体" w:cs="宋体"/>
                <w:snapToGrid/>
                <w:kern w:val="2"/>
                <w:sz w:val="21"/>
                <w:szCs w:val="24"/>
                <w:lang w:val="en-US" w:eastAsia="zh-CN"/>
              </w:rPr>
            </w:pPr>
            <w:r>
              <w:rPr>
                <w:rFonts w:hint="eastAsia" w:ascii="宋体" w:hAnsi="宋体" w:cs="宋体"/>
                <w:snapToGrid/>
                <w:kern w:val="2"/>
                <w:sz w:val="21"/>
                <w:szCs w:val="24"/>
                <w:lang w:val="en-US" w:eastAsia="zh-CN"/>
              </w:rPr>
              <w:t>20</w:t>
            </w:r>
          </w:p>
        </w:tc>
        <w:tc>
          <w:tcPr>
            <w:tcW w:w="0" w:type="auto"/>
            <w:noWrap w:val="0"/>
            <w:vAlign w:val="center"/>
          </w:tcPr>
          <w:p>
            <w:pPr>
              <w:keepNext w:val="0"/>
              <w:keepLines w:val="0"/>
              <w:pageBreakBefore w:val="0"/>
              <w:kinsoku/>
              <w:wordWrap/>
              <w:overflowPunct/>
              <w:topLinePunct w:val="0"/>
              <w:bidi w:val="0"/>
              <w:spacing w:line="240" w:lineRule="auto"/>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采用低价优先法计算，即满足</w:t>
            </w:r>
            <w:r>
              <w:rPr>
                <w:rFonts w:hint="eastAsia" w:ascii="宋体" w:hAnsi="宋体" w:eastAsia="宋体" w:cs="宋体"/>
                <w:snapToGrid/>
                <w:color w:val="auto"/>
                <w:kern w:val="2"/>
                <w:sz w:val="21"/>
                <w:szCs w:val="24"/>
                <w:lang w:eastAsia="zh-CN"/>
              </w:rPr>
              <w:t>招标</w:t>
            </w:r>
            <w:r>
              <w:rPr>
                <w:rFonts w:hint="eastAsia" w:ascii="宋体" w:hAnsi="宋体" w:eastAsia="宋体" w:cs="宋体"/>
                <w:snapToGrid/>
                <w:color w:val="auto"/>
                <w:kern w:val="2"/>
                <w:sz w:val="21"/>
                <w:szCs w:val="24"/>
              </w:rPr>
              <w:t>文件要求且</w:t>
            </w:r>
            <w:r>
              <w:rPr>
                <w:rFonts w:hint="eastAsia" w:ascii="宋体" w:hAnsi="宋体" w:eastAsia="宋体" w:cs="宋体"/>
                <w:snapToGrid/>
                <w:color w:val="auto"/>
                <w:kern w:val="2"/>
                <w:sz w:val="21"/>
                <w:szCs w:val="24"/>
                <w:lang w:eastAsia="zh-CN"/>
              </w:rPr>
              <w:t>投标</w:t>
            </w:r>
            <w:r>
              <w:rPr>
                <w:rFonts w:hint="eastAsia" w:ascii="宋体" w:hAnsi="宋体" w:eastAsia="宋体" w:cs="宋体"/>
                <w:snapToGrid/>
                <w:color w:val="auto"/>
                <w:kern w:val="2"/>
                <w:sz w:val="21"/>
                <w:szCs w:val="24"/>
              </w:rPr>
              <w:t>报价最低的报价为评</w:t>
            </w:r>
            <w:r>
              <w:rPr>
                <w:rFonts w:hint="eastAsia" w:ascii="宋体" w:hAnsi="宋体" w:eastAsia="宋体" w:cs="宋体"/>
                <w:snapToGrid/>
                <w:color w:val="auto"/>
                <w:kern w:val="2"/>
                <w:sz w:val="21"/>
                <w:szCs w:val="24"/>
                <w:lang w:eastAsia="zh-CN"/>
              </w:rPr>
              <w:t>标</w:t>
            </w:r>
            <w:r>
              <w:rPr>
                <w:rFonts w:hint="eastAsia" w:ascii="宋体" w:hAnsi="宋体" w:eastAsia="宋体" w:cs="宋体"/>
                <w:snapToGrid/>
                <w:color w:val="auto"/>
                <w:kern w:val="2"/>
                <w:sz w:val="21"/>
                <w:szCs w:val="24"/>
              </w:rPr>
              <w:t>基准价，其价格分为满分，其他供应商的价格分统一按照下列公式计算：</w:t>
            </w:r>
            <w:r>
              <w:rPr>
                <w:rFonts w:hint="eastAsia" w:ascii="宋体" w:hAnsi="宋体" w:eastAsia="宋体" w:cs="宋体"/>
                <w:snapToGrid/>
                <w:color w:val="auto"/>
                <w:kern w:val="2"/>
                <w:sz w:val="21"/>
                <w:szCs w:val="24"/>
                <w:lang w:eastAsia="zh-CN"/>
              </w:rPr>
              <w:t>投标</w:t>
            </w:r>
            <w:r>
              <w:rPr>
                <w:rFonts w:hint="eastAsia" w:ascii="宋体" w:hAnsi="宋体" w:eastAsia="宋体" w:cs="宋体"/>
                <w:snapToGrid/>
                <w:color w:val="auto"/>
                <w:kern w:val="2"/>
                <w:sz w:val="21"/>
                <w:szCs w:val="24"/>
              </w:rPr>
              <w:t>报价得分=（评</w:t>
            </w:r>
            <w:r>
              <w:rPr>
                <w:rFonts w:hint="eastAsia" w:ascii="宋体" w:hAnsi="宋体" w:eastAsia="宋体" w:cs="宋体"/>
                <w:snapToGrid/>
                <w:color w:val="auto"/>
                <w:kern w:val="2"/>
                <w:sz w:val="21"/>
                <w:szCs w:val="24"/>
                <w:lang w:eastAsia="zh-CN"/>
              </w:rPr>
              <w:t>标</w:t>
            </w:r>
            <w:r>
              <w:rPr>
                <w:rFonts w:hint="eastAsia" w:ascii="宋体" w:hAnsi="宋体" w:eastAsia="宋体" w:cs="宋体"/>
                <w:snapToGrid/>
                <w:color w:val="auto"/>
                <w:kern w:val="2"/>
                <w:sz w:val="21"/>
                <w:szCs w:val="24"/>
              </w:rPr>
              <w:t>基准价/评</w:t>
            </w:r>
            <w:r>
              <w:rPr>
                <w:rFonts w:hint="eastAsia" w:ascii="宋体" w:hAnsi="宋体" w:eastAsia="宋体" w:cs="宋体"/>
                <w:snapToGrid/>
                <w:color w:val="auto"/>
                <w:kern w:val="2"/>
                <w:sz w:val="21"/>
                <w:szCs w:val="24"/>
                <w:lang w:eastAsia="zh-CN"/>
              </w:rPr>
              <w:t>标</w:t>
            </w:r>
            <w:r>
              <w:rPr>
                <w:rFonts w:hint="eastAsia" w:ascii="宋体" w:hAnsi="宋体" w:eastAsia="宋体" w:cs="宋体"/>
                <w:snapToGrid/>
                <w:color w:val="auto"/>
                <w:kern w:val="2"/>
                <w:sz w:val="21"/>
                <w:szCs w:val="24"/>
              </w:rPr>
              <w:t>价）×价格权值×100</w:t>
            </w:r>
          </w:p>
          <w:p>
            <w:pPr>
              <w:keepNext w:val="0"/>
              <w:keepLines w:val="0"/>
              <w:pageBreakBefore w:val="0"/>
              <w:kinsoku/>
              <w:wordWrap/>
              <w:overflowPunct/>
              <w:topLinePunct w:val="0"/>
              <w:bidi w:val="0"/>
              <w:spacing w:line="240" w:lineRule="auto"/>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4" w:hRule="atLeast"/>
        </w:trPr>
        <w:tc>
          <w:tcPr>
            <w:tcW w:w="0" w:type="auto"/>
            <w:vMerge w:val="restart"/>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2</w:t>
            </w:r>
          </w:p>
        </w:tc>
        <w:tc>
          <w:tcPr>
            <w:tcW w:w="0" w:type="auto"/>
            <w:vMerge w:val="restart"/>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商务部分</w:t>
            </w:r>
          </w:p>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w:t>
            </w:r>
            <w:r>
              <w:rPr>
                <w:rFonts w:hint="eastAsia" w:ascii="宋体" w:hAnsi="宋体" w:cs="宋体"/>
                <w:snapToGrid/>
                <w:color w:val="auto"/>
                <w:kern w:val="2"/>
                <w:sz w:val="21"/>
                <w:szCs w:val="24"/>
                <w:lang w:val="en-US" w:eastAsia="zh-CN"/>
              </w:rPr>
              <w:t>15</w:t>
            </w:r>
            <w:r>
              <w:rPr>
                <w:rFonts w:hint="eastAsia" w:ascii="宋体" w:hAnsi="宋体" w:eastAsia="宋体" w:cs="宋体"/>
                <w:snapToGrid/>
                <w:color w:val="auto"/>
                <w:kern w:val="2"/>
                <w:sz w:val="21"/>
                <w:szCs w:val="24"/>
              </w:rPr>
              <w:t>分）</w:t>
            </w:r>
          </w:p>
        </w:tc>
        <w:tc>
          <w:tcPr>
            <w:tcW w:w="0" w:type="auto"/>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售后服务承诺</w:t>
            </w:r>
          </w:p>
        </w:tc>
        <w:tc>
          <w:tcPr>
            <w:tcW w:w="0" w:type="auto"/>
            <w:noWrap w:val="0"/>
            <w:vAlign w:val="center"/>
          </w:tcPr>
          <w:p>
            <w:pPr>
              <w:keepNext w:val="0"/>
              <w:keepLines w:val="0"/>
              <w:pageBreakBefore w:val="0"/>
              <w:widowControl/>
              <w:kinsoku/>
              <w:wordWrap/>
              <w:overflowPunct/>
              <w:topLinePunct w:val="0"/>
              <w:bidi w:val="0"/>
              <w:spacing w:line="240" w:lineRule="auto"/>
              <w:jc w:val="center"/>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10</w:t>
            </w:r>
          </w:p>
        </w:tc>
        <w:tc>
          <w:tcPr>
            <w:tcW w:w="0" w:type="auto"/>
            <w:noWrap w:val="0"/>
            <w:vAlign w:val="center"/>
          </w:tcPr>
          <w:p>
            <w:pPr>
              <w:pStyle w:val="4"/>
              <w:keepNext w:val="0"/>
              <w:keepLines w:val="0"/>
              <w:pageBreakBefore w:val="0"/>
              <w:kinsoku/>
              <w:wordWrap/>
              <w:overflowPunct/>
              <w:topLinePunct w:val="0"/>
              <w:bidi w:val="0"/>
              <w:spacing w:before="0" w:beforeAutospacing="0" w:after="0" w:afterAutospacing="0" w:line="240" w:lineRule="auto"/>
              <w:jc w:val="both"/>
              <w:textAlignment w:val="auto"/>
              <w:rPr>
                <w:rFonts w:ascii="宋体" w:hAnsi="宋体" w:cs="宋体"/>
                <w:color w:val="auto"/>
                <w:kern w:val="2"/>
                <w:sz w:val="21"/>
              </w:rPr>
            </w:pPr>
            <w:r>
              <w:rPr>
                <w:rFonts w:hint="eastAsia" w:ascii="宋体" w:hAnsi="宋体" w:eastAsia="宋体" w:cs="宋体"/>
                <w:snapToGrid/>
                <w:color w:val="auto"/>
                <w:kern w:val="2"/>
                <w:sz w:val="21"/>
                <w:szCs w:val="24"/>
                <w:lang w:val="en-US" w:eastAsia="zh-CN" w:bidi="ar-SA"/>
              </w:rPr>
              <w:t>详细完整的服务响应时间（</w:t>
            </w:r>
            <w:r>
              <w:rPr>
                <w:rFonts w:hint="eastAsia" w:hAnsi="宋体" w:cs="宋体"/>
                <w:snapToGrid/>
                <w:color w:val="auto"/>
                <w:kern w:val="2"/>
                <w:sz w:val="21"/>
                <w:szCs w:val="24"/>
                <w:lang w:val="en-US" w:eastAsia="zh-CN" w:bidi="ar-SA"/>
              </w:rPr>
              <w:t>4</w:t>
            </w:r>
            <w:r>
              <w:rPr>
                <w:rFonts w:hint="eastAsia" w:ascii="宋体" w:hAnsi="宋体" w:eastAsia="宋体" w:cs="宋体"/>
                <w:snapToGrid/>
                <w:color w:val="auto"/>
                <w:kern w:val="2"/>
                <w:sz w:val="21"/>
                <w:szCs w:val="24"/>
                <w:lang w:val="en-US" w:eastAsia="zh-CN" w:bidi="ar-SA"/>
              </w:rPr>
              <w:t>分）、维护方案（</w:t>
            </w:r>
            <w:r>
              <w:rPr>
                <w:rFonts w:hint="eastAsia" w:hAnsi="宋体" w:cs="宋体"/>
                <w:snapToGrid/>
                <w:color w:val="auto"/>
                <w:kern w:val="2"/>
                <w:sz w:val="21"/>
                <w:szCs w:val="24"/>
                <w:lang w:val="en-US" w:eastAsia="zh-CN" w:bidi="ar-SA"/>
              </w:rPr>
              <w:t>6</w:t>
            </w:r>
            <w:r>
              <w:rPr>
                <w:rFonts w:hint="eastAsia" w:ascii="宋体" w:hAnsi="宋体" w:eastAsia="宋体" w:cs="宋体"/>
                <w:snapToGrid/>
                <w:color w:val="auto"/>
                <w:kern w:val="2"/>
                <w:sz w:val="21"/>
                <w:szCs w:val="24"/>
                <w:lang w:val="en-US" w:eastAsia="zh-CN" w:bidi="ar-SA"/>
              </w:rPr>
              <w:t>分），</w:t>
            </w:r>
            <w:r>
              <w:rPr>
                <w:rFonts w:hint="eastAsia" w:hAnsi="宋体" w:cs="宋体"/>
                <w:snapToGrid/>
                <w:color w:val="auto"/>
                <w:kern w:val="2"/>
                <w:sz w:val="21"/>
                <w:szCs w:val="24"/>
                <w:lang w:val="en-US" w:eastAsia="zh-CN" w:bidi="ar-SA"/>
              </w:rPr>
              <w:t>具备以上内容且无缺陷得对应分数，最多得10分。</w:t>
            </w:r>
            <w:r>
              <w:rPr>
                <w:rFonts w:hint="eastAsia" w:ascii="宋体" w:hAnsi="宋体" w:eastAsia="宋体" w:cs="宋体"/>
                <w:snapToGrid/>
                <w:color w:val="auto"/>
                <w:kern w:val="2"/>
                <w:sz w:val="21"/>
                <w:szCs w:val="24"/>
                <w:lang w:val="en-US" w:eastAsia="zh-CN" w:bidi="ar-SA"/>
              </w:rPr>
              <w:t>（提供</w:t>
            </w:r>
            <w:r>
              <w:rPr>
                <w:rFonts w:hint="eastAsia" w:hAnsi="宋体" w:cs="宋体"/>
                <w:snapToGrid/>
                <w:color w:val="auto"/>
                <w:kern w:val="2"/>
                <w:sz w:val="21"/>
                <w:szCs w:val="24"/>
                <w:lang w:val="en-US" w:eastAsia="zh-CN" w:bidi="ar-SA"/>
              </w:rPr>
              <w:t>包含以上内容的</w:t>
            </w:r>
            <w:r>
              <w:rPr>
                <w:rFonts w:hint="eastAsia" w:ascii="宋体" w:hAnsi="宋体" w:eastAsia="宋体" w:cs="宋体"/>
                <w:snapToGrid/>
                <w:color w:val="auto"/>
                <w:kern w:val="2"/>
                <w:sz w:val="21"/>
                <w:szCs w:val="24"/>
                <w:lang w:val="en-US" w:eastAsia="zh-CN" w:bidi="ar-SA"/>
              </w:rPr>
              <w:t>承诺书，格式自拟加盖公章装订在投标文件中）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1" w:hRule="atLeast"/>
        </w:trPr>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供应商类似项目业绩</w:t>
            </w: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5</w:t>
            </w:r>
          </w:p>
        </w:tc>
        <w:tc>
          <w:tcPr>
            <w:tcW w:w="0" w:type="auto"/>
            <w:noWrap w:val="0"/>
            <w:vAlign w:val="center"/>
          </w:tcPr>
          <w:p>
            <w:pPr>
              <w:keepNext w:val="0"/>
              <w:keepLines w:val="0"/>
              <w:pageBreakBefore w:val="0"/>
              <w:kinsoku/>
              <w:wordWrap/>
              <w:overflowPunct/>
              <w:topLinePunct w:val="0"/>
              <w:bidi w:val="0"/>
              <w:spacing w:line="240" w:lineRule="auto"/>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提供</w:t>
            </w:r>
            <w:r>
              <w:rPr>
                <w:rFonts w:hint="eastAsia" w:ascii="宋体" w:hAnsi="宋体" w:cs="宋体"/>
                <w:snapToGrid/>
                <w:color w:val="auto"/>
                <w:kern w:val="2"/>
                <w:sz w:val="21"/>
                <w:szCs w:val="24"/>
                <w:lang w:val="en-US" w:eastAsia="zh-CN"/>
              </w:rPr>
              <w:t>以往</w:t>
            </w:r>
            <w:r>
              <w:rPr>
                <w:rFonts w:hint="eastAsia" w:ascii="宋体" w:hAnsi="宋体" w:eastAsia="宋体" w:cs="宋体"/>
                <w:snapToGrid/>
                <w:color w:val="auto"/>
                <w:kern w:val="2"/>
                <w:sz w:val="21"/>
                <w:szCs w:val="24"/>
              </w:rPr>
              <w:t>供应商与本项目类似的运维项目合同</w:t>
            </w:r>
            <w:r>
              <w:rPr>
                <w:rFonts w:hint="eastAsia" w:ascii="宋体" w:hAnsi="宋体" w:cs="宋体"/>
                <w:snapToGrid/>
                <w:color w:val="auto"/>
                <w:kern w:val="2"/>
                <w:sz w:val="21"/>
                <w:szCs w:val="24"/>
                <w:lang w:val="en-US" w:eastAsia="zh-CN"/>
              </w:rPr>
              <w:t>的</w:t>
            </w:r>
            <w:r>
              <w:rPr>
                <w:rFonts w:hint="eastAsia" w:ascii="宋体" w:hAnsi="宋体" w:eastAsia="宋体" w:cs="宋体"/>
                <w:snapToGrid/>
                <w:color w:val="auto"/>
                <w:kern w:val="2"/>
                <w:sz w:val="21"/>
                <w:szCs w:val="24"/>
              </w:rPr>
              <w:t>，</w:t>
            </w:r>
            <w:r>
              <w:rPr>
                <w:rFonts w:hint="eastAsia" w:ascii="宋体" w:hAnsi="宋体" w:cs="宋体"/>
                <w:snapToGrid/>
                <w:color w:val="auto"/>
                <w:kern w:val="2"/>
                <w:sz w:val="21"/>
                <w:szCs w:val="24"/>
                <w:lang w:val="en-US" w:eastAsia="zh-CN"/>
              </w:rPr>
              <w:t>每个</w:t>
            </w:r>
            <w:r>
              <w:rPr>
                <w:rFonts w:hint="eastAsia" w:ascii="宋体" w:hAnsi="宋体" w:eastAsia="宋体" w:cs="宋体"/>
                <w:snapToGrid/>
                <w:color w:val="auto"/>
                <w:kern w:val="2"/>
                <w:sz w:val="21"/>
                <w:szCs w:val="24"/>
              </w:rPr>
              <w:t>得</w:t>
            </w:r>
            <w:r>
              <w:rPr>
                <w:rFonts w:hint="eastAsia" w:ascii="宋体" w:hAnsi="宋体" w:cs="宋体"/>
                <w:snapToGrid/>
                <w:color w:val="auto"/>
                <w:kern w:val="2"/>
                <w:sz w:val="21"/>
                <w:szCs w:val="24"/>
                <w:lang w:val="en-US" w:eastAsia="zh-CN"/>
              </w:rPr>
              <w:t>1</w:t>
            </w:r>
            <w:r>
              <w:rPr>
                <w:rFonts w:hint="eastAsia" w:ascii="宋体" w:hAnsi="宋体" w:eastAsia="宋体" w:cs="宋体"/>
                <w:snapToGrid/>
                <w:color w:val="auto"/>
                <w:kern w:val="2"/>
                <w:sz w:val="21"/>
                <w:szCs w:val="24"/>
              </w:rPr>
              <w:t>分</w:t>
            </w:r>
            <w:r>
              <w:rPr>
                <w:rFonts w:hint="eastAsia" w:ascii="宋体" w:hAnsi="宋体" w:cs="宋体"/>
                <w:snapToGrid/>
                <w:color w:val="auto"/>
                <w:kern w:val="2"/>
                <w:sz w:val="21"/>
                <w:szCs w:val="24"/>
                <w:lang w:eastAsia="zh-CN"/>
              </w:rPr>
              <w:t>，</w:t>
            </w:r>
            <w:r>
              <w:rPr>
                <w:rFonts w:hint="eastAsia" w:ascii="宋体" w:hAnsi="宋体" w:cs="宋体"/>
                <w:snapToGrid/>
                <w:color w:val="auto"/>
                <w:kern w:val="2"/>
                <w:sz w:val="21"/>
                <w:szCs w:val="24"/>
                <w:lang w:val="en-US" w:eastAsia="zh-CN"/>
              </w:rPr>
              <w:t>满分5分</w:t>
            </w:r>
            <w:r>
              <w:rPr>
                <w:rFonts w:hint="eastAsia" w:ascii="宋体" w:hAnsi="宋体" w:eastAsia="宋体" w:cs="宋体"/>
                <w:snapToGrid/>
                <w:color w:val="auto"/>
                <w:kern w:val="2"/>
                <w:sz w:val="21"/>
                <w:szCs w:val="24"/>
              </w:rPr>
              <w:t>。时间以签订合同时间为准。提供清晰的合同扫描件装订到投标文件中，否则不予计算。</w:t>
            </w:r>
            <w:r>
              <w:rPr>
                <w:rFonts w:hint="eastAsia" w:ascii="宋体" w:hAnsi="宋体" w:cs="宋体"/>
                <w:snapToGrid/>
                <w:color w:val="auto"/>
                <w:kern w:val="2"/>
                <w:sz w:val="21"/>
                <w:szCs w:val="24"/>
                <w:lang w:val="en-US" w:eastAsia="zh-CN"/>
              </w:rPr>
              <w:t>不提供不得分（</w:t>
            </w:r>
            <w:r>
              <w:rPr>
                <w:rFonts w:hint="eastAsia" w:ascii="宋体" w:hAnsi="宋体" w:eastAsia="宋体" w:cs="宋体"/>
                <w:snapToGrid/>
                <w:color w:val="auto"/>
                <w:kern w:val="2"/>
                <w:sz w:val="21"/>
                <w:szCs w:val="24"/>
              </w:rPr>
              <w:t>提供合同复印件</w:t>
            </w:r>
            <w:r>
              <w:rPr>
                <w:rFonts w:hint="eastAsia" w:ascii="宋体" w:hAnsi="宋体" w:cs="宋体"/>
                <w:snapToGrid/>
                <w:color w:val="auto"/>
                <w:kern w:val="2"/>
                <w:sz w:val="21"/>
                <w:szCs w:val="24"/>
                <w:lang w:eastAsia="zh-CN"/>
              </w:rPr>
              <w:t>，</w:t>
            </w:r>
            <w:r>
              <w:rPr>
                <w:rFonts w:hint="eastAsia" w:ascii="宋体" w:hAnsi="宋体" w:eastAsia="宋体" w:cs="宋体"/>
                <w:snapToGrid/>
                <w:color w:val="auto"/>
                <w:kern w:val="2"/>
                <w:sz w:val="21"/>
                <w:szCs w:val="24"/>
              </w:rPr>
              <w:t>格式自拟加盖公章装订在投标文件中</w:t>
            </w:r>
            <w:r>
              <w:rPr>
                <w:rFonts w:hint="eastAsia" w:ascii="宋体" w:hAnsi="宋体" w:cs="宋体"/>
                <w:snapToGrid/>
                <w:color w:val="auto"/>
                <w:kern w:val="2"/>
                <w:sz w:val="21"/>
                <w:szCs w:val="24"/>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atLeast"/>
        </w:trPr>
        <w:tc>
          <w:tcPr>
            <w:tcW w:w="0" w:type="auto"/>
            <w:vMerge w:val="restart"/>
            <w:noWrap w:val="0"/>
            <w:vAlign w:val="center"/>
          </w:tcPr>
          <w:p>
            <w:pPr>
              <w:bidi w:val="0"/>
              <w:jc w:val="center"/>
              <w:rPr>
                <w:rFonts w:hint="default"/>
                <w:lang w:val="en-US" w:eastAsia="zh-CN"/>
              </w:rPr>
            </w:pPr>
            <w:r>
              <w:rPr>
                <w:rFonts w:hint="eastAsia"/>
                <w:lang w:val="en-US" w:eastAsia="zh-CN"/>
              </w:rPr>
              <w:t>3</w:t>
            </w:r>
          </w:p>
        </w:tc>
        <w:tc>
          <w:tcPr>
            <w:tcW w:w="0" w:type="auto"/>
            <w:vMerge w:val="restart"/>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技术部分（65分）</w:t>
            </w: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hint="eastAsia"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eastAsia="zh-CN"/>
              </w:rPr>
              <w:t>项目理解</w:t>
            </w: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6</w:t>
            </w:r>
          </w:p>
        </w:tc>
        <w:tc>
          <w:tcPr>
            <w:tcW w:w="0" w:type="auto"/>
            <w:noWrap w:val="0"/>
            <w:vAlign w:val="center"/>
          </w:tcPr>
          <w:p>
            <w:pPr>
              <w:keepNext w:val="0"/>
              <w:keepLines w:val="0"/>
              <w:pageBreakBefore w:val="0"/>
              <w:kinsoku/>
              <w:wordWrap/>
              <w:overflowPunct/>
              <w:topLinePunct w:val="0"/>
              <w:bidi w:val="0"/>
              <w:spacing w:line="240" w:lineRule="auto"/>
              <w:textAlignment w:val="auto"/>
              <w:rPr>
                <w:rFonts w:hint="default" w:ascii="宋体" w:hAnsi="宋体" w:eastAsia="宋体" w:cs="宋体"/>
                <w:snapToGrid/>
                <w:color w:val="auto"/>
                <w:kern w:val="2"/>
                <w:sz w:val="21"/>
                <w:szCs w:val="24"/>
                <w:lang w:val="en-US" w:eastAsia="zh-CN"/>
              </w:rPr>
            </w:pPr>
            <w:r>
              <w:rPr>
                <w:rFonts w:hint="eastAsia" w:ascii="宋体" w:hAnsi="宋体" w:eastAsia="宋体" w:cs="宋体"/>
                <w:color w:val="auto"/>
                <w:sz w:val="21"/>
                <w:szCs w:val="21"/>
              </w:rPr>
              <w:t>根据供应商对本项目需求理解以及本项目难点、要点的理解程度进行打分，内容包括对本项目硬（软）件系统的业务知识和运行掌握情况、各项功能流程、数据来源和口径描述、工作现状、政策理解、法规库知识储备的掌握。以上内容每具备一项且与本项目相关得1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9" w:hRule="atLeast"/>
        </w:trPr>
        <w:tc>
          <w:tcPr>
            <w:tcW w:w="0" w:type="auto"/>
            <w:vMerge w:val="continue"/>
            <w:noWrap w:val="0"/>
            <w:vAlign w:val="center"/>
          </w:tcPr>
          <w:p>
            <w:pPr>
              <w:bidi w:val="0"/>
              <w:jc w:val="center"/>
              <w:rPr>
                <w:rFonts w:hint="default"/>
                <w:lang w:val="en-US" w:eastAsia="zh-CN"/>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eastAsia="宋体" w:cs="宋体"/>
                <w:snapToGrid/>
                <w:color w:val="auto"/>
                <w:kern w:val="2"/>
                <w:sz w:val="21"/>
                <w:szCs w:val="24"/>
                <w:lang w:val="en-US" w:eastAsia="zh-CN"/>
              </w:rPr>
            </w:pP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巡检</w:t>
            </w: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8</w:t>
            </w:r>
          </w:p>
        </w:tc>
        <w:tc>
          <w:tcPr>
            <w:tcW w:w="0" w:type="auto"/>
            <w:noWrap w:val="0"/>
            <w:vAlign w:val="center"/>
          </w:tcPr>
          <w:p>
            <w:pPr>
              <w:keepNext w:val="0"/>
              <w:keepLines w:val="0"/>
              <w:pageBreakBefore w:val="0"/>
              <w:kinsoku/>
              <w:wordWrap/>
              <w:overflowPunct/>
              <w:topLinePunct w:val="0"/>
              <w:bidi w:val="0"/>
              <w:spacing w:line="240" w:lineRule="auto"/>
              <w:textAlignment w:val="auto"/>
              <w:rPr>
                <w:rFonts w:hint="eastAsia" w:ascii="宋体" w:hAnsi="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1、供应商能</w:t>
            </w:r>
            <w:r>
              <w:rPr>
                <w:rFonts w:hint="default" w:ascii="宋体" w:hAnsi="宋体" w:eastAsia="宋体" w:cs="宋体"/>
                <w:snapToGrid/>
                <w:color w:val="auto"/>
                <w:kern w:val="2"/>
                <w:sz w:val="21"/>
                <w:szCs w:val="24"/>
                <w:lang w:val="en-US" w:eastAsia="zh-CN"/>
              </w:rPr>
              <w:t>制定详细完整的巡检计划</w:t>
            </w:r>
            <w:r>
              <w:rPr>
                <w:rFonts w:hint="eastAsia" w:ascii="宋体" w:hAnsi="宋体" w:cs="宋体"/>
                <w:snapToGrid/>
                <w:color w:val="auto"/>
                <w:kern w:val="2"/>
                <w:sz w:val="21"/>
                <w:szCs w:val="24"/>
                <w:lang w:val="en-US" w:eastAsia="zh-CN"/>
              </w:rPr>
              <w:t>且无缺陷，得3分。</w:t>
            </w:r>
          </w:p>
          <w:p>
            <w:pPr>
              <w:keepNext w:val="0"/>
              <w:keepLines w:val="0"/>
              <w:pageBreakBefore w:val="0"/>
              <w:kinsoku/>
              <w:wordWrap/>
              <w:overflowPunct/>
              <w:topLinePunct w:val="0"/>
              <w:bidi w:val="0"/>
              <w:spacing w:line="240" w:lineRule="auto"/>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2、供应商提供承诺书并包含以下内容，</w:t>
            </w:r>
            <w:r>
              <w:rPr>
                <w:rFonts w:hint="default" w:ascii="宋体" w:hAnsi="宋体" w:eastAsia="宋体" w:cs="宋体"/>
                <w:snapToGrid/>
                <w:color w:val="auto"/>
                <w:kern w:val="2"/>
                <w:sz w:val="21"/>
                <w:szCs w:val="24"/>
                <w:lang w:val="en-US" w:eastAsia="zh-CN"/>
              </w:rPr>
              <w:t>明确巡检人员</w:t>
            </w:r>
            <w:r>
              <w:rPr>
                <w:rFonts w:hint="eastAsia" w:ascii="宋体" w:hAnsi="宋体" w:cs="宋体"/>
                <w:snapToGrid/>
                <w:color w:val="auto"/>
                <w:kern w:val="2"/>
                <w:sz w:val="21"/>
                <w:szCs w:val="24"/>
                <w:lang w:val="en-US" w:eastAsia="zh-CN"/>
              </w:rPr>
              <w:t>、</w:t>
            </w:r>
            <w:r>
              <w:rPr>
                <w:rFonts w:hint="default" w:ascii="宋体" w:hAnsi="宋体" w:eastAsia="宋体" w:cs="宋体"/>
                <w:snapToGrid/>
                <w:color w:val="auto"/>
                <w:kern w:val="2"/>
                <w:sz w:val="21"/>
                <w:szCs w:val="24"/>
                <w:lang w:val="en-US" w:eastAsia="zh-CN"/>
              </w:rPr>
              <w:t>承诺将根据实际运行情况调整优化巡检计划</w:t>
            </w:r>
            <w:r>
              <w:rPr>
                <w:rFonts w:hint="eastAsia" w:ascii="宋体" w:hAnsi="宋体" w:cs="宋体"/>
                <w:snapToGrid/>
                <w:color w:val="auto"/>
                <w:kern w:val="2"/>
                <w:sz w:val="21"/>
                <w:szCs w:val="24"/>
                <w:lang w:val="en-US" w:eastAsia="zh-CN"/>
              </w:rPr>
              <w:t>、</w:t>
            </w:r>
            <w:r>
              <w:rPr>
                <w:rFonts w:hint="default" w:ascii="宋体" w:hAnsi="宋体" w:eastAsia="宋体" w:cs="宋体"/>
                <w:snapToGrid/>
                <w:color w:val="auto"/>
                <w:kern w:val="2"/>
                <w:sz w:val="21"/>
                <w:szCs w:val="24"/>
                <w:lang w:val="en-US" w:eastAsia="zh-CN"/>
              </w:rPr>
              <w:t>护网</w:t>
            </w:r>
            <w:r>
              <w:rPr>
                <w:rFonts w:hint="eastAsia" w:ascii="宋体" w:hAnsi="宋体" w:eastAsia="宋体" w:cs="宋体"/>
                <w:snapToGrid/>
                <w:color w:val="auto"/>
                <w:kern w:val="2"/>
                <w:sz w:val="21"/>
                <w:szCs w:val="24"/>
                <w:lang w:val="en-US" w:eastAsia="zh-CN"/>
              </w:rPr>
              <w:t>及重大保障日</w:t>
            </w:r>
            <w:r>
              <w:rPr>
                <w:rFonts w:hint="default" w:ascii="宋体" w:hAnsi="宋体" w:eastAsia="宋体" w:cs="宋体"/>
                <w:snapToGrid/>
                <w:color w:val="auto"/>
                <w:kern w:val="2"/>
                <w:sz w:val="21"/>
                <w:szCs w:val="24"/>
                <w:lang w:val="en-US" w:eastAsia="zh-CN"/>
              </w:rPr>
              <w:t>期间能提供</w:t>
            </w:r>
            <w:r>
              <w:rPr>
                <w:rFonts w:hint="eastAsia" w:ascii="宋体" w:hAnsi="宋体" w:eastAsia="宋体" w:cs="宋体"/>
                <w:snapToGrid/>
                <w:color w:val="auto"/>
                <w:kern w:val="2"/>
                <w:sz w:val="21"/>
                <w:szCs w:val="24"/>
                <w:lang w:val="en-US" w:eastAsia="zh-CN"/>
              </w:rPr>
              <w:t>现场3人</w:t>
            </w:r>
            <w:r>
              <w:rPr>
                <w:rFonts w:hint="default" w:ascii="宋体" w:hAnsi="宋体" w:eastAsia="宋体" w:cs="宋体"/>
                <w:snapToGrid/>
                <w:color w:val="auto"/>
                <w:kern w:val="2"/>
                <w:sz w:val="21"/>
                <w:szCs w:val="24"/>
                <w:lang w:val="en-US" w:eastAsia="zh-CN"/>
              </w:rPr>
              <w:t>7*24小</w:t>
            </w:r>
            <w:r>
              <w:rPr>
                <w:rFonts w:ascii="宋体" w:hAnsi="宋体" w:eastAsia="宋体" w:cs="宋体"/>
                <w:snapToGrid/>
                <w:color w:val="auto"/>
                <w:kern w:val="2"/>
                <w:sz w:val="21"/>
                <w:szCs w:val="24"/>
              </w:rPr>
              <w:t>时</w:t>
            </w:r>
            <w:r>
              <w:rPr>
                <w:rFonts w:hint="eastAsia" w:ascii="宋体" w:hAnsi="宋体" w:cs="宋体"/>
                <w:snapToGrid/>
                <w:color w:val="auto"/>
                <w:kern w:val="2"/>
                <w:sz w:val="21"/>
                <w:szCs w:val="24"/>
                <w:lang w:val="en-US" w:eastAsia="zh-CN"/>
              </w:rPr>
              <w:t>共60日、</w:t>
            </w:r>
            <w:r>
              <w:rPr>
                <w:rFonts w:ascii="宋体" w:hAnsi="宋体" w:eastAsia="宋体" w:cs="宋体"/>
                <w:snapToGrid/>
                <w:color w:val="auto"/>
                <w:kern w:val="2"/>
                <w:sz w:val="21"/>
                <w:szCs w:val="24"/>
              </w:rPr>
              <w:t>安全</w:t>
            </w:r>
            <w:r>
              <w:rPr>
                <w:rFonts w:hint="eastAsia" w:ascii="宋体" w:hAnsi="宋体" w:cs="宋体"/>
                <w:snapToGrid/>
                <w:color w:val="auto"/>
                <w:kern w:val="2"/>
                <w:sz w:val="21"/>
                <w:szCs w:val="24"/>
                <w:lang w:val="en-US" w:eastAsia="zh-CN"/>
              </w:rPr>
              <w:t>技术</w:t>
            </w:r>
            <w:r>
              <w:rPr>
                <w:rFonts w:ascii="宋体" w:hAnsi="宋体" w:eastAsia="宋体" w:cs="宋体"/>
                <w:snapToGrid/>
                <w:color w:val="auto"/>
                <w:kern w:val="2"/>
                <w:sz w:val="21"/>
                <w:szCs w:val="24"/>
              </w:rPr>
              <w:t>人员</w:t>
            </w:r>
            <w:r>
              <w:rPr>
                <w:rFonts w:hint="eastAsia" w:ascii="宋体" w:hAnsi="宋体" w:cs="宋体"/>
                <w:snapToGrid/>
                <w:color w:val="auto"/>
                <w:kern w:val="2"/>
                <w:sz w:val="21"/>
                <w:szCs w:val="24"/>
                <w:lang w:val="en-US" w:eastAsia="zh-CN"/>
              </w:rPr>
              <w:t>值守、</w:t>
            </w:r>
            <w:r>
              <w:rPr>
                <w:rFonts w:hint="eastAsia" w:ascii="宋体" w:hAnsi="宋体" w:cs="宋体"/>
                <w:b w:val="0"/>
                <w:bCs w:val="0"/>
                <w:snapToGrid/>
                <w:color w:val="auto"/>
                <w:kern w:val="2"/>
                <w:sz w:val="21"/>
                <w:szCs w:val="21"/>
                <w:lang w:val="en-US" w:eastAsia="zh-CN"/>
              </w:rPr>
              <w:t>非重大保障日需</w:t>
            </w:r>
            <w:r>
              <w:rPr>
                <w:rFonts w:hint="eastAsia" w:ascii="宋体" w:hAnsi="宋体" w:eastAsia="宋体" w:cs="宋体"/>
                <w:snapToGrid/>
                <w:color w:val="auto"/>
                <w:kern w:val="2"/>
                <w:sz w:val="21"/>
                <w:szCs w:val="24"/>
                <w:lang w:val="en-US" w:eastAsia="zh-CN"/>
              </w:rPr>
              <w:t>每周巡检一次（服务器、应用程序、数据库）状态</w:t>
            </w:r>
            <w:r>
              <w:rPr>
                <w:rFonts w:hint="eastAsia" w:ascii="宋体" w:hAnsi="宋体" w:cs="宋体"/>
                <w:snapToGrid/>
                <w:color w:val="auto"/>
                <w:kern w:val="2"/>
                <w:sz w:val="21"/>
                <w:szCs w:val="24"/>
                <w:lang w:val="en-US" w:eastAsia="zh-CN"/>
              </w:rPr>
              <w:t>，以上承诺内容每具备一项得1分，最多得5分。</w:t>
            </w:r>
            <w:r>
              <w:rPr>
                <w:rFonts w:hint="eastAsia" w:ascii="宋体" w:hAnsi="宋体" w:eastAsia="宋体" w:cs="宋体"/>
                <w:snapToGrid/>
                <w:color w:val="auto"/>
                <w:kern w:val="2"/>
                <w:sz w:val="21"/>
                <w:szCs w:val="24"/>
              </w:rPr>
              <w:t>（提供承诺书</w:t>
            </w:r>
            <w:r>
              <w:rPr>
                <w:rFonts w:hint="eastAsia" w:ascii="宋体" w:hAnsi="宋体" w:cs="宋体"/>
                <w:snapToGrid/>
                <w:color w:val="auto"/>
                <w:kern w:val="2"/>
                <w:sz w:val="21"/>
                <w:szCs w:val="24"/>
                <w:lang w:eastAsia="zh-CN"/>
              </w:rPr>
              <w:t>，</w:t>
            </w:r>
            <w:r>
              <w:rPr>
                <w:rFonts w:hint="eastAsia" w:ascii="宋体" w:hAnsi="宋体" w:eastAsia="宋体" w:cs="宋体"/>
                <w:snapToGrid/>
                <w:color w:val="auto"/>
                <w:kern w:val="2"/>
                <w:sz w:val="21"/>
                <w:szCs w:val="24"/>
              </w:rPr>
              <w:t>格式自拟加盖公章装订在投标文件中）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trPr>
        <w:tc>
          <w:tcPr>
            <w:tcW w:w="0" w:type="auto"/>
            <w:vMerge w:val="continue"/>
            <w:noWrap w:val="0"/>
            <w:vAlign w:val="center"/>
          </w:tcPr>
          <w:p>
            <w:pPr>
              <w:bidi w:val="0"/>
              <w:jc w:val="center"/>
              <w:rPr>
                <w:rFonts w:hint="default"/>
                <w:lang w:val="en-US" w:eastAsia="zh-CN"/>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eastAsia="宋体" w:cs="宋体"/>
                <w:snapToGrid/>
                <w:color w:val="auto"/>
                <w:kern w:val="2"/>
                <w:sz w:val="21"/>
                <w:szCs w:val="24"/>
                <w:lang w:val="en-US" w:eastAsia="zh-CN"/>
              </w:rPr>
            </w:pPr>
          </w:p>
        </w:tc>
        <w:tc>
          <w:tcPr>
            <w:tcW w:w="0" w:type="auto"/>
            <w:vMerge w:val="restart"/>
            <w:noWrap w:val="0"/>
            <w:vAlign w:val="center"/>
          </w:tcPr>
          <w:p>
            <w:pPr>
              <w:keepNext w:val="0"/>
              <w:keepLines w:val="0"/>
              <w:pageBreakBefore w:val="0"/>
              <w:kinsoku/>
              <w:wordWrap/>
              <w:overflowPunct/>
              <w:topLinePunct w:val="0"/>
              <w:bidi w:val="0"/>
              <w:spacing w:line="240" w:lineRule="auto"/>
              <w:jc w:val="center"/>
              <w:textAlignment w:val="auto"/>
              <w:rPr>
                <w:rFonts w:hint="eastAsia" w:ascii="宋体" w:hAnsi="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人员能力</w:t>
            </w: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cs="宋体"/>
                <w:snapToGrid/>
                <w:color w:val="C00000"/>
                <w:kern w:val="2"/>
                <w:sz w:val="21"/>
                <w:szCs w:val="24"/>
                <w:lang w:val="en-US" w:eastAsia="zh-CN"/>
              </w:rPr>
            </w:pPr>
            <w:r>
              <w:rPr>
                <w:rFonts w:hint="eastAsia" w:ascii="宋体" w:hAnsi="宋体" w:cs="宋体"/>
                <w:snapToGrid/>
                <w:color w:val="C00000"/>
                <w:kern w:val="2"/>
                <w:sz w:val="21"/>
                <w:szCs w:val="24"/>
                <w:lang w:val="en-US" w:eastAsia="zh-CN"/>
              </w:rPr>
              <w:t>2</w:t>
            </w:r>
          </w:p>
        </w:tc>
        <w:tc>
          <w:tcPr>
            <w:tcW w:w="0" w:type="auto"/>
            <w:noWrap w:val="0"/>
            <w:vAlign w:val="center"/>
          </w:tcPr>
          <w:p>
            <w:pPr>
              <w:keepNext w:val="0"/>
              <w:keepLines w:val="0"/>
              <w:pageBreakBefore w:val="0"/>
              <w:kinsoku/>
              <w:wordWrap/>
              <w:overflowPunct/>
              <w:topLinePunct w:val="0"/>
              <w:bidi w:val="0"/>
              <w:spacing w:line="240" w:lineRule="auto"/>
              <w:textAlignment w:val="auto"/>
              <w:rPr>
                <w:rFonts w:hint="eastAsia" w:ascii="宋体" w:hAnsi="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服务团队人员能提供pmp证书得1分，提供CISP证书得1分，最多得2分，不能提供</w:t>
            </w:r>
            <w:r>
              <w:rPr>
                <w:rFonts w:ascii="宋体" w:hAnsi="宋体" w:eastAsia="宋体" w:cs="宋体"/>
                <w:snapToGrid/>
                <w:color w:val="auto"/>
                <w:kern w:val="2"/>
                <w:sz w:val="21"/>
                <w:szCs w:val="24"/>
              </w:rPr>
              <w:t>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trPr>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hint="eastAsia" w:ascii="宋体" w:hAnsi="宋体" w:cs="宋体"/>
                <w:snapToGrid/>
                <w:color w:val="auto"/>
                <w:kern w:val="2"/>
                <w:sz w:val="21"/>
                <w:szCs w:val="24"/>
                <w:lang w:val="en-US" w:eastAsia="zh-CN"/>
              </w:rPr>
            </w:pP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2</w:t>
            </w:r>
          </w:p>
        </w:tc>
        <w:tc>
          <w:tcPr>
            <w:tcW w:w="0" w:type="auto"/>
            <w:noWrap w:val="0"/>
            <w:vAlign w:val="center"/>
          </w:tcPr>
          <w:p>
            <w:pPr>
              <w:keepNext w:val="0"/>
              <w:keepLines w:val="0"/>
              <w:pageBreakBefore w:val="0"/>
              <w:kinsoku/>
              <w:wordWrap/>
              <w:overflowPunct/>
              <w:topLinePunct w:val="0"/>
              <w:bidi w:val="0"/>
              <w:spacing w:line="240" w:lineRule="auto"/>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1"/>
                <w:lang w:val="en-US" w:eastAsia="zh-CN"/>
              </w:rPr>
              <w:t>提供专人现场服务</w:t>
            </w:r>
            <w:r>
              <w:rPr>
                <w:rFonts w:hint="eastAsia" w:ascii="宋体" w:hAnsi="宋体" w:cs="宋体"/>
                <w:snapToGrid/>
                <w:color w:val="auto"/>
                <w:kern w:val="2"/>
                <w:sz w:val="21"/>
                <w:szCs w:val="21"/>
                <w:lang w:val="en-US" w:eastAsia="zh-CN"/>
              </w:rPr>
              <w:t>，</w:t>
            </w:r>
            <w:r>
              <w:rPr>
                <w:rFonts w:hint="eastAsia" w:ascii="宋体" w:hAnsi="宋体" w:eastAsia="宋体" w:cs="宋体"/>
                <w:b w:val="0"/>
                <w:bCs w:val="0"/>
                <w:snapToGrid/>
                <w:color w:val="auto"/>
                <w:kern w:val="2"/>
                <w:sz w:val="21"/>
                <w:szCs w:val="21"/>
                <w:lang w:val="en-US" w:eastAsia="zh-CN"/>
              </w:rPr>
              <w:t>每2小时对服务器、中间件、数据库、应用程序日志分析服务并截图保存进行上报的，得2分，不能提供不得分。</w:t>
            </w:r>
            <w:r>
              <w:rPr>
                <w:rFonts w:hint="eastAsia" w:ascii="宋体" w:hAnsi="宋体" w:eastAsia="宋体" w:cs="宋体"/>
                <w:snapToGrid/>
                <w:color w:val="auto"/>
                <w:kern w:val="2"/>
                <w:sz w:val="21"/>
                <w:szCs w:val="24"/>
              </w:rPr>
              <w:t>（提供承诺书，格式自拟加盖公章装订在投标文件中）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trPr>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restart"/>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软件分析</w:t>
            </w: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8</w:t>
            </w:r>
          </w:p>
        </w:tc>
        <w:tc>
          <w:tcPr>
            <w:tcW w:w="0" w:type="auto"/>
            <w:noWrap w:val="0"/>
            <w:vAlign w:val="center"/>
          </w:tcPr>
          <w:p>
            <w:pPr>
              <w:keepNext w:val="0"/>
              <w:keepLines w:val="0"/>
              <w:pageBreakBefore w:val="0"/>
              <w:kinsoku/>
              <w:wordWrap/>
              <w:overflowPunct/>
              <w:topLinePunct w:val="0"/>
              <w:bidi w:val="0"/>
              <w:spacing w:line="240" w:lineRule="auto"/>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提供安全分析软件案例，分析项包含漏洞攻击列表、特殊字符访问、敏感目录访问、可疑文件访问。</w:t>
            </w:r>
            <w:r>
              <w:rPr>
                <w:rFonts w:hint="eastAsia" w:ascii="宋体" w:hAnsi="宋体" w:eastAsia="宋体" w:cs="宋体"/>
                <w:snapToGrid/>
                <w:color w:val="auto"/>
                <w:kern w:val="2"/>
                <w:sz w:val="21"/>
                <w:szCs w:val="24"/>
                <w:lang w:eastAsia="zh-CN"/>
              </w:rPr>
              <w:t>以上内容每具备一项且无缺陷的</w:t>
            </w:r>
            <w:r>
              <w:rPr>
                <w:rFonts w:hint="eastAsia" w:ascii="宋体" w:hAnsi="宋体" w:eastAsia="宋体" w:cs="宋体"/>
                <w:snapToGrid/>
                <w:color w:val="auto"/>
                <w:kern w:val="2"/>
                <w:sz w:val="21"/>
                <w:szCs w:val="24"/>
              </w:rPr>
              <w:t>得</w:t>
            </w:r>
            <w:r>
              <w:rPr>
                <w:rFonts w:hint="eastAsia" w:ascii="宋体" w:hAnsi="宋体" w:cs="宋体"/>
                <w:snapToGrid/>
                <w:color w:val="auto"/>
                <w:kern w:val="2"/>
                <w:sz w:val="21"/>
                <w:szCs w:val="24"/>
                <w:lang w:val="en-US" w:eastAsia="zh-CN"/>
              </w:rPr>
              <w:t>2</w:t>
            </w:r>
            <w:r>
              <w:rPr>
                <w:rFonts w:hint="eastAsia" w:ascii="宋体" w:hAnsi="宋体" w:eastAsia="宋体" w:cs="宋体"/>
                <w:snapToGrid/>
                <w:color w:val="auto"/>
                <w:kern w:val="2"/>
                <w:sz w:val="21"/>
                <w:szCs w:val="24"/>
              </w:rPr>
              <w:t>分，最多得</w:t>
            </w:r>
            <w:r>
              <w:rPr>
                <w:rFonts w:hint="eastAsia" w:ascii="宋体" w:hAnsi="宋体" w:cs="宋体"/>
                <w:snapToGrid/>
                <w:color w:val="auto"/>
                <w:kern w:val="2"/>
                <w:sz w:val="21"/>
                <w:szCs w:val="24"/>
                <w:lang w:val="en-US" w:eastAsia="zh-CN"/>
              </w:rPr>
              <w:t>8</w:t>
            </w:r>
            <w:r>
              <w:rPr>
                <w:rFonts w:hint="eastAsia" w:ascii="宋体" w:hAnsi="宋体" w:eastAsia="宋体" w:cs="宋体"/>
                <w:snapToGrid/>
                <w:color w:val="auto"/>
                <w:kern w:val="2"/>
                <w:sz w:val="21"/>
                <w:szCs w:val="24"/>
              </w:rPr>
              <w:t>分</w:t>
            </w:r>
            <w:r>
              <w:rPr>
                <w:rFonts w:hint="eastAsia" w:ascii="宋体" w:hAnsi="宋体" w:cs="宋体"/>
                <w:snapToGrid/>
                <w:color w:val="auto"/>
                <w:kern w:val="2"/>
                <w:sz w:val="21"/>
                <w:szCs w:val="24"/>
                <w:lang w:val="en-US" w:eastAsia="zh-CN"/>
              </w:rPr>
              <w:t>。（提供分析截图，截图</w:t>
            </w:r>
            <w:r>
              <w:rPr>
                <w:rFonts w:hint="eastAsia" w:ascii="宋体" w:hAnsi="宋体" w:eastAsia="宋体" w:cs="宋体"/>
                <w:snapToGrid/>
                <w:color w:val="auto"/>
                <w:kern w:val="2"/>
                <w:sz w:val="21"/>
                <w:szCs w:val="24"/>
              </w:rPr>
              <w:t>加盖公章装订在投标文件中</w:t>
            </w:r>
            <w:r>
              <w:rPr>
                <w:rFonts w:hint="eastAsia" w:ascii="宋体" w:hAnsi="宋体" w:cs="宋体"/>
                <w:snapToGrid/>
                <w:color w:val="auto"/>
                <w:kern w:val="2"/>
                <w:sz w:val="21"/>
                <w:szCs w:val="24"/>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trPr>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hint="eastAsia" w:ascii="宋体" w:hAnsi="宋体" w:cs="宋体"/>
                <w:snapToGrid/>
                <w:color w:val="auto"/>
                <w:kern w:val="2"/>
                <w:sz w:val="21"/>
                <w:szCs w:val="24"/>
                <w:lang w:val="en-US" w:eastAsia="zh-CN"/>
              </w:rPr>
            </w:pP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5</w:t>
            </w:r>
          </w:p>
        </w:tc>
        <w:tc>
          <w:tcPr>
            <w:tcW w:w="0" w:type="auto"/>
            <w:noWrap w:val="0"/>
            <w:vAlign w:val="center"/>
          </w:tcPr>
          <w:p>
            <w:pPr>
              <w:keepNext w:val="0"/>
              <w:keepLines w:val="0"/>
              <w:pageBreakBefore w:val="0"/>
              <w:kinsoku/>
              <w:wordWrap/>
              <w:overflowPunct/>
              <w:topLinePunct w:val="0"/>
              <w:bidi w:val="0"/>
              <w:spacing w:line="240" w:lineRule="auto"/>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能提供访问量统计、pv数统计、UV数统计、独立IP数统计、异常访问统计的，</w:t>
            </w:r>
            <w:r>
              <w:rPr>
                <w:rFonts w:hint="eastAsia" w:ascii="宋体" w:hAnsi="宋体" w:eastAsia="宋体" w:cs="宋体"/>
                <w:snapToGrid/>
                <w:color w:val="auto"/>
                <w:kern w:val="2"/>
                <w:sz w:val="21"/>
                <w:szCs w:val="24"/>
                <w:lang w:eastAsia="zh-CN"/>
              </w:rPr>
              <w:t>每具备一项的</w:t>
            </w:r>
            <w:r>
              <w:rPr>
                <w:rFonts w:hint="eastAsia" w:ascii="宋体" w:hAnsi="宋体" w:eastAsia="宋体" w:cs="宋体"/>
                <w:snapToGrid/>
                <w:color w:val="auto"/>
                <w:kern w:val="2"/>
                <w:sz w:val="21"/>
                <w:szCs w:val="24"/>
              </w:rPr>
              <w:t>得</w:t>
            </w:r>
            <w:r>
              <w:rPr>
                <w:rFonts w:hint="eastAsia" w:ascii="宋体" w:hAnsi="宋体" w:cs="宋体"/>
                <w:snapToGrid/>
                <w:color w:val="auto"/>
                <w:kern w:val="2"/>
                <w:sz w:val="21"/>
                <w:szCs w:val="24"/>
                <w:lang w:val="en-US" w:eastAsia="zh-CN"/>
              </w:rPr>
              <w:t>1分，最多得5分。（提供软件截图，截图</w:t>
            </w:r>
            <w:r>
              <w:rPr>
                <w:rFonts w:hint="eastAsia" w:ascii="宋体" w:hAnsi="宋体" w:eastAsia="宋体" w:cs="宋体"/>
                <w:snapToGrid/>
                <w:color w:val="auto"/>
                <w:kern w:val="2"/>
                <w:sz w:val="21"/>
                <w:szCs w:val="24"/>
              </w:rPr>
              <w:t>加盖公章装订在投标文件中</w:t>
            </w:r>
            <w:r>
              <w:rPr>
                <w:rFonts w:hint="eastAsia" w:ascii="宋体" w:hAnsi="宋体" w:cs="宋体"/>
                <w:snapToGrid/>
                <w:color w:val="auto"/>
                <w:kern w:val="2"/>
                <w:sz w:val="21"/>
                <w:szCs w:val="24"/>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trPr>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hint="eastAsia" w:ascii="宋体" w:hAnsi="宋体" w:cs="宋体"/>
                <w:snapToGrid/>
                <w:color w:val="auto"/>
                <w:kern w:val="2"/>
                <w:sz w:val="21"/>
                <w:szCs w:val="24"/>
                <w:lang w:val="en-US" w:eastAsia="zh-CN"/>
              </w:rPr>
            </w:pP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hint="eastAsia" w:ascii="宋体" w:hAnsi="宋体" w:eastAsia="宋体" w:cs="宋体"/>
                <w:snapToGrid/>
                <w:color w:val="auto"/>
                <w:kern w:val="2"/>
                <w:sz w:val="21"/>
                <w:szCs w:val="24"/>
                <w:lang w:val="en-US" w:eastAsia="zh-CN" w:bidi="ar-SA"/>
              </w:rPr>
            </w:pPr>
            <w:r>
              <w:rPr>
                <w:rFonts w:hint="eastAsia" w:ascii="宋体" w:hAnsi="宋体" w:cs="宋体"/>
                <w:snapToGrid/>
                <w:color w:val="auto"/>
                <w:kern w:val="2"/>
                <w:sz w:val="21"/>
                <w:szCs w:val="24"/>
                <w:lang w:val="en-US" w:eastAsia="zh-CN"/>
              </w:rPr>
              <w:t>8</w:t>
            </w:r>
          </w:p>
        </w:tc>
        <w:tc>
          <w:tcPr>
            <w:tcW w:w="0" w:type="auto"/>
            <w:noWrap w:val="0"/>
            <w:vAlign w:val="center"/>
          </w:tcPr>
          <w:p>
            <w:pPr>
              <w:keepNext w:val="0"/>
              <w:keepLines w:val="0"/>
              <w:pageBreakBefore w:val="0"/>
              <w:kinsoku/>
              <w:wordWrap/>
              <w:overflowPunct/>
              <w:topLinePunct w:val="0"/>
              <w:bidi w:val="0"/>
              <w:spacing w:line="240" w:lineRule="auto"/>
              <w:textAlignment w:val="auto"/>
              <w:rPr>
                <w:rFonts w:hint="eastAsia" w:ascii="宋体" w:hAnsi="宋体" w:eastAsia="宋体" w:cs="宋体"/>
                <w:snapToGrid/>
                <w:color w:val="auto"/>
                <w:kern w:val="2"/>
                <w:sz w:val="21"/>
                <w:szCs w:val="24"/>
                <w:lang w:val="en-US" w:eastAsia="zh-CN" w:bidi="ar-SA"/>
              </w:rPr>
            </w:pPr>
            <w:r>
              <w:rPr>
                <w:rFonts w:hint="eastAsia" w:ascii="宋体" w:hAnsi="宋体" w:cs="宋体"/>
                <w:snapToGrid/>
                <w:color w:val="auto"/>
                <w:kern w:val="2"/>
                <w:sz w:val="21"/>
                <w:szCs w:val="24"/>
                <w:lang w:val="en-US" w:eastAsia="zh-CN"/>
              </w:rPr>
              <w:t>能提供服务器实时监控，异常登录情况的，得8分，不能提供的不得分。（提供分析截图，截图</w:t>
            </w:r>
            <w:r>
              <w:rPr>
                <w:rFonts w:hint="eastAsia" w:ascii="宋体" w:hAnsi="宋体" w:eastAsia="宋体" w:cs="宋体"/>
                <w:snapToGrid/>
                <w:color w:val="auto"/>
                <w:kern w:val="2"/>
                <w:sz w:val="21"/>
                <w:szCs w:val="24"/>
              </w:rPr>
              <w:t>加盖公章装订在投标文件中</w:t>
            </w:r>
            <w:r>
              <w:rPr>
                <w:rFonts w:hint="eastAsia" w:ascii="宋体" w:hAnsi="宋体" w:cs="宋体"/>
                <w:snapToGrid/>
                <w:color w:val="auto"/>
                <w:kern w:val="2"/>
                <w:sz w:val="21"/>
                <w:szCs w:val="24"/>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trPr>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hint="eastAsia" w:ascii="宋体" w:hAnsi="宋体" w:eastAsia="宋体" w:cs="宋体"/>
                <w:snapToGrid/>
                <w:color w:val="auto"/>
                <w:kern w:val="2"/>
                <w:sz w:val="21"/>
                <w:szCs w:val="24"/>
              </w:rPr>
            </w:pP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hint="eastAsia"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4</w:t>
            </w:r>
          </w:p>
        </w:tc>
        <w:tc>
          <w:tcPr>
            <w:tcW w:w="0" w:type="auto"/>
            <w:noWrap w:val="0"/>
            <w:vAlign w:val="center"/>
          </w:tcPr>
          <w:p>
            <w:pPr>
              <w:keepNext w:val="0"/>
              <w:keepLines w:val="0"/>
              <w:pageBreakBefore w:val="0"/>
              <w:kinsoku/>
              <w:wordWrap/>
              <w:overflowPunct/>
              <w:topLinePunct w:val="0"/>
              <w:bidi w:val="0"/>
              <w:spacing w:line="240" w:lineRule="auto"/>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能提供服务器木马扫描、后门文件查杀服务，每提供一项得2分，最多得4分，不能提供不得分。</w:t>
            </w:r>
            <w:r>
              <w:rPr>
                <w:rFonts w:hint="eastAsia" w:ascii="宋体" w:hAnsi="宋体" w:eastAsia="宋体" w:cs="宋体"/>
                <w:snapToGrid/>
                <w:color w:val="auto"/>
                <w:kern w:val="2"/>
                <w:sz w:val="21"/>
                <w:szCs w:val="24"/>
              </w:rPr>
              <w:t>（提供承诺书，格式自拟加盖公章装订在投标文件中）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trPr>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restart"/>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技术能力</w:t>
            </w: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10</w:t>
            </w:r>
          </w:p>
        </w:tc>
        <w:tc>
          <w:tcPr>
            <w:tcW w:w="0" w:type="auto"/>
            <w:noWrap w:val="0"/>
            <w:vAlign w:val="center"/>
          </w:tcPr>
          <w:p>
            <w:pPr>
              <w:keepNext w:val="0"/>
              <w:keepLines w:val="0"/>
              <w:pageBreakBefore w:val="0"/>
              <w:kinsoku/>
              <w:wordWrap/>
              <w:overflowPunct/>
              <w:topLinePunct w:val="0"/>
              <w:bidi w:val="0"/>
              <w:spacing w:line="240" w:lineRule="auto"/>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能提供国产化系统替换安装服务得3分，匹配现有应用程序适配国产化系统得7分，不能提供不得分。（提供承诺书，格式自拟加盖公章装订在投标文件中）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trPr>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hint="eastAsia" w:ascii="宋体" w:hAnsi="宋体" w:eastAsia="宋体" w:cs="宋体"/>
                <w:snapToGrid/>
                <w:color w:val="auto"/>
                <w:kern w:val="2"/>
                <w:sz w:val="21"/>
                <w:szCs w:val="24"/>
              </w:rPr>
            </w:pP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4</w:t>
            </w:r>
          </w:p>
        </w:tc>
        <w:tc>
          <w:tcPr>
            <w:tcW w:w="0" w:type="auto"/>
            <w:noWrap w:val="0"/>
            <w:vAlign w:val="center"/>
          </w:tcPr>
          <w:p>
            <w:pPr>
              <w:keepNext w:val="0"/>
              <w:keepLines w:val="0"/>
              <w:pageBreakBefore w:val="0"/>
              <w:kinsoku/>
              <w:wordWrap/>
              <w:overflowPunct/>
              <w:topLinePunct w:val="0"/>
              <w:bidi w:val="0"/>
              <w:spacing w:line="240" w:lineRule="auto"/>
              <w:textAlignment w:val="auto"/>
              <w:rPr>
                <w:rFonts w:hint="default"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根据供应商的数据迁移服务方案进行打分内容包括服务器应用数据、数据库数据无感迁移服务。以上内容每具备一项且无缺陷得2分，最多得4分。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trPr>
        <w:tc>
          <w:tcPr>
            <w:tcW w:w="0" w:type="auto"/>
            <w:vMerge w:val="continue"/>
            <w:noWrap w:val="0"/>
            <w:vAlign w:val="center"/>
          </w:tcPr>
          <w:p>
            <w:pPr>
              <w:pStyle w:val="4"/>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hint="eastAsia" w:ascii="宋体" w:hAnsi="宋体" w:eastAsia="宋体" w:cs="宋体"/>
                <w:snapToGrid/>
                <w:color w:val="auto"/>
                <w:kern w:val="2"/>
                <w:sz w:val="21"/>
                <w:szCs w:val="24"/>
              </w:rPr>
            </w:pP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2</w:t>
            </w:r>
          </w:p>
        </w:tc>
        <w:tc>
          <w:tcPr>
            <w:tcW w:w="0" w:type="auto"/>
            <w:noWrap w:val="0"/>
            <w:vAlign w:val="center"/>
          </w:tcPr>
          <w:p>
            <w:pPr>
              <w:keepNext w:val="0"/>
              <w:keepLines w:val="0"/>
              <w:pageBreakBefore w:val="0"/>
              <w:kinsoku/>
              <w:wordWrap/>
              <w:overflowPunct/>
              <w:topLinePunct w:val="0"/>
              <w:bidi w:val="0"/>
              <w:spacing w:line="240" w:lineRule="auto"/>
              <w:textAlignment w:val="auto"/>
              <w:rPr>
                <w:rFonts w:hint="default" w:ascii="宋体" w:hAnsi="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提供7*24实时监测服务包含服务器、内外网站群运行情况，发现异常情况30分钟内解决并处理、上报的，得2分，不能提供不得分（提供承诺书，格式自拟加盖公章装订在投标文件中）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trPr>
        <w:tc>
          <w:tcPr>
            <w:tcW w:w="0" w:type="auto"/>
            <w:vMerge w:val="continue"/>
            <w:noWrap w:val="0"/>
            <w:vAlign w:val="center"/>
          </w:tcPr>
          <w:p>
            <w:pPr>
              <w:pStyle w:val="4"/>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0" w:type="auto"/>
            <w:vMerge w:val="continue"/>
            <w:noWrap w:val="0"/>
            <w:vAlign w:val="center"/>
          </w:tcPr>
          <w:p>
            <w:pPr>
              <w:keepNext w:val="0"/>
              <w:keepLines w:val="0"/>
              <w:pageBreakBefore w:val="0"/>
              <w:kinsoku/>
              <w:wordWrap/>
              <w:overflowPunct/>
              <w:topLinePunct w:val="0"/>
              <w:bidi w:val="0"/>
              <w:spacing w:line="240" w:lineRule="auto"/>
              <w:jc w:val="center"/>
              <w:textAlignment w:val="auto"/>
              <w:rPr>
                <w:rFonts w:hint="eastAsia" w:ascii="宋体" w:hAnsi="宋体" w:eastAsia="宋体" w:cs="宋体"/>
                <w:snapToGrid/>
                <w:color w:val="auto"/>
                <w:kern w:val="2"/>
                <w:sz w:val="21"/>
                <w:szCs w:val="24"/>
              </w:rPr>
            </w:pPr>
          </w:p>
        </w:tc>
        <w:tc>
          <w:tcPr>
            <w:tcW w:w="0" w:type="auto"/>
            <w:noWrap w:val="0"/>
            <w:vAlign w:val="center"/>
          </w:tcPr>
          <w:p>
            <w:pPr>
              <w:keepNext w:val="0"/>
              <w:keepLines w:val="0"/>
              <w:pageBreakBefore w:val="0"/>
              <w:kinsoku/>
              <w:wordWrap/>
              <w:overflowPunct/>
              <w:topLinePunct w:val="0"/>
              <w:bidi w:val="0"/>
              <w:spacing w:line="240" w:lineRule="auto"/>
              <w:jc w:val="center"/>
              <w:textAlignment w:val="auto"/>
              <w:rPr>
                <w:rFonts w:hint="default" w:ascii="宋体" w:hAnsi="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6</w:t>
            </w:r>
          </w:p>
        </w:tc>
        <w:tc>
          <w:tcPr>
            <w:tcW w:w="0" w:type="auto"/>
            <w:noWrap w:val="0"/>
            <w:vAlign w:val="center"/>
          </w:tcPr>
          <w:p>
            <w:pPr>
              <w:keepNext w:val="0"/>
              <w:keepLines w:val="0"/>
              <w:pageBreakBefore w:val="0"/>
              <w:kinsoku/>
              <w:wordWrap/>
              <w:overflowPunct/>
              <w:topLinePunct w:val="0"/>
              <w:bidi w:val="0"/>
              <w:spacing w:line="240" w:lineRule="auto"/>
              <w:textAlignment w:val="auto"/>
              <w:rPr>
                <w:rFonts w:hint="eastAsia" w:ascii="宋体" w:hAnsi="宋体" w:eastAsia="宋体" w:cs="宋体"/>
                <w:snapToGrid/>
                <w:color w:val="auto"/>
                <w:kern w:val="2"/>
                <w:sz w:val="21"/>
                <w:szCs w:val="24"/>
                <w:lang w:val="en-US" w:eastAsia="zh-CN"/>
              </w:rPr>
            </w:pPr>
            <w:r>
              <w:rPr>
                <w:rFonts w:hint="eastAsia" w:ascii="宋体" w:hAnsi="宋体" w:cs="宋体"/>
                <w:snapToGrid/>
                <w:color w:val="auto"/>
                <w:kern w:val="2"/>
                <w:sz w:val="21"/>
                <w:szCs w:val="24"/>
                <w:lang w:val="en-US" w:eastAsia="zh-CN"/>
              </w:rPr>
              <w:t>根据供应商提供的重保技术方案、漏洞修补方案进行打分，以上方案每具备一项且无缺陷得3分，最多得6分。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trPr>
        <w:tc>
          <w:tcPr>
            <w:tcW w:w="0" w:type="auto"/>
            <w:gridSpan w:val="5"/>
            <w:noWrap w:val="0"/>
            <w:vAlign w:val="center"/>
          </w:tcPr>
          <w:p>
            <w:pPr>
              <w:keepNext w:val="0"/>
              <w:keepLines w:val="0"/>
              <w:pageBreakBefore w:val="0"/>
              <w:kinsoku/>
              <w:wordWrap/>
              <w:overflowPunct/>
              <w:topLinePunct w:val="0"/>
              <w:bidi w:val="0"/>
              <w:spacing w:line="240" w:lineRule="auto"/>
              <w:textAlignment w:val="auto"/>
              <w:rPr>
                <w:rFonts w:hint="eastAsia" w:ascii="宋体" w:hAnsi="宋体" w:cs="宋体"/>
                <w:snapToGrid/>
                <w:color w:val="auto"/>
                <w:kern w:val="2"/>
                <w:sz w:val="21"/>
                <w:szCs w:val="24"/>
                <w:lang w:val="en-US" w:eastAsia="zh-CN"/>
              </w:rPr>
            </w:pPr>
            <w:r>
              <w:rPr>
                <w:rFonts w:hint="eastAsia" w:asciiTheme="minorEastAsia" w:hAnsiTheme="minorEastAsia" w:eastAsiaTheme="minorEastAsia" w:cstheme="minorEastAsia"/>
                <w:sz w:val="21"/>
                <w:szCs w:val="21"/>
                <w:lang w:eastAsia="zh-CN"/>
              </w:rPr>
              <w:t>备注：</w:t>
            </w:r>
            <w:r>
              <w:rPr>
                <w:rFonts w:hint="eastAsia" w:asciiTheme="minorEastAsia" w:hAnsiTheme="minorEastAsia" w:eastAsiaTheme="minorEastAsia" w:cstheme="minorEastAsia"/>
                <w:sz w:val="21"/>
                <w:szCs w:val="21"/>
              </w:rPr>
              <w:t>以上缺陷是指：与本项目无关、不满足项目需求、内容前后不一致、前后逻辑错误、涉及的规范及标准错误、地点区域错误、内容缺失</w:t>
            </w:r>
          </w:p>
        </w:tc>
      </w:tr>
    </w:tbl>
    <w:p>
      <w:pPr>
        <w:rPr>
          <w:rFonts w:hint="eastAsia"/>
          <w:lang w:eastAsia="zh-CN"/>
        </w:rPr>
      </w:pPr>
    </w:p>
    <w:p>
      <w:pPr>
        <w:pStyle w:val="33"/>
        <w:rPr>
          <w:rFonts w:hint="eastAsia" w:ascii="宋体" w:hAnsi="宋体" w:eastAsia="宋体" w:cs="宋体"/>
          <w:color w:val="auto"/>
          <w:highlight w:val="none"/>
          <w:lang w:eastAsia="zh-CN"/>
        </w:rPr>
      </w:pPr>
    </w:p>
    <w:p>
      <w:pPr>
        <w:pStyle w:val="33"/>
        <w:rPr>
          <w:rFonts w:hint="eastAsia" w:ascii="宋体" w:hAnsi="宋体" w:eastAsia="宋体" w:cs="宋体"/>
          <w:color w:val="auto"/>
          <w:highlight w:val="none"/>
          <w:lang w:eastAsia="zh-CN"/>
        </w:rPr>
      </w:pPr>
    </w:p>
    <w:p>
      <w:pPr>
        <w:pStyle w:val="31"/>
        <w:ind w:firstLine="420"/>
        <w:rPr>
          <w:rFonts w:hint="eastAsia" w:ascii="宋体" w:hAnsi="宋体" w:eastAsia="宋体" w:cs="宋体"/>
          <w:color w:val="auto"/>
          <w:highlight w:val="none"/>
        </w:rPr>
      </w:pPr>
    </w:p>
    <w:p>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pPr>
        <w:rPr>
          <w:rFonts w:hint="eastAsia" w:ascii="宋体" w:hAnsi="宋体" w:eastAsia="宋体" w:cs="宋体"/>
          <w:color w:val="auto"/>
          <w:highlight w:val="none"/>
        </w:rPr>
      </w:pPr>
      <w:bookmarkStart w:id="121" w:name="_Toc25922_WPSOffice_Level1"/>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5"/>
        <w:rPr>
          <w:rFonts w:hint="eastAsia" w:ascii="宋体" w:hAnsi="宋体" w:eastAsia="宋体" w:cs="宋体"/>
          <w:color w:val="auto"/>
          <w:highlight w:val="none"/>
        </w:rPr>
      </w:pPr>
      <w:bookmarkStart w:id="122" w:name="_Toc25807"/>
      <w:bookmarkStart w:id="123" w:name="_Toc78902195"/>
      <w:r>
        <w:rPr>
          <w:rFonts w:hint="eastAsia" w:ascii="宋体" w:hAnsi="宋体" w:eastAsia="宋体" w:cs="宋体"/>
          <w:color w:val="auto"/>
          <w:highlight w:val="none"/>
        </w:rPr>
        <w:t>第五章 政府采购合同条款</w:t>
      </w:r>
      <w:bookmarkEnd w:id="121"/>
      <w:r>
        <w:rPr>
          <w:rFonts w:hint="eastAsia" w:ascii="宋体" w:hAnsi="宋体" w:eastAsia="宋体" w:cs="宋体"/>
          <w:color w:val="auto"/>
          <w:highlight w:val="none"/>
        </w:rPr>
        <w:t>及格式</w:t>
      </w:r>
      <w:bookmarkEnd w:id="122"/>
      <w:bookmarkEnd w:id="123"/>
    </w:p>
    <w:p>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pPr>
        <w:rPr>
          <w:rFonts w:hint="eastAsia"/>
          <w:b/>
          <w:color w:val="000000"/>
          <w:sz w:val="36"/>
        </w:rPr>
      </w:pPr>
    </w:p>
    <w:p>
      <w:pPr>
        <w:rPr>
          <w:rFonts w:hint="eastAsia"/>
          <w:b/>
          <w:sz w:val="52"/>
        </w:rPr>
      </w:pPr>
    </w:p>
    <w:p>
      <w:pPr>
        <w:rPr>
          <w:rFonts w:hint="eastAsia"/>
          <w:b/>
          <w:sz w:val="52"/>
        </w:rPr>
      </w:pPr>
    </w:p>
    <w:p>
      <w:pPr>
        <w:spacing w:line="600" w:lineRule="auto"/>
        <w:jc w:val="center"/>
        <w:rPr>
          <w:rFonts w:hint="eastAsia"/>
          <w:b/>
          <w:sz w:val="48"/>
        </w:rPr>
      </w:pPr>
      <w:r>
        <w:rPr>
          <w:rFonts w:hint="eastAsia"/>
          <w:b/>
          <w:sz w:val="48"/>
        </w:rPr>
        <w:t>国家税务总局黑龙江省税务局</w:t>
      </w:r>
    </w:p>
    <w:p>
      <w:pPr>
        <w:spacing w:line="600" w:lineRule="auto"/>
        <w:jc w:val="center"/>
        <w:rPr>
          <w:rFonts w:hint="eastAsia"/>
          <w:b/>
          <w:sz w:val="48"/>
        </w:rPr>
      </w:pPr>
      <w:r>
        <w:rPr>
          <w:rFonts w:hint="eastAsia"/>
          <w:b/>
          <w:sz w:val="48"/>
        </w:rPr>
        <w:t>政府采购合同</w:t>
      </w:r>
    </w:p>
    <w:p>
      <w:pPr>
        <w:jc w:val="center"/>
        <w:rPr>
          <w:rFonts w:hint="eastAsia"/>
          <w:b/>
          <w:sz w:val="48"/>
        </w:rPr>
      </w:pPr>
    </w:p>
    <w:p>
      <w:pPr>
        <w:jc w:val="center"/>
        <w:rPr>
          <w:rFonts w:hint="eastAsia"/>
          <w:b/>
          <w:sz w:val="48"/>
        </w:rPr>
      </w:pPr>
    </w:p>
    <w:p>
      <w:pPr>
        <w:jc w:val="center"/>
        <w:rPr>
          <w:b/>
          <w:sz w:val="48"/>
        </w:rPr>
      </w:pPr>
    </w:p>
    <w:p>
      <w:pPr>
        <w:spacing w:line="360" w:lineRule="auto"/>
        <w:ind w:firstLine="1405" w:firstLineChars="500"/>
        <w:rPr>
          <w:rFonts w:hint="eastAsia" w:ascii="宋体" w:hAnsi="宋体"/>
          <w:b/>
          <w:bCs/>
          <w:sz w:val="28"/>
          <w:szCs w:val="28"/>
          <w:u w:val="single"/>
        </w:rPr>
      </w:pPr>
      <w:r>
        <w:rPr>
          <w:rFonts w:hint="eastAsia" w:ascii="宋体" w:hAnsi="宋体"/>
          <w:b/>
          <w:bCs/>
          <w:sz w:val="28"/>
          <w:szCs w:val="28"/>
        </w:rPr>
        <w:t>合同编号：</w:t>
      </w:r>
      <w:r>
        <w:rPr>
          <w:rFonts w:hint="eastAsia" w:ascii="宋体" w:hAnsi="宋体"/>
          <w:b/>
          <w:bCs/>
          <w:sz w:val="28"/>
          <w:szCs w:val="28"/>
          <w:u w:val="single"/>
        </w:rPr>
        <w:t>（HTCL-ZB-243199）</w:t>
      </w:r>
    </w:p>
    <w:p>
      <w:pPr>
        <w:spacing w:line="360" w:lineRule="auto"/>
        <w:ind w:firstLine="1405" w:firstLineChars="500"/>
        <w:rPr>
          <w:rFonts w:hint="eastAsia" w:ascii="宋体" w:hAnsi="宋体"/>
          <w:b/>
          <w:bCs/>
          <w:sz w:val="28"/>
          <w:szCs w:val="28"/>
        </w:rPr>
      </w:pPr>
      <w:r>
        <w:rPr>
          <w:rFonts w:hint="eastAsia" w:ascii="宋体" w:hAnsi="宋体"/>
          <w:b/>
          <w:bCs/>
          <w:sz w:val="28"/>
          <w:szCs w:val="28"/>
        </w:rPr>
        <w:t>甲</w:t>
      </w:r>
      <w:r>
        <w:rPr>
          <w:rFonts w:ascii="宋体" w:hAnsi="宋体"/>
          <w:b/>
          <w:bCs/>
          <w:sz w:val="28"/>
          <w:szCs w:val="28"/>
        </w:rPr>
        <w:t xml:space="preserve">    </w:t>
      </w:r>
      <w:r>
        <w:rPr>
          <w:rFonts w:hint="eastAsia" w:ascii="宋体" w:hAnsi="宋体"/>
          <w:b/>
          <w:bCs/>
          <w:sz w:val="28"/>
          <w:szCs w:val="28"/>
        </w:rPr>
        <w:t>方：</w:t>
      </w:r>
      <w:r>
        <w:rPr>
          <w:rFonts w:hint="eastAsia"/>
          <w:b/>
          <w:sz w:val="28"/>
        </w:rPr>
        <w:t>【</w:t>
      </w:r>
      <w:r>
        <w:rPr>
          <w:rFonts w:hint="eastAsia" w:ascii="宋体" w:hAnsi="宋体"/>
          <w:b/>
          <w:bCs/>
          <w:sz w:val="28"/>
          <w:szCs w:val="28"/>
        </w:rPr>
        <w:t>国家税务总局黑龙江省税务局</w:t>
      </w:r>
      <w:r>
        <w:rPr>
          <w:rFonts w:hint="eastAsia"/>
          <w:b/>
          <w:sz w:val="28"/>
        </w:rPr>
        <w:t>】</w:t>
      </w:r>
      <w:r>
        <w:rPr>
          <w:rFonts w:hint="eastAsia" w:ascii="宋体" w:hAnsi="宋体"/>
          <w:b/>
          <w:bCs/>
          <w:sz w:val="28"/>
          <w:szCs w:val="28"/>
        </w:rPr>
        <w:t xml:space="preserve">                        </w:t>
      </w:r>
    </w:p>
    <w:p>
      <w:pPr>
        <w:spacing w:line="360" w:lineRule="auto"/>
        <w:ind w:firstLine="1405" w:firstLineChars="500"/>
        <w:rPr>
          <w:rFonts w:hint="eastAsia"/>
          <w:b/>
          <w:sz w:val="28"/>
        </w:rPr>
      </w:pPr>
      <w:r>
        <w:rPr>
          <w:rFonts w:hint="eastAsia" w:ascii="宋体" w:hAnsi="宋体"/>
          <w:b/>
          <w:bCs/>
          <w:sz w:val="28"/>
          <w:szCs w:val="28"/>
        </w:rPr>
        <w:t>乙</w:t>
      </w:r>
      <w:r>
        <w:rPr>
          <w:rFonts w:ascii="宋体" w:hAnsi="宋体"/>
          <w:b/>
          <w:bCs/>
          <w:sz w:val="28"/>
          <w:szCs w:val="28"/>
        </w:rPr>
        <w:t xml:space="preserve">    </w:t>
      </w:r>
      <w:r>
        <w:rPr>
          <w:rFonts w:hint="eastAsia" w:ascii="宋体" w:hAnsi="宋体"/>
          <w:b/>
          <w:bCs/>
          <w:sz w:val="28"/>
          <w:szCs w:val="28"/>
        </w:rPr>
        <w:t>方：</w:t>
      </w:r>
      <w:r>
        <w:rPr>
          <w:rFonts w:hint="eastAsia"/>
          <w:b/>
          <w:sz w:val="28"/>
        </w:rPr>
        <w:t>【                    】</w:t>
      </w:r>
    </w:p>
    <w:p>
      <w:pPr>
        <w:spacing w:line="360" w:lineRule="auto"/>
        <w:ind w:firstLine="1405" w:firstLineChars="500"/>
        <w:rPr>
          <w:rFonts w:hint="eastAsia" w:ascii="宋体" w:hAnsi="宋体"/>
          <w:b/>
          <w:bCs/>
          <w:sz w:val="28"/>
          <w:szCs w:val="28"/>
        </w:rPr>
      </w:pPr>
      <w:r>
        <w:rPr>
          <w:rFonts w:hint="eastAsia" w:ascii="宋体" w:hAnsi="宋体"/>
          <w:b/>
          <w:bCs/>
          <w:sz w:val="28"/>
          <w:szCs w:val="28"/>
        </w:rPr>
        <w:t>签订日期：20</w:t>
      </w:r>
      <w:r>
        <w:rPr>
          <w:rFonts w:hint="eastAsia" w:ascii="宋体" w:hAnsi="宋体"/>
          <w:b/>
          <w:bCs/>
          <w:sz w:val="28"/>
          <w:szCs w:val="28"/>
          <w:lang w:val="en-US" w:eastAsia="zh-CN"/>
        </w:rPr>
        <w:t>24</w:t>
      </w:r>
      <w:r>
        <w:rPr>
          <w:rFonts w:hint="eastAsia" w:ascii="宋体" w:hAnsi="宋体"/>
          <w:b/>
          <w:bCs/>
          <w:sz w:val="28"/>
          <w:szCs w:val="28"/>
        </w:rPr>
        <w:t>年   月   日</w:t>
      </w:r>
    </w:p>
    <w:p>
      <w:pPr>
        <w:rPr>
          <w:rFonts w:hint="eastAsia"/>
        </w:rPr>
      </w:pPr>
      <w:r>
        <w:rPr>
          <w:rFonts w:hint="eastAsia"/>
        </w:rPr>
        <w:br w:type="page"/>
      </w:r>
    </w:p>
    <w:p>
      <w:pPr>
        <w:rPr>
          <w:rFonts w:ascii="宋体" w:hAnsi="宋体"/>
          <w:i/>
          <w:sz w:val="24"/>
        </w:rPr>
      </w:pPr>
      <w:r>
        <w:rPr>
          <w:rFonts w:hint="eastAsia" w:ascii="宋体" w:hAnsi="宋体"/>
          <w:sz w:val="24"/>
        </w:rPr>
        <w:t>甲方：【国家税务总局黑龙江省税务局】</w:t>
      </w:r>
    </w:p>
    <w:p>
      <w:pPr>
        <w:rPr>
          <w:rFonts w:ascii="宋体" w:hAnsi="宋体"/>
          <w:sz w:val="24"/>
        </w:rPr>
      </w:pPr>
    </w:p>
    <w:p>
      <w:pPr>
        <w:rPr>
          <w:rFonts w:ascii="宋体" w:hAnsi="宋体"/>
          <w:sz w:val="24"/>
        </w:rPr>
      </w:pPr>
      <w:r>
        <w:rPr>
          <w:rFonts w:hint="eastAsia" w:ascii="宋体" w:hAnsi="宋体"/>
          <w:sz w:val="24"/>
        </w:rPr>
        <w:t>乙方：【                】</w:t>
      </w:r>
    </w:p>
    <w:p>
      <w:pPr>
        <w:rPr>
          <w:rFonts w:ascii="宋体" w:hAnsi="宋体"/>
          <w:sz w:val="24"/>
        </w:rPr>
      </w:pPr>
    </w:p>
    <w:p>
      <w:pPr>
        <w:spacing w:line="432" w:lineRule="auto"/>
        <w:ind w:firstLine="480" w:firstLineChars="200"/>
        <w:rPr>
          <w:rFonts w:ascii="宋体" w:hAnsi="宋体"/>
          <w:sz w:val="24"/>
        </w:rPr>
      </w:pPr>
      <w:r>
        <w:rPr>
          <w:rFonts w:hint="eastAsia" w:ascii="宋体" w:hAnsi="宋体"/>
          <w:sz w:val="24"/>
        </w:rPr>
        <w:t>国家税务总局黑龙江省税务局组织的</w:t>
      </w:r>
      <w:r>
        <w:rPr>
          <w:rFonts w:ascii="宋体" w:hAnsi="宋体"/>
          <w:sz w:val="24"/>
        </w:rPr>
        <w:t>(</w:t>
      </w:r>
      <w:r>
        <w:rPr>
          <w:rFonts w:hint="eastAsia" w:ascii="宋体" w:hAnsi="宋体"/>
          <w:sz w:val="24"/>
        </w:rPr>
        <w:t>国家税务总局黑龙江省税务局门户网站安全监测、操作系统更换和网站漏洞修补服务</w:t>
      </w:r>
      <w:r>
        <w:rPr>
          <w:rFonts w:hint="eastAsia" w:ascii="宋体" w:hAnsi="宋体" w:eastAsia="宋体" w:cs="Times New Roman"/>
          <w:sz w:val="24"/>
        </w:rPr>
        <w:t>)项目（</w:t>
      </w:r>
      <w:r>
        <w:rPr>
          <w:rFonts w:hint="eastAsia" w:ascii="宋体" w:hAnsi="宋体"/>
          <w:sz w:val="24"/>
        </w:rPr>
        <w:t>招标编号：HTCL-ZB-243199）经黑龙江省招标公司国内公开招标，(</w:t>
      </w:r>
      <w:r>
        <w:rPr>
          <w:rFonts w:hint="eastAsia" w:ascii="宋体" w:hAnsi="宋体"/>
          <w:sz w:val="24"/>
          <w:u w:val="single"/>
        </w:rPr>
        <w:t>*乙方名称</w:t>
      </w:r>
      <w:r>
        <w:rPr>
          <w:rFonts w:hint="eastAsia" w:ascii="宋体" w:hAnsi="宋体"/>
          <w:sz w:val="24"/>
        </w:rPr>
        <w:t>)为中标单位。根据《中华人民共和国政府采购法》、《中华人民共和国民法典》等法律、法规规定，按照招投标文件规定条款和中标供应商承诺，经平等自愿协商达成一致，甲乙双方签订本合同。</w:t>
      </w:r>
    </w:p>
    <w:p>
      <w:pPr>
        <w:ind w:firstLine="420"/>
        <w:rPr>
          <w:rFonts w:hint="eastAsia" w:ascii="宋体" w:hAnsi="宋体"/>
          <w:sz w:val="24"/>
        </w:rPr>
      </w:pPr>
      <w:r>
        <w:rPr>
          <w:rFonts w:hint="eastAsia" w:ascii="宋体" w:hAnsi="宋体"/>
          <w:sz w:val="24"/>
        </w:rPr>
        <w:t>甲乙双方本着相互信任、真诚合作、共同发展的原则，在友好协商的基础上共同制定如下合同内容。</w:t>
      </w:r>
    </w:p>
    <w:p>
      <w:pPr>
        <w:pStyle w:val="31"/>
        <w:rPr>
          <w:rFonts w:hint="eastAsia" w:ascii="宋体" w:hAnsi="宋体"/>
          <w:sz w:val="24"/>
        </w:rPr>
      </w:pPr>
    </w:p>
    <w:p>
      <w:pPr>
        <w:pStyle w:val="6"/>
        <w:rPr>
          <w:rFonts w:hint="eastAsia" w:ascii="宋体" w:hAnsi="宋体"/>
          <w:sz w:val="24"/>
          <w:szCs w:val="24"/>
        </w:rPr>
      </w:pPr>
      <w:r>
        <w:rPr>
          <w:rFonts w:hint="eastAsia" w:ascii="宋体" w:hAnsi="宋体"/>
          <w:sz w:val="24"/>
          <w:szCs w:val="24"/>
        </w:rPr>
        <w:t>第一条  总则</w:t>
      </w:r>
    </w:p>
    <w:p>
      <w:pPr>
        <w:rPr>
          <w:rFonts w:hint="eastAsia" w:ascii="宋体" w:hAnsi="宋体"/>
          <w:sz w:val="24"/>
        </w:rPr>
      </w:pPr>
      <w:r>
        <w:rPr>
          <w:rFonts w:hint="eastAsia" w:ascii="宋体" w:hAnsi="宋体"/>
          <w:sz w:val="24"/>
        </w:rPr>
        <w:t>1．定义</w:t>
      </w:r>
    </w:p>
    <w:p>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合同：除非特别说明，“合同”一词均指本合同。</w:t>
      </w:r>
    </w:p>
    <w:p>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项目：本合同是乙方对甲方信息系统技术服务的维护，对系统运行中发生的故障进行软件升级、系统巡检等服务。</w:t>
      </w:r>
    </w:p>
    <w:p>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不可抗力：是指不能预见、不能避免并不能克服的客观情况。不可抗力不包括由于一方的疏忽或故意不遵守良好的项目惯例所发生的事故。</w:t>
      </w:r>
    </w:p>
    <w:p>
      <w:pPr>
        <w:rPr>
          <w:rFonts w:hint="eastAsia" w:ascii="宋体" w:hAnsi="宋体"/>
          <w:sz w:val="24"/>
        </w:rPr>
      </w:pPr>
      <w:r>
        <w:rPr>
          <w:rFonts w:hint="eastAsia" w:ascii="宋体" w:hAnsi="宋体"/>
          <w:sz w:val="24"/>
        </w:rPr>
        <w:t>2．合同生效</w:t>
      </w:r>
    </w:p>
    <w:p>
      <w:pPr>
        <w:rPr>
          <w:rFonts w:hint="eastAsia" w:ascii="宋体" w:hAnsi="宋体"/>
          <w:sz w:val="24"/>
        </w:rPr>
      </w:pPr>
      <w:r>
        <w:rPr>
          <w:rFonts w:hint="eastAsia" w:ascii="宋体" w:hAnsi="宋体"/>
          <w:sz w:val="24"/>
        </w:rPr>
        <w:t>本合同经甲、乙双方签字盖章后生效。本合同壹式肆份，甲、乙双方各持贰份，具有同等法律效力。</w:t>
      </w:r>
    </w:p>
    <w:p>
      <w:pPr>
        <w:rPr>
          <w:rFonts w:hint="eastAsia" w:ascii="宋体" w:hAnsi="宋体"/>
          <w:sz w:val="24"/>
        </w:rPr>
      </w:pPr>
      <w:r>
        <w:rPr>
          <w:rFonts w:hint="eastAsia" w:ascii="宋体" w:hAnsi="宋体"/>
          <w:sz w:val="24"/>
        </w:rPr>
        <w:t>3．合同修改</w:t>
      </w:r>
    </w:p>
    <w:p>
      <w:pPr>
        <w:rPr>
          <w:rFonts w:hint="eastAsia" w:ascii="宋体" w:hAnsi="宋体"/>
          <w:sz w:val="24"/>
        </w:rPr>
      </w:pPr>
      <w:r>
        <w:rPr>
          <w:rFonts w:hint="eastAsia" w:ascii="宋体" w:hAnsi="宋体"/>
          <w:sz w:val="24"/>
        </w:rPr>
        <w:t>除非由双方签订书面修改文件，否则合同不得修改。符合这一程序的修改将构成合同的一部分，并将与合同具有同等的法律效力。</w:t>
      </w:r>
    </w:p>
    <w:p>
      <w:pPr>
        <w:rPr>
          <w:rFonts w:hint="eastAsia" w:ascii="宋体" w:hAnsi="宋体"/>
          <w:sz w:val="24"/>
        </w:rPr>
      </w:pPr>
      <w:r>
        <w:rPr>
          <w:rFonts w:hint="eastAsia" w:ascii="宋体" w:hAnsi="宋体"/>
          <w:sz w:val="24"/>
        </w:rPr>
        <w:t>4．补充条款</w:t>
      </w:r>
    </w:p>
    <w:p>
      <w:pPr>
        <w:rPr>
          <w:rFonts w:hint="eastAsia" w:ascii="宋体" w:hAnsi="宋体"/>
          <w:sz w:val="24"/>
        </w:rPr>
      </w:pPr>
      <w:r>
        <w:rPr>
          <w:rFonts w:hint="eastAsia" w:ascii="宋体" w:hAnsi="宋体"/>
          <w:sz w:val="24"/>
        </w:rPr>
        <w:t>本合同生效后，经双方共同协商，可以达成书面补充协议，补充协议与本合同具有同等效力。</w:t>
      </w:r>
    </w:p>
    <w:p>
      <w:pPr>
        <w:rPr>
          <w:rFonts w:hint="eastAsia" w:ascii="宋体" w:hAnsi="宋体"/>
          <w:sz w:val="24"/>
        </w:rPr>
      </w:pPr>
      <w:r>
        <w:rPr>
          <w:rFonts w:hint="eastAsia" w:ascii="宋体" w:hAnsi="宋体"/>
          <w:sz w:val="24"/>
        </w:rPr>
        <w:t>5．告知</w:t>
      </w:r>
    </w:p>
    <w:p>
      <w:pPr>
        <w:rPr>
          <w:rFonts w:hint="eastAsia" w:ascii="宋体" w:hAnsi="宋体"/>
          <w:sz w:val="24"/>
        </w:rPr>
      </w:pPr>
      <w:r>
        <w:rPr>
          <w:rFonts w:hint="eastAsia" w:ascii="宋体" w:hAnsi="宋体"/>
          <w:sz w:val="24"/>
        </w:rPr>
        <w:t xml:space="preserve">涉及本合同的一切事宜均以书面形式提交，对方应及时响应。 </w:t>
      </w:r>
    </w:p>
    <w:p>
      <w:pPr>
        <w:rPr>
          <w:rFonts w:hint="eastAsia" w:ascii="宋体" w:hAnsi="宋体"/>
          <w:sz w:val="24"/>
        </w:rPr>
      </w:pPr>
      <w:r>
        <w:rPr>
          <w:rFonts w:hint="eastAsia" w:ascii="宋体" w:hAnsi="宋体"/>
          <w:sz w:val="24"/>
        </w:rPr>
        <w:t>6．保密责任</w:t>
      </w:r>
    </w:p>
    <w:p>
      <w:pPr>
        <w:rPr>
          <w:rFonts w:hint="eastAsia" w:ascii="宋体" w:hAnsi="宋体"/>
          <w:sz w:val="24"/>
        </w:rPr>
      </w:pPr>
      <w:r>
        <w:rPr>
          <w:rFonts w:hint="eastAsia" w:ascii="宋体" w:hAnsi="宋体"/>
          <w:sz w:val="24"/>
        </w:rPr>
        <w:t>双方共同恪守对技术及对项目的保密责任。</w:t>
      </w:r>
    </w:p>
    <w:p>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所有项目相关人员不得以任何形式向第三方泄露项目合作计划和内容。</w:t>
      </w:r>
    </w:p>
    <w:p>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所有项目相关人员，不得以任何方式向第三方泄露有关项目的技术资料。</w:t>
      </w:r>
    </w:p>
    <w:p>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乙方对甲方提供给乙方的注明保密的信息系统数据、信息系统实务及相关信息，不得外泄。</w:t>
      </w:r>
    </w:p>
    <w:p>
      <w:pPr>
        <w:rPr>
          <w:rFonts w:hint="eastAsia" w:ascii="宋体" w:hAnsi="宋体"/>
          <w:sz w:val="24"/>
        </w:rPr>
      </w:pPr>
    </w:p>
    <w:p>
      <w:pPr>
        <w:pStyle w:val="6"/>
        <w:rPr>
          <w:rFonts w:hint="eastAsia" w:ascii="宋体" w:hAnsi="宋体"/>
          <w:sz w:val="24"/>
          <w:szCs w:val="24"/>
        </w:rPr>
      </w:pPr>
      <w:r>
        <w:rPr>
          <w:rFonts w:hint="eastAsia" w:ascii="宋体" w:hAnsi="宋体"/>
          <w:sz w:val="24"/>
          <w:szCs w:val="24"/>
        </w:rPr>
        <w:t>第二条服务内容及相关事项</w:t>
      </w:r>
    </w:p>
    <w:tbl>
      <w:tblPr>
        <w:tblStyle w:val="25"/>
        <w:tblW w:w="84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9" w:type="dxa"/>
            <w:noWrap w:val="0"/>
            <w:vAlign w:val="center"/>
          </w:tcPr>
          <w:p>
            <w:pPr>
              <w:jc w:val="center"/>
              <w:rPr>
                <w:rFonts w:ascii="宋体" w:hAnsi="宋体"/>
                <w:b/>
                <w:sz w:val="24"/>
              </w:rPr>
            </w:pPr>
            <w:r>
              <w:rPr>
                <w:rFonts w:ascii="宋体" w:hAnsi="宋体"/>
                <w:b/>
                <w:sz w:val="24"/>
              </w:rPr>
              <w:t>项目</w:t>
            </w:r>
            <w:r>
              <w:rPr>
                <w:rFonts w:hint="eastAsia" w:ascii="宋体" w:hAnsi="宋体"/>
                <w:b/>
                <w:sz w:val="24"/>
              </w:rPr>
              <w:t>名称</w:t>
            </w:r>
          </w:p>
        </w:tc>
        <w:tc>
          <w:tcPr>
            <w:tcW w:w="2131" w:type="dxa"/>
            <w:noWrap w:val="0"/>
            <w:vAlign w:val="center"/>
          </w:tcPr>
          <w:p>
            <w:pPr>
              <w:jc w:val="center"/>
              <w:rPr>
                <w:rFonts w:ascii="宋体" w:hAnsi="宋体"/>
                <w:b/>
                <w:sz w:val="24"/>
              </w:rPr>
            </w:pPr>
            <w:r>
              <w:rPr>
                <w:rFonts w:hint="eastAsia" w:ascii="宋体" w:hAnsi="宋体"/>
                <w:b/>
                <w:sz w:val="24"/>
              </w:rPr>
              <w:t>服务</w:t>
            </w:r>
            <w:r>
              <w:rPr>
                <w:rFonts w:ascii="宋体" w:hAnsi="宋体"/>
                <w:b/>
                <w:sz w:val="24"/>
              </w:rPr>
              <w:t>内容</w:t>
            </w:r>
          </w:p>
        </w:tc>
        <w:tc>
          <w:tcPr>
            <w:tcW w:w="4818" w:type="dxa"/>
            <w:noWrap w:val="0"/>
            <w:vAlign w:val="center"/>
          </w:tcPr>
          <w:p>
            <w:pPr>
              <w:jc w:val="center"/>
              <w:rPr>
                <w:rFonts w:ascii="宋体" w:hAnsi="宋体"/>
                <w:b/>
                <w:sz w:val="24"/>
              </w:rPr>
            </w:pPr>
            <w:r>
              <w:rPr>
                <w:rFonts w:hint="eastAsia" w:ascii="宋体" w:hAnsi="宋体"/>
                <w:b/>
                <w:sz w:val="24"/>
              </w:rPr>
              <w:t>服务条款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restart"/>
            <w:noWrap w:val="0"/>
            <w:vAlign w:val="center"/>
          </w:tcPr>
          <w:p>
            <w:pPr>
              <w:rPr>
                <w:rFonts w:hint="eastAsia" w:ascii="宋体" w:hAnsi="宋体"/>
                <w:sz w:val="24"/>
              </w:rPr>
            </w:pPr>
            <w:r>
              <w:rPr>
                <w:rFonts w:hint="eastAsia" w:ascii="宋体" w:hAnsi="宋体"/>
                <w:sz w:val="24"/>
              </w:rPr>
              <w:t>国家税务总局黑龙江省</w:t>
            </w:r>
          </w:p>
          <w:p>
            <w:pPr>
              <w:rPr>
                <w:rFonts w:ascii="宋体" w:hAnsi="宋体"/>
                <w:sz w:val="24"/>
              </w:rPr>
            </w:pPr>
            <w:r>
              <w:rPr>
                <w:rFonts w:hint="eastAsia" w:ascii="宋体" w:hAnsi="宋体"/>
                <w:sz w:val="24"/>
              </w:rPr>
              <w:t>税务局</w:t>
            </w:r>
            <w:r>
              <w:rPr>
                <w:rFonts w:ascii="宋体" w:hAnsi="宋体"/>
                <w:sz w:val="24"/>
              </w:rPr>
              <w:t>(</w:t>
            </w:r>
            <w:r>
              <w:rPr>
                <w:rFonts w:hint="eastAsia" w:ascii="宋体" w:hAnsi="宋体"/>
                <w:sz w:val="24"/>
              </w:rPr>
              <w:t>门户网站安全监测、操作系统更换和网站漏洞修补服务</w:t>
            </w:r>
            <w:r>
              <w:rPr>
                <w:rFonts w:hint="eastAsia" w:ascii="宋体" w:hAnsi="宋体"/>
                <w:sz w:val="24"/>
                <w:lang w:val="en-US" w:eastAsia="zh-CN"/>
              </w:rPr>
              <w:t>项目</w:t>
            </w:r>
            <w:r>
              <w:rPr>
                <w:rFonts w:hint="eastAsia" w:ascii="宋体" w:hAnsi="宋体" w:eastAsia="宋体" w:cs="Times New Roman"/>
                <w:sz w:val="24"/>
              </w:rPr>
              <w:t>)</w:t>
            </w: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left"/>
              <w:rPr>
                <w:rFonts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center"/>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right w:val="single" w:color="auto" w:sz="4" w:space="0"/>
            </w:tcBorders>
            <w:noWrap w:val="0"/>
            <w:vAlign w:val="top"/>
          </w:tcPr>
          <w:p>
            <w:pPr>
              <w:ind w:firstLine="482" w:firstLineChars="200"/>
              <w:jc w:val="left"/>
              <w:rPr>
                <w:rFonts w:hint="eastAsia" w:ascii="宋体" w:hAnsi="宋体"/>
                <w:b/>
                <w:sz w:val="24"/>
              </w:rPr>
            </w:pPr>
          </w:p>
        </w:tc>
        <w:tc>
          <w:tcPr>
            <w:tcW w:w="4818" w:type="dxa"/>
            <w:tcBorders>
              <w:top w:val="single" w:color="auto" w:sz="4" w:space="0"/>
              <w:left w:val="single" w:color="auto" w:sz="4" w:space="0"/>
              <w:right w:val="single" w:color="auto" w:sz="4" w:space="0"/>
            </w:tcBorders>
            <w:noWrap w:val="0"/>
            <w:vAlign w:val="center"/>
          </w:tcPr>
          <w:p>
            <w:pPr>
              <w:rPr>
                <w:rFonts w:ascii="宋体" w:hAnsi="宋体"/>
                <w:sz w:val="24"/>
              </w:rPr>
            </w:pPr>
          </w:p>
        </w:tc>
      </w:tr>
    </w:tbl>
    <w:p>
      <w:pPr>
        <w:rPr>
          <w:rFonts w:hint="eastAsia" w:ascii="宋体" w:hAnsi="宋体"/>
          <w:sz w:val="24"/>
        </w:rPr>
      </w:pPr>
    </w:p>
    <w:p>
      <w:pPr>
        <w:pStyle w:val="5"/>
        <w:spacing w:before="200" w:after="200" w:line="240" w:lineRule="auto"/>
        <w:rPr>
          <w:rFonts w:hint="eastAsia" w:ascii="宋体" w:hAnsi="宋体"/>
          <w:kern w:val="2"/>
          <w:sz w:val="24"/>
          <w:szCs w:val="24"/>
        </w:rPr>
      </w:pPr>
      <w:r>
        <w:rPr>
          <w:rFonts w:hint="eastAsia" w:ascii="宋体" w:hAnsi="宋体"/>
          <w:kern w:val="2"/>
          <w:sz w:val="24"/>
          <w:szCs w:val="24"/>
        </w:rPr>
        <w:t xml:space="preserve">第三条  </w:t>
      </w:r>
      <w:r>
        <w:rPr>
          <w:rFonts w:hint="eastAsia" w:ascii="宋体" w:hAnsi="宋体"/>
          <w:kern w:val="2"/>
          <w:sz w:val="24"/>
          <w:szCs w:val="24"/>
          <w:lang w:eastAsia="zh-CN"/>
        </w:rPr>
        <w:t>服务</w:t>
      </w:r>
      <w:r>
        <w:rPr>
          <w:rFonts w:hint="eastAsia" w:ascii="宋体" w:hAnsi="宋体"/>
          <w:kern w:val="2"/>
          <w:sz w:val="24"/>
          <w:szCs w:val="24"/>
        </w:rPr>
        <w:t>内容</w:t>
      </w:r>
    </w:p>
    <w:p>
      <w:pPr>
        <w:numPr>
          <w:ilvl w:val="0"/>
          <w:numId w:val="11"/>
        </w:numPr>
        <w:rPr>
          <w:rFonts w:hint="eastAsia" w:ascii="宋体" w:hAnsi="宋体"/>
          <w:sz w:val="24"/>
        </w:rPr>
      </w:pPr>
      <w:r>
        <w:rPr>
          <w:rFonts w:hint="eastAsia" w:ascii="宋体" w:hAnsi="宋体"/>
          <w:sz w:val="24"/>
        </w:rPr>
        <w:t>在服务期内，乙方为完成“</w:t>
      </w:r>
      <w:r>
        <w:rPr>
          <w:rFonts w:hint="eastAsia" w:ascii="宋体" w:hAnsi="宋体"/>
          <w:sz w:val="24"/>
          <w:u w:val="single"/>
        </w:rPr>
        <w:t>（</w:t>
      </w:r>
      <w:r>
        <w:rPr>
          <w:rFonts w:hint="eastAsia" w:ascii="宋体" w:hAnsi="宋体" w:cs="Times New Roman"/>
          <w:sz w:val="24"/>
          <w:lang w:val="en-US" w:eastAsia="zh-CN"/>
        </w:rPr>
        <w:t>国家税务总局黑龙江省税务局门户网站安全监测、操作系统更换和网站漏洞修补服务项目</w:t>
      </w:r>
      <w:r>
        <w:rPr>
          <w:rFonts w:hint="eastAsia" w:ascii="宋体" w:hAnsi="宋体"/>
          <w:sz w:val="24"/>
          <w:u w:val="single"/>
        </w:rPr>
        <w:t>）</w:t>
      </w:r>
      <w:r>
        <w:rPr>
          <w:rFonts w:hint="eastAsia" w:ascii="宋体" w:hAnsi="宋体"/>
          <w:sz w:val="24"/>
        </w:rPr>
        <w:t>”招标文件所列全部服务内容,</w:t>
      </w:r>
      <w:r>
        <w:rPr>
          <w:rFonts w:ascii="宋体" w:hAnsi="宋体"/>
          <w:sz w:val="24"/>
        </w:rPr>
        <w:t>范围内的</w:t>
      </w:r>
      <w:r>
        <w:rPr>
          <w:rFonts w:hint="eastAsia" w:ascii="宋体" w:hAnsi="宋体"/>
          <w:sz w:val="24"/>
        </w:rPr>
        <w:t>乙方自行使用的</w:t>
      </w:r>
      <w:r>
        <w:rPr>
          <w:rFonts w:ascii="宋体" w:hAnsi="宋体"/>
          <w:sz w:val="24"/>
        </w:rPr>
        <w:t>所有设备、耗材</w:t>
      </w:r>
      <w:r>
        <w:rPr>
          <w:rFonts w:hint="eastAsia" w:ascii="宋体" w:hAnsi="宋体"/>
          <w:sz w:val="24"/>
        </w:rPr>
        <w:t>等</w:t>
      </w:r>
      <w:r>
        <w:rPr>
          <w:rFonts w:ascii="宋体" w:hAnsi="宋体"/>
          <w:sz w:val="24"/>
        </w:rPr>
        <w:t>由乙方</w:t>
      </w:r>
      <w:r>
        <w:rPr>
          <w:rFonts w:hint="eastAsia" w:ascii="宋体" w:hAnsi="宋体"/>
          <w:sz w:val="24"/>
        </w:rPr>
        <w:t>自行</w:t>
      </w:r>
      <w:r>
        <w:rPr>
          <w:rFonts w:ascii="宋体" w:hAnsi="宋体"/>
          <w:sz w:val="24"/>
        </w:rPr>
        <w:t>承担</w:t>
      </w:r>
      <w:r>
        <w:rPr>
          <w:rFonts w:hint="eastAsia" w:ascii="宋体" w:hAnsi="宋体"/>
          <w:sz w:val="24"/>
        </w:rPr>
        <w:t>。</w:t>
      </w:r>
    </w:p>
    <w:p>
      <w:pPr>
        <w:numPr>
          <w:ilvl w:val="0"/>
          <w:numId w:val="11"/>
        </w:numPr>
        <w:rPr>
          <w:rFonts w:hint="eastAsia" w:ascii="宋体" w:hAnsi="宋体"/>
          <w:sz w:val="24"/>
        </w:rPr>
      </w:pPr>
      <w:r>
        <w:rPr>
          <w:rFonts w:hint="eastAsia" w:ascii="宋体" w:hAnsi="宋体"/>
          <w:sz w:val="24"/>
        </w:rPr>
        <w:t>乙方委派。</w:t>
      </w:r>
    </w:p>
    <w:p>
      <w:pPr>
        <w:pStyle w:val="31"/>
        <w:ind w:firstLine="420"/>
        <w:rPr>
          <w:rFonts w:hint="eastAsia"/>
        </w:rPr>
      </w:pPr>
      <w:r>
        <w:rPr>
          <w:rFonts w:hint="eastAsia"/>
        </w:rPr>
        <w:t>（同“附件2”人员）</w:t>
      </w:r>
    </w:p>
    <w:p>
      <w:pPr>
        <w:numPr>
          <w:ilvl w:val="0"/>
          <w:numId w:val="11"/>
        </w:numPr>
        <w:rPr>
          <w:rFonts w:hint="eastAsia" w:ascii="宋体" w:hAnsi="宋体"/>
          <w:sz w:val="24"/>
        </w:rPr>
      </w:pPr>
      <w:r>
        <w:rPr>
          <w:rFonts w:hint="eastAsia" w:ascii="宋体" w:hAnsi="宋体"/>
          <w:sz w:val="24"/>
        </w:rPr>
        <w:t>服务电话。</w:t>
      </w:r>
    </w:p>
    <w:p>
      <w:pPr>
        <w:pStyle w:val="31"/>
        <w:rPr>
          <w:rFonts w:hint="eastAsia" w:ascii="宋体" w:hAnsi="宋体"/>
          <w:sz w:val="24"/>
        </w:rPr>
      </w:pPr>
      <w:r>
        <w:rPr>
          <w:rFonts w:hint="eastAsia" w:ascii="宋体" w:hAnsi="宋体"/>
          <w:sz w:val="24"/>
        </w:rPr>
        <w:t>（售后电话，必填项）</w:t>
      </w:r>
    </w:p>
    <w:p>
      <w:pPr>
        <w:pStyle w:val="5"/>
        <w:spacing w:before="200" w:after="200" w:line="240" w:lineRule="auto"/>
        <w:rPr>
          <w:rFonts w:ascii="宋体" w:hAnsi="宋体"/>
          <w:kern w:val="2"/>
          <w:sz w:val="24"/>
          <w:szCs w:val="24"/>
        </w:rPr>
      </w:pPr>
      <w:r>
        <w:rPr>
          <w:rFonts w:hint="eastAsia" w:ascii="宋体" w:hAnsi="宋体"/>
          <w:kern w:val="2"/>
          <w:sz w:val="24"/>
          <w:szCs w:val="24"/>
        </w:rPr>
        <w:t>第四条  服务期限及服务生效时间</w:t>
      </w:r>
    </w:p>
    <w:p>
      <w:pPr>
        <w:ind w:firstLine="240" w:firstLineChars="100"/>
        <w:rPr>
          <w:rFonts w:hint="eastAsia" w:ascii="宋体" w:hAnsi="宋体"/>
          <w:color w:val="000000"/>
          <w:sz w:val="24"/>
        </w:rPr>
      </w:pPr>
      <w:r>
        <w:rPr>
          <w:rFonts w:hint="eastAsia" w:ascii="宋体" w:hAnsi="宋体"/>
          <w:color w:val="000000"/>
          <w:sz w:val="24"/>
        </w:rPr>
        <w:t>本合同有效期自＿年  ＿月＿日起至＿年＿月＿日止。</w:t>
      </w:r>
    </w:p>
    <w:p>
      <w:pPr>
        <w:pStyle w:val="5"/>
        <w:numPr>
          <w:ilvl w:val="0"/>
          <w:numId w:val="12"/>
        </w:numPr>
        <w:spacing w:before="200" w:after="200" w:line="240" w:lineRule="auto"/>
        <w:rPr>
          <w:rFonts w:hint="eastAsia" w:ascii="宋体" w:hAnsi="宋体"/>
          <w:kern w:val="2"/>
          <w:sz w:val="24"/>
          <w:szCs w:val="24"/>
        </w:rPr>
      </w:pPr>
      <w:r>
        <w:rPr>
          <w:rFonts w:hint="eastAsia" w:ascii="宋体" w:hAnsi="宋体"/>
          <w:kern w:val="2"/>
          <w:sz w:val="24"/>
          <w:szCs w:val="24"/>
        </w:rPr>
        <w:t>具体服务项目计费标准</w:t>
      </w:r>
    </w:p>
    <w:p>
      <w:pPr>
        <w:pStyle w:val="2"/>
        <w:numPr>
          <w:ilvl w:val="0"/>
          <w:numId w:val="0"/>
        </w:numPr>
        <w:ind w:leftChars="0"/>
        <w:rPr>
          <w:rFonts w:hint="eastAsia"/>
        </w:rPr>
      </w:pPr>
    </w:p>
    <w:tbl>
      <w:tblPr>
        <w:tblStyle w:val="25"/>
        <w:tblpPr w:leftFromText="180" w:rightFromText="180" w:vertAnchor="text" w:horzAnchor="page" w:tblpX="1402" w:tblpY="50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序号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服务名称</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left="250" w:right="71" w:hanging="250" w:hangingChars="101"/>
              <w:jc w:val="center"/>
              <w:rPr>
                <w:rFonts w:ascii="宋体" w:hAnsi="宋体"/>
                <w:spacing w:val="4"/>
                <w:sz w:val="24"/>
              </w:rPr>
            </w:pPr>
            <w:r>
              <w:rPr>
                <w:rFonts w:hint="eastAsia" w:ascii="宋体" w:hAnsi="宋体"/>
                <w:spacing w:val="4"/>
                <w:sz w:val="24"/>
              </w:rPr>
              <w:t>服务主要内容</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服务周期</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单价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spacing w:val="4"/>
                <w:sz w:val="24"/>
              </w:rPr>
            </w:pPr>
            <w:r>
              <w:rPr>
                <w:rFonts w:hint="eastAsia" w:ascii="宋体" w:hAnsi="宋体"/>
                <w:spacing w:val="4"/>
                <w:sz w:val="24"/>
              </w:rPr>
              <w:t>1</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cs="Times New Roman"/>
                <w:sz w:val="24"/>
                <w:lang w:val="en-US" w:eastAsia="zh-CN"/>
              </w:rPr>
              <w:t>门户网站安全监测、操作系统更换和网站漏洞修补服务</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left"/>
              <w:rPr>
                <w:rFonts w:ascii="宋体" w:hAnsi="宋体"/>
                <w:spacing w:val="4"/>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noWrap w:val="0"/>
            <w:vAlign w:val="top"/>
          </w:tcPr>
          <w:p>
            <w:pPr>
              <w:spacing w:line="440" w:lineRule="exact"/>
              <w:ind w:right="71"/>
              <w:rPr>
                <w:rFonts w:ascii="宋体" w:hAnsi="宋体"/>
                <w:spacing w:val="4"/>
                <w:sz w:val="24"/>
              </w:rPr>
            </w:pPr>
            <w:r>
              <w:rPr>
                <w:rFonts w:hint="eastAsia" w:ascii="宋体" w:hAnsi="宋体"/>
                <w:spacing w:val="4"/>
                <w:sz w:val="24"/>
              </w:rPr>
              <w:t>金额合计：人民币</w:t>
            </w:r>
            <w:r>
              <w:rPr>
                <w:rFonts w:hint="eastAsia" w:ascii="宋体" w:hAnsi="宋体"/>
                <w:spacing w:val="4"/>
                <w:sz w:val="24"/>
                <w:u w:val="single"/>
              </w:rPr>
              <w:t>￥</w:t>
            </w:r>
            <w:r>
              <w:rPr>
                <w:rFonts w:ascii="宋体" w:hAnsi="宋体"/>
                <w:spacing w:val="4"/>
                <w:sz w:val="24"/>
                <w:u w:val="single"/>
              </w:rPr>
              <w:t xml:space="preserve"> </w:t>
            </w:r>
            <w:r>
              <w:rPr>
                <w:rFonts w:hint="eastAsia" w:ascii="宋体" w:hAnsi="宋体"/>
                <w:spacing w:val="4"/>
                <w:sz w:val="24"/>
                <w:u w:val="single"/>
              </w:rPr>
              <w:t xml:space="preserve">           ，（大写） </w:t>
            </w:r>
            <w:r>
              <w:rPr>
                <w:rFonts w:ascii="宋体" w:hAnsi="宋体"/>
                <w:spacing w:val="4"/>
                <w:sz w:val="24"/>
                <w:u w:val="single"/>
              </w:rPr>
              <w:t xml:space="preserve"> </w:t>
            </w:r>
          </w:p>
        </w:tc>
      </w:tr>
    </w:tbl>
    <w:p>
      <w:pPr>
        <w:pStyle w:val="5"/>
        <w:spacing w:before="200" w:after="200" w:line="240" w:lineRule="auto"/>
        <w:rPr>
          <w:rFonts w:hint="eastAsia" w:ascii="宋体" w:hAnsi="宋体"/>
          <w:kern w:val="2"/>
          <w:sz w:val="24"/>
          <w:szCs w:val="24"/>
        </w:rPr>
      </w:pPr>
      <w:r>
        <w:rPr>
          <w:rFonts w:hint="eastAsia" w:ascii="宋体" w:hAnsi="宋体"/>
          <w:kern w:val="2"/>
          <w:sz w:val="24"/>
          <w:szCs w:val="24"/>
        </w:rPr>
        <w:t>第六条 费用支付方式</w:t>
      </w:r>
    </w:p>
    <w:p>
      <w:pPr>
        <w:rPr>
          <w:rFonts w:hint="eastAsia"/>
        </w:rPr>
      </w:pPr>
      <w:r>
        <w:rPr>
          <w:rFonts w:hint="eastAsia" w:ascii="宋体" w:hAnsi="宋体" w:eastAsia="宋体" w:cs="Times New Roman"/>
          <w:sz w:val="24"/>
          <w:lang w:val="en-US" w:eastAsia="zh-CN"/>
        </w:rPr>
        <w:t>合同标的服务费金额为人民币     万元（大写：</w:t>
      </w:r>
      <w:r>
        <w:rPr>
          <w:rFonts w:hint="eastAsia" w:ascii="宋体" w:hAnsi="宋体" w:cs="Times New Roman"/>
          <w:sz w:val="24"/>
          <w:lang w:val="en-US" w:eastAsia="zh-CN"/>
        </w:rPr>
        <w:t xml:space="preserve">     </w:t>
      </w:r>
      <w:r>
        <w:rPr>
          <w:rFonts w:hint="eastAsia" w:ascii="宋体" w:hAnsi="宋体" w:eastAsia="宋体" w:cs="Times New Roman"/>
          <w:sz w:val="24"/>
          <w:lang w:val="en-US" w:eastAsia="zh-CN"/>
        </w:rPr>
        <w:t>整）。合同签订后</w:t>
      </w:r>
      <w:r>
        <w:rPr>
          <w:rFonts w:hint="eastAsia" w:ascii="宋体" w:hAnsi="宋体" w:cs="Times New Roman"/>
          <w:sz w:val="24"/>
          <w:lang w:val="en-US" w:eastAsia="zh-CN"/>
        </w:rPr>
        <w:t>10个工作日内</w:t>
      </w:r>
      <w:r>
        <w:rPr>
          <w:rFonts w:hint="eastAsia" w:ascii="宋体" w:hAnsi="宋体" w:eastAsia="宋体" w:cs="Times New Roman"/>
          <w:sz w:val="24"/>
          <w:lang w:val="en-US" w:eastAsia="zh-CN"/>
        </w:rPr>
        <w:t>，甲方支付给乙方合同价款的50%，人民币     万元（大写：      元整）；服务期满</w:t>
      </w:r>
      <w:r>
        <w:rPr>
          <w:rFonts w:hint="eastAsia" w:ascii="宋体" w:hAnsi="宋体" w:cs="Times New Roman"/>
          <w:sz w:val="24"/>
          <w:lang w:val="en-US" w:eastAsia="zh-CN"/>
        </w:rPr>
        <w:t>10个工作日</w:t>
      </w:r>
      <w:r>
        <w:rPr>
          <w:rFonts w:hint="eastAsia" w:ascii="宋体" w:hAnsi="宋体" w:eastAsia="宋体" w:cs="Times New Roman"/>
          <w:sz w:val="24"/>
          <w:lang w:val="en-US" w:eastAsia="zh-CN"/>
        </w:rPr>
        <w:t>后，</w:t>
      </w:r>
      <w:r>
        <w:rPr>
          <w:rFonts w:hint="eastAsia" w:ascii="宋体" w:hAnsi="宋体" w:cs="Times New Roman"/>
          <w:sz w:val="24"/>
          <w:lang w:val="en-US" w:eastAsia="zh-CN"/>
        </w:rPr>
        <w:t>甲方对乙方的工作进行评价验收，验收通过后10个工作日内，</w:t>
      </w:r>
      <w:r>
        <w:rPr>
          <w:rFonts w:hint="eastAsia" w:ascii="宋体" w:hAnsi="宋体" w:eastAsia="宋体" w:cs="Times New Roman"/>
          <w:sz w:val="24"/>
          <w:lang w:val="en-US" w:eastAsia="zh-CN"/>
        </w:rPr>
        <w:t>甲方支付合同价款的</w:t>
      </w:r>
      <w:r>
        <w:rPr>
          <w:rFonts w:hint="eastAsia" w:ascii="宋体" w:hAnsi="宋体" w:cs="Times New Roman"/>
          <w:sz w:val="24"/>
          <w:lang w:val="en-US" w:eastAsia="zh-CN"/>
        </w:rPr>
        <w:t>5</w:t>
      </w:r>
      <w:r>
        <w:rPr>
          <w:rFonts w:hint="eastAsia" w:ascii="宋体" w:hAnsi="宋体" w:eastAsia="宋体" w:cs="Times New Roman"/>
          <w:sz w:val="24"/>
          <w:lang w:val="en-US" w:eastAsia="zh-CN"/>
        </w:rPr>
        <w:t>0%，人民币   万元（大写：      元整）。乙方应在每次付款前向甲方提供</w:t>
      </w:r>
      <w:r>
        <w:rPr>
          <w:rFonts w:hint="eastAsia" w:ascii="宋体" w:hAnsi="宋体" w:cs="Times New Roman"/>
          <w:sz w:val="24"/>
          <w:lang w:val="en-US" w:eastAsia="zh-CN"/>
        </w:rPr>
        <w:t>符合甲方要求的</w:t>
      </w:r>
      <w:r>
        <w:rPr>
          <w:rFonts w:hint="eastAsia" w:ascii="宋体" w:hAnsi="宋体" w:eastAsia="宋体" w:cs="Times New Roman"/>
          <w:sz w:val="24"/>
          <w:lang w:val="en-US" w:eastAsia="zh-CN"/>
        </w:rPr>
        <w:t>等额发票等凭据。</w:t>
      </w:r>
    </w:p>
    <w:p>
      <w:pPr>
        <w:rPr>
          <w:rFonts w:ascii="宋体" w:hAnsi="宋体"/>
          <w:sz w:val="24"/>
        </w:rPr>
      </w:pPr>
      <w:r>
        <w:rPr>
          <w:rFonts w:hint="eastAsia" w:ascii="宋体" w:hAnsi="宋体"/>
          <w:sz w:val="24"/>
        </w:rPr>
        <w:t>乙方指定收款账户如下：</w:t>
      </w:r>
    </w:p>
    <w:p>
      <w:pPr>
        <w:rPr>
          <w:rFonts w:hint="eastAsia" w:ascii="宋体" w:hAnsi="宋体"/>
          <w:sz w:val="24"/>
        </w:rPr>
      </w:pPr>
      <w:r>
        <w:rPr>
          <w:rFonts w:hint="eastAsia" w:ascii="宋体" w:hAnsi="宋体"/>
          <w:sz w:val="24"/>
        </w:rPr>
        <w:t xml:space="preserve">单位全称： </w:t>
      </w:r>
    </w:p>
    <w:p>
      <w:pPr>
        <w:rPr>
          <w:rFonts w:hint="eastAsia" w:ascii="宋体" w:hAnsi="宋体"/>
          <w:sz w:val="24"/>
        </w:rPr>
      </w:pPr>
      <w:r>
        <w:rPr>
          <w:rFonts w:hint="eastAsia" w:ascii="宋体" w:hAnsi="宋体"/>
          <w:sz w:val="24"/>
        </w:rPr>
        <w:t xml:space="preserve">开 户 行： </w:t>
      </w:r>
    </w:p>
    <w:p>
      <w:pPr>
        <w:rPr>
          <w:rFonts w:hint="eastAsia" w:ascii="宋体" w:hAnsi="宋体"/>
          <w:sz w:val="24"/>
        </w:rPr>
      </w:pPr>
      <w:r>
        <w:rPr>
          <w:rFonts w:hint="eastAsia" w:ascii="宋体" w:hAnsi="宋体"/>
          <w:sz w:val="24"/>
        </w:rPr>
        <w:t xml:space="preserve">帐    号： </w:t>
      </w:r>
    </w:p>
    <w:p>
      <w:pPr>
        <w:pStyle w:val="5"/>
        <w:spacing w:before="200" w:after="200" w:line="240" w:lineRule="auto"/>
        <w:rPr>
          <w:rFonts w:ascii="宋体" w:hAnsi="宋体"/>
          <w:kern w:val="2"/>
          <w:sz w:val="24"/>
          <w:szCs w:val="24"/>
        </w:rPr>
      </w:pPr>
      <w:r>
        <w:rPr>
          <w:rFonts w:hint="eastAsia" w:ascii="宋体" w:hAnsi="宋体"/>
          <w:kern w:val="2"/>
          <w:sz w:val="24"/>
          <w:szCs w:val="24"/>
        </w:rPr>
        <w:t>第七条 甲乙双方责任与义务</w:t>
      </w:r>
    </w:p>
    <w:p>
      <w:pPr>
        <w:rPr>
          <w:rFonts w:hint="eastAsia" w:ascii="宋体" w:hAnsi="宋体"/>
          <w:color w:val="000000"/>
          <w:sz w:val="24"/>
        </w:rPr>
      </w:pPr>
      <w:r>
        <w:rPr>
          <w:rFonts w:hint="eastAsia" w:ascii="宋体" w:hAnsi="宋体"/>
          <w:color w:val="000000"/>
          <w:sz w:val="24"/>
        </w:rPr>
        <w:t>甲方责任：</w:t>
      </w:r>
    </w:p>
    <w:p>
      <w:pPr>
        <w:rPr>
          <w:rFonts w:ascii="宋体" w:hAnsi="宋体"/>
          <w:color w:val="000000"/>
          <w:sz w:val="24"/>
        </w:rPr>
      </w:pPr>
      <w:r>
        <w:rPr>
          <w:rFonts w:hint="eastAsia" w:ascii="宋体" w:hAnsi="宋体"/>
          <w:color w:val="000000"/>
          <w:sz w:val="24"/>
        </w:rPr>
        <w:t>1、在乙方进行支持服务时，根据乙方要求，指定配合工作的人员，提供必要的设备。</w:t>
      </w:r>
    </w:p>
    <w:p>
      <w:pPr>
        <w:rPr>
          <w:rFonts w:hint="eastAsia" w:ascii="宋体" w:hAnsi="宋体"/>
          <w:color w:val="000000"/>
          <w:sz w:val="24"/>
        </w:rPr>
      </w:pPr>
      <w:r>
        <w:rPr>
          <w:rFonts w:hint="eastAsia" w:ascii="宋体" w:hAnsi="宋体"/>
          <w:color w:val="000000"/>
          <w:sz w:val="24"/>
        </w:rPr>
        <w:t>2、在乙方服务人员支持服务完成时，配合检查设备、系统运行是否正常。</w:t>
      </w:r>
    </w:p>
    <w:p>
      <w:pPr>
        <w:rPr>
          <w:rFonts w:ascii="宋体" w:hAnsi="宋体"/>
          <w:color w:val="000000"/>
          <w:sz w:val="24"/>
        </w:rPr>
      </w:pPr>
      <w:r>
        <w:rPr>
          <w:rFonts w:hint="eastAsia" w:ascii="宋体" w:hAnsi="宋体"/>
          <w:color w:val="000000"/>
          <w:sz w:val="24"/>
        </w:rPr>
        <w:t>3、甲方如果要求乙方超出本合同及其附件约定的范围提供支持服务，甲方应与乙方另行协商签署相关合同，并向乙方支付相应的服务费用。</w:t>
      </w:r>
    </w:p>
    <w:p>
      <w:pPr>
        <w:rPr>
          <w:rFonts w:hint="eastAsia" w:ascii="宋体" w:hAnsi="宋体"/>
          <w:color w:val="000000"/>
          <w:sz w:val="24"/>
        </w:rPr>
      </w:pPr>
    </w:p>
    <w:p>
      <w:pPr>
        <w:rPr>
          <w:rFonts w:hint="eastAsia" w:ascii="宋体" w:hAnsi="宋体"/>
          <w:color w:val="000000"/>
          <w:sz w:val="24"/>
        </w:rPr>
      </w:pPr>
      <w:r>
        <w:rPr>
          <w:rFonts w:hint="eastAsia" w:ascii="宋体" w:hAnsi="宋体"/>
          <w:color w:val="000000"/>
          <w:sz w:val="24"/>
        </w:rPr>
        <w:t>乙方责任：</w:t>
      </w:r>
    </w:p>
    <w:p>
      <w:pPr>
        <w:rPr>
          <w:rFonts w:hint="eastAsia" w:ascii="宋体" w:hAnsi="宋体"/>
          <w:color w:val="000000"/>
          <w:sz w:val="24"/>
        </w:rPr>
      </w:pPr>
      <w:r>
        <w:rPr>
          <w:rFonts w:hint="eastAsia" w:ascii="宋体" w:hAnsi="宋体"/>
          <w:color w:val="000000"/>
          <w:sz w:val="24"/>
        </w:rPr>
        <w:t>1. 严格执行作息制度，按规定时间上下班并根据工作需要按甲方要求进行加班。当产生加班时由甲方为加班人员开具加班证明，乙方必须按照有关规定给予加班人员加班补助。</w:t>
      </w:r>
    </w:p>
    <w:p>
      <w:pPr>
        <w:rPr>
          <w:rFonts w:hint="eastAsia" w:ascii="宋体" w:hAnsi="宋体"/>
          <w:color w:val="000000"/>
          <w:sz w:val="24"/>
        </w:rPr>
      </w:pPr>
      <w:r>
        <w:rPr>
          <w:rFonts w:hint="eastAsia" w:ascii="宋体" w:hAnsi="宋体"/>
          <w:color w:val="000000"/>
          <w:sz w:val="24"/>
        </w:rPr>
        <w:t>2. 严格遵守甲方安全保密制度和规定，签署保密协议。</w:t>
      </w:r>
    </w:p>
    <w:p>
      <w:pPr>
        <w:rPr>
          <w:rFonts w:hint="eastAsia" w:ascii="宋体" w:hAnsi="宋体"/>
          <w:color w:val="000000"/>
          <w:sz w:val="24"/>
        </w:rPr>
      </w:pPr>
      <w:r>
        <w:rPr>
          <w:rFonts w:hint="eastAsia" w:ascii="宋体" w:hAnsi="宋体"/>
          <w:color w:val="000000"/>
          <w:sz w:val="24"/>
        </w:rPr>
        <w:t>3. 严格按照甲方的管理维护制度要求进行相关工作。</w:t>
      </w:r>
    </w:p>
    <w:p>
      <w:pPr>
        <w:rPr>
          <w:rFonts w:hint="eastAsia" w:ascii="宋体" w:hAnsi="宋体"/>
          <w:color w:val="000000"/>
          <w:sz w:val="24"/>
        </w:rPr>
      </w:pPr>
      <w:r>
        <w:rPr>
          <w:rFonts w:hint="eastAsia" w:ascii="宋体" w:hAnsi="宋体"/>
          <w:color w:val="000000"/>
          <w:sz w:val="24"/>
        </w:rPr>
        <w:t>4.发生重大故障立即报告并进行故障排查，故障解决后立即形成书面材料进行上报，说明故障原因、排查过程 、解决方法及预防故障发生的措施或建议等。</w:t>
      </w:r>
    </w:p>
    <w:p>
      <w:pPr>
        <w:rPr>
          <w:rFonts w:hint="eastAsia" w:ascii="宋体" w:hAnsi="宋体" w:eastAsia="宋体" w:cs="Times New Roman"/>
          <w:color w:val="000000"/>
          <w:sz w:val="24"/>
        </w:rPr>
      </w:pPr>
      <w:r>
        <w:rPr>
          <w:rFonts w:hint="eastAsia" w:ascii="宋体" w:hAnsi="宋体" w:eastAsia="宋体" w:cs="Times New Roman"/>
          <w:color w:val="000000"/>
          <w:sz w:val="24"/>
        </w:rPr>
        <w:t>5. 及时填写各类维护记录，保证每次维护工作可进行有效追踪和核查。</w:t>
      </w:r>
    </w:p>
    <w:p>
      <w:pPr>
        <w:rPr>
          <w:rFonts w:hint="eastAsia" w:ascii="宋体" w:hAnsi="宋体"/>
          <w:color w:val="000000"/>
          <w:sz w:val="24"/>
        </w:rPr>
      </w:pPr>
      <w:r>
        <w:rPr>
          <w:rFonts w:hint="eastAsia" w:ascii="宋体" w:hAnsi="宋体"/>
          <w:color w:val="000000"/>
          <w:sz w:val="24"/>
        </w:rPr>
        <w:t>6. 甲方对聘用人员进行工作考核，对不符合要求的人员随时进行撤换。</w:t>
      </w:r>
    </w:p>
    <w:p>
      <w:pPr>
        <w:rPr>
          <w:rFonts w:hint="eastAsia" w:ascii="宋体" w:hAnsi="宋体"/>
          <w:color w:val="000000"/>
          <w:sz w:val="24"/>
        </w:rPr>
      </w:pPr>
      <w:r>
        <w:rPr>
          <w:rFonts w:hint="eastAsia" w:ascii="宋体" w:hAnsi="宋体"/>
          <w:color w:val="000000"/>
          <w:sz w:val="24"/>
        </w:rPr>
        <w:t>7. 甲方只负责按照合同约定的金额向乙方支付人员聘用费用，维护人员的工资、社会保险及其它待遇或相关费用等均由乙方负责。</w:t>
      </w:r>
    </w:p>
    <w:p>
      <w:pPr>
        <w:rPr>
          <w:rFonts w:hint="eastAsia" w:ascii="宋体" w:hAnsi="宋体"/>
          <w:color w:val="000000"/>
          <w:sz w:val="24"/>
        </w:rPr>
      </w:pPr>
      <w:r>
        <w:rPr>
          <w:rFonts w:hint="eastAsia" w:ascii="宋体" w:hAnsi="宋体"/>
          <w:color w:val="000000"/>
          <w:sz w:val="24"/>
        </w:rPr>
        <w:t>8. 未经甲方批准，获聘单位不准随意更换聘用人员。</w:t>
      </w:r>
    </w:p>
    <w:p>
      <w:pPr>
        <w:rPr>
          <w:rFonts w:hint="eastAsia" w:ascii="宋体" w:hAnsi="宋体"/>
          <w:color w:val="000000"/>
          <w:sz w:val="24"/>
        </w:rPr>
      </w:pPr>
      <w:r>
        <w:rPr>
          <w:rFonts w:hint="eastAsia" w:ascii="宋体" w:hAnsi="宋体"/>
          <w:color w:val="000000"/>
          <w:sz w:val="24"/>
        </w:rPr>
        <w:t>9. 聘用人员在聘用期间必须完全遵守甲方的有关规定和服从管理。</w:t>
      </w:r>
    </w:p>
    <w:p>
      <w:pPr>
        <w:rPr>
          <w:rFonts w:hint="eastAsia" w:ascii="宋体" w:hAnsi="宋体"/>
          <w:color w:val="000000"/>
          <w:sz w:val="24"/>
        </w:rPr>
      </w:pPr>
      <w:r>
        <w:rPr>
          <w:rFonts w:hint="eastAsia" w:ascii="宋体" w:hAnsi="宋体"/>
          <w:color w:val="000000"/>
          <w:sz w:val="24"/>
        </w:rPr>
        <w:t>10. 所有获聘人员均有三个月试用期，期间不满足甲方要求，需无条件更换获聘人员，若整个试用期间一直无法满足甲方的要求，甲方有权解除聘用合同，不承担任何违约责任。</w:t>
      </w:r>
    </w:p>
    <w:p>
      <w:pPr>
        <w:rPr>
          <w:rFonts w:ascii="宋体" w:hAnsi="宋体"/>
          <w:color w:val="000000"/>
          <w:sz w:val="24"/>
        </w:rPr>
      </w:pPr>
    </w:p>
    <w:p>
      <w:pPr>
        <w:pStyle w:val="6"/>
        <w:rPr>
          <w:rFonts w:hint="eastAsia" w:ascii="宋体" w:hAnsi="宋体"/>
          <w:sz w:val="24"/>
          <w:szCs w:val="24"/>
        </w:rPr>
      </w:pPr>
      <w:r>
        <w:rPr>
          <w:rFonts w:hint="eastAsia" w:ascii="宋体" w:hAnsi="宋体"/>
          <w:sz w:val="24"/>
          <w:szCs w:val="24"/>
        </w:rPr>
        <w:t>第八条 违约责任</w:t>
      </w:r>
    </w:p>
    <w:p>
      <w:pPr>
        <w:rPr>
          <w:rFonts w:hint="eastAsia" w:ascii="宋体" w:hAnsi="宋体"/>
          <w:sz w:val="24"/>
        </w:rPr>
      </w:pPr>
      <w:r>
        <w:rPr>
          <w:rFonts w:hint="eastAsia" w:ascii="宋体" w:hAnsi="宋体"/>
          <w:sz w:val="24"/>
        </w:rPr>
        <w:t>1、由于一方违约，造成本合同及其附件不能履行或不能完全履行时，由违约方承担违约责任；如属双方违约，根据实际情况，由双方分别承担各自应负的违约责任。</w:t>
      </w:r>
    </w:p>
    <w:p>
      <w:pPr>
        <w:rPr>
          <w:rFonts w:hint="eastAsia" w:ascii="宋体" w:hAnsi="宋体"/>
          <w:sz w:val="24"/>
        </w:rPr>
      </w:pPr>
      <w:r>
        <w:rPr>
          <w:rFonts w:hint="eastAsia" w:ascii="宋体" w:hAnsi="宋体"/>
          <w:sz w:val="24"/>
        </w:rPr>
        <w:t>2、如甲方未按合同约定的时间和金额向乙方支付应付款项，则自本合同约定的付款之日起，每延迟一天，甲方应向乙方支付本合同应付而未付金额的万分之一的违约金。</w:t>
      </w:r>
    </w:p>
    <w:p>
      <w:pPr>
        <w:rPr>
          <w:rFonts w:hint="eastAsia" w:ascii="宋体" w:hAnsi="宋体"/>
          <w:sz w:val="24"/>
        </w:rPr>
      </w:pPr>
      <w:r>
        <w:rPr>
          <w:rFonts w:hint="eastAsia" w:ascii="宋体" w:hAnsi="宋体"/>
          <w:sz w:val="24"/>
        </w:rPr>
        <w:t>3、如因乙方责任造成项目延期，则自项目应完成之日起，每延迟一天，乙方应向甲方支付未完成部分的合同金额，违约金最高限额为本合同标的总金额的百分之五。</w:t>
      </w:r>
    </w:p>
    <w:p>
      <w:pPr>
        <w:rPr>
          <w:rFonts w:hint="eastAsia" w:ascii="宋体" w:hAnsi="宋体"/>
          <w:sz w:val="24"/>
        </w:rPr>
      </w:pPr>
      <w:r>
        <w:rPr>
          <w:rFonts w:hint="eastAsia" w:ascii="宋体" w:hAnsi="宋体"/>
          <w:sz w:val="24"/>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pPr>
        <w:rPr>
          <w:rFonts w:hint="eastAsia" w:ascii="宋体" w:hAnsi="宋体"/>
          <w:sz w:val="24"/>
        </w:rPr>
      </w:pPr>
      <w:r>
        <w:rPr>
          <w:rFonts w:hint="eastAsia" w:ascii="宋体" w:hAnsi="宋体"/>
          <w:sz w:val="24"/>
        </w:rPr>
        <w:t>5、对本合同项下某一条款的争议，不应影响合同双方对其他条款的履行。</w:t>
      </w:r>
    </w:p>
    <w:p>
      <w:pPr>
        <w:rPr>
          <w:rFonts w:hint="eastAsia" w:ascii="宋体" w:hAnsi="宋体"/>
          <w:color w:val="FF0000"/>
          <w:sz w:val="30"/>
          <w:szCs w:val="30"/>
        </w:rPr>
      </w:pPr>
      <w:r>
        <w:rPr>
          <w:rFonts w:hint="eastAsia" w:ascii="宋体" w:hAnsi="宋体"/>
          <w:sz w:val="24"/>
        </w:rPr>
        <w:t>6、乙方的服务人员不履行或不按本合同约定履行服务，并给甲方造成了实际损失，乙方应该对甲方实际损失给予赔偿。</w:t>
      </w:r>
      <w:r>
        <w:rPr>
          <w:rFonts w:hint="eastAsia" w:ascii="宋体" w:hAnsi="宋体"/>
          <w:color w:val="FF0000"/>
          <w:sz w:val="30"/>
          <w:szCs w:val="30"/>
        </w:rPr>
        <w:t xml:space="preserve">   </w:t>
      </w:r>
    </w:p>
    <w:p>
      <w:pPr>
        <w:rPr>
          <w:rFonts w:hint="eastAsia" w:ascii="宋体" w:hAnsi="宋体"/>
          <w:sz w:val="24"/>
        </w:rPr>
      </w:pPr>
      <w:r>
        <w:rPr>
          <w:rFonts w:hint="eastAsia" w:ascii="宋体" w:hAnsi="宋体"/>
          <w:sz w:val="24"/>
        </w:rPr>
        <w:t>7、对于因乙方</w:t>
      </w:r>
      <w:r>
        <w:rPr>
          <w:rFonts w:hint="eastAsia" w:ascii="宋体" w:hAnsi="宋体"/>
          <w:sz w:val="24"/>
          <w:lang w:eastAsia="zh-CN"/>
        </w:rPr>
        <w:t>服务</w:t>
      </w:r>
      <w:r>
        <w:rPr>
          <w:rFonts w:hint="eastAsia" w:ascii="宋体" w:hAnsi="宋体"/>
          <w:sz w:val="24"/>
        </w:rPr>
        <w:t>人员责任造成业务系统中断业务达半小时以上、或造成系统数据错误的，发生一次即扣除乙方年服务费用的1%；对于因乙方</w:t>
      </w:r>
      <w:r>
        <w:rPr>
          <w:rFonts w:hint="eastAsia" w:ascii="宋体" w:hAnsi="宋体"/>
          <w:sz w:val="24"/>
          <w:lang w:eastAsia="zh-CN"/>
        </w:rPr>
        <w:t>服务</w:t>
      </w:r>
      <w:r>
        <w:rPr>
          <w:rFonts w:hint="eastAsia" w:ascii="宋体" w:hAnsi="宋体"/>
          <w:sz w:val="24"/>
        </w:rPr>
        <w:t>人员责任造成业务系统中断业务二小时以上，发生一次即扣除乙方年服务费用的3%；对于因乙方</w:t>
      </w:r>
      <w:r>
        <w:rPr>
          <w:rFonts w:hint="eastAsia" w:ascii="宋体" w:hAnsi="宋体"/>
          <w:sz w:val="24"/>
          <w:lang w:eastAsia="zh-CN"/>
        </w:rPr>
        <w:t>服务</w:t>
      </w:r>
      <w:r>
        <w:rPr>
          <w:rFonts w:hint="eastAsia" w:ascii="宋体" w:hAnsi="宋体"/>
          <w:sz w:val="24"/>
        </w:rPr>
        <w:t>人员责任造成业务系统中断业务四小时以上,发生一次即扣除乙方年服务费用的5%。</w:t>
      </w:r>
    </w:p>
    <w:p>
      <w:pPr>
        <w:rPr>
          <w:rFonts w:hint="eastAsia" w:ascii="宋体" w:hAnsi="宋体" w:eastAsia="宋体" w:cs="Times New Roman"/>
          <w:sz w:val="24"/>
        </w:rPr>
      </w:pPr>
      <w:r>
        <w:rPr>
          <w:rFonts w:hint="eastAsia" w:ascii="宋体" w:hAnsi="宋体" w:eastAsia="宋体" w:cs="Times New Roman"/>
          <w:sz w:val="24"/>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pPr>
        <w:rPr>
          <w:rFonts w:hint="eastAsia" w:ascii="宋体" w:hAnsi="宋体" w:eastAsia="宋体" w:cs="Times New Roman"/>
          <w:sz w:val="24"/>
        </w:rPr>
      </w:pPr>
      <w:r>
        <w:rPr>
          <w:rFonts w:hint="eastAsia" w:ascii="宋体" w:hAnsi="宋体" w:eastAsia="宋体" w:cs="Times New Roman"/>
          <w:sz w:val="24"/>
        </w:rPr>
        <w:t>9、乙方运维人员工作时间，严格遵守局方工作制度和工作纪律要求，包括节假日在内的各类加班和值班。否则，按照每天5%人月费用从运维费用中扣除。</w:t>
      </w:r>
    </w:p>
    <w:p>
      <w:pPr>
        <w:rPr>
          <w:rFonts w:hint="eastAsia" w:ascii="宋体" w:hAnsi="宋体" w:eastAsia="宋体" w:cs="Times New Roman"/>
          <w:sz w:val="24"/>
        </w:rPr>
      </w:pPr>
      <w:r>
        <w:rPr>
          <w:rFonts w:hint="eastAsia" w:ascii="宋体" w:hAnsi="宋体" w:eastAsia="宋体" w:cs="Times New Roman"/>
          <w:sz w:val="24"/>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pPr>
        <w:rPr>
          <w:rFonts w:hint="eastAsia" w:ascii="宋体" w:hAnsi="宋体"/>
          <w:sz w:val="24"/>
        </w:rPr>
      </w:pPr>
      <w:r>
        <w:rPr>
          <w:rFonts w:hint="eastAsia" w:ascii="宋体" w:hAnsi="宋体"/>
          <w:sz w:val="24"/>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pPr>
        <w:rPr>
          <w:rFonts w:ascii="宋体" w:hAnsi="宋体"/>
          <w:sz w:val="24"/>
        </w:rPr>
      </w:pPr>
      <w:r>
        <w:rPr>
          <w:rFonts w:hint="eastAsia" w:ascii="宋体" w:hAnsi="宋体"/>
          <w:sz w:val="24"/>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pPr>
        <w:pStyle w:val="31"/>
        <w:ind w:firstLine="0" w:firstLineChars="0"/>
        <w:rPr>
          <w:rFonts w:hint="eastAsia"/>
        </w:rPr>
      </w:pPr>
    </w:p>
    <w:p>
      <w:pPr>
        <w:pStyle w:val="6"/>
        <w:rPr>
          <w:rFonts w:ascii="宋体" w:hAnsi="宋体"/>
          <w:sz w:val="24"/>
          <w:szCs w:val="24"/>
        </w:rPr>
      </w:pPr>
      <w:r>
        <w:rPr>
          <w:rFonts w:hint="eastAsia" w:ascii="宋体" w:hAnsi="宋体"/>
          <w:sz w:val="24"/>
          <w:szCs w:val="24"/>
        </w:rPr>
        <w:t>第九条 合同终止</w:t>
      </w:r>
    </w:p>
    <w:p>
      <w:pPr>
        <w:rPr>
          <w:rFonts w:ascii="宋体" w:hAnsi="宋体"/>
          <w:color w:val="000000"/>
          <w:sz w:val="24"/>
        </w:rPr>
      </w:pPr>
      <w:r>
        <w:rPr>
          <w:rFonts w:hint="eastAsia" w:ascii="宋体" w:hAnsi="宋体"/>
          <w:color w:val="000000"/>
          <w:sz w:val="24"/>
        </w:rPr>
        <w:t>1、甲方逾期付款超过90日，乙方将有权利单方终止本合同。</w:t>
      </w:r>
    </w:p>
    <w:p>
      <w:pPr>
        <w:rPr>
          <w:rFonts w:hint="eastAsia" w:ascii="宋体" w:hAnsi="宋体"/>
          <w:sz w:val="24"/>
        </w:rPr>
      </w:pPr>
      <w:r>
        <w:rPr>
          <w:rFonts w:hint="eastAsia" w:ascii="宋体" w:hAnsi="宋体"/>
          <w:sz w:val="24"/>
        </w:rPr>
        <w:t>2、甲方在当年计费周期届满前30日内向乙方提出是否续签合同的书面通知，如未书面通知的合同期满后自然终止。</w:t>
      </w:r>
    </w:p>
    <w:p>
      <w:pPr>
        <w:pStyle w:val="31"/>
        <w:rPr>
          <w:rFonts w:hint="eastAsia" w:ascii="宋体" w:hAnsi="宋体"/>
          <w:sz w:val="24"/>
        </w:rPr>
      </w:pPr>
    </w:p>
    <w:p>
      <w:pPr>
        <w:pStyle w:val="6"/>
        <w:rPr>
          <w:rFonts w:hint="eastAsia" w:ascii="宋体" w:hAnsi="宋体"/>
          <w:sz w:val="24"/>
          <w:szCs w:val="24"/>
        </w:rPr>
      </w:pPr>
      <w:r>
        <w:rPr>
          <w:rFonts w:hint="eastAsia" w:ascii="宋体" w:hAnsi="宋体"/>
          <w:sz w:val="24"/>
          <w:szCs w:val="24"/>
        </w:rPr>
        <w:t>第十条 免责条款</w:t>
      </w:r>
    </w:p>
    <w:p>
      <w:pPr>
        <w:rPr>
          <w:rFonts w:hint="eastAsia" w:ascii="宋体" w:hAnsi="宋体"/>
          <w:color w:val="000000"/>
          <w:sz w:val="24"/>
        </w:rPr>
      </w:pPr>
      <w:r>
        <w:rPr>
          <w:rFonts w:hint="eastAsia" w:ascii="宋体" w:hAnsi="宋体"/>
          <w:color w:val="000000"/>
          <w:sz w:val="24"/>
        </w:rPr>
        <w:t>1、因自然灾害、战争、特别恶劣天气等原因造成乙方维修人员不能按承诺时限到达现场，甲方对乙方不予处罚。</w:t>
      </w:r>
    </w:p>
    <w:p>
      <w:pPr>
        <w:rPr>
          <w:rFonts w:hint="eastAsia" w:ascii="宋体" w:hAnsi="宋体"/>
          <w:color w:val="000000"/>
          <w:sz w:val="24"/>
        </w:rPr>
      </w:pPr>
      <w:r>
        <w:rPr>
          <w:rFonts w:hint="eastAsia" w:ascii="宋体" w:hAnsi="宋体"/>
          <w:color w:val="000000"/>
          <w:sz w:val="24"/>
        </w:rPr>
        <w:t>2、因雷击、火灾、供电事故、人为因素造成设备损坏，甲方另行按实支付维修费。</w:t>
      </w:r>
    </w:p>
    <w:p>
      <w:pPr>
        <w:pStyle w:val="6"/>
        <w:rPr>
          <w:rFonts w:ascii="宋体" w:hAnsi="宋体"/>
          <w:sz w:val="24"/>
          <w:szCs w:val="24"/>
        </w:rPr>
      </w:pPr>
      <w:r>
        <w:rPr>
          <w:rFonts w:hint="eastAsia" w:ascii="宋体" w:hAnsi="宋体"/>
          <w:sz w:val="24"/>
          <w:szCs w:val="24"/>
        </w:rPr>
        <w:t>第十一条 其他</w:t>
      </w:r>
    </w:p>
    <w:p>
      <w:pPr>
        <w:rPr>
          <w:rFonts w:hint="eastAsia" w:ascii="宋体" w:hAnsi="宋体"/>
          <w:color w:val="000000"/>
          <w:sz w:val="24"/>
        </w:rPr>
      </w:pPr>
      <w:r>
        <w:rPr>
          <w:rFonts w:hint="eastAsia" w:ascii="宋体" w:hAnsi="宋体"/>
          <w:color w:val="000000"/>
          <w:sz w:val="24"/>
        </w:rPr>
        <w:t>1、争议解决。甲方的招标文件及乙方的投标文件作为合同的要件，与本合同具有同等法律效力，与本合同不符的以本合同为准。凡由本合同引起的或与解释或执行本合同有关的任何争议，解决途径为甲乙双方可以向本合同的履行地法院提起诉讼。</w:t>
      </w:r>
      <w:r>
        <w:rPr>
          <w:rFonts w:hint="eastAsia" w:ascii="宋体" w:hAnsi="宋体"/>
          <w:sz w:val="24"/>
        </w:rPr>
        <w:t>本合同的履行地为甲方所在地。</w:t>
      </w:r>
    </w:p>
    <w:p>
      <w:pPr>
        <w:rPr>
          <w:rFonts w:hint="eastAsia" w:ascii="宋体" w:hAnsi="宋体"/>
          <w:color w:val="000000"/>
          <w:sz w:val="24"/>
        </w:rPr>
      </w:pPr>
      <w:r>
        <w:rPr>
          <w:rFonts w:hint="eastAsia" w:ascii="宋体" w:hAnsi="宋体"/>
          <w:color w:val="000000"/>
          <w:sz w:val="24"/>
        </w:rPr>
        <w:t>2、适用法律。本合同的成立、有效性、解释、履行及由此产生的争议的解决，均应适用中华人民共和国法律。</w:t>
      </w:r>
    </w:p>
    <w:p>
      <w:pPr>
        <w:rPr>
          <w:rFonts w:hint="eastAsia" w:ascii="宋体" w:hAnsi="宋体"/>
          <w:color w:val="000000"/>
          <w:sz w:val="24"/>
        </w:rPr>
      </w:pPr>
      <w:r>
        <w:rPr>
          <w:rFonts w:hint="eastAsia" w:ascii="宋体" w:hAnsi="宋体"/>
          <w:color w:val="000000"/>
          <w:sz w:val="24"/>
        </w:rPr>
        <w:t>3、文本。本合同自双方授权代表签字并加盖公章之日起生效。本合同一式肆份，甲方贰份，乙方贰份，具有同等法律效力，本合同附件为本合同不可分割的部分，与本合同具有同等法律效力。</w:t>
      </w:r>
    </w:p>
    <w:tbl>
      <w:tblPr>
        <w:tblStyle w:val="25"/>
        <w:tblW w:w="8752" w:type="dxa"/>
        <w:jc w:val="center"/>
        <w:tblLayout w:type="fixed"/>
        <w:tblCellMar>
          <w:top w:w="567" w:type="dxa"/>
          <w:left w:w="105" w:type="dxa"/>
          <w:bottom w:w="567" w:type="dxa"/>
          <w:right w:w="105" w:type="dxa"/>
        </w:tblCellMar>
      </w:tblPr>
      <w:tblGrid>
        <w:gridCol w:w="4074"/>
        <w:gridCol w:w="4678"/>
      </w:tblGrid>
      <w:tr>
        <w:tblPrEx>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ascii="方正宋黑简体" w:eastAsia="方正宋黑简体"/>
                <w:color w:val="000000"/>
                <w:kern w:val="0"/>
                <w:sz w:val="24"/>
              </w:rPr>
              <w:br w:type="page"/>
            </w:r>
            <w:r>
              <w:rPr>
                <w:rFonts w:hint="eastAsia" w:ascii="方正宋黑简体" w:hAnsi="微软雅黑" w:eastAsia="方正宋黑简体" w:cs="宋体"/>
                <w:color w:val="000000"/>
                <w:kern w:val="0"/>
                <w:sz w:val="24"/>
              </w:rPr>
              <w:t>甲方（章）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ind w:firstLine="1080"/>
              <w:jc w:val="righ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年</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月</w:t>
            </w:r>
            <w:r>
              <w:rPr>
                <w:rFonts w:eastAsia="方正宋黑简体"/>
                <w:color w:val="000000"/>
                <w:kern w:val="0"/>
                <w:sz w:val="24"/>
              </w:rPr>
              <w:t> </w:t>
            </w:r>
            <w:r>
              <w:rPr>
                <w:rFonts w:ascii="方正宋黑简体" w:eastAsia="方正宋黑简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乙方（章）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jc w:val="right"/>
              <w:rPr>
                <w:rFonts w:ascii="方正宋黑简体" w:hAnsi="微软雅黑" w:eastAsia="方正宋黑简体" w:cs="宋体"/>
                <w:color w:val="000000"/>
                <w:kern w:val="0"/>
                <w:sz w:val="18"/>
                <w:szCs w:val="18"/>
              </w:rPr>
            </w:pP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年</w:t>
            </w: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月</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单位地址：哈尔滨市东大直街</w:t>
            </w:r>
            <w:r>
              <w:rPr>
                <w:rFonts w:ascii="方正宋黑简体" w:hAnsi="微软雅黑" w:eastAsia="方正宋黑简体" w:cs="宋体"/>
                <w:color w:val="000000"/>
                <w:kern w:val="0"/>
                <w:sz w:val="24"/>
              </w:rPr>
              <w:t>190</w:t>
            </w:r>
            <w:r>
              <w:rPr>
                <w:rFonts w:hint="eastAsia" w:ascii="方正宋黑简体" w:hAnsi="微软雅黑" w:eastAsia="方正宋黑简体" w:cs="宋体"/>
                <w:color w:val="000000"/>
                <w:kern w:val="0"/>
                <w:sz w:val="24"/>
              </w:rPr>
              <w:t>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w:t>
            </w:r>
            <w:r>
              <w:rPr>
                <w:rFonts w:ascii="方正宋黑简体" w:hAnsi="微软雅黑" w:eastAsia="方正宋黑简体" w:cs="宋体"/>
                <w:color w:val="000000"/>
                <w:kern w:val="0"/>
                <w:sz w:val="24"/>
              </w:rPr>
              <w:t xml:space="preserve"> </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r>
              <w:rPr>
                <w:rFonts w:ascii="方正宋黑简体" w:hAnsi="微软雅黑" w:eastAsia="方正宋黑简体" w:cs="宋体"/>
                <w:color w:val="000000"/>
                <w:kern w:val="0"/>
                <w:sz w:val="24"/>
              </w:rPr>
              <w:t xml:space="preserve"> </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r>
      <w:tr>
        <w:tblPrEx>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r>
              <w:rPr>
                <w:rFonts w:ascii="方正宋黑简体" w:hAnsi="微软雅黑" w:eastAsia="方正宋黑简体" w:cs="宋体"/>
                <w:color w:val="000000"/>
                <w:kern w:val="0"/>
                <w:sz w:val="24"/>
              </w:rPr>
              <w:t xml:space="preserve"> </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账号：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账号：</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r>
              <w:rPr>
                <w:rFonts w:ascii="方正宋黑简体" w:hAnsi="微软雅黑" w:eastAsia="方正宋黑简体" w:cs="宋体"/>
                <w:color w:val="000000"/>
                <w:kern w:val="0"/>
                <w:sz w:val="24"/>
              </w:rPr>
              <w:t>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p>
        </w:tc>
      </w:tr>
    </w:tbl>
    <w:p>
      <w:pPr>
        <w:rPr>
          <w:rFonts w:hint="eastAsia" w:ascii="宋体" w:hAnsi="宋体"/>
          <w:color w:val="000000"/>
          <w:sz w:val="24"/>
        </w:rPr>
      </w:pPr>
    </w:p>
    <w:p>
      <w:pPr>
        <w:rPr>
          <w:rFonts w:hint="eastAsia" w:ascii="宋体" w:hAnsi="宋体"/>
          <w:color w:val="000000"/>
          <w:sz w:val="24"/>
        </w:rPr>
      </w:pPr>
    </w:p>
    <w:p>
      <w:pPr>
        <w:rPr>
          <w:rFonts w:hint="eastAsia" w:ascii="宋体" w:hAnsi="宋体"/>
          <w:color w:val="000000"/>
          <w:sz w:val="24"/>
        </w:rPr>
      </w:pPr>
      <w:r>
        <w:rPr>
          <w:rFonts w:hint="eastAsia" w:ascii="宋体" w:hAnsi="宋体"/>
          <w:color w:val="000000"/>
          <w:sz w:val="24"/>
        </w:rPr>
        <w:t>附件:</w:t>
      </w:r>
    </w:p>
    <w:p>
      <w:pPr>
        <w:rPr>
          <w:rFonts w:hint="eastAsia" w:ascii="宋体" w:hAnsi="宋体"/>
          <w:color w:val="000000"/>
          <w:sz w:val="24"/>
        </w:rPr>
      </w:pPr>
      <w:r>
        <w:rPr>
          <w:rFonts w:hint="eastAsia" w:ascii="宋体" w:hAnsi="宋体"/>
          <w:color w:val="000000"/>
          <w:sz w:val="24"/>
        </w:rPr>
        <w:t>1、售后服务承诺</w:t>
      </w:r>
    </w:p>
    <w:p>
      <w:pPr>
        <w:rPr>
          <w:rFonts w:hint="eastAsia" w:ascii="宋体" w:hAnsi="宋体"/>
          <w:color w:val="000000"/>
          <w:sz w:val="24"/>
        </w:rPr>
      </w:pPr>
      <w:r>
        <w:rPr>
          <w:rFonts w:hint="eastAsia" w:ascii="宋体" w:hAnsi="宋体"/>
          <w:color w:val="000000"/>
          <w:sz w:val="24"/>
        </w:rPr>
        <w:t>2、服务队伍</w:t>
      </w:r>
    </w:p>
    <w:p>
      <w:pPr>
        <w:rPr>
          <w:rFonts w:hint="eastAsia" w:ascii="宋体" w:hAnsi="宋体"/>
          <w:color w:val="000000"/>
          <w:sz w:val="24"/>
        </w:rPr>
      </w:pPr>
      <w:r>
        <w:rPr>
          <w:rFonts w:hint="eastAsia" w:ascii="宋体" w:hAnsi="宋体"/>
          <w:color w:val="000000"/>
          <w:sz w:val="24"/>
        </w:rPr>
        <w:t>3、中标通知书</w:t>
      </w:r>
    </w:p>
    <w:p/>
    <w:bookmarkEnd w:id="0"/>
    <w:p>
      <w:pPr>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大标宋简体">
    <w:altName w:val="微软雅黑"/>
    <w:panose1 w:val="02010601030101010101"/>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Cambria Math">
    <w:panose1 w:val="02040503050406030204"/>
    <w:charset w:val="00"/>
    <w:family w:val="roman"/>
    <w:pitch w:val="default"/>
    <w:sig w:usb0="E00006FF" w:usb1="420024FF" w:usb2="02000000" w:usb3="00000000" w:csb0="2000019F" w:csb1="00000000"/>
  </w:font>
  <w:font w:name="Wingdings 2">
    <w:panose1 w:val="05020102010507070707"/>
    <w:charset w:val="02"/>
    <w:family w:val="roman"/>
    <w:pitch w:val="default"/>
    <w:sig w:usb0="00000000" w:usb1="00000000" w:usb2="00000000" w:usb3="00000000" w:csb0="80000000" w:csb1="00000000"/>
  </w:font>
  <w:font w:name="方正宋黑简体">
    <w:altName w:val="宋体"/>
    <w:panose1 w:val="02010601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7"/>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S3tjc0BAACnAwAADgAAAGRycy9lMm9Eb2MueG1srVNLbtswEN0X6B0I&#10;7mspRlA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wcfFD7Lq9U6o7+9hBppDxp6jDCEsPk0PtlrtOupQV57Oeqh/9r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BS3tjc0BAACnAwAADgAAAAAAAAABACAAAAAeAQAAZHJzL2Uy&#10;b0RvYy54bWxQSwUGAAAAAAYABgBZAQAAXQUAAAAA&#10;">
              <v:fill on="f" focussize="0,0"/>
              <v:stroke on="f"/>
              <v:imagedata o:title=""/>
              <o:lock v:ext="edit" aspectratio="f"/>
              <v:textbox inset="0mm,0mm,0mm,0mm" style="mso-fit-shape-to-text:t;">
                <w:txbxContent>
                  <w:p>
                    <w:pPr>
                      <w:pStyle w:val="17"/>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7"/>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ml5N0zAEAAKcDAAAOAAAAAAAAAAEAIAAAAB4BAABkcnMvZTJv&#10;RG9jLnhtbFBLBQYAAAAABgAGAFkBAABcBQAAAAA=&#10;">
              <v:fill on="f" focussize="0,0"/>
              <v:stroke on="f"/>
              <v:imagedata o:title=""/>
              <o:lock v:ext="edit" aspectratio="f"/>
              <v:textbox inset="0mm,0mm,0mm,0mm" style="mso-fit-shape-to-text:t;">
                <w:txbxContent>
                  <w:p>
                    <w:pPr>
                      <w:pStyle w:val="17"/>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pPr>
                            <w:pStyle w:val="17"/>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cXQ6n9EAAAADAQAADwAAAAAAAAABACAAAAAiAAAAZHJzL2Rvd25yZXYu&#10;eG1sUEsBAhQAFAAAAAgAh07iQFa1uYzJAQAAmAMAAA4AAAAAAAAAAQAgAAAAIAEAAGRycy9lMm9E&#10;b2MueG1sUEsFBgAAAAAGAAYAWQEAAFsFAAAAAA==&#10;">
              <v:fill on="f" focussize="0,0"/>
              <v:stroke on="f"/>
              <v:imagedata o:title=""/>
              <o:lock v:ext="edit" aspectratio="f"/>
              <v:textbox inset="0mm,0mm,0mm,0mm" style="mso-fit-shape-to-text:t;">
                <w:txbxContent>
                  <w:p>
                    <w:pPr>
                      <w:pStyle w:val="17"/>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C8E0666D"/>
    <w:multiLevelType w:val="singleLevel"/>
    <w:tmpl w:val="C8E0666D"/>
    <w:lvl w:ilvl="0" w:tentative="0">
      <w:start w:val="4"/>
      <w:numFmt w:val="chineseCounting"/>
      <w:suff w:val="nothing"/>
      <w:lvlText w:val="%1、"/>
      <w:lvlJc w:val="left"/>
      <w:rPr>
        <w:rFonts w:hint="eastAsia"/>
      </w:rPr>
    </w:lvl>
  </w:abstractNum>
  <w:abstractNum w:abstractNumId="3">
    <w:nsid w:val="F466A374"/>
    <w:multiLevelType w:val="singleLevel"/>
    <w:tmpl w:val="F466A374"/>
    <w:lvl w:ilvl="0" w:tentative="0">
      <w:start w:val="1"/>
      <w:numFmt w:val="decimal"/>
      <w:pStyle w:val="3"/>
      <w:lvlText w:val="%1."/>
      <w:lvlJc w:val="left"/>
      <w:pPr>
        <w:tabs>
          <w:tab w:val="left" w:pos="780"/>
        </w:tabs>
        <w:ind w:left="780" w:hanging="360"/>
      </w:pPr>
    </w:lvl>
  </w:abstractNum>
  <w:abstractNum w:abstractNumId="4">
    <w:nsid w:val="F9D301DA"/>
    <w:multiLevelType w:val="singleLevel"/>
    <w:tmpl w:val="F9D301DA"/>
    <w:lvl w:ilvl="0" w:tentative="0">
      <w:start w:val="5"/>
      <w:numFmt w:val="chineseCounting"/>
      <w:suff w:val="space"/>
      <w:lvlText w:val="第%1条"/>
      <w:lvlJc w:val="left"/>
      <w:rPr>
        <w:rFonts w:hint="eastAsia"/>
      </w:rPr>
    </w:lvl>
  </w:abstractNum>
  <w:abstractNum w:abstractNumId="5">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49"/>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6">
    <w:nsid w:val="1FDD3981"/>
    <w:multiLevelType w:val="singleLevel"/>
    <w:tmpl w:val="1FDD3981"/>
    <w:lvl w:ilvl="0" w:tentative="0">
      <w:start w:val="1"/>
      <w:numFmt w:val="decimal"/>
      <w:lvlText w:val="%1."/>
      <w:lvlJc w:val="left"/>
      <w:pPr>
        <w:tabs>
          <w:tab w:val="left" w:pos="312"/>
        </w:tabs>
      </w:pPr>
    </w:lvl>
  </w:abstractNum>
  <w:abstractNum w:abstractNumId="7">
    <w:nsid w:val="21B37B9A"/>
    <w:multiLevelType w:val="multilevel"/>
    <w:tmpl w:val="21B37B9A"/>
    <w:lvl w:ilvl="0" w:tentative="0">
      <w:start w:val="1"/>
      <w:numFmt w:val="decimal"/>
      <w:lvlText w:val="%1、"/>
      <w:lvlJc w:val="left"/>
      <w:pPr>
        <w:ind w:left="360" w:hanging="360"/>
      </w:pPr>
      <w:rPr>
        <w:rFonts w:hint="default" w:hAnsi="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9">
    <w:nsid w:val="3F68F1AE"/>
    <w:multiLevelType w:val="singleLevel"/>
    <w:tmpl w:val="3F68F1AE"/>
    <w:lvl w:ilvl="0" w:tentative="0">
      <w:start w:val="1"/>
      <w:numFmt w:val="decimal"/>
      <w:suff w:val="nothing"/>
      <w:lvlText w:val="（%1）"/>
      <w:lvlJc w:val="left"/>
    </w:lvl>
  </w:abstractNum>
  <w:abstractNum w:abstractNumId="10">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11">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3"/>
  </w:num>
  <w:num w:numId="2">
    <w:abstractNumId w:val="5"/>
  </w:num>
  <w:num w:numId="3">
    <w:abstractNumId w:val="10"/>
  </w:num>
  <w:num w:numId="4">
    <w:abstractNumId w:val="0"/>
  </w:num>
  <w:num w:numId="5">
    <w:abstractNumId w:val="1"/>
  </w:num>
  <w:num w:numId="6">
    <w:abstractNumId w:val="6"/>
  </w:num>
  <w:num w:numId="7">
    <w:abstractNumId w:val="9"/>
  </w:num>
  <w:num w:numId="8">
    <w:abstractNumId w:val="2"/>
  </w:num>
  <w:num w:numId="9">
    <w:abstractNumId w:val="8"/>
  </w:num>
  <w:num w:numId="10">
    <w:abstractNumId w:val="11"/>
  </w:num>
  <w:num w:numId="11">
    <w:abstractNumId w:val="7"/>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9"/>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hkZmVmZDVmNzI0MDZjNWEzNDkyMzllY2I4MjUwODEifQ=="/>
  </w:docVars>
  <w:rsids>
    <w:rsidRoot w:val="4B262FC3"/>
    <w:rsid w:val="00062A80"/>
    <w:rsid w:val="003867C7"/>
    <w:rsid w:val="00912B81"/>
    <w:rsid w:val="00B601DD"/>
    <w:rsid w:val="00BE6023"/>
    <w:rsid w:val="00CA098B"/>
    <w:rsid w:val="00D356EE"/>
    <w:rsid w:val="01D51EF1"/>
    <w:rsid w:val="02307CBD"/>
    <w:rsid w:val="02994E80"/>
    <w:rsid w:val="038C7237"/>
    <w:rsid w:val="03B24C65"/>
    <w:rsid w:val="04DD3C8B"/>
    <w:rsid w:val="055174C8"/>
    <w:rsid w:val="05594FD2"/>
    <w:rsid w:val="06932A71"/>
    <w:rsid w:val="076C3E92"/>
    <w:rsid w:val="07861826"/>
    <w:rsid w:val="082C0673"/>
    <w:rsid w:val="088562C4"/>
    <w:rsid w:val="08B573AC"/>
    <w:rsid w:val="0C6B37C3"/>
    <w:rsid w:val="0D1A4228"/>
    <w:rsid w:val="0E575CBB"/>
    <w:rsid w:val="0E7D42BB"/>
    <w:rsid w:val="0EE71081"/>
    <w:rsid w:val="0FA638D0"/>
    <w:rsid w:val="103F356B"/>
    <w:rsid w:val="115F1A85"/>
    <w:rsid w:val="13533D6F"/>
    <w:rsid w:val="13593647"/>
    <w:rsid w:val="14FE49FC"/>
    <w:rsid w:val="15132098"/>
    <w:rsid w:val="18807C4B"/>
    <w:rsid w:val="18BC6A4A"/>
    <w:rsid w:val="19D626B5"/>
    <w:rsid w:val="1AA24826"/>
    <w:rsid w:val="1BE64FC7"/>
    <w:rsid w:val="1FBC673A"/>
    <w:rsid w:val="23E61822"/>
    <w:rsid w:val="23F07DC3"/>
    <w:rsid w:val="26170342"/>
    <w:rsid w:val="27C13B82"/>
    <w:rsid w:val="28DA283E"/>
    <w:rsid w:val="28E7437C"/>
    <w:rsid w:val="2AEB3A8A"/>
    <w:rsid w:val="2B821B32"/>
    <w:rsid w:val="2F611A30"/>
    <w:rsid w:val="30BD213F"/>
    <w:rsid w:val="33F60296"/>
    <w:rsid w:val="34B54C96"/>
    <w:rsid w:val="3533276E"/>
    <w:rsid w:val="35980CA9"/>
    <w:rsid w:val="35B50461"/>
    <w:rsid w:val="3659195F"/>
    <w:rsid w:val="36B31F5F"/>
    <w:rsid w:val="37DA4CA6"/>
    <w:rsid w:val="38B16276"/>
    <w:rsid w:val="392F341B"/>
    <w:rsid w:val="398D59F8"/>
    <w:rsid w:val="3A0542F0"/>
    <w:rsid w:val="3A197CA5"/>
    <w:rsid w:val="3A943E3A"/>
    <w:rsid w:val="3AB74599"/>
    <w:rsid w:val="3EF70A95"/>
    <w:rsid w:val="40137CA8"/>
    <w:rsid w:val="408B4DED"/>
    <w:rsid w:val="40A73D35"/>
    <w:rsid w:val="423A6C9B"/>
    <w:rsid w:val="42A62ACD"/>
    <w:rsid w:val="42D374A6"/>
    <w:rsid w:val="446723D4"/>
    <w:rsid w:val="448F691B"/>
    <w:rsid w:val="4568048B"/>
    <w:rsid w:val="459314F7"/>
    <w:rsid w:val="48EA274A"/>
    <w:rsid w:val="4A1860CF"/>
    <w:rsid w:val="4B262FC3"/>
    <w:rsid w:val="4B6F4E42"/>
    <w:rsid w:val="4C242C23"/>
    <w:rsid w:val="4CBE335D"/>
    <w:rsid w:val="4DC27B03"/>
    <w:rsid w:val="4EFF6BD2"/>
    <w:rsid w:val="4FCE8257"/>
    <w:rsid w:val="50B415EA"/>
    <w:rsid w:val="53C92CD5"/>
    <w:rsid w:val="54191290"/>
    <w:rsid w:val="54AF23FC"/>
    <w:rsid w:val="57182A2A"/>
    <w:rsid w:val="581A4428"/>
    <w:rsid w:val="59DF6221"/>
    <w:rsid w:val="5A6E105D"/>
    <w:rsid w:val="5ABF3065"/>
    <w:rsid w:val="5CEB3789"/>
    <w:rsid w:val="5CED3EB9"/>
    <w:rsid w:val="5DA7155A"/>
    <w:rsid w:val="5DC53457"/>
    <w:rsid w:val="5F4468FD"/>
    <w:rsid w:val="60D23BB3"/>
    <w:rsid w:val="610B60EE"/>
    <w:rsid w:val="61CD6F76"/>
    <w:rsid w:val="627333FC"/>
    <w:rsid w:val="62985ABA"/>
    <w:rsid w:val="678E0C26"/>
    <w:rsid w:val="67E1286C"/>
    <w:rsid w:val="696D37AB"/>
    <w:rsid w:val="6A144077"/>
    <w:rsid w:val="6BBDEA0E"/>
    <w:rsid w:val="6EF9071C"/>
    <w:rsid w:val="6FF006A6"/>
    <w:rsid w:val="7052058D"/>
    <w:rsid w:val="7064355A"/>
    <w:rsid w:val="70B1597A"/>
    <w:rsid w:val="71815530"/>
    <w:rsid w:val="7207629A"/>
    <w:rsid w:val="72BD75D3"/>
    <w:rsid w:val="74FD35B0"/>
    <w:rsid w:val="77E73431"/>
    <w:rsid w:val="78916B04"/>
    <w:rsid w:val="79E47865"/>
    <w:rsid w:val="7AA83FCF"/>
    <w:rsid w:val="7AAF66A3"/>
    <w:rsid w:val="7CD63399"/>
    <w:rsid w:val="7D974A70"/>
    <w:rsid w:val="7E8B0CA4"/>
    <w:rsid w:val="7E8E48BA"/>
    <w:rsid w:val="7FB54722"/>
    <w:rsid w:val="7FFF2236"/>
    <w:rsid w:val="C6FE52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nhideWhenUsed="0" w:uiPriority="9"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5">
    <w:name w:val="heading 1"/>
    <w:basedOn w:val="1"/>
    <w:next w:val="1"/>
    <w:link w:val="36"/>
    <w:qFormat/>
    <w:uiPriority w:val="0"/>
    <w:pPr>
      <w:keepNext/>
      <w:keepLines/>
      <w:spacing w:before="200" w:after="200"/>
      <w:jc w:val="center"/>
      <w:outlineLvl w:val="0"/>
    </w:pPr>
    <w:rPr>
      <w:rFonts w:eastAsia="黑体"/>
      <w:kern w:val="44"/>
      <w:sz w:val="44"/>
      <w:szCs w:val="44"/>
    </w:rPr>
  </w:style>
  <w:style w:type="paragraph" w:styleId="6">
    <w:name w:val="heading 2"/>
    <w:basedOn w:val="1"/>
    <w:next w:val="1"/>
    <w:link w:val="37"/>
    <w:qFormat/>
    <w:uiPriority w:val="0"/>
    <w:pPr>
      <w:keepNext/>
      <w:keepLines/>
      <w:spacing w:before="200" w:after="200"/>
      <w:jc w:val="center"/>
      <w:outlineLvl w:val="1"/>
    </w:pPr>
    <w:rPr>
      <w:rFonts w:eastAsia="黑体"/>
      <w:sz w:val="32"/>
      <w:szCs w:val="32"/>
    </w:rPr>
  </w:style>
  <w:style w:type="paragraph" w:styleId="7">
    <w:name w:val="heading 3"/>
    <w:basedOn w:val="1"/>
    <w:next w:val="1"/>
    <w:link w:val="38"/>
    <w:qFormat/>
    <w:uiPriority w:val="0"/>
    <w:pPr>
      <w:keepNext/>
      <w:keepLines/>
      <w:spacing w:before="200" w:after="200"/>
      <w:outlineLvl w:val="2"/>
    </w:pPr>
    <w:rPr>
      <w:rFonts w:eastAsia="黑体"/>
      <w:sz w:val="28"/>
      <w:szCs w:val="28"/>
    </w:rPr>
  </w:style>
  <w:style w:type="paragraph" w:styleId="8">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2">
    <w:name w:val="heading 5"/>
    <w:basedOn w:val="3"/>
    <w:next w:val="4"/>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paragraph" w:styleId="9">
    <w:name w:val="heading 6"/>
    <w:basedOn w:val="1"/>
    <w:next w:val="1"/>
    <w:unhideWhenUsed/>
    <w:qFormat/>
    <w:uiPriority w:val="0"/>
    <w:pPr>
      <w:keepNext/>
      <w:keepLines/>
      <w:spacing w:before="240" w:after="64" w:line="320" w:lineRule="auto"/>
      <w:outlineLvl w:val="5"/>
    </w:pPr>
    <w:rPr>
      <w:rFonts w:ascii="Cambria" w:hAnsi="Cambria" w:eastAsia="宋体" w:cs="Times New Roman"/>
      <w:b/>
      <w:bCs/>
      <w:sz w:val="24"/>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styleId="3">
    <w:name w:val="List Number 2"/>
    <w:basedOn w:val="1"/>
    <w:qFormat/>
    <w:uiPriority w:val="0"/>
    <w:pPr>
      <w:numPr>
        <w:ilvl w:val="0"/>
        <w:numId w:val="1"/>
      </w:numPr>
    </w:pPr>
  </w:style>
  <w:style w:type="paragraph" w:styleId="4">
    <w:name w:val="Normal (Web)"/>
    <w:basedOn w:val="1"/>
    <w:qFormat/>
    <w:uiPriority w:val="0"/>
    <w:pPr>
      <w:widowControl/>
      <w:spacing w:before="100" w:beforeAutospacing="1" w:after="100" w:afterAutospacing="1"/>
      <w:jc w:val="left"/>
    </w:pPr>
    <w:rPr>
      <w:rFonts w:ascii="宋体" w:cs="宋体"/>
      <w:kern w:val="0"/>
      <w:sz w:val="24"/>
    </w:rPr>
  </w:style>
  <w:style w:type="paragraph" w:styleId="10">
    <w:name w:val="Normal Indent"/>
    <w:basedOn w:val="1"/>
    <w:qFormat/>
    <w:uiPriority w:val="0"/>
    <w:pPr>
      <w:ind w:firstLine="420" w:firstLineChars="200"/>
    </w:pPr>
  </w:style>
  <w:style w:type="paragraph" w:styleId="11">
    <w:name w:val="annotation text"/>
    <w:basedOn w:val="1"/>
    <w:qFormat/>
    <w:uiPriority w:val="0"/>
    <w:pPr>
      <w:jc w:val="left"/>
    </w:pPr>
  </w:style>
  <w:style w:type="paragraph" w:styleId="12">
    <w:name w:val="Body Text"/>
    <w:basedOn w:val="1"/>
    <w:next w:val="13"/>
    <w:qFormat/>
    <w:uiPriority w:val="0"/>
    <w:pPr>
      <w:adjustRightInd w:val="0"/>
      <w:spacing w:line="360" w:lineRule="atLeast"/>
      <w:jc w:val="center"/>
      <w:textAlignment w:val="baseline"/>
    </w:pPr>
    <w:rPr>
      <w:kern w:val="0"/>
      <w:sz w:val="24"/>
      <w:szCs w:val="20"/>
    </w:rPr>
  </w:style>
  <w:style w:type="paragraph" w:styleId="13">
    <w:name w:val="Body Text Indent"/>
    <w:basedOn w:val="1"/>
    <w:qFormat/>
    <w:uiPriority w:val="0"/>
    <w:pPr>
      <w:spacing w:after="120"/>
      <w:ind w:left="420" w:leftChars="200"/>
    </w:pPr>
  </w:style>
  <w:style w:type="paragraph" w:styleId="14">
    <w:name w:val="index 4"/>
    <w:basedOn w:val="1"/>
    <w:next w:val="1"/>
    <w:unhideWhenUsed/>
    <w:qFormat/>
    <w:uiPriority w:val="99"/>
    <w:pPr>
      <w:ind w:left="600" w:leftChars="600"/>
    </w:pPr>
  </w:style>
  <w:style w:type="paragraph" w:styleId="15">
    <w:name w:val="Plain Text"/>
    <w:basedOn w:val="1"/>
    <w:qFormat/>
    <w:uiPriority w:val="0"/>
    <w:rPr>
      <w:rFonts w:ascii="宋体" w:hAnsi="宋体" w:cs="Courier New"/>
    </w:rPr>
  </w:style>
  <w:style w:type="paragraph" w:styleId="16">
    <w:name w:val="Balloon Text"/>
    <w:basedOn w:val="1"/>
    <w:link w:val="47"/>
    <w:qFormat/>
    <w:uiPriority w:val="0"/>
    <w:pPr>
      <w:spacing w:line="240" w:lineRule="auto"/>
    </w:pPr>
    <w:rPr>
      <w:sz w:val="18"/>
      <w:szCs w:val="18"/>
    </w:rPr>
  </w:style>
  <w:style w:type="paragraph" w:styleId="17">
    <w:name w:val="footer"/>
    <w:basedOn w:val="1"/>
    <w:qFormat/>
    <w:uiPriority w:val="0"/>
    <w:pPr>
      <w:tabs>
        <w:tab w:val="center" w:pos="4153"/>
        <w:tab w:val="right" w:pos="8306"/>
      </w:tabs>
      <w:snapToGrid w:val="0"/>
      <w:jc w:val="left"/>
    </w:pPr>
    <w:rPr>
      <w:sz w:val="18"/>
    </w:rPr>
  </w:style>
  <w:style w:type="paragraph" w:styleId="18">
    <w:name w:val="header"/>
    <w:basedOn w:val="1"/>
    <w:qFormat/>
    <w:uiPriority w:val="0"/>
    <w:pPr>
      <w:pBdr>
        <w:bottom w:val="single" w:color="auto" w:sz="4" w:space="1"/>
      </w:pBdr>
      <w:tabs>
        <w:tab w:val="center" w:pos="4153"/>
        <w:tab w:val="right" w:pos="8306"/>
      </w:tabs>
      <w:snapToGrid w:val="0"/>
    </w:pPr>
    <w:rPr>
      <w:sz w:val="18"/>
    </w:rPr>
  </w:style>
  <w:style w:type="paragraph" w:styleId="19">
    <w:name w:val="toc 1"/>
    <w:basedOn w:val="1"/>
    <w:next w:val="1"/>
    <w:qFormat/>
    <w:uiPriority w:val="0"/>
    <w:pPr>
      <w:spacing w:before="120" w:after="120"/>
      <w:jc w:val="left"/>
    </w:pPr>
    <w:rPr>
      <w:rFonts w:ascii="等线" w:eastAsia="等线"/>
      <w:b/>
      <w:bCs/>
      <w:caps/>
      <w:sz w:val="20"/>
      <w:szCs w:val="20"/>
    </w:rPr>
  </w:style>
  <w:style w:type="paragraph" w:styleId="20">
    <w:name w:val="footnote text"/>
    <w:basedOn w:val="1"/>
    <w:qFormat/>
    <w:uiPriority w:val="0"/>
    <w:pPr>
      <w:snapToGrid w:val="0"/>
      <w:jc w:val="left"/>
    </w:pPr>
    <w:rPr>
      <w:sz w:val="18"/>
    </w:rPr>
  </w:style>
  <w:style w:type="paragraph" w:styleId="21">
    <w:name w:val="index 9"/>
    <w:basedOn w:val="1"/>
    <w:next w:val="1"/>
    <w:qFormat/>
    <w:uiPriority w:val="0"/>
    <w:pPr>
      <w:ind w:left="3360"/>
    </w:pPr>
  </w:style>
  <w:style w:type="paragraph" w:styleId="22">
    <w:name w:val="Body Text 2"/>
    <w:basedOn w:val="1"/>
    <w:qFormat/>
    <w:uiPriority w:val="0"/>
    <w:pPr>
      <w:spacing w:after="120" w:line="480" w:lineRule="auto"/>
    </w:pPr>
  </w:style>
  <w:style w:type="paragraph" w:styleId="23">
    <w:name w:val="Body Text First Indent"/>
    <w:basedOn w:val="1"/>
    <w:unhideWhenUsed/>
    <w:qFormat/>
    <w:uiPriority w:val="99"/>
    <w:pPr>
      <w:adjustRightInd/>
      <w:spacing w:after="120" w:line="240" w:lineRule="auto"/>
      <w:ind w:firstLine="420" w:firstLineChars="100"/>
      <w:jc w:val="both"/>
      <w:textAlignment w:val="auto"/>
    </w:pPr>
    <w:rPr>
      <w:kern w:val="2"/>
      <w:sz w:val="21"/>
      <w:szCs w:val="24"/>
    </w:rPr>
  </w:style>
  <w:style w:type="paragraph" w:styleId="24">
    <w:name w:val="Body Text First Indent 2"/>
    <w:basedOn w:val="13"/>
    <w:qFormat/>
    <w:uiPriority w:val="0"/>
    <w:pPr>
      <w:ind w:firstLine="420" w:firstLineChars="200"/>
    </w:pPr>
  </w:style>
  <w:style w:type="table" w:styleId="26">
    <w:name w:val="Table Grid"/>
    <w:basedOn w:val="2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8">
    <w:name w:val="page number"/>
    <w:basedOn w:val="27"/>
    <w:qFormat/>
    <w:uiPriority w:val="0"/>
  </w:style>
  <w:style w:type="character" w:styleId="29">
    <w:name w:val="Hyperlink"/>
    <w:qFormat/>
    <w:uiPriority w:val="0"/>
    <w:rPr>
      <w:color w:val="0000FF"/>
      <w:u w:val="single"/>
    </w:rPr>
  </w:style>
  <w:style w:type="character" w:styleId="30">
    <w:name w:val="annotation reference"/>
    <w:basedOn w:val="27"/>
    <w:qFormat/>
    <w:uiPriority w:val="0"/>
    <w:rPr>
      <w:sz w:val="21"/>
      <w:szCs w:val="21"/>
    </w:rPr>
  </w:style>
  <w:style w:type="paragraph" w:customStyle="1" w:styleId="31">
    <w:name w:val="正文（缩进）"/>
    <w:basedOn w:val="1"/>
    <w:qFormat/>
    <w:uiPriority w:val="0"/>
    <w:pPr>
      <w:spacing w:before="156" w:after="156"/>
      <w:ind w:firstLine="480" w:firstLineChars="200"/>
    </w:pPr>
  </w:style>
  <w:style w:type="paragraph" w:customStyle="1" w:styleId="32">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3">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4">
    <w:name w:val="列出段落1"/>
    <w:basedOn w:val="1"/>
    <w:qFormat/>
    <w:uiPriority w:val="0"/>
    <w:pPr>
      <w:ind w:firstLine="200" w:firstLineChars="200"/>
    </w:pPr>
    <w:rPr>
      <w:rFonts w:cs="Calibri"/>
    </w:rPr>
  </w:style>
  <w:style w:type="paragraph" w:customStyle="1" w:styleId="35">
    <w:name w:val="WPSOffice手动目录 1"/>
    <w:qFormat/>
    <w:uiPriority w:val="0"/>
    <w:rPr>
      <w:rFonts w:ascii="Times New Roman" w:hAnsi="Times New Roman" w:eastAsia="宋体" w:cs="Times New Roman"/>
      <w:lang w:val="en-US" w:eastAsia="zh-CN" w:bidi="ar-SA"/>
    </w:rPr>
  </w:style>
  <w:style w:type="character" w:customStyle="1" w:styleId="36">
    <w:name w:val="标题 1 Char"/>
    <w:link w:val="5"/>
    <w:qFormat/>
    <w:uiPriority w:val="0"/>
    <w:rPr>
      <w:rFonts w:ascii="Times New Roman" w:hAnsi="Times New Roman" w:eastAsia="黑体" w:cs="Times New Roman"/>
      <w:kern w:val="44"/>
      <w:sz w:val="44"/>
      <w:szCs w:val="44"/>
    </w:rPr>
  </w:style>
  <w:style w:type="character" w:customStyle="1" w:styleId="37">
    <w:name w:val="标题 2 Char"/>
    <w:link w:val="6"/>
    <w:qFormat/>
    <w:uiPriority w:val="0"/>
    <w:rPr>
      <w:rFonts w:eastAsia="黑体"/>
      <w:sz w:val="32"/>
      <w:szCs w:val="32"/>
    </w:rPr>
  </w:style>
  <w:style w:type="character" w:customStyle="1" w:styleId="38">
    <w:name w:val="标题 3 Char"/>
    <w:link w:val="7"/>
    <w:qFormat/>
    <w:uiPriority w:val="0"/>
    <w:rPr>
      <w:rFonts w:eastAsia="黑体"/>
      <w:sz w:val="28"/>
      <w:szCs w:val="28"/>
    </w:rPr>
  </w:style>
  <w:style w:type="paragraph" w:customStyle="1" w:styleId="39">
    <w:name w:val="_Style 1"/>
    <w:basedOn w:val="1"/>
    <w:qFormat/>
    <w:uiPriority w:val="0"/>
    <w:pPr>
      <w:ind w:firstLine="200" w:firstLineChars="200"/>
    </w:pPr>
    <w:rPr>
      <w:sz w:val="32"/>
    </w:rPr>
  </w:style>
  <w:style w:type="paragraph" w:customStyle="1" w:styleId="40">
    <w:name w:val="无间隔1"/>
    <w:basedOn w:val="1"/>
    <w:qFormat/>
    <w:uiPriority w:val="0"/>
    <w:pPr>
      <w:widowControl/>
      <w:spacing w:line="240" w:lineRule="auto"/>
      <w:jc w:val="left"/>
    </w:pPr>
    <w:rPr>
      <w:rFonts w:ascii="Calibri" w:hAnsi="Calibri"/>
      <w:kern w:val="0"/>
      <w:sz w:val="22"/>
      <w:szCs w:val="20"/>
    </w:rPr>
  </w:style>
  <w:style w:type="paragraph" w:styleId="41">
    <w:name w:val="List Paragraph"/>
    <w:basedOn w:val="1"/>
    <w:next w:val="1"/>
    <w:qFormat/>
    <w:uiPriority w:val="34"/>
    <w:pPr>
      <w:ind w:firstLine="420"/>
    </w:pPr>
  </w:style>
  <w:style w:type="paragraph" w:customStyle="1" w:styleId="42">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3">
    <w:name w:val="无间隔2"/>
    <w:qFormat/>
    <w:uiPriority w:val="0"/>
    <w:rPr>
      <w:rFonts w:ascii="Calibri" w:hAnsi="Calibri" w:eastAsia="宋体" w:cs="Times New Roman"/>
      <w:sz w:val="22"/>
      <w:lang w:val="en-US" w:eastAsia="zh-CN" w:bidi="ar-SA"/>
    </w:rPr>
  </w:style>
  <w:style w:type="paragraph" w:customStyle="1" w:styleId="44">
    <w:name w:val="表"/>
    <w:next w:val="10"/>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5">
    <w:name w:val="评分"/>
    <w:qFormat/>
    <w:uiPriority w:val="0"/>
    <w:rPr>
      <w:rFonts w:ascii="宋体" w:hAnsi="宋体" w:eastAsia="宋体" w:cs="Times New Roman"/>
      <w:snapToGrid w:val="0"/>
      <w:sz w:val="21"/>
      <w:szCs w:val="22"/>
      <w:lang w:val="en-US" w:eastAsia="zh-CN" w:bidi="ar-SA"/>
    </w:rPr>
  </w:style>
  <w:style w:type="paragraph" w:customStyle="1" w:styleId="46">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7">
    <w:name w:val="批注框文本 Char"/>
    <w:basedOn w:val="27"/>
    <w:link w:val="16"/>
    <w:qFormat/>
    <w:uiPriority w:val="0"/>
    <w:rPr>
      <w:rFonts w:ascii="Times New Roman" w:hAnsi="Times New Roman" w:eastAsia="宋体" w:cs="Times New Roman"/>
      <w:kern w:val="2"/>
      <w:sz w:val="18"/>
      <w:szCs w:val="18"/>
    </w:rPr>
  </w:style>
  <w:style w:type="paragraph" w:customStyle="1" w:styleId="48">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49">
    <w:name w:val="缺省文本"/>
    <w:basedOn w:val="1"/>
    <w:qFormat/>
    <w:uiPriority w:val="0"/>
    <w:pPr>
      <w:numPr>
        <w:ilvl w:val="3"/>
        <w:numId w:val="2"/>
      </w:numPr>
      <w:suppressAutoHyphens/>
      <w:autoSpaceDE w:val="0"/>
      <w:spacing w:line="360" w:lineRule="auto"/>
      <w:jc w:val="left"/>
    </w:pPr>
    <w:rPr>
      <w:rFonts w:ascii="Times New Roman" w:hAnsi="Times New Roman"/>
      <w:kern w:val="1"/>
      <w:sz w:val="24"/>
      <w:szCs w:val="24"/>
      <w:lang w:eastAsia="ar-SA"/>
    </w:rPr>
  </w:style>
  <w:style w:type="paragraph" w:customStyle="1" w:styleId="50">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1">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2">
    <w:name w:val="No Spacing"/>
    <w:qFormat/>
    <w:uiPriority w:val="0"/>
    <w:rPr>
      <w:rFonts w:ascii="Calibri" w:hAnsi="Calibri" w:eastAsia="宋体" w:cs="Times New Roman"/>
      <w:sz w:val="22"/>
      <w:lang w:val="en-US" w:eastAsia="zh-CN" w:bidi="ar-SA"/>
    </w:rPr>
  </w:style>
  <w:style w:type="paragraph" w:customStyle="1" w:styleId="53">
    <w:name w:val="我的正文"/>
    <w:basedOn w:val="1"/>
    <w:qFormat/>
    <w:uiPriority w:val="0"/>
    <w:pPr>
      <w:ind w:firstLine="528"/>
    </w:pPr>
  </w:style>
  <w:style w:type="paragraph" w:customStyle="1" w:styleId="54">
    <w:name w:val="章标题"/>
    <w:next w:val="55"/>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5">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6">
    <w:name w:val="样式1"/>
    <w:basedOn w:val="1"/>
    <w:qFormat/>
    <w:uiPriority w:val="0"/>
    <w:pPr>
      <w:jc w:val="center"/>
    </w:pPr>
    <w:rPr>
      <w:rFonts w:eastAsia="方正大标宋简体"/>
      <w:sz w:val="52"/>
    </w:rPr>
  </w:style>
  <w:style w:type="paragraph" w:customStyle="1" w:styleId="57">
    <w:name w:val="正常"/>
    <w:basedOn w:val="58"/>
    <w:qFormat/>
    <w:uiPriority w:val="0"/>
    <w:rPr>
      <w:sz w:val="24"/>
    </w:rPr>
  </w:style>
  <w:style w:type="paragraph" w:customStyle="1" w:styleId="58">
    <w:name w:val="小正常"/>
    <w:basedOn w:val="1"/>
    <w:qFormat/>
    <w:uiPriority w:val="0"/>
    <w:rPr>
      <w:rFonts w:cs="Times New Roman"/>
      <w:sz w:val="20"/>
      <w:szCs w:val="20"/>
    </w:rPr>
  </w:style>
  <w:style w:type="paragraph" w:customStyle="1" w:styleId="59">
    <w:name w:val="Table Text"/>
    <w:basedOn w:val="1"/>
    <w:semiHidden/>
    <w:qFormat/>
    <w:uiPriority w:val="0"/>
    <w:rPr>
      <w:rFonts w:ascii="宋体" w:hAnsi="宋体" w:eastAsia="宋体" w:cs="宋体"/>
      <w:sz w:val="21"/>
      <w:szCs w:val="21"/>
      <w:lang w:val="en-US" w:eastAsia="en-US" w:bidi="ar-SA"/>
    </w:rPr>
  </w:style>
  <w:style w:type="table" w:customStyle="1" w:styleId="60">
    <w:name w:val="Table Normal"/>
    <w:unhideWhenUsed/>
    <w:qFormat/>
    <w:uiPriority w:val="0"/>
    <w:tblPr>
      <w:tblCellMar>
        <w:top w:w="0" w:type="dxa"/>
        <w:left w:w="0" w:type="dxa"/>
        <w:bottom w:w="0" w:type="dxa"/>
        <w:right w:w="0" w:type="dxa"/>
      </w:tblCellMar>
    </w:tblPr>
  </w:style>
  <w:style w:type="paragraph" w:customStyle="1" w:styleId="61">
    <w:name w:val="8正文"/>
    <w:qFormat/>
    <w:uiPriority w:val="99"/>
    <w:pPr>
      <w:topLinePunct/>
      <w:ind w:firstLine="200" w:firstLineChars="200"/>
    </w:pPr>
    <w:rPr>
      <w:rFonts w:ascii="宋体" w:hAnsi="宋体" w:eastAsia="宋体" w:cs="Times New Roman"/>
      <w:kern w:val="2"/>
      <w:sz w:val="24"/>
      <w:szCs w:val="21"/>
      <w:lang w:val="en-US" w:eastAsia="zh-CN" w:bidi="ar-SA"/>
    </w:rPr>
  </w:style>
  <w:style w:type="paragraph" w:customStyle="1" w:styleId="62">
    <w:name w:val="业务规范正文"/>
    <w:basedOn w:val="1"/>
    <w:qFormat/>
    <w:uiPriority w:val="0"/>
    <w:pPr>
      <w:topLinePunct/>
      <w:ind w:firstLine="420" w:firstLineChars="200"/>
    </w:pPr>
    <w:rPr>
      <w:rFonts w:ascii="宋体" w:hAnsi="宋体" w:eastAsia="仿宋_GB2312" w:cs="Times New Roman"/>
      <w:bCs/>
      <w:sz w:val="24"/>
      <w:szCs w:val="21"/>
    </w:rPr>
  </w:style>
  <w:style w:type="paragraph" w:customStyle="1" w:styleId="63">
    <w:name w:val="正文 首行缩进"/>
    <w:basedOn w:val="1"/>
    <w:qFormat/>
    <w:uiPriority w:val="0"/>
    <w:pPr>
      <w:widowControl/>
      <w:spacing w:line="360" w:lineRule="auto"/>
      <w:ind w:firstLine="420" w:firstLineChars="200"/>
      <w:jc w:val="left"/>
    </w:pPr>
    <w:rPr>
      <w:rFonts w:ascii="Arial" w:hAnsi="Arial" w:cs="Arial"/>
    </w:rPr>
  </w:style>
  <w:style w:type="paragraph" w:customStyle="1" w:styleId="64">
    <w:name w:val="建设5级"/>
    <w:basedOn w:val="65"/>
    <w:qFormat/>
    <w:uiPriority w:val="0"/>
    <w:pPr>
      <w:ind w:firstLine="643"/>
      <w:outlineLvl w:val="5"/>
    </w:pPr>
    <w:rPr>
      <w:lang w:val="zh-CN"/>
    </w:rPr>
  </w:style>
  <w:style w:type="paragraph" w:customStyle="1" w:styleId="65">
    <w:name w:val="建设4级"/>
    <w:basedOn w:val="66"/>
    <w:qFormat/>
    <w:uiPriority w:val="0"/>
    <w:pPr>
      <w:outlineLvl w:val="4"/>
    </w:pPr>
  </w:style>
  <w:style w:type="paragraph" w:customStyle="1" w:styleId="66">
    <w:name w:val="建设3级"/>
    <w:basedOn w:val="1"/>
    <w:qFormat/>
    <w:uiPriority w:val="0"/>
    <w:pPr>
      <w:ind w:firstLine="200" w:firstLineChars="200"/>
      <w:outlineLvl w:val="3"/>
    </w:pPr>
    <w:rPr>
      <w:rFonts w:ascii="仿宋_GB2312" w:eastAsia="仿宋_GB2312"/>
      <w:b/>
      <w:kern w:val="0"/>
      <w:sz w:val="32"/>
      <w:szCs w:val="32"/>
    </w:rPr>
  </w:style>
  <w:style w:type="paragraph" w:customStyle="1" w:styleId="67">
    <w:name w:val="Normal Indent1"/>
    <w:basedOn w:val="12"/>
    <w:qFormat/>
    <w:uiPriority w:val="0"/>
    <w:pPr>
      <w:suppressAutoHyphens/>
      <w:spacing w:line="660" w:lineRule="exact"/>
      <w:ind w:firstLine="720"/>
    </w:pPr>
    <w:rPr>
      <w:rFonts w:ascii="Calibri" w:hAnsi="Calibri" w:eastAsia="Cambria Math"/>
      <w:sz w:val="36"/>
      <w:szCs w:val="36"/>
    </w:rPr>
  </w:style>
  <w:style w:type="character" w:customStyle="1" w:styleId="68">
    <w:name w:val="标题 3 Char1"/>
    <w:qFormat/>
    <w:uiPriority w:val="9"/>
    <w:rPr>
      <w:rFonts w:ascii="Times New Roman" w:hAnsi="Times New Roman" w:eastAsia="仿宋_GB2312"/>
      <w:b/>
      <w:bCs/>
      <w:sz w:val="32"/>
      <w:szCs w:val="3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70</Pages>
  <Words>13765</Words>
  <Characters>14721</Characters>
  <Lines>302</Lines>
  <Paragraphs>85</Paragraphs>
  <TotalTime>40</TotalTime>
  <ScaleCrop>false</ScaleCrop>
  <LinksUpToDate>false</LinksUpToDate>
  <CharactersWithSpaces>14963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2022-07-13T12:44:00Z</dcterms:created>
  <dc:creator>QIQI</dc:creator>
  <cp:lastModifiedBy>韩宇奇</cp:lastModifiedBy>
  <dcterms:modified xsi:type="dcterms:W3CDTF">2024-12-02T02:32:39Z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EA0A636B6D164879843C32957FB29745_13</vt:lpwstr>
  </property>
</Properties>
</file>