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color w:val="auto"/>
          <w:sz w:val="100"/>
          <w:szCs w:val="100"/>
          <w:highlight w:val="none"/>
        </w:rPr>
      </w:pPr>
    </w:p>
    <w:p>
      <w:pPr>
        <w:jc w:val="center"/>
        <w:rPr>
          <w:rFonts w:hint="eastAsia" w:ascii="宋体" w:hAnsi="宋体" w:eastAsia="宋体" w:cs="宋体"/>
          <w:bCs/>
          <w:color w:val="auto"/>
          <w:sz w:val="100"/>
          <w:szCs w:val="100"/>
          <w:highlight w:val="none"/>
        </w:rPr>
      </w:pPr>
      <w:r>
        <w:rPr>
          <w:rFonts w:hint="eastAsia" w:ascii="宋体" w:hAnsi="宋体" w:eastAsia="宋体" w:cs="宋体"/>
          <w:bCs/>
          <w:color w:val="auto"/>
          <w:sz w:val="100"/>
          <w:szCs w:val="100"/>
          <w:highlight w:val="none"/>
        </w:rPr>
        <w:t>政府采购</w:t>
      </w:r>
    </w:p>
    <w:p>
      <w:pPr>
        <w:jc w:val="center"/>
        <w:rPr>
          <w:rFonts w:hint="eastAsia" w:ascii="宋体" w:hAnsi="宋体" w:eastAsia="宋体" w:cs="宋体"/>
          <w:b/>
          <w:color w:val="auto"/>
          <w:szCs w:val="18"/>
          <w:highlight w:val="none"/>
        </w:rPr>
      </w:pPr>
      <w:r>
        <w:rPr>
          <w:rFonts w:hint="eastAsia" w:ascii="宋体" w:hAnsi="宋体" w:eastAsia="宋体" w:cs="宋体"/>
          <w:bCs/>
          <w:color w:val="auto"/>
          <w:sz w:val="72"/>
          <w:szCs w:val="72"/>
          <w:highlight w:val="none"/>
        </w:rPr>
        <w:t>公开招标文件</w:t>
      </w: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pStyle w:val="10"/>
        <w:spacing w:line="360" w:lineRule="auto"/>
        <w:rPr>
          <w:rFonts w:hint="eastAsia" w:ascii="宋体" w:hAnsi="宋体" w:eastAsia="宋体" w:cs="宋体"/>
          <w:color w:val="auto"/>
          <w:sz w:val="28"/>
          <w:szCs w:val="28"/>
          <w:highlight w:val="none"/>
        </w:rPr>
      </w:pPr>
    </w:p>
    <w:p>
      <w:pPr>
        <w:pStyle w:val="10"/>
        <w:spacing w:line="360" w:lineRule="auto"/>
        <w:rPr>
          <w:rFonts w:hint="eastAsia" w:ascii="宋体" w:hAnsi="宋体" w:eastAsia="宋体" w:cs="宋体"/>
          <w:color w:val="auto"/>
          <w:sz w:val="28"/>
          <w:szCs w:val="28"/>
          <w:highlight w:val="none"/>
        </w:rPr>
      </w:pPr>
    </w:p>
    <w:p>
      <w:pPr>
        <w:snapToGrid w:val="0"/>
        <w:jc w:val="center"/>
        <w:rPr>
          <w:rFonts w:hint="eastAsia" w:ascii="宋体" w:hAnsi="宋体" w:eastAsia="宋体" w:cs="宋体"/>
          <w:b/>
          <w:bCs/>
          <w:color w:val="auto"/>
          <w:highlight w:val="none"/>
        </w:rPr>
      </w:pPr>
    </w:p>
    <w:p>
      <w:pPr>
        <w:tabs>
          <w:tab w:val="left" w:pos="424"/>
        </w:tabs>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项目名称：</w:t>
      </w:r>
      <w:r>
        <w:rPr>
          <w:rFonts w:hint="eastAsia" w:ascii="宋体" w:hAnsi="宋体" w:cs="宋体"/>
          <w:color w:val="auto"/>
          <w:sz w:val="32"/>
          <w:szCs w:val="32"/>
          <w:highlight w:val="none"/>
          <w:lang w:eastAsia="zh-CN"/>
        </w:rPr>
        <w:t>国家税务总局黑龙江省税务局内外网站群驻场运维服务项目</w:t>
      </w:r>
    </w:p>
    <w:p>
      <w:pPr>
        <w:adjustRightInd w:val="0"/>
        <w:snapToGrid w:val="0"/>
        <w:spacing w:line="480" w:lineRule="auto"/>
        <w:jc w:val="center"/>
        <w:rPr>
          <w:rFonts w:hint="eastAsia" w:ascii="宋体" w:hAnsi="宋体" w:eastAsia="宋体" w:cs="宋体"/>
          <w:color w:val="auto"/>
          <w:sz w:val="32"/>
          <w:szCs w:val="32"/>
          <w:highlight w:val="none"/>
          <w:u w:val="single"/>
          <w:lang w:eastAsia="zh-CN"/>
        </w:rPr>
      </w:pPr>
      <w:r>
        <w:rPr>
          <w:rFonts w:hint="eastAsia" w:ascii="宋体" w:hAnsi="宋体" w:eastAsia="宋体" w:cs="宋体"/>
          <w:color w:val="auto"/>
          <w:sz w:val="32"/>
          <w:szCs w:val="32"/>
          <w:highlight w:val="none"/>
        </w:rPr>
        <w:t>项目编号：</w:t>
      </w:r>
      <w:r>
        <w:rPr>
          <w:rFonts w:hint="eastAsia" w:ascii="宋体" w:hAnsi="宋体" w:cs="宋体"/>
          <w:color w:val="auto"/>
          <w:sz w:val="32"/>
          <w:szCs w:val="32"/>
          <w:highlight w:val="none"/>
          <w:lang w:eastAsia="zh-CN"/>
        </w:rPr>
        <w:t>HTCL-ZB-243063</w:t>
      </w:r>
    </w:p>
    <w:p>
      <w:pPr>
        <w:snapToGrid w:val="0"/>
        <w:jc w:val="center"/>
        <w:rPr>
          <w:rFonts w:hint="eastAsia" w:ascii="宋体" w:hAnsi="宋体" w:eastAsia="宋体" w:cs="宋体"/>
          <w:b/>
          <w:bCs/>
          <w:color w:val="auto"/>
          <w:sz w:val="32"/>
          <w:szCs w:val="32"/>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b/>
          <w:bCs/>
          <w:color w:val="auto"/>
          <w:highlight w:val="none"/>
        </w:rPr>
      </w:pPr>
    </w:p>
    <w:p>
      <w:pPr>
        <w:snapToGrid w:val="0"/>
        <w:jc w:val="cente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黑龙江省招标有限公司</w:t>
      </w:r>
    </w:p>
    <w:p>
      <w:pPr>
        <w:widowControl/>
        <w:snapToGrid w:val="0"/>
        <w:jc w:val="center"/>
        <w:rPr>
          <w:rFonts w:hint="eastAsia" w:ascii="宋体" w:hAnsi="宋体" w:eastAsia="宋体" w:cs="宋体"/>
          <w:color w:val="auto"/>
          <w:kern w:val="0"/>
          <w:sz w:val="28"/>
          <w:szCs w:val="28"/>
          <w:highlight w:val="none"/>
        </w:rPr>
      </w:pPr>
      <w:r>
        <w:rPr>
          <w:rFonts w:hint="eastAsia" w:ascii="宋体" w:hAnsi="宋体" w:eastAsia="宋体" w:cs="宋体"/>
          <w:color w:val="auto"/>
          <w:sz w:val="32"/>
          <w:szCs w:val="32"/>
          <w:highlight w:val="none"/>
          <w:u w:val="single"/>
        </w:rPr>
        <w:t>202</w:t>
      </w:r>
      <w:r>
        <w:rPr>
          <w:rFonts w:hint="eastAsia" w:ascii="宋体" w:hAnsi="宋体" w:eastAsia="宋体" w:cs="宋体"/>
          <w:color w:val="auto"/>
          <w:sz w:val="32"/>
          <w:szCs w:val="32"/>
          <w:highlight w:val="none"/>
          <w:u w:val="single"/>
          <w:lang w:val="en-US" w:eastAsia="zh-CN"/>
        </w:rPr>
        <w:t>4</w:t>
      </w:r>
      <w:r>
        <w:rPr>
          <w:rFonts w:hint="eastAsia" w:ascii="宋体" w:hAnsi="宋体" w:eastAsia="宋体" w:cs="宋体"/>
          <w:color w:val="auto"/>
          <w:kern w:val="0"/>
          <w:sz w:val="28"/>
          <w:szCs w:val="28"/>
          <w:highlight w:val="none"/>
        </w:rPr>
        <w:t>年</w:t>
      </w:r>
      <w:r>
        <w:rPr>
          <w:rFonts w:hint="eastAsia" w:ascii="宋体" w:hAnsi="宋体" w:cs="宋体"/>
          <w:color w:val="auto"/>
          <w:sz w:val="32"/>
          <w:szCs w:val="32"/>
          <w:highlight w:val="none"/>
          <w:u w:val="single"/>
          <w:lang w:val="en-US" w:eastAsia="zh-CN"/>
        </w:rPr>
        <w:t>6</w:t>
      </w:r>
      <w:r>
        <w:rPr>
          <w:rFonts w:hint="eastAsia" w:ascii="宋体" w:hAnsi="宋体" w:eastAsia="宋体" w:cs="宋体"/>
          <w:color w:val="auto"/>
          <w:kern w:val="0"/>
          <w:sz w:val="28"/>
          <w:szCs w:val="28"/>
          <w:highlight w:val="none"/>
        </w:rPr>
        <w:t>月</w:t>
      </w:r>
    </w:p>
    <w:p>
      <w:pPr>
        <w:jc w:val="center"/>
        <w:rPr>
          <w:rFonts w:hint="eastAsia" w:ascii="宋体" w:hAnsi="宋体" w:eastAsia="宋体" w:cs="宋体"/>
          <w:b/>
          <w:bCs/>
          <w:color w:val="auto"/>
          <w:sz w:val="36"/>
          <w:szCs w:val="44"/>
          <w:highlight w:val="none"/>
        </w:rPr>
        <w:sectPr>
          <w:pgSz w:w="11906" w:h="16838"/>
          <w:pgMar w:top="1440" w:right="1803" w:bottom="1440" w:left="1803" w:header="851" w:footer="992" w:gutter="0"/>
          <w:cols w:space="720" w:num="1"/>
          <w:docGrid w:linePitch="312" w:charSpace="0"/>
        </w:sectPr>
      </w:pPr>
    </w:p>
    <w:p>
      <w:pPr>
        <w:pStyle w:val="17"/>
        <w:tabs>
          <w:tab w:val="right" w:leader="dot" w:pos="8300"/>
        </w:tabs>
        <w:spacing w:line="240" w:lineRule="auto"/>
        <w:jc w:val="center"/>
        <w:rPr>
          <w:rFonts w:hint="eastAsia" w:ascii="宋体" w:hAnsi="宋体" w:eastAsia="宋体" w:cs="宋体"/>
          <w:b w:val="0"/>
          <w:bCs w:val="0"/>
          <w:color w:val="auto"/>
          <w:sz w:val="44"/>
          <w:szCs w:val="44"/>
          <w:highlight w:val="none"/>
        </w:rPr>
      </w:pPr>
      <w:r>
        <w:rPr>
          <w:rFonts w:hint="eastAsia" w:ascii="宋体" w:hAnsi="宋体" w:eastAsia="宋体" w:cs="宋体"/>
          <w:b w:val="0"/>
          <w:bCs w:val="0"/>
          <w:color w:val="auto"/>
          <w:sz w:val="44"/>
          <w:szCs w:val="44"/>
          <w:highlight w:val="none"/>
        </w:rPr>
        <w:t>目录</w:t>
      </w:r>
    </w:p>
    <w:p>
      <w:pPr>
        <w:pStyle w:val="17"/>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TOC \o "1-1" \h \z \u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"_Toc78962470"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招标公告</w:t>
      </w:r>
      <w:r>
        <w:rPr>
          <w:rFonts w:hint="eastAsia" w:ascii="宋体" w:hAnsi="宋体" w:eastAsia="宋体" w:cs="宋体"/>
          <w:color w:val="auto"/>
          <w:sz w:val="21"/>
          <w:szCs w:val="21"/>
          <w:highlight w:val="none"/>
        </w:rPr>
        <w:fldChar w:fldCharType="end"/>
      </w:r>
    </w:p>
    <w:p>
      <w:pPr>
        <w:pStyle w:val="17"/>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"_Toc78962471"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第一章 供应商须知</w:t>
      </w:r>
      <w:r>
        <w:rPr>
          <w:rFonts w:hint="eastAsia" w:ascii="宋体" w:hAnsi="宋体" w:eastAsia="宋体" w:cs="宋体"/>
          <w:color w:val="auto"/>
          <w:sz w:val="21"/>
          <w:szCs w:val="21"/>
          <w:highlight w:val="none"/>
        </w:rPr>
        <w:fldChar w:fldCharType="end"/>
      </w:r>
    </w:p>
    <w:p>
      <w:pPr>
        <w:pStyle w:val="17"/>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"_Toc78962472"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第二章 投标文件内容及格式</w:t>
      </w:r>
      <w:r>
        <w:rPr>
          <w:rFonts w:hint="eastAsia" w:ascii="宋体" w:hAnsi="宋体" w:eastAsia="宋体" w:cs="宋体"/>
          <w:color w:val="auto"/>
          <w:sz w:val="21"/>
          <w:szCs w:val="21"/>
          <w:highlight w:val="none"/>
        </w:rPr>
        <w:fldChar w:fldCharType="end"/>
      </w:r>
    </w:p>
    <w:p>
      <w:pPr>
        <w:pStyle w:val="17"/>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"_Toc78962473"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第三章 服务需求</w:t>
      </w:r>
      <w:r>
        <w:rPr>
          <w:rFonts w:hint="eastAsia" w:ascii="宋体" w:hAnsi="宋体" w:eastAsia="宋体" w:cs="宋体"/>
          <w:color w:val="auto"/>
          <w:sz w:val="21"/>
          <w:szCs w:val="21"/>
          <w:highlight w:val="none"/>
        </w:rPr>
        <w:fldChar w:fldCharType="end"/>
      </w:r>
    </w:p>
    <w:p>
      <w:pPr>
        <w:pStyle w:val="17"/>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"_Toc78962474"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第四章 评标方法</w:t>
      </w:r>
      <w:r>
        <w:rPr>
          <w:rFonts w:hint="eastAsia" w:ascii="宋体" w:hAnsi="宋体" w:eastAsia="宋体" w:cs="宋体"/>
          <w:color w:val="auto"/>
          <w:sz w:val="21"/>
          <w:szCs w:val="21"/>
          <w:highlight w:val="none"/>
        </w:rPr>
        <w:fldChar w:fldCharType="end"/>
      </w:r>
    </w:p>
    <w:p>
      <w:pPr>
        <w:pStyle w:val="17"/>
        <w:tabs>
          <w:tab w:val="right" w:leader="dot" w:pos="8296"/>
        </w:tabs>
        <w:rPr>
          <w:rFonts w:hint="eastAsia" w:ascii="宋体" w:hAnsi="宋体" w:eastAsia="宋体" w:cs="宋体"/>
          <w:b w:val="0"/>
          <w:bCs w:val="0"/>
          <w:color w:val="auto"/>
          <w:sz w:val="21"/>
          <w:szCs w:val="21"/>
          <w:highlight w:val="none"/>
        </w:rPr>
      </w:pP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"_Toc78962475" </w:instrText>
      </w:r>
      <w:r>
        <w:rPr>
          <w:rFonts w:hint="eastAsia" w:ascii="宋体" w:hAnsi="宋体" w:eastAsia="宋体" w:cs="宋体"/>
          <w:color w:val="auto"/>
          <w:highlight w:val="none"/>
        </w:rPr>
        <w:fldChar w:fldCharType="separate"/>
      </w:r>
      <w:r>
        <w:rPr>
          <w:rFonts w:hint="eastAsia" w:ascii="宋体" w:hAnsi="宋体" w:eastAsia="宋体" w:cs="宋体"/>
          <w:color w:val="auto"/>
          <w:sz w:val="21"/>
          <w:szCs w:val="21"/>
          <w:highlight w:val="none"/>
        </w:rPr>
        <w:t>第五章 政府采购合同条款及格式</w:t>
      </w:r>
      <w:r>
        <w:rPr>
          <w:rFonts w:hint="eastAsia" w:ascii="宋体" w:hAnsi="宋体" w:eastAsia="宋体" w:cs="宋体"/>
          <w:color w:val="auto"/>
          <w:sz w:val="21"/>
          <w:szCs w:val="21"/>
          <w:highlight w:val="none"/>
        </w:rPr>
        <w:fldChar w:fldCharType="end"/>
      </w:r>
    </w:p>
    <w:p>
      <w:pPr>
        <w:pStyle w:val="33"/>
        <w:tabs>
          <w:tab w:val="right" w:leader="dot" w:pos="8306"/>
        </w:tabs>
        <w:spacing w:line="600" w:lineRule="exact"/>
        <w:rPr>
          <w:rFonts w:hint="eastAsia" w:ascii="宋体" w:hAnsi="宋体" w:eastAsia="宋体" w:cs="宋体"/>
          <w:b/>
          <w:bCs/>
          <w:color w:val="auto"/>
          <w:highlight w:val="none"/>
        </w:rPr>
        <w:sectPr>
          <w:headerReference r:id="rId3" w:type="default"/>
          <w:footerReference r:id="rId4" w:type="default"/>
          <w:pgSz w:w="11906" w:h="16838"/>
          <w:pgMar w:top="1440" w:right="1803" w:bottom="1440" w:left="1803" w:header="851" w:footer="992" w:gutter="0"/>
          <w:pgNumType w:fmt="upperRoman" w:start="1"/>
          <w:cols w:space="720" w:num="1"/>
          <w:docGrid w:linePitch="312" w:charSpace="0"/>
        </w:sectPr>
      </w:pPr>
      <w:r>
        <w:rPr>
          <w:rFonts w:hint="eastAsia" w:ascii="宋体" w:hAnsi="宋体" w:eastAsia="宋体" w:cs="宋体"/>
          <w:color w:val="auto"/>
          <w:sz w:val="21"/>
          <w:szCs w:val="21"/>
          <w:highlight w:val="none"/>
        </w:rPr>
        <w:fldChar w:fldCharType="end"/>
      </w:r>
    </w:p>
    <w:p>
      <w:pPr>
        <w:pStyle w:val="5"/>
        <w:rPr>
          <w:rFonts w:hint="eastAsia" w:ascii="宋体" w:hAnsi="宋体" w:eastAsia="宋体" w:cs="宋体"/>
          <w:color w:val="auto"/>
          <w:highlight w:val="none"/>
        </w:rPr>
      </w:pPr>
      <w:bookmarkStart w:id="0" w:name="_Toc1124_WPSOffice_Level1"/>
      <w:bookmarkStart w:id="1" w:name="_Toc78902190"/>
      <w:bookmarkStart w:id="2" w:name="_Toc15817"/>
      <w:r>
        <w:rPr>
          <w:rFonts w:hint="eastAsia" w:ascii="宋体" w:hAnsi="宋体" w:eastAsia="宋体" w:cs="宋体"/>
          <w:color w:val="auto"/>
          <w:highlight w:val="none"/>
        </w:rPr>
        <w:t>招标公告</w:t>
      </w:r>
      <w:bookmarkEnd w:id="0"/>
      <w:bookmarkEnd w:id="1"/>
      <w:bookmarkEnd w:id="2"/>
    </w:p>
    <w:tbl>
      <w:tblPr>
        <w:tblStyle w:val="23"/>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1340" w:hRule="atLeast"/>
        </w:trPr>
        <w:tc>
          <w:tcPr>
            <w:tcW w:w="8516" w:type="dxa"/>
            <w:noWrap w:val="0"/>
            <w:vAlign w:val="top"/>
          </w:tcPr>
          <w:p>
            <w:pPr>
              <w:rPr>
                <w:rFonts w:hint="eastAsia" w:ascii="宋体" w:hAnsi="宋体" w:eastAsia="宋体" w:cs="宋体"/>
                <w:color w:val="auto"/>
                <w:highlight w:val="none"/>
              </w:rPr>
            </w:pPr>
            <w:r>
              <w:rPr>
                <w:rFonts w:hint="eastAsia" w:ascii="宋体" w:hAnsi="宋体" w:eastAsia="宋体" w:cs="宋体"/>
                <w:color w:val="auto"/>
                <w:highlight w:val="none"/>
              </w:rPr>
              <w:t>项目概况</w:t>
            </w:r>
          </w:p>
          <w:p>
            <w:pPr>
              <w:ind w:firstLine="420" w:firstLineChars="200"/>
              <w:rPr>
                <w:rFonts w:hint="eastAsia" w:ascii="宋体" w:hAnsi="宋体" w:eastAsia="宋体" w:cs="宋体"/>
                <w:color w:val="auto"/>
                <w:highlight w:val="none"/>
              </w:rPr>
            </w:pPr>
            <w:r>
              <w:rPr>
                <w:rFonts w:hint="eastAsia" w:ascii="宋体" w:hAnsi="宋体" w:cs="宋体"/>
                <w:color w:val="auto"/>
                <w:highlight w:val="none"/>
                <w:lang w:eastAsia="zh-CN"/>
              </w:rPr>
              <w:t>国家税务总局黑龙江省税务局内外网站群驻场运维服务项目</w:t>
            </w:r>
            <w:r>
              <w:rPr>
                <w:rFonts w:hint="eastAsia" w:ascii="宋体" w:hAnsi="宋体" w:eastAsia="宋体" w:cs="宋体"/>
                <w:color w:val="auto"/>
                <w:highlight w:val="none"/>
              </w:rPr>
              <w:t>的潜在供应商应在黑龙江省招标有限公司一楼获取招标文件，并于202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25</w:t>
            </w:r>
            <w:r>
              <w:rPr>
                <w:rFonts w:hint="eastAsia" w:ascii="宋体" w:hAnsi="宋体" w:eastAsia="宋体" w:cs="宋体"/>
                <w:color w:val="auto"/>
                <w:highlight w:val="none"/>
              </w:rPr>
              <w:t>日9点00分（北京时间）前递交投标文件。</w:t>
            </w:r>
          </w:p>
        </w:tc>
      </w:tr>
    </w:tbl>
    <w:p>
      <w:pPr>
        <w:rPr>
          <w:rFonts w:hint="eastAsia" w:ascii="宋体" w:hAnsi="宋体" w:eastAsia="宋体" w:cs="宋体"/>
          <w:color w:val="auto"/>
          <w:highlight w:val="none"/>
        </w:rPr>
      </w:pPr>
      <w:bookmarkStart w:id="3" w:name="_Toc28359079"/>
      <w:bookmarkStart w:id="4" w:name="_Toc28359002"/>
      <w:bookmarkStart w:id="5" w:name="_Hlk24379207"/>
      <w:r>
        <w:rPr>
          <w:rFonts w:hint="eastAsia" w:ascii="宋体" w:hAnsi="宋体" w:eastAsia="宋体" w:cs="宋体"/>
          <w:color w:val="auto"/>
          <w:highlight w:val="none"/>
        </w:rPr>
        <w:t>一、项目基本情况</w:t>
      </w:r>
      <w:bookmarkEnd w:id="3"/>
      <w:bookmarkEnd w:id="4"/>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招标编号：</w:t>
      </w:r>
      <w:r>
        <w:rPr>
          <w:rFonts w:hint="eastAsia" w:ascii="宋体" w:hAnsi="宋体" w:cs="宋体"/>
          <w:color w:val="auto"/>
          <w:highlight w:val="none"/>
          <w:lang w:eastAsia="zh-CN"/>
        </w:rPr>
        <w:t>HTCL-ZB-243063</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项目名称：</w:t>
      </w:r>
      <w:bookmarkEnd w:id="5"/>
      <w:r>
        <w:rPr>
          <w:rFonts w:hint="eastAsia" w:ascii="宋体" w:hAnsi="宋体" w:cs="宋体"/>
          <w:color w:val="auto"/>
          <w:highlight w:val="none"/>
          <w:lang w:eastAsia="zh-CN"/>
        </w:rPr>
        <w:t>国家税务总局黑龙江省税务局内外网站群驻场运维服务项目</w:t>
      </w:r>
    </w:p>
    <w:p>
      <w:pPr>
        <w:rPr>
          <w:rFonts w:hint="eastAsia" w:ascii="宋体" w:hAnsi="宋体" w:eastAsia="宋体" w:cs="宋体"/>
          <w:color w:val="auto"/>
          <w:highlight w:val="none"/>
          <w:u w:val="single"/>
          <w:lang w:val="en-US" w:eastAsia="zh-CN"/>
        </w:rPr>
      </w:pPr>
      <w:r>
        <w:rPr>
          <w:rFonts w:hint="eastAsia" w:ascii="宋体" w:hAnsi="宋体" w:eastAsia="宋体" w:cs="宋体"/>
          <w:color w:val="auto"/>
          <w:highlight w:val="none"/>
        </w:rPr>
        <w:t>预算金额：431250元</w:t>
      </w:r>
    </w:p>
    <w:p>
      <w:pPr>
        <w:rPr>
          <w:rFonts w:hint="eastAsia" w:ascii="宋体" w:hAnsi="宋体" w:eastAsia="宋体" w:cs="宋体"/>
          <w:color w:val="auto"/>
          <w:highlight w:val="none"/>
        </w:rPr>
      </w:pPr>
      <w:r>
        <w:rPr>
          <w:rFonts w:hint="eastAsia" w:ascii="宋体" w:hAnsi="宋体" w:eastAsia="宋体" w:cs="宋体"/>
          <w:color w:val="auto"/>
          <w:highlight w:val="none"/>
        </w:rPr>
        <w:t>最高限价：431250元</w:t>
      </w:r>
    </w:p>
    <w:p>
      <w:pPr>
        <w:pStyle w:val="32"/>
        <w:ind w:firstLine="0" w:firstLineChars="0"/>
        <w:rPr>
          <w:rFonts w:hint="eastAsia" w:ascii="宋体" w:hAnsi="宋体" w:eastAsia="宋体" w:cs="宋体"/>
          <w:color w:val="auto"/>
          <w:highlight w:val="none"/>
        </w:rPr>
      </w:pPr>
      <w:r>
        <w:rPr>
          <w:rFonts w:hint="eastAsia" w:ascii="宋体" w:hAnsi="宋体" w:eastAsia="宋体" w:cs="宋体"/>
          <w:color w:val="auto"/>
          <w:highlight w:val="none"/>
        </w:rPr>
        <w:t>采购需求：</w:t>
      </w:r>
    </w:p>
    <w:p>
      <w:pPr>
        <w:pStyle w:val="32"/>
        <w:ind w:left="0" w:leftChars="0" w:firstLine="0" w:firstLineChars="0"/>
        <w:rPr>
          <w:rFonts w:hint="eastAsia" w:ascii="宋体" w:hAnsi="宋体" w:eastAsia="宋体" w:cs="宋体"/>
          <w:color w:val="auto"/>
          <w:highlight w:val="none"/>
          <w:lang w:val="en-US" w:eastAsia="zh-CN"/>
        </w:rPr>
      </w:pPr>
      <w:r>
        <w:rPr>
          <w:rFonts w:hint="eastAsia" w:eastAsia="宋体"/>
          <w:color w:val="auto"/>
          <w:highlight w:val="none"/>
          <w:lang w:eastAsia="zh-CN"/>
        </w:rPr>
        <w:t>为了进一步做好全省税务局内外网站的运维服务，保证内外网站全天候24小时不间断正常运行，需要做好黑龙江省税务局集约化站群系统应急安全保障、应用系统维护、系统扫描和安全加固、数据备份、服务器系统和应用软件的巡检和清理、网站页面新增、调整和错误修复、专题专栏建设、网站信息发布和数据统计</w:t>
      </w:r>
      <w:bookmarkStart w:id="174" w:name="_GoBack"/>
      <w:bookmarkEnd w:id="174"/>
      <w:r>
        <w:rPr>
          <w:rFonts w:hint="eastAsia"/>
          <w:color w:val="auto"/>
          <w:highlight w:val="none"/>
          <w:lang w:eastAsia="zh-CN"/>
        </w:rPr>
        <w:t>以及</w:t>
      </w:r>
      <w:r>
        <w:rPr>
          <w:rFonts w:hint="eastAsia" w:eastAsia="宋体"/>
          <w:color w:val="auto"/>
          <w:highlight w:val="none"/>
          <w:lang w:eastAsia="zh-CN"/>
        </w:rPr>
        <w:t>网站日常巡检等方面日常运维服务工作，提高内外网站工作的服务质量。</w:t>
      </w:r>
    </w:p>
    <w:p>
      <w:pPr>
        <w:pStyle w:val="32"/>
        <w:ind w:left="0" w:leftChars="0" w:firstLine="0" w:firstLineChars="0"/>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合同履行期限：一年。</w:t>
      </w:r>
    </w:p>
    <w:p>
      <w:pPr>
        <w:rPr>
          <w:rFonts w:hint="eastAsia" w:ascii="宋体" w:hAnsi="宋体" w:eastAsia="宋体" w:cs="宋体"/>
          <w:color w:val="auto"/>
          <w:highlight w:val="none"/>
        </w:rPr>
      </w:pPr>
      <w:r>
        <w:rPr>
          <w:rFonts w:hint="eastAsia" w:ascii="宋体" w:hAnsi="宋体" w:eastAsia="宋体" w:cs="宋体"/>
          <w:color w:val="auto"/>
          <w:highlight w:val="none"/>
        </w:rPr>
        <w:t>本项目不接受联合体投标。</w:t>
      </w:r>
    </w:p>
    <w:p>
      <w:pPr>
        <w:rPr>
          <w:rFonts w:hint="eastAsia" w:ascii="宋体" w:hAnsi="宋体" w:eastAsia="宋体" w:cs="宋体"/>
          <w:color w:val="auto"/>
          <w:highlight w:val="none"/>
        </w:rPr>
      </w:pPr>
      <w:bookmarkStart w:id="6" w:name="_Toc28359003"/>
      <w:bookmarkStart w:id="7" w:name="_Toc28359080"/>
      <w:r>
        <w:rPr>
          <w:rFonts w:hint="eastAsia" w:ascii="宋体" w:hAnsi="宋体" w:eastAsia="宋体" w:cs="宋体"/>
          <w:color w:val="auto"/>
          <w:highlight w:val="none"/>
        </w:rPr>
        <w:t>二、申请人的资格要求：</w:t>
      </w:r>
      <w:bookmarkEnd w:id="6"/>
      <w:bookmarkEnd w:id="7"/>
    </w:p>
    <w:p>
      <w:pPr>
        <w:rPr>
          <w:rFonts w:hint="eastAsia" w:ascii="宋体" w:hAnsi="宋体" w:eastAsia="宋体" w:cs="宋体"/>
          <w:color w:val="auto"/>
          <w:highlight w:val="none"/>
        </w:rPr>
      </w:pPr>
      <w:r>
        <w:rPr>
          <w:rFonts w:hint="eastAsia" w:ascii="宋体" w:hAnsi="宋体" w:eastAsia="宋体" w:cs="宋体"/>
          <w:color w:val="auto"/>
          <w:highlight w:val="none"/>
        </w:rPr>
        <w:t>1、供应商必须具备《政府采购法》第二十二条规定的条件。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2、落实政府采购政策需满足的资格要求：</w:t>
      </w:r>
      <w:r>
        <w:rPr>
          <w:rFonts w:hint="eastAsia" w:ascii="宋体" w:hAnsi="宋体" w:cs="宋体"/>
          <w:color w:val="auto"/>
          <w:highlight w:val="none"/>
          <w:lang w:val="en-US" w:eastAsia="zh-CN"/>
        </w:rPr>
        <w:t>无</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3、本项目的特定资格要求</w:t>
      </w:r>
      <w:r>
        <w:rPr>
          <w:rFonts w:hint="eastAsia" w:ascii="宋体" w:hAnsi="宋体" w:eastAsia="宋体" w:cs="宋体"/>
          <w:color w:val="auto"/>
          <w:highlight w:val="none"/>
          <w:lang w:eastAsia="zh-CN"/>
        </w:rPr>
        <w:t>：</w:t>
      </w:r>
      <w:r>
        <w:rPr>
          <w:rFonts w:hint="eastAsia" w:ascii="宋体" w:hAnsi="宋体" w:eastAsia="宋体" w:cs="宋体"/>
          <w:color w:val="auto"/>
          <w:highlight w:val="none"/>
        </w:rPr>
        <w:t>参加政府采购活动前三年内，在经营活动中没有重大违法记录和不良信用记录（在“信用中国”网站(www.creditchina.gov.cn)、中国政府采购网(www.ccgp.gov.cn)等渠道被列入失信被执行人、重大税收违法案件当事人名单、政府采购严重违法失信行为记录名单的供应商将被拒绝其参与本次政府采购活动）。</w:t>
      </w:r>
    </w:p>
    <w:p>
      <w:pPr>
        <w:rPr>
          <w:rFonts w:hint="eastAsia" w:ascii="宋体" w:hAnsi="宋体" w:eastAsia="宋体" w:cs="宋体"/>
          <w:color w:val="auto"/>
          <w:highlight w:val="none"/>
        </w:rPr>
      </w:pPr>
      <w:bookmarkStart w:id="8" w:name="_Toc28359081"/>
      <w:bookmarkStart w:id="9" w:name="_Toc28359004"/>
      <w:r>
        <w:rPr>
          <w:rFonts w:hint="eastAsia" w:ascii="宋体" w:hAnsi="宋体" w:eastAsia="宋体" w:cs="宋体"/>
          <w:color w:val="auto"/>
          <w:highlight w:val="none"/>
        </w:rPr>
        <w:t>三、获取招标文件</w:t>
      </w:r>
      <w:bookmarkEnd w:id="8"/>
      <w:bookmarkEnd w:id="9"/>
    </w:p>
    <w:p>
      <w:pPr>
        <w:rPr>
          <w:rFonts w:hint="eastAsia" w:ascii="宋体" w:hAnsi="宋体" w:eastAsia="宋体" w:cs="宋体"/>
          <w:color w:val="auto"/>
          <w:highlight w:val="none"/>
        </w:rPr>
      </w:pPr>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4</w:t>
      </w:r>
      <w:r>
        <w:rPr>
          <w:rFonts w:hint="eastAsia" w:ascii="宋体" w:hAnsi="宋体" w:eastAsia="宋体" w:cs="宋体"/>
          <w:color w:val="auto"/>
          <w:highlight w:val="none"/>
        </w:rPr>
        <w:t>日至202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12</w:t>
      </w:r>
      <w:r>
        <w:rPr>
          <w:rFonts w:hint="eastAsia" w:ascii="宋体" w:hAnsi="宋体" w:eastAsia="宋体" w:cs="宋体"/>
          <w:color w:val="auto"/>
          <w:highlight w:val="none"/>
        </w:rPr>
        <w:t>日，每天上午8点30分至11点30分，下午13点至16点（北京时间，法定节假日除外）</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方式：现场获取。</w:t>
      </w:r>
    </w:p>
    <w:p>
      <w:pPr>
        <w:rPr>
          <w:rFonts w:hint="eastAsia" w:ascii="宋体" w:hAnsi="宋体" w:eastAsia="宋体" w:cs="宋体"/>
          <w:color w:val="auto"/>
          <w:highlight w:val="none"/>
        </w:rPr>
      </w:pPr>
      <w:r>
        <w:rPr>
          <w:rFonts w:hint="eastAsia" w:ascii="宋体" w:hAnsi="宋体" w:eastAsia="宋体" w:cs="宋体"/>
          <w:color w:val="auto"/>
          <w:highlight w:val="none"/>
        </w:rPr>
        <w:t>售价：500元</w:t>
      </w:r>
    </w:p>
    <w:p>
      <w:pPr>
        <w:rPr>
          <w:rFonts w:hint="eastAsia" w:ascii="宋体" w:hAnsi="宋体" w:eastAsia="宋体" w:cs="宋体"/>
          <w:color w:val="auto"/>
          <w:highlight w:val="none"/>
        </w:rPr>
      </w:pPr>
      <w:bookmarkStart w:id="10" w:name="_Toc28359082"/>
      <w:bookmarkStart w:id="11" w:name="_Toc28359005"/>
      <w:r>
        <w:rPr>
          <w:rFonts w:hint="eastAsia" w:ascii="宋体" w:hAnsi="宋体" w:eastAsia="宋体" w:cs="宋体"/>
          <w:color w:val="auto"/>
          <w:highlight w:val="none"/>
        </w:rPr>
        <w:t>四、投标文件递交</w:t>
      </w:r>
      <w:bookmarkEnd w:id="10"/>
      <w:bookmarkEnd w:id="11"/>
    </w:p>
    <w:p>
      <w:pPr>
        <w:rPr>
          <w:rFonts w:hint="eastAsia" w:ascii="宋体" w:hAnsi="宋体" w:eastAsia="宋体" w:cs="宋体"/>
          <w:color w:val="auto"/>
          <w:highlight w:val="none"/>
        </w:rPr>
      </w:pPr>
      <w:r>
        <w:rPr>
          <w:rFonts w:hint="eastAsia" w:ascii="宋体" w:hAnsi="宋体" w:eastAsia="宋体" w:cs="宋体"/>
          <w:color w:val="auto"/>
          <w:highlight w:val="none"/>
        </w:rPr>
        <w:t>投标截止时间：202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25</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地点：黑龙江省招标有限公司一楼</w:t>
      </w:r>
    </w:p>
    <w:p>
      <w:pPr>
        <w:rPr>
          <w:rFonts w:hint="eastAsia" w:ascii="宋体" w:hAnsi="宋体" w:eastAsia="宋体" w:cs="宋体"/>
          <w:color w:val="auto"/>
          <w:highlight w:val="none"/>
        </w:rPr>
      </w:pPr>
      <w:bookmarkStart w:id="12" w:name="_Toc28359006"/>
      <w:bookmarkStart w:id="13" w:name="_Toc28359083"/>
      <w:r>
        <w:rPr>
          <w:rFonts w:hint="eastAsia" w:ascii="宋体" w:hAnsi="宋体" w:eastAsia="宋体" w:cs="宋体"/>
          <w:color w:val="auto"/>
          <w:highlight w:val="none"/>
        </w:rPr>
        <w:t>五、开标</w:t>
      </w:r>
      <w:bookmarkEnd w:id="12"/>
      <w:bookmarkEnd w:id="13"/>
    </w:p>
    <w:p>
      <w:pPr>
        <w:rPr>
          <w:rFonts w:hint="eastAsia" w:ascii="宋体" w:hAnsi="宋体" w:eastAsia="宋体" w:cs="宋体"/>
          <w:color w:val="auto"/>
          <w:highlight w:val="none"/>
        </w:rPr>
      </w:pPr>
      <w:bookmarkStart w:id="14" w:name="_Toc28359084"/>
      <w:bookmarkStart w:id="15" w:name="_Toc28359007"/>
      <w:r>
        <w:rPr>
          <w:rFonts w:hint="eastAsia" w:ascii="宋体" w:hAnsi="宋体" w:eastAsia="宋体" w:cs="宋体"/>
          <w:color w:val="auto"/>
          <w:highlight w:val="none"/>
        </w:rPr>
        <w:t>时间：202</w:t>
      </w:r>
      <w:r>
        <w:rPr>
          <w:rFonts w:hint="eastAsia" w:ascii="宋体" w:hAnsi="宋体" w:eastAsia="宋体" w:cs="宋体"/>
          <w:color w:val="auto"/>
          <w:highlight w:val="none"/>
          <w:lang w:val="en-US" w:eastAsia="zh-CN"/>
        </w:rPr>
        <w:t>4</w:t>
      </w:r>
      <w:r>
        <w:rPr>
          <w:rFonts w:hint="eastAsia" w:ascii="宋体" w:hAnsi="宋体" w:eastAsia="宋体" w:cs="宋体"/>
          <w:color w:val="auto"/>
          <w:highlight w:val="none"/>
        </w:rPr>
        <w:t>年</w:t>
      </w:r>
      <w:r>
        <w:rPr>
          <w:rFonts w:hint="eastAsia" w:ascii="宋体" w:hAnsi="宋体" w:cs="宋体"/>
          <w:color w:val="auto"/>
          <w:highlight w:val="none"/>
          <w:lang w:val="en-US" w:eastAsia="zh-CN"/>
        </w:rPr>
        <w:t>6</w:t>
      </w:r>
      <w:r>
        <w:rPr>
          <w:rFonts w:hint="eastAsia" w:ascii="宋体" w:hAnsi="宋体" w:eastAsia="宋体" w:cs="宋体"/>
          <w:color w:val="auto"/>
          <w:highlight w:val="none"/>
        </w:rPr>
        <w:t>月</w:t>
      </w:r>
      <w:r>
        <w:rPr>
          <w:rFonts w:hint="eastAsia" w:ascii="宋体" w:hAnsi="宋体" w:cs="宋体"/>
          <w:color w:val="auto"/>
          <w:highlight w:val="none"/>
          <w:lang w:val="en-US" w:eastAsia="zh-CN"/>
        </w:rPr>
        <w:t>25</w:t>
      </w:r>
      <w:r>
        <w:rPr>
          <w:rFonts w:hint="eastAsia" w:ascii="宋体" w:hAnsi="宋体" w:eastAsia="宋体" w:cs="宋体"/>
          <w:color w:val="auto"/>
          <w:highlight w:val="none"/>
        </w:rPr>
        <w:t>日9点00分（北京时间）</w:t>
      </w:r>
    </w:p>
    <w:p>
      <w:pPr>
        <w:rPr>
          <w:rFonts w:hint="eastAsia" w:ascii="宋体" w:hAnsi="宋体" w:eastAsia="宋体" w:cs="宋体"/>
          <w:color w:val="auto"/>
          <w:highlight w:val="none"/>
        </w:rPr>
      </w:pPr>
      <w:r>
        <w:rPr>
          <w:rFonts w:hint="eastAsia" w:ascii="宋体" w:hAnsi="宋体" w:eastAsia="宋体" w:cs="宋体"/>
          <w:color w:val="auto"/>
          <w:highlight w:val="none"/>
        </w:rPr>
        <w:t>地点：黑龙江省招标有限公司二楼会议室</w:t>
      </w:r>
    </w:p>
    <w:p>
      <w:pPr>
        <w:rPr>
          <w:rFonts w:hint="eastAsia" w:ascii="宋体" w:hAnsi="宋体" w:eastAsia="宋体" w:cs="宋体"/>
          <w:color w:val="auto"/>
          <w:highlight w:val="none"/>
        </w:rPr>
      </w:pPr>
      <w:r>
        <w:rPr>
          <w:rFonts w:hint="eastAsia" w:ascii="宋体" w:hAnsi="宋体" w:eastAsia="宋体" w:cs="宋体"/>
          <w:color w:val="auto"/>
          <w:highlight w:val="none"/>
        </w:rPr>
        <w:t>六、公告期限</w:t>
      </w:r>
      <w:bookmarkEnd w:id="14"/>
      <w:bookmarkEnd w:id="15"/>
    </w:p>
    <w:p>
      <w:pPr>
        <w:rPr>
          <w:rFonts w:hint="eastAsia" w:ascii="宋体" w:hAnsi="宋体" w:eastAsia="宋体" w:cs="宋体"/>
          <w:color w:val="auto"/>
          <w:highlight w:val="none"/>
        </w:rPr>
      </w:pPr>
      <w:r>
        <w:rPr>
          <w:rFonts w:hint="eastAsia" w:ascii="宋体" w:hAnsi="宋体" w:eastAsia="宋体" w:cs="宋体"/>
          <w:color w:val="auto"/>
          <w:highlight w:val="none"/>
        </w:rPr>
        <w:t>自本公告发布之日起5个工作日。</w:t>
      </w:r>
    </w:p>
    <w:p>
      <w:pPr>
        <w:rPr>
          <w:rFonts w:hint="eastAsia" w:ascii="宋体" w:hAnsi="宋体" w:eastAsia="宋体" w:cs="宋体"/>
          <w:color w:val="auto"/>
          <w:highlight w:val="none"/>
        </w:rPr>
      </w:pPr>
      <w:bookmarkStart w:id="16" w:name="_Toc28359008"/>
      <w:bookmarkStart w:id="17" w:name="_Toc28359085"/>
      <w:r>
        <w:rPr>
          <w:rFonts w:hint="eastAsia" w:ascii="宋体" w:hAnsi="宋体" w:eastAsia="宋体" w:cs="宋体"/>
          <w:color w:val="auto"/>
          <w:highlight w:val="none"/>
        </w:rPr>
        <w:t>七、对本次招标提出询问，请按以下方式联系。</w:t>
      </w:r>
      <w:bookmarkEnd w:id="16"/>
      <w:bookmarkEnd w:id="17"/>
    </w:p>
    <w:p>
      <w:pPr>
        <w:rPr>
          <w:rFonts w:hint="eastAsia" w:ascii="宋体" w:hAnsi="宋体" w:eastAsia="宋体" w:cs="宋体"/>
          <w:color w:val="auto"/>
          <w:highlight w:val="none"/>
        </w:rPr>
      </w:pPr>
      <w:r>
        <w:rPr>
          <w:rFonts w:hint="eastAsia" w:ascii="宋体" w:hAnsi="宋体" w:eastAsia="宋体" w:cs="宋体"/>
          <w:color w:val="auto"/>
          <w:highlight w:val="none"/>
        </w:rPr>
        <w:t>1.采购人信息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rPr>
          <w:rFonts w:hint="eastAsia" w:ascii="宋体" w:hAnsi="宋体" w:eastAsia="宋体" w:cs="宋体"/>
          <w:color w:val="auto"/>
          <w:highlight w:val="none"/>
          <w:lang w:eastAsia="zh-CN"/>
        </w:rPr>
      </w:pPr>
      <w:r>
        <w:rPr>
          <w:rFonts w:hint="eastAsia" w:ascii="宋体" w:hAnsi="宋体" w:eastAsia="宋体" w:cs="宋体"/>
          <w:color w:val="auto"/>
          <w:highlight w:val="none"/>
        </w:rPr>
        <w:t>联 系 人：詹女士</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联系方式：0451-53611195 </w:t>
      </w:r>
    </w:p>
    <w:p>
      <w:pPr>
        <w:rPr>
          <w:rFonts w:hint="eastAsia" w:ascii="宋体" w:hAnsi="宋体" w:eastAsia="宋体" w:cs="宋体"/>
          <w:color w:val="auto"/>
          <w:highlight w:val="none"/>
        </w:rPr>
      </w:pPr>
      <w:r>
        <w:rPr>
          <w:rFonts w:hint="eastAsia" w:ascii="宋体" w:hAnsi="宋体" w:eastAsia="宋体" w:cs="宋体"/>
          <w:color w:val="auto"/>
          <w:highlight w:val="none"/>
        </w:rPr>
        <w:t>2.采购代理机构信息</w:t>
      </w:r>
    </w:p>
    <w:p>
      <w:pPr>
        <w:rPr>
          <w:rFonts w:hint="eastAsia" w:ascii="宋体" w:hAnsi="宋体" w:eastAsia="宋体" w:cs="宋体"/>
          <w:color w:val="auto"/>
          <w:highlight w:val="none"/>
        </w:rPr>
      </w:pPr>
      <w:r>
        <w:rPr>
          <w:rFonts w:hint="eastAsia" w:ascii="宋体" w:hAnsi="宋体" w:eastAsia="宋体" w:cs="宋体"/>
          <w:color w:val="auto"/>
          <w:highlight w:val="none"/>
        </w:rPr>
        <w:t>名    称：黑龙江省招标有限公司</w:t>
      </w:r>
    </w:p>
    <w:p>
      <w:pPr>
        <w:rPr>
          <w:rFonts w:hint="eastAsia" w:ascii="宋体" w:hAnsi="宋体" w:eastAsia="宋体" w:cs="宋体"/>
          <w:color w:val="auto"/>
          <w:highlight w:val="none"/>
        </w:rPr>
      </w:pPr>
      <w:r>
        <w:rPr>
          <w:rFonts w:hint="eastAsia" w:ascii="宋体" w:hAnsi="宋体" w:eastAsia="宋体" w:cs="宋体"/>
          <w:color w:val="auto"/>
          <w:highlight w:val="none"/>
        </w:rPr>
        <w:t>地　  址：哈尔滨市南岗区汉水路180号</w:t>
      </w:r>
    </w:p>
    <w:p>
      <w:pPr>
        <w:rPr>
          <w:rFonts w:hint="eastAsia" w:ascii="宋体" w:hAnsi="宋体" w:eastAsia="宋体" w:cs="宋体"/>
          <w:color w:val="auto"/>
          <w:highlight w:val="none"/>
        </w:rPr>
      </w:pPr>
      <w:r>
        <w:rPr>
          <w:rFonts w:hint="eastAsia" w:ascii="宋体" w:hAnsi="宋体" w:eastAsia="宋体" w:cs="宋体"/>
          <w:color w:val="auto"/>
          <w:highlight w:val="none"/>
        </w:rPr>
        <w:t>联 系 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联系方式：0451-82364703</w:t>
      </w:r>
    </w:p>
    <w:p>
      <w:pPr>
        <w:rPr>
          <w:rFonts w:hint="eastAsia" w:ascii="宋体" w:hAnsi="宋体" w:eastAsia="宋体" w:cs="宋体"/>
          <w:color w:val="auto"/>
          <w:highlight w:val="none"/>
        </w:rPr>
      </w:pPr>
      <w:r>
        <w:rPr>
          <w:rFonts w:hint="eastAsia" w:ascii="宋体" w:hAnsi="宋体" w:eastAsia="宋体" w:cs="宋体"/>
          <w:color w:val="auto"/>
          <w:highlight w:val="none"/>
        </w:rPr>
        <w:t>3.项目联系方式</w:t>
      </w:r>
    </w:p>
    <w:p>
      <w:pPr>
        <w:rPr>
          <w:rFonts w:hint="eastAsia" w:ascii="宋体" w:hAnsi="宋体" w:eastAsia="宋体" w:cs="宋体"/>
          <w:color w:val="auto"/>
          <w:highlight w:val="none"/>
        </w:rPr>
      </w:pPr>
      <w:r>
        <w:rPr>
          <w:rFonts w:hint="eastAsia" w:ascii="宋体" w:hAnsi="宋体" w:eastAsia="宋体" w:cs="宋体"/>
          <w:color w:val="auto"/>
          <w:highlight w:val="none"/>
        </w:rPr>
        <w:t>项目联系人：韩宇奇、於佳</w:t>
      </w:r>
    </w:p>
    <w:p>
      <w:pPr>
        <w:rPr>
          <w:rFonts w:hint="eastAsia" w:ascii="宋体" w:hAnsi="宋体" w:eastAsia="宋体" w:cs="宋体"/>
          <w:color w:val="auto"/>
          <w:highlight w:val="none"/>
        </w:rPr>
      </w:pPr>
      <w:r>
        <w:rPr>
          <w:rFonts w:hint="eastAsia" w:ascii="宋体" w:hAnsi="宋体" w:eastAsia="宋体" w:cs="宋体"/>
          <w:color w:val="auto"/>
          <w:highlight w:val="none"/>
        </w:rPr>
        <w:t>电    话：0451-82364703</w:t>
      </w:r>
    </w:p>
    <w:p>
      <w:pPr>
        <w:jc w:val="center"/>
        <w:rPr>
          <w:rFonts w:hint="eastAsia" w:ascii="宋体" w:hAnsi="宋体" w:eastAsia="宋体" w:cs="宋体"/>
          <w:color w:val="auto"/>
          <w:highlight w:val="none"/>
        </w:rPr>
      </w:pPr>
      <w:r>
        <w:rPr>
          <w:rFonts w:hint="eastAsia" w:ascii="宋体" w:hAnsi="宋体" w:eastAsia="宋体" w:cs="宋体"/>
          <w:color w:val="auto"/>
          <w:highlight w:val="none"/>
        </w:rPr>
        <w:br w:type="page"/>
      </w:r>
      <w:bookmarkStart w:id="18" w:name="_Toc27915"/>
      <w:bookmarkStart w:id="19" w:name="_Toc78902191"/>
      <w:bookmarkStart w:id="20" w:name="_Toc26518_WPSOffice_Level1"/>
      <w:r>
        <w:rPr>
          <w:rStyle w:val="34"/>
          <w:rFonts w:hint="eastAsia" w:ascii="宋体" w:hAnsi="宋体" w:eastAsia="宋体" w:cs="宋体"/>
          <w:color w:val="auto"/>
          <w:highlight w:val="none"/>
        </w:rPr>
        <w:t>第一章 供应商须知</w:t>
      </w:r>
      <w:bookmarkEnd w:id="18"/>
      <w:bookmarkEnd w:id="19"/>
      <w:bookmarkEnd w:id="20"/>
    </w:p>
    <w:p>
      <w:pPr>
        <w:pStyle w:val="6"/>
        <w:rPr>
          <w:rFonts w:hint="eastAsia" w:ascii="宋体" w:hAnsi="宋体" w:eastAsia="宋体" w:cs="宋体"/>
          <w:color w:val="auto"/>
          <w:highlight w:val="none"/>
        </w:rPr>
      </w:pPr>
      <w:bookmarkStart w:id="21" w:name="_Toc18613_WPSOffice_Level2"/>
      <w:r>
        <w:rPr>
          <w:rFonts w:hint="eastAsia" w:ascii="宋体" w:hAnsi="宋体" w:eastAsia="宋体" w:cs="宋体"/>
          <w:color w:val="auto"/>
          <w:highlight w:val="none"/>
        </w:rPr>
        <w:t>一 供应商须知表</w:t>
      </w:r>
      <w:bookmarkEnd w:id="21"/>
    </w:p>
    <w:tbl>
      <w:tblPr>
        <w:tblStyle w:val="23"/>
        <w:tblW w:w="8656" w:type="dxa"/>
        <w:tblInd w:w="108" w:type="dxa"/>
        <w:tblLayout w:type="fixed"/>
        <w:tblCellMar>
          <w:top w:w="0" w:type="dxa"/>
          <w:left w:w="108" w:type="dxa"/>
          <w:bottom w:w="0" w:type="dxa"/>
          <w:right w:w="108" w:type="dxa"/>
        </w:tblCellMar>
      </w:tblPr>
      <w:tblGrid>
        <w:gridCol w:w="852"/>
        <w:gridCol w:w="1917"/>
        <w:gridCol w:w="5887"/>
      </w:tblGrid>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bookmarkStart w:id="22" w:name="sys_招标项目基本内容及要求：Block"/>
            <w:bookmarkEnd w:id="22"/>
            <w:bookmarkStart w:id="23" w:name="招标项目基本内容及要求：Block"/>
            <w:bookmarkEnd w:id="23"/>
            <w:bookmarkStart w:id="24" w:name="sys_招标项目基本内容及要求其他：Block"/>
            <w:bookmarkEnd w:id="24"/>
            <w:bookmarkStart w:id="25" w:name="招标项目基本内容及要求其他：Block"/>
            <w:bookmarkEnd w:id="25"/>
            <w:r>
              <w:rPr>
                <w:rFonts w:hint="eastAsia" w:ascii="宋体" w:hAnsi="宋体" w:eastAsia="宋体" w:cs="宋体"/>
                <w:color w:val="auto"/>
                <w:highlight w:val="none"/>
              </w:rPr>
              <w:t>条款号</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   目</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     容</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名  称：国家税务总局黑龙江省税务局</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地  址：哈尔滨市南岗区东大直街190号</w:t>
            </w:r>
          </w:p>
          <w:p>
            <w:pPr>
              <w:spacing w:line="300" w:lineRule="exact"/>
              <w:rPr>
                <w:rFonts w:hint="eastAsia" w:ascii="宋体" w:hAnsi="宋体" w:eastAsia="宋体" w:cs="宋体"/>
                <w:highlight w:val="none"/>
                <w:lang w:eastAsia="zh-CN"/>
              </w:rPr>
            </w:pPr>
            <w:r>
              <w:rPr>
                <w:rFonts w:hint="eastAsia" w:ascii="宋体" w:hAnsi="宋体" w:eastAsia="宋体" w:cs="宋体"/>
                <w:highlight w:val="none"/>
              </w:rPr>
              <w:t>联系人：詹女士</w:t>
            </w:r>
          </w:p>
          <w:p>
            <w:pPr>
              <w:spacing w:line="300" w:lineRule="exact"/>
              <w:rPr>
                <w:rFonts w:hint="eastAsia" w:ascii="宋体" w:hAnsi="宋体" w:eastAsia="宋体" w:cs="宋体"/>
                <w:color w:val="auto"/>
                <w:kern w:val="0"/>
                <w:highlight w:val="none"/>
              </w:rPr>
            </w:pPr>
            <w:r>
              <w:rPr>
                <w:rFonts w:hint="eastAsia" w:ascii="宋体" w:hAnsi="宋体" w:eastAsia="宋体" w:cs="宋体"/>
                <w:highlight w:val="none"/>
              </w:rPr>
              <w:t>电话：0451-53611195</w:t>
            </w:r>
          </w:p>
        </w:tc>
      </w:tr>
      <w:tr>
        <w:tblPrEx>
          <w:tblLayout w:type="fixed"/>
          <w:tblCellMar>
            <w:top w:w="0" w:type="dxa"/>
            <w:left w:w="108" w:type="dxa"/>
            <w:bottom w:w="0" w:type="dxa"/>
            <w:right w:w="108" w:type="dxa"/>
          </w:tblCellMar>
        </w:tblPrEx>
        <w:trPr>
          <w:trHeight w:val="125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采购代理机构</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名  称：黑龙江省招标有限公司</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地  址：黑龙江省哈尔滨市南岗区汉水路180号</w:t>
            </w:r>
          </w:p>
          <w:p>
            <w:pPr>
              <w:widowControl/>
              <w:spacing w:line="300" w:lineRule="exact"/>
              <w:jc w:val="left"/>
              <w:rPr>
                <w:rFonts w:hint="eastAsia" w:ascii="宋体" w:hAnsi="宋体" w:eastAsia="宋体" w:cs="宋体"/>
                <w:color w:val="auto"/>
                <w:kern w:val="0"/>
                <w:highlight w:val="none"/>
                <w:u w:val="single"/>
              </w:rPr>
            </w:pPr>
            <w:r>
              <w:rPr>
                <w:rFonts w:hint="eastAsia" w:ascii="宋体" w:hAnsi="宋体" w:eastAsia="宋体" w:cs="宋体"/>
                <w:color w:val="auto"/>
                <w:kern w:val="0"/>
                <w:highlight w:val="none"/>
              </w:rPr>
              <w:t>联系人：韩宇奇、於佳</w:t>
            </w:r>
          </w:p>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电  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合格供应商资格条件</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left"/>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详见招标公告</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是否允许联合体投标</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是</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否</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1.4.8</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联合体投标的其他资格要求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无</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项目预算金额/最高限价</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default" w:ascii="宋体" w:hAnsi="宋体" w:eastAsia="宋体" w:cs="宋体"/>
                <w:color w:val="auto"/>
                <w:kern w:val="0"/>
                <w:highlight w:val="none"/>
                <w:lang w:val="en-US" w:eastAsia="zh-CN"/>
              </w:rPr>
            </w:pPr>
            <w:r>
              <w:rPr>
                <w:rFonts w:hint="eastAsia"/>
                <w:highlight w:val="none"/>
                <w:lang w:val="en-US" w:eastAsia="zh-CN"/>
              </w:rPr>
              <w:t>431250</w:t>
            </w:r>
            <w:r>
              <w:rPr>
                <w:rFonts w:hint="eastAsia" w:cs="宋体"/>
                <w:highlight w:val="none"/>
              </w:rPr>
              <w:t>元</w:t>
            </w:r>
          </w:p>
        </w:tc>
      </w:tr>
      <w:tr>
        <w:tblPrEx>
          <w:tblLayout w:type="fixed"/>
          <w:tblCellMar>
            <w:top w:w="0" w:type="dxa"/>
            <w:left w:w="108" w:type="dxa"/>
            <w:bottom w:w="0" w:type="dxa"/>
            <w:right w:w="108" w:type="dxa"/>
          </w:tblCellMar>
        </w:tblPrEx>
        <w:trPr>
          <w:trHeight w:val="32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计量单位</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中华人民共和国法定计量单位</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其他：</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现场考察、开标前答疑会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不组织</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w:t>
            </w:r>
            <w:r>
              <w:rPr>
                <w:rFonts w:hint="eastAsia" w:ascii="宋体" w:hAnsi="宋体" w:eastAsia="宋体" w:cs="宋体"/>
                <w:color w:val="auto"/>
                <w:kern w:val="0"/>
                <w:highlight w:val="none"/>
              </w:rPr>
              <w:t>时  间：</w:t>
            </w:r>
          </w:p>
          <w:p>
            <w:pPr>
              <w:widowControl/>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地  点：</w:t>
            </w:r>
          </w:p>
          <w:p>
            <w:pPr>
              <w:spacing w:line="300" w:lineRule="exact"/>
              <w:ind w:left="-105" w:leftChars="-50" w:firstLine="949" w:firstLineChars="452"/>
              <w:rPr>
                <w:rFonts w:hint="eastAsia" w:ascii="宋体" w:hAnsi="宋体" w:eastAsia="宋体" w:cs="宋体"/>
                <w:color w:val="auto"/>
                <w:kern w:val="0"/>
                <w:highlight w:val="none"/>
              </w:rPr>
            </w:pPr>
            <w:r>
              <w:rPr>
                <w:rFonts w:hint="eastAsia" w:ascii="宋体" w:hAnsi="宋体" w:eastAsia="宋体" w:cs="宋体"/>
                <w:color w:val="auto"/>
                <w:kern w:val="0"/>
                <w:highlight w:val="none"/>
              </w:rPr>
              <w:t>联系人：</w:t>
            </w:r>
          </w:p>
          <w:p>
            <w:pPr>
              <w:spacing w:line="300" w:lineRule="exact"/>
              <w:ind w:firstLine="840" w:firstLineChars="400"/>
              <w:rPr>
                <w:rFonts w:hint="eastAsia" w:ascii="宋体" w:hAnsi="宋体" w:eastAsia="宋体" w:cs="宋体"/>
                <w:color w:val="auto"/>
                <w:highlight w:val="none"/>
              </w:rPr>
            </w:pPr>
            <w:r>
              <w:rPr>
                <w:rFonts w:hint="eastAsia" w:ascii="宋体" w:hAnsi="宋体" w:eastAsia="宋体" w:cs="宋体"/>
                <w:color w:val="auto"/>
                <w:kern w:val="0"/>
                <w:highlight w:val="none"/>
              </w:rPr>
              <w:t>电  话：</w:t>
            </w:r>
          </w:p>
          <w:p>
            <w:pPr>
              <w:spacing w:line="300" w:lineRule="exact"/>
              <w:rPr>
                <w:rFonts w:hint="eastAsia" w:ascii="宋体" w:hAnsi="宋体" w:eastAsia="宋体" w:cs="宋体"/>
                <w:bCs/>
                <w:color w:val="auto"/>
                <w:kern w:val="0"/>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组织，招标文件提供期限截止后以书面形式通知。</w:t>
            </w:r>
          </w:p>
        </w:tc>
      </w:tr>
      <w:tr>
        <w:tblPrEx>
          <w:tblLayout w:type="fixed"/>
          <w:tblCellMar>
            <w:top w:w="0" w:type="dxa"/>
            <w:left w:w="108" w:type="dxa"/>
            <w:bottom w:w="0" w:type="dxa"/>
            <w:right w:w="108" w:type="dxa"/>
          </w:tblCellMar>
        </w:tblPrEx>
        <w:trPr>
          <w:trHeight w:val="86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是否为专门面向中小企业采购</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color w:val="auto"/>
                <w:highlight w:val="none"/>
              </w:rPr>
            </w:pPr>
            <w:r>
              <w:rPr>
                <w:color w:val="auto"/>
                <w:highlight w:val="none"/>
              </w:rPr>
              <w:sym w:font="Wingdings 2" w:char="00A3"/>
            </w:r>
            <w:r>
              <w:rPr>
                <w:rFonts w:hint="eastAsia"/>
                <w:color w:val="auto"/>
                <w:highlight w:val="none"/>
              </w:rPr>
              <w:t>是</w:t>
            </w:r>
          </w:p>
          <w:p>
            <w:pPr>
              <w:spacing w:line="300" w:lineRule="exact"/>
              <w:rPr>
                <w:rFonts w:hint="eastAsia" w:ascii="宋体" w:hAnsi="宋体" w:eastAsia="宋体" w:cs="宋体"/>
                <w:bCs/>
                <w:color w:val="auto"/>
                <w:kern w:val="0"/>
                <w:highlight w:val="none"/>
              </w:rPr>
            </w:pPr>
            <w:r>
              <w:rPr>
                <w:color w:val="auto"/>
                <w:highlight w:val="none"/>
              </w:rPr>
              <w:sym w:font="Wingdings 2" w:char="0052"/>
            </w:r>
            <w:r>
              <w:rPr>
                <w:rFonts w:hint="eastAsia"/>
                <w:color w:val="auto"/>
                <w:highlight w:val="none"/>
              </w:rPr>
              <w:t>否</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6.2.3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标的所属行业</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kern w:val="0"/>
                <w:highlight w:val="none"/>
                <w:lang w:val="en-US" w:eastAsia="zh-CN"/>
              </w:rPr>
            </w:pPr>
            <w:r>
              <w:rPr>
                <w:rFonts w:hint="eastAsia" w:cs="宋体"/>
                <w:color w:val="auto"/>
                <w:kern w:val="0"/>
                <w:highlight w:val="none"/>
                <w:lang w:val="en-US" w:eastAsia="zh-CN"/>
              </w:rPr>
              <w:t>软件与信息技术服务业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不需要提供演示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需要提供演示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1、演示时间：</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演示地点：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   演示顺序：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2、演示要求：（内容、设备等要求）</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投标报价货币要求</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所有投标均按</w:t>
            </w:r>
            <w:r>
              <w:rPr>
                <w:rFonts w:hint="eastAsia" w:ascii="宋体" w:hAnsi="宋体" w:eastAsia="宋体" w:cs="宋体"/>
                <w:color w:val="auto"/>
                <w:highlight w:val="none"/>
                <w:u w:val="single"/>
              </w:rPr>
              <w:t>人民币</w:t>
            </w:r>
            <w:r>
              <w:rPr>
                <w:rFonts w:hint="eastAsia" w:ascii="宋体" w:hAnsi="宋体" w:eastAsia="宋体" w:cs="宋体"/>
                <w:color w:val="auto"/>
                <w:highlight w:val="none"/>
              </w:rPr>
              <w:t>货币进行报价。</w:t>
            </w:r>
          </w:p>
          <w:p>
            <w:pPr>
              <w:spacing w:line="300" w:lineRule="exact"/>
              <w:rPr>
                <w:rFonts w:hint="eastAsia" w:ascii="宋体" w:hAnsi="宋体" w:eastAsia="宋体" w:cs="宋体"/>
                <w:color w:val="auto"/>
                <w:kern w:val="0"/>
                <w:highlight w:val="none"/>
                <w:u w:val="singl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其它：</w:t>
            </w:r>
          </w:p>
        </w:tc>
      </w:tr>
      <w:tr>
        <w:tblPrEx>
          <w:tblLayout w:type="fixed"/>
          <w:tblCellMar>
            <w:top w:w="0" w:type="dxa"/>
            <w:left w:w="108" w:type="dxa"/>
            <w:bottom w:w="0" w:type="dxa"/>
            <w:right w:w="108" w:type="dxa"/>
          </w:tblCellMar>
        </w:tblPrEx>
        <w:trPr>
          <w:trHeight w:val="2786"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default" w:ascii="宋体" w:hAnsi="宋体" w:eastAsia="宋体" w:cs="宋体"/>
                <w:color w:val="auto"/>
                <w:highlight w:val="none"/>
                <w:lang w:val="en-US" w:eastAsia="zh-CN"/>
              </w:rPr>
            </w:pPr>
            <w:r>
              <w:rPr>
                <w:rFonts w:hint="eastAsia" w:ascii="宋体" w:hAnsi="宋体" w:eastAsia="宋体" w:cs="宋体"/>
                <w:color w:val="auto"/>
                <w:highlight w:val="none"/>
              </w:rPr>
              <w:t>1.投标保证金金额：</w:t>
            </w:r>
            <w:r>
              <w:rPr>
                <w:rFonts w:hint="eastAsia" w:ascii="宋体" w:hAnsi="宋体" w:cs="宋体"/>
                <w:color w:val="auto"/>
                <w:highlight w:val="none"/>
                <w:lang w:val="en-US" w:eastAsia="zh-CN"/>
              </w:rPr>
              <w:t>8000元</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2.投标保证金缴纳时间：同投标截止时间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3.投标保证金缴纳方式：保函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保证金收款人银行信息：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公司名称：黑龙江省招标有限公司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号：18010000001546324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 户 行：哈尔滨银行股份有限公司哈尔滨自贸区支行</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4.保证金退还咨询电话：0451-82364703</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15.1</w:t>
            </w:r>
          </w:p>
        </w:tc>
        <w:tc>
          <w:tcPr>
            <w:tcW w:w="1917" w:type="dxa"/>
            <w:tcBorders>
              <w:top w:val="single" w:color="auto" w:sz="4" w:space="0"/>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投标有效期</w:t>
            </w:r>
          </w:p>
        </w:tc>
        <w:tc>
          <w:tcPr>
            <w:tcW w:w="5887" w:type="dxa"/>
            <w:tcBorders>
              <w:top w:val="single" w:color="auto" w:sz="4" w:space="0"/>
              <w:left w:val="nil"/>
              <w:bottom w:val="single" w:color="auto" w:sz="8" w:space="0"/>
              <w:right w:val="single" w:color="auto" w:sz="8" w:space="0"/>
            </w:tcBorders>
            <w:vAlign w:val="center"/>
          </w:tcPr>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u w:val="single"/>
              </w:rPr>
              <w:t>180</w:t>
            </w:r>
            <w:r>
              <w:rPr>
                <w:rFonts w:hint="eastAsia" w:ascii="宋体" w:hAnsi="宋体" w:eastAsia="宋体" w:cs="宋体"/>
                <w:color w:val="auto"/>
                <w:highlight w:val="none"/>
              </w:rPr>
              <w:t>日历日</w:t>
            </w:r>
          </w:p>
        </w:tc>
      </w:tr>
      <w:tr>
        <w:tblPrEx>
          <w:tblLayout w:type="fixed"/>
          <w:tblCellMar>
            <w:top w:w="0" w:type="dxa"/>
            <w:left w:w="108" w:type="dxa"/>
            <w:bottom w:w="0" w:type="dxa"/>
            <w:right w:w="108" w:type="dxa"/>
          </w:tblCellMar>
        </w:tblPrEx>
        <w:trPr>
          <w:trHeight w:val="64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投标文件及电子文档份数</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投标文件正本</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4</w:t>
            </w:r>
            <w:r>
              <w:rPr>
                <w:rFonts w:hint="eastAsia" w:ascii="宋体" w:hAnsi="宋体" w:eastAsia="宋体" w:cs="宋体"/>
                <w:color w:val="auto"/>
                <w:highlight w:val="none"/>
              </w:rPr>
              <w:t>份；电子文档</w:t>
            </w:r>
            <w:r>
              <w:rPr>
                <w:rFonts w:hint="eastAsia" w:ascii="宋体" w:hAnsi="宋体" w:eastAsia="宋体" w:cs="宋体"/>
                <w:color w:val="auto"/>
                <w:highlight w:val="none"/>
                <w:u w:val="single"/>
              </w:rPr>
              <w:t>1</w:t>
            </w:r>
            <w:r>
              <w:rPr>
                <w:rFonts w:hint="eastAsia" w:ascii="宋体" w:hAnsi="宋体" w:eastAsia="宋体" w:cs="宋体"/>
                <w:color w:val="auto"/>
                <w:highlight w:val="none"/>
              </w:rPr>
              <w:t>份。</w:t>
            </w:r>
          </w:p>
        </w:tc>
      </w:tr>
      <w:tr>
        <w:tblPrEx>
          <w:tblLayout w:type="fixed"/>
          <w:tblCellMar>
            <w:top w:w="0" w:type="dxa"/>
            <w:left w:w="108" w:type="dxa"/>
            <w:bottom w:w="0" w:type="dxa"/>
            <w:right w:w="108" w:type="dxa"/>
          </w:tblCellMar>
        </w:tblPrEx>
        <w:trPr>
          <w:trHeight w:val="631"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18.1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递交投标文件截止时间、地点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20.1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开标时间、地点</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详见招标公告，以招标公告规定时间、地点为准。</w:t>
            </w:r>
          </w:p>
        </w:tc>
      </w:tr>
      <w:tr>
        <w:tblPrEx>
          <w:tblLayout w:type="fixed"/>
          <w:tblCellMar>
            <w:top w:w="0" w:type="dxa"/>
            <w:left w:w="108" w:type="dxa"/>
            <w:bottom w:w="0" w:type="dxa"/>
            <w:right w:w="108" w:type="dxa"/>
          </w:tblCellMar>
        </w:tblPrEx>
        <w:trPr>
          <w:trHeight w:val="613" w:hRule="atLeast"/>
        </w:trPr>
        <w:tc>
          <w:tcPr>
            <w:tcW w:w="852" w:type="dxa"/>
            <w:tcBorders>
              <w:top w:val="nil"/>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21</w:t>
            </w:r>
          </w:p>
        </w:tc>
        <w:tc>
          <w:tcPr>
            <w:tcW w:w="1917" w:type="dxa"/>
            <w:tcBorders>
              <w:top w:val="nil"/>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评标委员会组成</w:t>
            </w:r>
          </w:p>
        </w:tc>
        <w:tc>
          <w:tcPr>
            <w:tcW w:w="5887" w:type="dxa"/>
            <w:tcBorders>
              <w:top w:val="nil"/>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评标委员会由采购人代表</w:t>
            </w:r>
            <w:r>
              <w:rPr>
                <w:rFonts w:hint="eastAsia" w:ascii="宋体" w:hAnsi="宋体" w:eastAsia="宋体" w:cs="宋体"/>
                <w:color w:val="auto"/>
                <w:highlight w:val="none"/>
                <w:u w:val="single"/>
                <w:lang w:val="en-US" w:eastAsia="zh-CN"/>
              </w:rPr>
              <w:t>0-2</w:t>
            </w:r>
            <w:r>
              <w:rPr>
                <w:rFonts w:hint="eastAsia" w:ascii="宋体" w:hAnsi="宋体" w:eastAsia="宋体" w:cs="宋体"/>
                <w:color w:val="auto"/>
                <w:highlight w:val="none"/>
              </w:rPr>
              <w:t>人，评审专家</w:t>
            </w:r>
            <w:r>
              <w:rPr>
                <w:rFonts w:hint="eastAsia" w:ascii="宋体" w:hAnsi="宋体" w:eastAsia="宋体" w:cs="宋体"/>
                <w:color w:val="auto"/>
                <w:highlight w:val="none"/>
                <w:u w:val="single"/>
                <w:lang w:val="en-US" w:eastAsia="zh-CN"/>
              </w:rPr>
              <w:t>5-7</w:t>
            </w:r>
            <w:r>
              <w:rPr>
                <w:rFonts w:hint="eastAsia" w:ascii="宋体" w:hAnsi="宋体" w:eastAsia="宋体" w:cs="宋体"/>
                <w:color w:val="auto"/>
                <w:highlight w:val="none"/>
              </w:rPr>
              <w:t>人组成，共</w:t>
            </w:r>
            <w:r>
              <w:rPr>
                <w:rFonts w:hint="eastAsia" w:ascii="宋体" w:hAnsi="宋体" w:eastAsia="宋体" w:cs="宋体"/>
                <w:color w:val="auto"/>
                <w:highlight w:val="none"/>
                <w:u w:val="single"/>
                <w:lang w:val="en-US" w:eastAsia="zh-CN"/>
              </w:rPr>
              <w:t>7</w:t>
            </w:r>
            <w:r>
              <w:rPr>
                <w:rFonts w:hint="eastAsia" w:ascii="宋体" w:hAnsi="宋体" w:eastAsia="宋体" w:cs="宋体"/>
                <w:color w:val="auto"/>
                <w:highlight w:val="none"/>
              </w:rPr>
              <w:t xml:space="preserve">人。 </w:t>
            </w:r>
          </w:p>
        </w:tc>
      </w:tr>
      <w:tr>
        <w:tblPrEx>
          <w:tblLayout w:type="fixed"/>
          <w:tblCellMar>
            <w:top w:w="0" w:type="dxa"/>
            <w:left w:w="108" w:type="dxa"/>
            <w:bottom w:w="0" w:type="dxa"/>
            <w:right w:w="108" w:type="dxa"/>
          </w:tblCellMar>
        </w:tblPrEx>
        <w:trPr>
          <w:trHeight w:val="1214"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演示的评审方法及评审标准</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评标办法</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综合评分法</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最低评标价法</w:t>
            </w:r>
          </w:p>
        </w:tc>
      </w:tr>
      <w:tr>
        <w:tblPrEx>
          <w:tblLayout w:type="fixed"/>
          <w:tblCellMar>
            <w:top w:w="0" w:type="dxa"/>
            <w:left w:w="108" w:type="dxa"/>
            <w:bottom w:w="0" w:type="dxa"/>
            <w:right w:w="108" w:type="dxa"/>
          </w:tblCellMar>
        </w:tblPrEx>
        <w:trPr>
          <w:trHeight w:val="1067"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27.3</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报价扣除</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（1）小型和微型企业价格扣除：</w:t>
            </w:r>
            <w:r>
              <w:rPr>
                <w:rFonts w:hint="eastAsia" w:ascii="宋体" w:hAnsi="宋体" w:eastAsia="宋体" w:cs="宋体"/>
                <w:color w:val="auto"/>
                <w:highlight w:val="none"/>
                <w:lang w:val="en-US" w:eastAsia="zh-CN"/>
              </w:rPr>
              <w:t>15</w:t>
            </w:r>
            <w:r>
              <w:rPr>
                <w:rFonts w:hint="eastAsia" w:ascii="宋体" w:hAnsi="宋体" w:eastAsia="宋体" w:cs="宋体"/>
                <w:color w:val="auto"/>
                <w:highlight w:val="none"/>
              </w:rPr>
              <w:t>%。</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（2）监狱企业价格扣除：同小型和微型企业。</w:t>
            </w:r>
          </w:p>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（3）残疾人福利性单位价格扣除：同小型和微型企业。</w:t>
            </w:r>
          </w:p>
        </w:tc>
      </w:tr>
      <w:tr>
        <w:tblPrEx>
          <w:tblLayout w:type="fixed"/>
          <w:tblCellMar>
            <w:top w:w="0" w:type="dxa"/>
            <w:left w:w="108" w:type="dxa"/>
            <w:bottom w:w="0" w:type="dxa"/>
            <w:right w:w="108" w:type="dxa"/>
          </w:tblCellMar>
        </w:tblPrEx>
        <w:trPr>
          <w:trHeight w:val="631"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29.2</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推荐中标候选人的数量</w:t>
            </w:r>
          </w:p>
        </w:tc>
        <w:tc>
          <w:tcPr>
            <w:tcW w:w="588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不低于3名</w:t>
            </w:r>
          </w:p>
        </w:tc>
      </w:tr>
      <w:tr>
        <w:tblPrEx>
          <w:tblLayout w:type="fixed"/>
          <w:tblCellMar>
            <w:top w:w="0" w:type="dxa"/>
            <w:left w:w="108" w:type="dxa"/>
            <w:bottom w:w="0" w:type="dxa"/>
            <w:right w:w="108" w:type="dxa"/>
          </w:tblCellMar>
        </w:tblPrEx>
        <w:trPr>
          <w:trHeight w:val="942"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确定中标人的方式</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u w:val="single"/>
              </w:rPr>
            </w:pPr>
            <w:r>
              <w:rPr>
                <w:rFonts w:hint="eastAsia" w:ascii="宋体" w:hAnsi="宋体" w:eastAsia="宋体" w:cs="宋体"/>
                <w:color w:val="auto"/>
                <w:highlight w:val="none"/>
              </w:rPr>
              <w:t>中标人数量：1名</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采购人委托评标委员会直接确认中标人</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采购人确认中标人</w:t>
            </w:r>
          </w:p>
        </w:tc>
      </w:tr>
      <w:tr>
        <w:tblPrEx>
          <w:tblLayout w:type="fixed"/>
          <w:tblCellMar>
            <w:top w:w="0" w:type="dxa"/>
            <w:left w:w="108" w:type="dxa"/>
            <w:bottom w:w="0" w:type="dxa"/>
            <w:right w:w="108" w:type="dxa"/>
          </w:tblCellMar>
        </w:tblPrEx>
        <w:trPr>
          <w:trHeight w:val="416" w:hRule="atLeast"/>
        </w:trPr>
        <w:tc>
          <w:tcPr>
            <w:tcW w:w="852"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35.1</w:t>
            </w:r>
          </w:p>
        </w:tc>
        <w:tc>
          <w:tcPr>
            <w:tcW w:w="19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履约保证金</w:t>
            </w:r>
          </w:p>
        </w:tc>
        <w:tc>
          <w:tcPr>
            <w:tcW w:w="5887" w:type="dxa"/>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本项目不收取履约保证金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本项目收取履约保证金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履约保证金金额：</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履约保证金递交时间：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履约保证金递交方式：□保函   □支票  □电汇 □其他非现金形式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账户信息：</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名：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开 户 行：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 xml:space="preserve">账    号： </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履约保证金退还时间及规定：</w:t>
            </w:r>
          </w:p>
        </w:tc>
      </w:tr>
      <w:tr>
        <w:tblPrEx>
          <w:tblLayout w:type="fixed"/>
          <w:tblCellMar>
            <w:top w:w="0" w:type="dxa"/>
            <w:left w:w="108" w:type="dxa"/>
            <w:bottom w:w="0" w:type="dxa"/>
            <w:right w:w="108" w:type="dxa"/>
          </w:tblCellMar>
        </w:tblPrEx>
        <w:trPr>
          <w:trHeight w:val="1252" w:hRule="atLeast"/>
        </w:trPr>
        <w:tc>
          <w:tcPr>
            <w:tcW w:w="852" w:type="dxa"/>
            <w:tcBorders>
              <w:top w:val="nil"/>
              <w:left w:val="single" w:color="auto" w:sz="8" w:space="0"/>
              <w:bottom w:val="single" w:color="auto" w:sz="8"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36</w:t>
            </w:r>
          </w:p>
        </w:tc>
        <w:tc>
          <w:tcPr>
            <w:tcW w:w="1917" w:type="dxa"/>
            <w:tcBorders>
              <w:top w:val="nil"/>
              <w:left w:val="single" w:color="auto" w:sz="4" w:space="0"/>
              <w:bottom w:val="single" w:color="auto" w:sz="8"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招标代理服务费</w:t>
            </w:r>
          </w:p>
        </w:tc>
        <w:tc>
          <w:tcPr>
            <w:tcW w:w="5887" w:type="dxa"/>
            <w:tcBorders>
              <w:top w:val="nil"/>
              <w:left w:val="nil"/>
              <w:bottom w:val="single" w:color="auto" w:sz="8"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A3"/>
            </w:r>
            <w:r>
              <w:rPr>
                <w:rFonts w:hint="eastAsia" w:ascii="宋体" w:hAnsi="宋体" w:eastAsia="宋体" w:cs="宋体"/>
                <w:color w:val="auto"/>
                <w:highlight w:val="none"/>
              </w:rPr>
              <w:t>本项目不收取采购代理服务费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本项目收取采购代理服务费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中标人与采购人签订合同后，代理机构向中标人按下列标准收取采购代理服务费。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（1）以《中标通知书》中确定的</w:t>
            </w:r>
            <w:r>
              <w:rPr>
                <w:rFonts w:hint="eastAsia" w:ascii="宋体" w:hAnsi="宋体" w:eastAsia="宋体" w:cs="宋体"/>
                <w:color w:val="auto"/>
                <w:highlight w:val="none"/>
                <w:lang w:val="en-US" w:eastAsia="zh-CN"/>
              </w:rPr>
              <w:t>年</w:t>
            </w:r>
            <w:r>
              <w:rPr>
                <w:rFonts w:hint="eastAsia" w:ascii="宋体" w:hAnsi="宋体" w:eastAsia="宋体" w:cs="宋体"/>
                <w:color w:val="auto"/>
                <w:highlight w:val="none"/>
              </w:rPr>
              <w:t>中标</w:t>
            </w:r>
            <w:r>
              <w:rPr>
                <w:rFonts w:hint="eastAsia" w:ascii="宋体" w:hAnsi="宋体" w:eastAsia="宋体" w:cs="宋体"/>
                <w:color w:val="auto"/>
                <w:highlight w:val="none"/>
                <w:lang w:val="en-US" w:eastAsia="zh-CN"/>
              </w:rPr>
              <w:t>金额</w:t>
            </w:r>
            <w:r>
              <w:rPr>
                <w:rFonts w:hint="eastAsia" w:ascii="宋体" w:hAnsi="宋体" w:eastAsia="宋体" w:cs="宋体"/>
                <w:color w:val="auto"/>
                <w:highlight w:val="none"/>
              </w:rPr>
              <w:t>为收费的计算基数：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（2）分段收取采购代理服务费即各中标金额区间乘相应费率后之和为采购代理服务费。</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100万元人民币以下（含 100万元）按1.5%费率收取；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100~500万元人民币（含 500万元）按</w:t>
            </w:r>
            <w:r>
              <w:rPr>
                <w:rFonts w:hint="eastAsia" w:ascii="宋体" w:hAnsi="宋体" w:eastAsia="宋体" w:cs="宋体"/>
                <w:color w:val="auto"/>
                <w:highlight w:val="none"/>
                <w:lang w:val="en-US" w:eastAsia="zh-CN"/>
              </w:rPr>
              <w:t>0.8</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500~1000万元人民币（含 1000万元）按0.</w:t>
            </w:r>
            <w:r>
              <w:rPr>
                <w:rFonts w:hint="eastAsia" w:ascii="宋体" w:hAnsi="宋体" w:eastAsia="宋体" w:cs="宋体"/>
                <w:color w:val="auto"/>
                <w:highlight w:val="none"/>
                <w:lang w:val="en-US" w:eastAsia="zh-CN"/>
              </w:rPr>
              <w:t>45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10</w:t>
            </w:r>
            <w:r>
              <w:rPr>
                <w:rFonts w:hint="eastAsia" w:ascii="宋体" w:hAnsi="宋体" w:eastAsia="宋体" w:cs="宋体"/>
                <w:color w:val="auto"/>
                <w:highlight w:val="none"/>
              </w:rPr>
              <w:t>00~</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 xml:space="preserve">000万元人民币（含 </w:t>
            </w:r>
            <w:r>
              <w:rPr>
                <w:rFonts w:hint="eastAsia" w:ascii="宋体" w:hAnsi="宋体" w:eastAsia="宋体" w:cs="宋体"/>
                <w:color w:val="auto"/>
                <w:highlight w:val="none"/>
                <w:lang w:val="en-US" w:eastAsia="zh-CN"/>
              </w:rPr>
              <w:t>5</w:t>
            </w:r>
            <w:r>
              <w:rPr>
                <w:rFonts w:hint="eastAsia" w:ascii="宋体" w:hAnsi="宋体" w:eastAsia="宋体" w:cs="宋体"/>
                <w:color w:val="auto"/>
                <w:highlight w:val="none"/>
              </w:rPr>
              <w:t>000万元）按0.</w:t>
            </w:r>
            <w:r>
              <w:rPr>
                <w:rFonts w:hint="eastAsia" w:ascii="宋体" w:hAnsi="宋体" w:eastAsia="宋体" w:cs="宋体"/>
                <w:color w:val="auto"/>
                <w:highlight w:val="none"/>
                <w:lang w:val="en-US" w:eastAsia="zh-CN"/>
              </w:rPr>
              <w:t>25</w:t>
            </w:r>
            <w:r>
              <w:rPr>
                <w:rFonts w:hint="eastAsia" w:ascii="宋体" w:hAnsi="宋体" w:eastAsia="宋体" w:cs="宋体"/>
                <w:color w:val="auto"/>
                <w:highlight w:val="none"/>
              </w:rPr>
              <w:t>%费率收取；</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2、采购代理服务费交纳方式：</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合同生效后30日内，卖方以支票、汇票、电汇、现金等付款方式按规定的标准向招标机构一次缴清采购代理服务费。</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公司名称：黑龙江省招标有限公司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 xml:space="preserve">账    号：18010000001546324  </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kern w:val="0"/>
                <w:highlight w:val="none"/>
              </w:rPr>
              <w:t>开 户 行：哈尔滨银行股份有限公司哈尔滨自贸区支行</w:t>
            </w:r>
          </w:p>
        </w:tc>
      </w:tr>
      <w:tr>
        <w:tblPrEx>
          <w:tblLayout w:type="fixed"/>
          <w:tblCellMar>
            <w:top w:w="0" w:type="dxa"/>
            <w:left w:w="108" w:type="dxa"/>
            <w:bottom w:w="0" w:type="dxa"/>
            <w:right w:w="108" w:type="dxa"/>
          </w:tblCellMar>
        </w:tblPrEx>
        <w:trPr>
          <w:trHeight w:val="3139" w:hRule="atLeast"/>
        </w:trPr>
        <w:tc>
          <w:tcPr>
            <w:tcW w:w="852" w:type="dxa"/>
            <w:tcBorders>
              <w:top w:val="single" w:color="auto" w:sz="4" w:space="0"/>
              <w:left w:val="single" w:color="auto" w:sz="8"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39.3</w:t>
            </w:r>
          </w:p>
        </w:tc>
        <w:tc>
          <w:tcPr>
            <w:tcW w:w="1917" w:type="dxa"/>
            <w:tcBorders>
              <w:top w:val="single" w:color="auto" w:sz="4" w:space="0"/>
              <w:left w:val="single" w:color="auto" w:sz="4" w:space="0"/>
              <w:bottom w:val="single" w:color="auto" w:sz="4" w:space="0"/>
              <w:right w:val="single" w:color="auto" w:sz="8"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质疑</w:t>
            </w:r>
          </w:p>
        </w:tc>
        <w:tc>
          <w:tcPr>
            <w:tcW w:w="5887" w:type="dxa"/>
            <w:tcBorders>
              <w:top w:val="single" w:color="auto" w:sz="4" w:space="0"/>
              <w:left w:val="nil"/>
              <w:bottom w:val="single" w:color="auto" w:sz="4" w:space="0"/>
              <w:right w:val="single" w:color="auto" w:sz="8"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一、供应商认为自己的权益受到损害的，可以在知道或者应知其权益受到损害之日起七个工作日内，向采购代理机构提出质疑。</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1.接收质疑函的方式：接收加盖单位公章的书面纸质疑函</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联系单位：黑龙江省招标有限公司</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联系电话：0451-82364703</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通讯地址：哈尔滨市南岗区汉水路180号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2.质疑函的内容、格式：应符合《政府采购质疑和投诉办法》相关规定和财政部门制定的《政府采购质疑函范本》格式。</w:t>
            </w:r>
          </w:p>
          <w:p>
            <w:pPr>
              <w:spacing w:line="300" w:lineRule="exact"/>
              <w:rPr>
                <w:rFonts w:hint="eastAsia" w:ascii="宋体" w:hAnsi="宋体" w:eastAsia="宋体" w:cs="宋体"/>
                <w:color w:val="auto"/>
                <w:kern w:val="0"/>
                <w:highlight w:val="none"/>
              </w:rPr>
            </w:pPr>
            <w:r>
              <w:rPr>
                <w:rFonts w:hint="eastAsia" w:ascii="宋体" w:hAnsi="宋体" w:eastAsia="宋体" w:cs="宋体"/>
                <w:color w:val="auto"/>
                <w:highlight w:val="none"/>
              </w:rPr>
              <w:t>二、供应商应在法定质疑期内一次性针对同一采购程序环节提出质疑，否则针对再次提出质疑将不予接收。（采购程序环节分为：采购公告、招标文件、招标过程、中标结果）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注：表格中“</w:t>
      </w:r>
      <w:r>
        <w:rPr>
          <w:rFonts w:hint="eastAsia" w:ascii="宋体" w:hAnsi="宋体" w:eastAsia="宋体" w:cs="宋体"/>
          <w:color w:val="auto"/>
          <w:highlight w:val="none"/>
        </w:rPr>
        <w:sym w:font="Wingdings 2" w:char="0052"/>
      </w:r>
      <w:r>
        <w:rPr>
          <w:rFonts w:hint="eastAsia" w:ascii="宋体" w:hAnsi="宋体" w:eastAsia="宋体" w:cs="宋体"/>
          <w:color w:val="auto"/>
          <w:highlight w:val="none"/>
        </w:rPr>
        <w:t>”项或“■”项为被选中项。</w:t>
      </w:r>
    </w:p>
    <w:p>
      <w:pPr>
        <w:pStyle w:val="6"/>
        <w:adjustRightInd w:val="0"/>
        <w:snapToGrid w:val="0"/>
        <w:rPr>
          <w:rStyle w:val="35"/>
          <w:rFonts w:hint="eastAsia" w:ascii="宋体" w:hAnsi="宋体" w:eastAsia="宋体" w:cs="宋体"/>
          <w:color w:val="auto"/>
          <w:highlight w:val="none"/>
        </w:rPr>
      </w:pPr>
      <w:r>
        <w:rPr>
          <w:rFonts w:hint="eastAsia" w:ascii="宋体" w:hAnsi="宋体" w:eastAsia="宋体" w:cs="宋体"/>
          <w:color w:val="auto"/>
          <w:sz w:val="21"/>
          <w:szCs w:val="21"/>
          <w:highlight w:val="none"/>
        </w:rPr>
        <w:br w:type="page"/>
      </w:r>
      <w:bookmarkStart w:id="26" w:name="_Toc30384_WPSOffice_Level2"/>
      <w:r>
        <w:rPr>
          <w:rStyle w:val="35"/>
          <w:rFonts w:hint="eastAsia" w:ascii="宋体" w:hAnsi="宋体" w:eastAsia="宋体" w:cs="宋体"/>
          <w:color w:val="auto"/>
          <w:highlight w:val="none"/>
        </w:rPr>
        <w:t>二 总则</w:t>
      </w:r>
      <w:bookmarkEnd w:id="26"/>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1.采购人、采购代理机构及供应商</w:t>
      </w:r>
    </w:p>
    <w:p>
      <w:pPr>
        <w:rPr>
          <w:rFonts w:hint="eastAsia" w:ascii="宋体" w:hAnsi="宋体" w:eastAsia="宋体" w:cs="宋体"/>
          <w:color w:val="auto"/>
          <w:highlight w:val="none"/>
        </w:rPr>
      </w:pPr>
      <w:r>
        <w:rPr>
          <w:rFonts w:hint="eastAsia" w:ascii="宋体" w:hAnsi="宋体" w:eastAsia="宋体" w:cs="宋体"/>
          <w:color w:val="auto"/>
          <w:highlight w:val="none"/>
        </w:rPr>
        <w:t>1.1采购人：是指依法进行政府采购的国家机关、事业单位、团体组织。本项目采购人见供应商须知表1.1款。</w:t>
      </w:r>
    </w:p>
    <w:p>
      <w:pPr>
        <w:rPr>
          <w:rFonts w:hint="eastAsia" w:ascii="宋体" w:hAnsi="宋体" w:eastAsia="宋体" w:cs="宋体"/>
          <w:color w:val="auto"/>
          <w:highlight w:val="none"/>
        </w:rPr>
      </w:pPr>
      <w:r>
        <w:rPr>
          <w:rFonts w:hint="eastAsia" w:ascii="宋体" w:hAnsi="宋体" w:eastAsia="宋体" w:cs="宋体"/>
          <w:color w:val="auto"/>
          <w:highlight w:val="none"/>
        </w:rPr>
        <w:t>1.2采购代理机构：是指集中采购机构或从事采购代理业务的社会中介机构，本项目的采购代理机构见供应商须知表1.2款。</w:t>
      </w:r>
    </w:p>
    <w:p>
      <w:pPr>
        <w:rPr>
          <w:rFonts w:hint="eastAsia" w:ascii="宋体" w:hAnsi="宋体" w:eastAsia="宋体" w:cs="宋体"/>
          <w:color w:val="auto"/>
          <w:highlight w:val="none"/>
        </w:rPr>
      </w:pPr>
      <w:r>
        <w:rPr>
          <w:rFonts w:hint="eastAsia" w:ascii="宋体" w:hAnsi="宋体" w:eastAsia="宋体" w:cs="宋体"/>
          <w:color w:val="auto"/>
          <w:highlight w:val="none"/>
        </w:rPr>
        <w:t>★1.3 供应商：是指向采购人提供货物、工程或者服务的法人、非法人组织或者自然人。本项目的供应商及其投标货物须满足以下条件：</w:t>
      </w:r>
    </w:p>
    <w:p>
      <w:pPr>
        <w:rPr>
          <w:rFonts w:hint="eastAsia" w:ascii="宋体" w:hAnsi="宋体" w:eastAsia="宋体" w:cs="宋体"/>
          <w:color w:val="auto"/>
          <w:highlight w:val="none"/>
        </w:rPr>
      </w:pPr>
      <w:r>
        <w:rPr>
          <w:rFonts w:hint="eastAsia" w:ascii="宋体" w:hAnsi="宋体" w:eastAsia="宋体" w:cs="宋体"/>
          <w:color w:val="auto"/>
          <w:highlight w:val="none"/>
        </w:rPr>
        <w:t>1.3.1 在中华人民共和国境内注册，能够独立承担民事责任，有生产或供应能力的本国供应商。</w:t>
      </w:r>
    </w:p>
    <w:p>
      <w:pPr>
        <w:rPr>
          <w:rFonts w:hint="eastAsia" w:ascii="宋体" w:hAnsi="宋体" w:eastAsia="宋体" w:cs="宋体"/>
          <w:color w:val="auto"/>
          <w:highlight w:val="none"/>
        </w:rPr>
      </w:pPr>
      <w:r>
        <w:rPr>
          <w:rFonts w:hint="eastAsia" w:ascii="宋体" w:hAnsi="宋体" w:eastAsia="宋体" w:cs="宋体"/>
          <w:color w:val="auto"/>
          <w:highlight w:val="none"/>
        </w:rPr>
        <w:t>1.3.2 具备《中华人民共和国政府采购法》第二十二条关于供应商条件的规定，遵守本项目采购人本级和上级财政部门政府采购的有关规定。</w:t>
      </w:r>
    </w:p>
    <w:p>
      <w:pPr>
        <w:rPr>
          <w:rFonts w:hint="eastAsia" w:ascii="宋体" w:hAnsi="宋体" w:eastAsia="宋体" w:cs="宋体"/>
          <w:color w:val="auto"/>
          <w:highlight w:val="none"/>
        </w:rPr>
      </w:pPr>
      <w:r>
        <w:rPr>
          <w:rFonts w:hint="eastAsia" w:ascii="宋体" w:hAnsi="宋体" w:eastAsia="宋体" w:cs="宋体"/>
          <w:color w:val="auto"/>
          <w:highlight w:val="none"/>
        </w:rPr>
        <w:t>1.3.3 以采购代理机构认可的方式获得了本项目的招标文件。</w:t>
      </w:r>
    </w:p>
    <w:p>
      <w:pPr>
        <w:rPr>
          <w:rFonts w:hint="eastAsia" w:ascii="宋体" w:hAnsi="宋体" w:eastAsia="宋体" w:cs="宋体"/>
          <w:color w:val="auto"/>
          <w:highlight w:val="none"/>
        </w:rPr>
      </w:pPr>
      <w:r>
        <w:rPr>
          <w:rFonts w:hint="eastAsia" w:ascii="宋体" w:hAnsi="宋体" w:eastAsia="宋体" w:cs="宋体"/>
          <w:color w:val="auto"/>
          <w:highlight w:val="none"/>
        </w:rPr>
        <w:t>1.3.4 符合供应商须知表1.3.4款中规定的资格条件。</w:t>
      </w:r>
    </w:p>
    <w:p>
      <w:pPr>
        <w:rPr>
          <w:rFonts w:hint="eastAsia" w:ascii="宋体" w:hAnsi="宋体" w:eastAsia="宋体" w:cs="宋体"/>
          <w:color w:val="auto"/>
          <w:highlight w:val="none"/>
        </w:rPr>
      </w:pPr>
      <w:r>
        <w:rPr>
          <w:rFonts w:hint="eastAsia" w:ascii="宋体" w:hAnsi="宋体" w:eastAsia="宋体" w:cs="宋体"/>
          <w:color w:val="auto"/>
          <w:highlight w:val="none"/>
        </w:rPr>
        <w:t>★1.4 如供应商须知表1.4款中允许联合体投标，对联合体规定如下：</w:t>
      </w:r>
    </w:p>
    <w:p>
      <w:pPr>
        <w:rPr>
          <w:rFonts w:hint="eastAsia" w:ascii="宋体" w:hAnsi="宋体" w:eastAsia="宋体" w:cs="宋体"/>
          <w:color w:val="auto"/>
          <w:highlight w:val="none"/>
        </w:rPr>
      </w:pPr>
      <w:r>
        <w:rPr>
          <w:rFonts w:hint="eastAsia" w:ascii="宋体" w:hAnsi="宋体" w:eastAsia="宋体" w:cs="宋体"/>
          <w:color w:val="auto"/>
          <w:highlight w:val="none"/>
        </w:rPr>
        <w:t>1.4.1 两个以上供应商可以组成一个投标联合体，以一个供应商的身份投标。</w:t>
      </w:r>
    </w:p>
    <w:p>
      <w:pPr>
        <w:rPr>
          <w:rFonts w:hint="eastAsia" w:ascii="宋体" w:hAnsi="宋体" w:eastAsia="宋体" w:cs="宋体"/>
          <w:color w:val="auto"/>
          <w:highlight w:val="none"/>
        </w:rPr>
      </w:pPr>
      <w:r>
        <w:rPr>
          <w:rFonts w:hint="eastAsia" w:ascii="宋体" w:hAnsi="宋体" w:eastAsia="宋体" w:cs="宋体"/>
          <w:color w:val="auto"/>
          <w:highlight w:val="none"/>
        </w:rPr>
        <w:t>1.4.2 联合体各方均应符合《中华人民共和国政府采购法》第二十二条规定的条件。</w:t>
      </w:r>
    </w:p>
    <w:p>
      <w:pPr>
        <w:rPr>
          <w:rFonts w:hint="eastAsia" w:ascii="宋体" w:hAnsi="宋体" w:eastAsia="宋体" w:cs="宋体"/>
          <w:color w:val="auto"/>
          <w:highlight w:val="none"/>
        </w:rPr>
      </w:pPr>
      <w:r>
        <w:rPr>
          <w:rFonts w:hint="eastAsia" w:ascii="宋体" w:hAnsi="宋体" w:eastAsia="宋体" w:cs="宋体"/>
          <w:color w:val="auto"/>
          <w:highlight w:val="none"/>
        </w:rPr>
        <w:t>1.4.3 采购人根据采购项目对供应商的特殊要求，联合体中至少应当有一方符合相关规定。</w:t>
      </w:r>
    </w:p>
    <w:p>
      <w:pPr>
        <w:rPr>
          <w:rFonts w:hint="eastAsia" w:ascii="宋体" w:hAnsi="宋体" w:eastAsia="宋体" w:cs="宋体"/>
          <w:color w:val="auto"/>
          <w:highlight w:val="none"/>
        </w:rPr>
      </w:pPr>
      <w:r>
        <w:rPr>
          <w:rFonts w:hint="eastAsia" w:ascii="宋体" w:hAnsi="宋体" w:eastAsia="宋体" w:cs="宋体"/>
          <w:color w:val="auto"/>
          <w:highlight w:val="none"/>
        </w:rPr>
        <w:t>1.4.4 联合体各方应签订共同投标协议，明确约定联合体各方承担的工作和相应的责任。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1.4.5 大中型企业、其他自然人、法人或者非法人组织与小型、微型企业组成联合体共同参加投标，共同投标协议中应写明小型、微型企业的协议合同金额占到共同投标协议投标总金额的比例。</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1.4.6 联合体中有同类资质的供应商按照联合体分工承担相同工作的，按照较低的资质等级确定联合体的资质等级。</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1.4.7 以联合体形式参加政府采购活动的，联合体各方不得再单独参加或者与其他供应商另外组成联合体参加本项目投标，否则相关投标将被认定为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（1）两个以上的自然人、法人或者其他组织可以组成一个联合体，以一个供应商的身份共同参加政府采购活动。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（2）联合体中标的，联合体各方应共同与采购人签订采购合同，就采购合同约定的事项对采购人承担连带责任。</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1.4.8 对联合体投标的其他资格要求见供应商须知表1.4.8款。</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 单位负责人为同一人或者存在直接控股、管理关系的不同供应商，其相关投标将被认定为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 为本项目提供过整体设计、规范编制或者项目管理、监理、检测等服务的供应商，不得再参加本项目上述服务以外的其他采购活动。否则其投标将被认定为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 供应商在投标过程中不得向采购人提供、给予任何有价值的物品，影响其正常决策行为。一经发现，其将被认定为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2.资金来源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2.1本项目的采购人已获得足以支付本次招标后所签订的合同项下的资金（包括财政性资金和本项目采购中无法与财政性资金分割的非财政性资金）。</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2.2项目预算金额和分项或分包最高限价见供应商须知表2.2款。</w:t>
      </w:r>
    </w:p>
    <w:p>
      <w:pPr>
        <w:adjustRightInd w:val="0"/>
        <w:snapToGrid w:val="0"/>
        <w:rPr>
          <w:rFonts w:hint="eastAsia" w:ascii="宋体" w:hAnsi="宋体" w:eastAsia="宋体" w:cs="宋体"/>
          <w:color w:val="auto"/>
          <w:highlight w:val="none"/>
        </w:rPr>
      </w:pPr>
      <w:r>
        <w:rPr>
          <w:rFonts w:hint="eastAsia" w:ascii="宋体" w:hAnsi="宋体" w:eastAsia="宋体" w:cs="宋体"/>
          <w:b/>
          <w:bCs/>
          <w:color w:val="auto"/>
          <w:highlight w:val="none"/>
        </w:rPr>
        <w:t>★</w:t>
      </w:r>
      <w:r>
        <w:rPr>
          <w:rFonts w:hint="eastAsia" w:ascii="宋体" w:hAnsi="宋体" w:eastAsia="宋体" w:cs="宋体"/>
          <w:color w:val="auto"/>
          <w:highlight w:val="none"/>
        </w:rPr>
        <w:t>2.3供应商报价超过招标文件规定的预算金额或者分项、分包最高限价的，其投标将被认定为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pStyle w:val="6"/>
        <w:jc w:val="left"/>
        <w:rPr>
          <w:rFonts w:hint="eastAsia" w:ascii="宋体" w:hAnsi="宋体" w:eastAsia="宋体" w:cs="宋体"/>
          <w:color w:val="auto"/>
          <w:highlight w:val="none"/>
        </w:rPr>
      </w:pPr>
      <w:bookmarkStart w:id="27" w:name="_Toc266951048"/>
      <w:r>
        <w:rPr>
          <w:rFonts w:hint="eastAsia" w:ascii="宋体" w:hAnsi="宋体" w:eastAsia="宋体" w:cs="宋体"/>
          <w:color w:val="auto"/>
          <w:highlight w:val="none"/>
        </w:rPr>
        <w:t>3.语言文字</w:t>
      </w:r>
      <w:bookmarkEnd w:id="2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除专用术语外，与投标有关的语言均使用中文。必要时专用术语应附有中文注释。对不同文字文本投标文件的解释发生异议的，以中文文本为准。</w:t>
      </w:r>
    </w:p>
    <w:p>
      <w:pPr>
        <w:pStyle w:val="6"/>
        <w:jc w:val="left"/>
        <w:rPr>
          <w:rFonts w:hint="eastAsia" w:ascii="宋体" w:hAnsi="宋体" w:eastAsia="宋体" w:cs="宋体"/>
          <w:color w:val="auto"/>
          <w:highlight w:val="none"/>
        </w:rPr>
      </w:pPr>
      <w:bookmarkStart w:id="28" w:name="_1.8_计量单位"/>
      <w:bookmarkEnd w:id="28"/>
      <w:bookmarkStart w:id="29" w:name="_Toc266951049"/>
      <w:r>
        <w:rPr>
          <w:rFonts w:hint="eastAsia" w:ascii="宋体" w:hAnsi="宋体" w:eastAsia="宋体" w:cs="宋体"/>
          <w:color w:val="auto"/>
          <w:highlight w:val="none"/>
        </w:rPr>
        <w:t>★4.</w:t>
      </w:r>
      <w:bookmarkEnd w:id="29"/>
      <w:r>
        <w:rPr>
          <w:rFonts w:hint="eastAsia" w:ascii="宋体" w:hAnsi="宋体" w:eastAsia="宋体" w:cs="宋体"/>
          <w:color w:val="auto"/>
          <w:highlight w:val="none"/>
        </w:rPr>
        <w:t>计量单位</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除供应商须知表4条中有特殊要求外，响应文件中所使用的计量单位，应采用中华人民共和国法定计量单位。 </w:t>
      </w:r>
    </w:p>
    <w:p>
      <w:pPr>
        <w:pStyle w:val="6"/>
        <w:jc w:val="both"/>
        <w:rPr>
          <w:rFonts w:hint="eastAsia" w:ascii="宋体" w:hAnsi="宋体" w:eastAsia="宋体" w:cs="宋体"/>
          <w:color w:val="auto"/>
          <w:highlight w:val="none"/>
        </w:rPr>
      </w:pPr>
      <w:r>
        <w:rPr>
          <w:rFonts w:hint="eastAsia" w:ascii="宋体" w:hAnsi="宋体" w:eastAsia="宋体" w:cs="宋体"/>
          <w:color w:val="auto"/>
          <w:highlight w:val="none"/>
        </w:rPr>
        <w:t>5.现场考察、开标前答疑会</w:t>
      </w:r>
    </w:p>
    <w:p>
      <w:pPr>
        <w:rPr>
          <w:rFonts w:hint="eastAsia" w:ascii="宋体" w:hAnsi="宋体" w:eastAsia="宋体" w:cs="宋体"/>
          <w:color w:val="auto"/>
          <w:highlight w:val="none"/>
        </w:rPr>
      </w:pPr>
      <w:r>
        <w:rPr>
          <w:rFonts w:hint="eastAsia" w:ascii="宋体" w:hAnsi="宋体" w:eastAsia="宋体" w:cs="宋体"/>
          <w:color w:val="auto"/>
          <w:highlight w:val="none"/>
        </w:rPr>
        <w:t>5.1</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\l "_踏勘现场"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供应商须知表</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5.1款规定组织现场考察或开标前答疑会的，采购人按规定的时间、地点组织供应商现场考察或开标前答疑会，或者在领取招标文件期限截止后以书面形式通知所有获取招标文件的潜在供应商。</w:t>
      </w:r>
    </w:p>
    <w:p>
      <w:pPr>
        <w:rPr>
          <w:rFonts w:hint="eastAsia" w:ascii="宋体" w:hAnsi="宋体" w:eastAsia="宋体" w:cs="宋体"/>
          <w:color w:val="auto"/>
          <w:highlight w:val="none"/>
        </w:rPr>
      </w:pPr>
      <w:bookmarkStart w:id="30" w:name="_1.10_投标预备会"/>
      <w:bookmarkEnd w:id="30"/>
      <w:r>
        <w:rPr>
          <w:rFonts w:hint="eastAsia" w:ascii="宋体" w:hAnsi="宋体" w:eastAsia="宋体" w:cs="宋体"/>
          <w:color w:val="auto"/>
          <w:highlight w:val="none"/>
        </w:rPr>
        <w:t>5.2由于未参加现场踏勘或标前答疑而导致对项目实际情况不了解，影响技术文件编制、</w:t>
      </w:r>
      <w:r>
        <w:rPr>
          <w:rFonts w:hint="eastAsia" w:ascii="宋体" w:hAnsi="宋体" w:eastAsia="宋体" w:cs="宋体"/>
          <w:color w:val="auto"/>
          <w:highlight w:val="none"/>
        </w:rPr>
        <w:fldChar w:fldCharType="begin"/>
      </w:r>
      <w:r>
        <w:rPr>
          <w:rFonts w:hint="eastAsia" w:ascii="宋体" w:hAnsi="宋体" w:eastAsia="宋体" w:cs="宋体"/>
          <w:color w:val="auto"/>
          <w:highlight w:val="none"/>
        </w:rPr>
        <w:instrText xml:space="preserve"> HYPERLINK "https://www.baidu.com/s?wd=%E6%8A%95%E6%A0%87%E6%8A%A5%E4%BB%B7&amp;tn=44039180_cpr&amp;fenlei=mv6quAkxTZn0IZRqIHckPjm4nH00T1dWuyfdP1u9uyPBrjKhmvDv0ZwV5Hcvrjm3rH6sPfKWUMw85HfYnjn4nH6sgvPsT6KdThsqpZwYTjCEQLGCpyw9Uz4Bmy-bIi4WUvYETgN-TLwGUv3EPj63P1RkPH6Y" </w:instrText>
      </w:r>
      <w:r>
        <w:rPr>
          <w:rFonts w:hint="eastAsia" w:ascii="宋体" w:hAnsi="宋体" w:eastAsia="宋体" w:cs="宋体"/>
          <w:color w:val="auto"/>
          <w:highlight w:val="none"/>
        </w:rPr>
        <w:fldChar w:fldCharType="separate"/>
      </w:r>
      <w:r>
        <w:rPr>
          <w:rFonts w:hint="eastAsia" w:ascii="宋体" w:hAnsi="宋体" w:eastAsia="宋体" w:cs="宋体"/>
          <w:color w:val="auto"/>
          <w:highlight w:val="none"/>
        </w:rPr>
        <w:t>投标报价</w:t>
      </w:r>
      <w:r>
        <w:rPr>
          <w:rFonts w:hint="eastAsia" w:ascii="宋体" w:hAnsi="宋体" w:eastAsia="宋体" w:cs="宋体"/>
          <w:color w:val="auto"/>
          <w:highlight w:val="none"/>
        </w:rPr>
        <w:fldChar w:fldCharType="end"/>
      </w:r>
      <w:r>
        <w:rPr>
          <w:rFonts w:hint="eastAsia" w:ascii="宋体" w:hAnsi="宋体" w:eastAsia="宋体" w:cs="宋体"/>
          <w:color w:val="auto"/>
          <w:highlight w:val="none"/>
        </w:rPr>
        <w:t>准确性、综合因素响应不全面等问题的，由供应商自行承担相应后果。</w:t>
      </w:r>
    </w:p>
    <w:p>
      <w:pPr>
        <w:rPr>
          <w:rFonts w:hint="eastAsia" w:ascii="宋体" w:hAnsi="宋体" w:eastAsia="宋体" w:cs="宋体"/>
          <w:color w:val="auto"/>
          <w:highlight w:val="none"/>
        </w:rPr>
      </w:pPr>
      <w:r>
        <w:rPr>
          <w:rFonts w:hint="eastAsia" w:ascii="宋体" w:hAnsi="宋体" w:eastAsia="宋体" w:cs="宋体"/>
          <w:color w:val="auto"/>
          <w:highlight w:val="none"/>
        </w:rPr>
        <w:t>5.3现场考察及参加标前答疑会所发生的费用及一切责任由供应商自行承担。</w:t>
      </w:r>
    </w:p>
    <w:p>
      <w:pPr>
        <w:tabs>
          <w:tab w:val="left" w:pos="360"/>
        </w:tabs>
        <w:snapToGrid w:val="0"/>
        <w:spacing w:before="200" w:after="200"/>
        <w:outlineLvl w:val="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★6.政府采购政策（包括但不限于下列具体政策要求）</w:t>
      </w:r>
    </w:p>
    <w:p>
      <w:pPr>
        <w:rPr>
          <w:rFonts w:hint="eastAsia" w:ascii="宋体" w:hAnsi="宋体" w:eastAsia="宋体" w:cs="宋体"/>
          <w:color w:val="auto"/>
          <w:highlight w:val="none"/>
        </w:rPr>
      </w:pPr>
      <w:r>
        <w:rPr>
          <w:rFonts w:hint="eastAsia" w:ascii="宋体" w:hAnsi="宋体" w:eastAsia="宋体" w:cs="宋体"/>
          <w:color w:val="auto"/>
          <w:highlight w:val="none"/>
        </w:rPr>
        <w:t>6.1进口产品：进口产品是指通过中国海关报关验放进入中国境内且产自关境外的产品，</w:t>
      </w:r>
      <w:bookmarkStart w:id="31" w:name="_Hlk77074056"/>
      <w:r>
        <w:rPr>
          <w:rFonts w:hint="eastAsia" w:ascii="宋体" w:hAnsi="宋体" w:eastAsia="宋体" w:cs="宋体"/>
          <w:color w:val="auto"/>
          <w:highlight w:val="none"/>
        </w:rPr>
        <w:t>供应商应保证所投进口产品可履行合法报通关手续进入中国关境内，但不限制满足招标文件要求的国内产品参与投标。</w:t>
      </w:r>
      <w:bookmarkEnd w:id="31"/>
      <w:r>
        <w:rPr>
          <w:rFonts w:hint="eastAsia" w:ascii="宋体" w:hAnsi="宋体" w:eastAsia="宋体" w:cs="宋体"/>
          <w:color w:val="auto"/>
          <w:highlight w:val="none"/>
        </w:rPr>
        <w:t>若本项目不允许采购进口产品，如供应商响应产品为进口产品，其响应文件将被认定为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6.2中小企业、监狱企业及残疾人福利性单位：</w:t>
      </w:r>
    </w:p>
    <w:p>
      <w:pPr>
        <w:rPr>
          <w:rFonts w:hint="eastAsia" w:ascii="宋体" w:hAnsi="宋体" w:eastAsia="宋体" w:cs="宋体"/>
          <w:color w:val="auto"/>
          <w:highlight w:val="none"/>
        </w:rPr>
      </w:pPr>
      <w:r>
        <w:rPr>
          <w:rFonts w:hint="eastAsia" w:ascii="宋体" w:hAnsi="宋体" w:eastAsia="宋体" w:cs="宋体"/>
          <w:color w:val="auto"/>
          <w:highlight w:val="none"/>
        </w:rPr>
        <w:t>6.2.1中小企业：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关于中小企业的相关规定依据《中华人民共和国中小企业促进法》、《政府采购促进中小企业发展管理办法》（财库〔2020〕46号）、《关于印发中小企业划型标准规定的通知》（工信部联企业〔2011〕300 号）、《国务院关于进一步促进中小企业发展的若干意见》（国发〔2009〕36 号）。若供应商须知表6.2.1条中写明专门面向中小企业采购的，如供应商所投产品为非中小企业产品制造、承接、承建的，其投标将被认定为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6.2.2供应商提供的货物、工程或者服务符合下列情形的，享受中小企业扶持政策：</w:t>
      </w:r>
    </w:p>
    <w:p>
      <w:pPr>
        <w:rPr>
          <w:rFonts w:hint="eastAsia" w:ascii="宋体" w:hAnsi="宋体" w:eastAsia="宋体" w:cs="宋体"/>
          <w:color w:val="auto"/>
          <w:highlight w:val="none"/>
        </w:rPr>
      </w:pPr>
      <w:r>
        <w:rPr>
          <w:rFonts w:hint="eastAsia" w:ascii="宋体" w:hAnsi="宋体" w:eastAsia="宋体" w:cs="宋体"/>
          <w:color w:val="auto"/>
          <w:highlight w:val="none"/>
        </w:rPr>
        <w:t>（1）在货物采购项目中，货物由中小企业制造，即货物由中小企业生产且使用该中小企业商号或者注册商标；</w:t>
      </w:r>
    </w:p>
    <w:p>
      <w:pPr>
        <w:rPr>
          <w:rFonts w:hint="eastAsia" w:ascii="宋体" w:hAnsi="宋体" w:eastAsia="宋体" w:cs="宋体"/>
          <w:color w:val="auto"/>
          <w:highlight w:val="none"/>
        </w:rPr>
      </w:pPr>
      <w:r>
        <w:rPr>
          <w:rFonts w:hint="eastAsia" w:ascii="宋体" w:hAnsi="宋体" w:eastAsia="宋体" w:cs="宋体"/>
          <w:color w:val="auto"/>
          <w:highlight w:val="none"/>
        </w:rPr>
        <w:t>（2）在工程采购项目中，工程由中小企业承建，即工程施工单位为中小企业；</w:t>
      </w:r>
    </w:p>
    <w:p>
      <w:pPr>
        <w:rPr>
          <w:rFonts w:hint="eastAsia" w:ascii="宋体" w:hAnsi="宋体" w:eastAsia="宋体" w:cs="宋体"/>
          <w:color w:val="auto"/>
          <w:highlight w:val="none"/>
        </w:rPr>
      </w:pPr>
      <w:r>
        <w:rPr>
          <w:rFonts w:hint="eastAsia" w:ascii="宋体" w:hAnsi="宋体" w:eastAsia="宋体" w:cs="宋体"/>
          <w:color w:val="auto"/>
          <w:highlight w:val="none"/>
        </w:rPr>
        <w:t>（3）在服务采购项目中，服务由中小企业承接，即提供服务的人员为中小企业依照《中华人民共和国劳动合同法》订立劳动合同的从业人员。</w:t>
      </w:r>
    </w:p>
    <w:p>
      <w:pPr>
        <w:pStyle w:val="30"/>
        <w:spacing w:line="360" w:lineRule="auto"/>
        <w:rPr>
          <w:rFonts w:hint="eastAsia" w:ascii="宋体" w:hAnsi="宋体" w:eastAsia="宋体" w:cs="宋体"/>
          <w:color w:val="auto"/>
          <w:highlight w:val="none"/>
        </w:rPr>
      </w:pPr>
      <w:r>
        <w:rPr>
          <w:rFonts w:hint="eastAsia" w:ascii="宋体" w:hAnsi="宋体" w:eastAsia="宋体" w:cs="宋体"/>
          <w:color w:val="auto"/>
          <w:highlight w:val="none"/>
        </w:rPr>
        <w:t>如为监狱企业或残疾人福利性单位的，视同为小型、微型企业。</w:t>
      </w:r>
    </w:p>
    <w:p>
      <w:pPr>
        <w:rPr>
          <w:rFonts w:hint="eastAsia" w:ascii="宋体" w:hAnsi="宋体" w:eastAsia="宋体" w:cs="宋体"/>
          <w:color w:val="auto"/>
          <w:highlight w:val="none"/>
        </w:rPr>
      </w:pPr>
      <w:r>
        <w:rPr>
          <w:rFonts w:hint="eastAsia" w:ascii="宋体" w:hAnsi="宋体" w:eastAsia="宋体" w:cs="宋体"/>
          <w:color w:val="auto"/>
          <w:highlight w:val="none"/>
        </w:rPr>
        <w:t>6.2.3 采购标的所属行业见供应商须知表。</w:t>
      </w:r>
    </w:p>
    <w:p>
      <w:pPr>
        <w:pStyle w:val="6"/>
        <w:spacing w:before="0" w:after="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6.3政府采购节能产品、环境标志产品：是指国务院有关部门发布的政府采购节能产品、环境标志产品品目清单中的产品。依据《关于调整优化节能产品、环境标志产品政府采购执行机制的通知》（财库〔2019〕9号），如采购产品属于实施政府强制采购品目清单范围的节能产品，则供应商所投产品必须获得国家确定的认证机构出具的、处于有效期之内的节能产品认证证书，否则</w:t>
      </w:r>
      <w:r>
        <w:rPr>
          <w:rFonts w:hint="eastAsia" w:ascii="宋体" w:hAnsi="宋体" w:eastAsia="宋体" w:cs="宋体"/>
          <w:b/>
          <w:bCs/>
          <w:color w:val="auto"/>
          <w:sz w:val="21"/>
          <w:szCs w:val="21"/>
          <w:highlight w:val="none"/>
        </w:rPr>
        <w:t>投标无效。</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6.4正版软件</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6.4.1依据《财政部 国家发展改革委 信息产业部关于印发无线局域网产品政府采购实施意见的通知》（财库〔2005〕366 号），采购无线局域网产品和含有无线局域网功能的计算机、通信设备、打印机、复印机、投影仪等产品的，优先采购符合国家无线局域网安全标准（GB 15629.11/1102）并通过国家产品认证的产品。其中，国家有特殊信息安全要求的项目必须采购认证产品，</w:t>
      </w:r>
      <w:r>
        <w:rPr>
          <w:rFonts w:hint="eastAsia" w:ascii="宋体" w:hAnsi="宋体" w:eastAsia="宋体" w:cs="宋体"/>
          <w:color w:val="auto"/>
          <w:kern w:val="0"/>
          <w:highlight w:val="none"/>
        </w:rPr>
        <w:t>否则</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财政部、国家发展改革委、信息产业部根据政府采购改革进展和无线局域网产品技术及市场成熟等情况，从国家指定的认证机构认证的生产厂商和产品型号中确定优先采购的产品，并以“无线局域网认证产品政府采购清单”（以下简称清单）的形式公布。清单中新增认证产品厂商和型号，由财政部、国家发展改革委、信息产业部以文件形式确定、公布并适时调整。</w:t>
      </w:r>
    </w:p>
    <w:p>
      <w:pPr>
        <w:snapToGrid w:val="0"/>
        <w:rPr>
          <w:rFonts w:hint="eastAsia" w:ascii="宋体" w:hAnsi="宋体" w:eastAsia="宋体" w:cs="宋体"/>
          <w:color w:val="auto"/>
          <w:highlight w:val="none"/>
        </w:rPr>
      </w:pPr>
      <w:r>
        <w:rPr>
          <w:rFonts w:hint="eastAsia" w:ascii="宋体" w:hAnsi="宋体" w:eastAsia="宋体" w:cs="宋体"/>
          <w:color w:val="auto"/>
          <w:highlight w:val="none"/>
        </w:rPr>
        <w:t>6.4.2各级政府部门在购置计算机办公设备时，必须采购预装正版操作系统软件的计算机产品，相关规定依据《国家版权局、信息产业部、财政部、国务院机关事务管理局关于政府部门购置计算机办公设备必须采购已预装正版操作系统软件产品的通知》（国权联〔2006〕1 号）、《国务院办公厅关于进一步做好政府机关使用正版软件工作的通知》（国办发〔2010〕47 号）、《财政部关于进一步做好政府机关使用正版软件工作的通知》（财预〔2010〕536 号）。</w:t>
      </w:r>
    </w:p>
    <w:p>
      <w:pPr>
        <w:tabs>
          <w:tab w:val="left" w:pos="1080"/>
          <w:tab w:val="left" w:pos="2014"/>
        </w:tabs>
        <w:snapToGrid w:val="0"/>
        <w:rPr>
          <w:rFonts w:hint="eastAsia" w:ascii="宋体" w:hAnsi="宋体" w:eastAsia="宋体" w:cs="宋体"/>
          <w:color w:val="auto"/>
          <w:highlight w:val="none"/>
        </w:rPr>
      </w:pPr>
      <w:r>
        <w:rPr>
          <w:rFonts w:hint="eastAsia" w:ascii="宋体" w:hAnsi="宋体" w:eastAsia="宋体" w:cs="宋体"/>
          <w:color w:val="auto"/>
          <w:highlight w:val="none"/>
        </w:rPr>
        <w:t>6.5信息安全产品：所投产品属于《关于调整信息安全产品强制性认证实施要求的公告》（2009 年第33 号）范围的，采购经国家认证的信息安全产品，否则投标无效。关于信息安全相关规定依据《关于信息安全产品实施政府采购的通知》（财库〔2010〕48 号）。</w:t>
      </w:r>
    </w:p>
    <w:p>
      <w:pPr>
        <w:pStyle w:val="6"/>
        <w:jc w:val="both"/>
        <w:rPr>
          <w:rFonts w:hint="eastAsia" w:ascii="宋体" w:hAnsi="宋体" w:eastAsia="宋体" w:cs="宋体"/>
          <w:color w:val="auto"/>
          <w:highlight w:val="none"/>
        </w:rPr>
      </w:pPr>
      <w:r>
        <w:rPr>
          <w:rFonts w:hint="eastAsia" w:ascii="宋体" w:hAnsi="宋体" w:eastAsia="宋体" w:cs="宋体"/>
          <w:color w:val="auto"/>
          <w:highlight w:val="none"/>
        </w:rPr>
        <w:t>7.投标费用</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不论投标的结果如何，供应商应承担所有与准备和参加投标有关的费用。</w:t>
      </w:r>
    </w:p>
    <w:p>
      <w:pPr>
        <w:pStyle w:val="6"/>
        <w:rPr>
          <w:rFonts w:hint="eastAsia" w:ascii="宋体" w:hAnsi="宋体" w:eastAsia="宋体" w:cs="宋体"/>
          <w:color w:val="auto"/>
          <w:highlight w:val="none"/>
        </w:rPr>
      </w:pPr>
      <w:bookmarkStart w:id="32" w:name="_Toc10106_WPSOffice_Level2"/>
    </w:p>
    <w:p>
      <w:pPr>
        <w:pStyle w:val="6"/>
        <w:rPr>
          <w:rFonts w:hint="eastAsia" w:ascii="宋体" w:hAnsi="宋体" w:eastAsia="宋体" w:cs="宋体"/>
          <w:color w:val="auto"/>
          <w:highlight w:val="none"/>
        </w:rPr>
      </w:pPr>
      <w:r>
        <w:rPr>
          <w:rFonts w:hint="eastAsia" w:ascii="宋体" w:hAnsi="宋体" w:eastAsia="宋体" w:cs="宋体"/>
          <w:color w:val="auto"/>
          <w:highlight w:val="none"/>
        </w:rPr>
        <w:t>三 招标文件</w:t>
      </w:r>
      <w:bookmarkEnd w:id="32"/>
    </w:p>
    <w:p>
      <w:pPr>
        <w:pStyle w:val="6"/>
        <w:numPr>
          <w:ilvl w:val="0"/>
          <w:numId w:val="3"/>
        </w:numPr>
        <w:jc w:val="left"/>
        <w:rPr>
          <w:rFonts w:hint="eastAsia" w:ascii="宋体" w:hAnsi="宋体" w:eastAsia="宋体" w:cs="宋体"/>
          <w:color w:val="auto"/>
          <w:highlight w:val="none"/>
        </w:rPr>
      </w:pPr>
      <w:r>
        <w:rPr>
          <w:rFonts w:hint="eastAsia" w:ascii="宋体" w:hAnsi="宋体" w:eastAsia="宋体" w:cs="宋体"/>
          <w:color w:val="auto"/>
          <w:highlight w:val="none"/>
        </w:rPr>
        <w:t>招标文件构成</w:t>
      </w:r>
    </w:p>
    <w:p>
      <w:pPr>
        <w:numPr>
          <w:ilvl w:val="1"/>
          <w:numId w:val="3"/>
        </w:num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招标文件内容如下:</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招标公告</w:t>
      </w:r>
    </w:p>
    <w:p>
      <w:pPr>
        <w:numPr>
          <w:ilvl w:val="0"/>
          <w:numId w:val="4"/>
        </w:numPr>
        <w:adjustRightInd w:val="0"/>
        <w:snapToGrid w:val="0"/>
        <w:ind w:firstLine="420" w:firstLineChars="200"/>
        <w:rPr>
          <w:rFonts w:hint="eastAsia" w:ascii="宋体" w:hAnsi="宋体" w:eastAsia="宋体" w:cs="宋体"/>
          <w:color w:val="auto"/>
          <w:highlight w:val="none"/>
        </w:rPr>
      </w:pPr>
      <w:bookmarkStart w:id="33" w:name="_Toc4961_WPSOffice_Level2"/>
      <w:bookmarkStart w:id="34" w:name="_Toc25935_WPSOffice_Level2"/>
      <w:bookmarkStart w:id="35" w:name="_Toc24604_WPSOffice_Level2"/>
      <w:bookmarkStart w:id="36" w:name="_Toc188_WPSOffice_Level2"/>
      <w:r>
        <w:rPr>
          <w:rFonts w:hint="eastAsia" w:ascii="宋体" w:hAnsi="宋体" w:eastAsia="宋体" w:cs="宋体"/>
          <w:color w:val="auto"/>
          <w:highlight w:val="none"/>
        </w:rPr>
        <w:t>供应商须知</w:t>
      </w:r>
      <w:bookmarkEnd w:id="33"/>
      <w:bookmarkEnd w:id="34"/>
      <w:bookmarkEnd w:id="35"/>
      <w:bookmarkEnd w:id="36"/>
    </w:p>
    <w:p>
      <w:pPr>
        <w:adjustRightInd w:val="0"/>
        <w:snapToGrid w:val="0"/>
        <w:ind w:firstLine="420" w:firstLineChars="200"/>
        <w:rPr>
          <w:rFonts w:hint="eastAsia" w:ascii="宋体" w:hAnsi="宋体" w:eastAsia="宋体" w:cs="宋体"/>
          <w:color w:val="auto"/>
          <w:highlight w:val="none"/>
        </w:rPr>
      </w:pPr>
      <w:bookmarkStart w:id="37" w:name="_Toc31424_WPSOffice_Level2"/>
      <w:bookmarkStart w:id="38" w:name="_Toc32235_WPSOffice_Level2"/>
      <w:bookmarkStart w:id="39" w:name="_Toc2443_WPSOffice_Level2"/>
      <w:bookmarkStart w:id="40" w:name="_Toc13276_WPSOffice_Level2"/>
      <w:r>
        <w:rPr>
          <w:rFonts w:hint="eastAsia" w:ascii="宋体" w:hAnsi="宋体" w:eastAsia="宋体" w:cs="宋体"/>
          <w:color w:val="auto"/>
          <w:highlight w:val="none"/>
        </w:rPr>
        <w:t>第二章 投标文件内容及格式</w:t>
      </w:r>
      <w:bookmarkEnd w:id="37"/>
      <w:bookmarkEnd w:id="38"/>
      <w:bookmarkEnd w:id="39"/>
      <w:bookmarkEnd w:id="40"/>
    </w:p>
    <w:p>
      <w:pPr>
        <w:adjustRightInd w:val="0"/>
        <w:snapToGrid w:val="0"/>
        <w:ind w:firstLine="420" w:firstLineChars="200"/>
        <w:rPr>
          <w:rFonts w:hint="eastAsia" w:ascii="宋体" w:hAnsi="宋体" w:eastAsia="宋体" w:cs="宋体"/>
          <w:color w:val="auto"/>
          <w:highlight w:val="none"/>
        </w:rPr>
      </w:pPr>
      <w:bookmarkStart w:id="41" w:name="_Toc7005_WPSOffice_Level2"/>
      <w:bookmarkStart w:id="42" w:name="_Toc24836_WPSOffice_Level2"/>
      <w:bookmarkStart w:id="43" w:name="_Toc16269_WPSOffice_Level2"/>
      <w:bookmarkStart w:id="44" w:name="_Toc4416_WPSOffice_Level2"/>
      <w:r>
        <w:rPr>
          <w:rFonts w:hint="eastAsia" w:ascii="宋体" w:hAnsi="宋体" w:eastAsia="宋体" w:cs="宋体"/>
          <w:color w:val="auto"/>
          <w:highlight w:val="none"/>
        </w:rPr>
        <w:t>第三章 服务需求</w:t>
      </w:r>
      <w:bookmarkEnd w:id="41"/>
      <w:bookmarkEnd w:id="42"/>
      <w:bookmarkEnd w:id="43"/>
      <w:bookmarkEnd w:id="44"/>
    </w:p>
    <w:p>
      <w:pPr>
        <w:adjustRightInd w:val="0"/>
        <w:snapToGrid w:val="0"/>
        <w:ind w:firstLine="420" w:firstLineChars="200"/>
        <w:rPr>
          <w:rFonts w:hint="eastAsia" w:ascii="宋体" w:hAnsi="宋体" w:eastAsia="宋体" w:cs="宋体"/>
          <w:color w:val="auto"/>
          <w:highlight w:val="none"/>
        </w:rPr>
      </w:pPr>
      <w:bookmarkStart w:id="45" w:name="_Toc25382_WPSOffice_Level2"/>
      <w:bookmarkStart w:id="46" w:name="_Toc16119_WPSOffice_Level2"/>
      <w:bookmarkStart w:id="47" w:name="_Toc16294_WPSOffice_Level2"/>
      <w:bookmarkStart w:id="48" w:name="_Toc23459_WPSOffice_Level2"/>
      <w:r>
        <w:rPr>
          <w:rFonts w:hint="eastAsia" w:ascii="宋体" w:hAnsi="宋体" w:eastAsia="宋体" w:cs="宋体"/>
          <w:color w:val="auto"/>
          <w:highlight w:val="none"/>
        </w:rPr>
        <w:t>第四章 评标方法</w:t>
      </w:r>
      <w:bookmarkEnd w:id="45"/>
      <w:bookmarkEnd w:id="46"/>
      <w:bookmarkEnd w:id="47"/>
      <w:bookmarkEnd w:id="48"/>
    </w:p>
    <w:p>
      <w:pPr>
        <w:adjustRightInd w:val="0"/>
        <w:snapToGrid w:val="0"/>
        <w:ind w:firstLine="420" w:firstLineChars="200"/>
        <w:rPr>
          <w:rFonts w:hint="eastAsia" w:ascii="宋体" w:hAnsi="宋体" w:eastAsia="宋体" w:cs="宋体"/>
          <w:color w:val="auto"/>
          <w:highlight w:val="none"/>
        </w:rPr>
      </w:pPr>
      <w:bookmarkStart w:id="49" w:name="_Toc17794_WPSOffice_Level2"/>
      <w:bookmarkStart w:id="50" w:name="_Toc16368_WPSOffice_Level2"/>
      <w:bookmarkStart w:id="51" w:name="_Toc9629_WPSOffice_Level2"/>
      <w:bookmarkStart w:id="52" w:name="_Toc28106_WPSOffice_Level2"/>
      <w:r>
        <w:rPr>
          <w:rFonts w:hint="eastAsia" w:ascii="宋体" w:hAnsi="宋体" w:eastAsia="宋体" w:cs="宋体"/>
          <w:color w:val="auto"/>
          <w:highlight w:val="none"/>
        </w:rPr>
        <w:t>第五章 政府采购合同</w:t>
      </w:r>
      <w:bookmarkEnd w:id="49"/>
      <w:bookmarkEnd w:id="50"/>
      <w:bookmarkEnd w:id="51"/>
      <w:bookmarkEnd w:id="52"/>
      <w:r>
        <w:rPr>
          <w:rFonts w:hint="eastAsia" w:ascii="宋体" w:hAnsi="宋体" w:eastAsia="宋体" w:cs="宋体"/>
          <w:color w:val="auto"/>
          <w:highlight w:val="none"/>
        </w:rPr>
        <w:t>条款及格式</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★8.2供应商应认真阅读招标文件所有的事项、格式、条款等。如供应商没有按照招标文件要求提交资料，或者投标文件没有对招标文件做出实质性响应，可能导致其投标被认定为投标无效。</w:t>
      </w:r>
    </w:p>
    <w:p>
      <w:pPr>
        <w:pStyle w:val="6"/>
        <w:jc w:val="left"/>
        <w:rPr>
          <w:rFonts w:hint="eastAsia" w:ascii="宋体" w:hAnsi="宋体" w:eastAsia="宋体" w:cs="宋体"/>
          <w:b/>
          <w:bCs/>
          <w:color w:val="auto"/>
          <w:highlight w:val="none"/>
        </w:rPr>
      </w:pPr>
      <w:r>
        <w:rPr>
          <w:rFonts w:hint="eastAsia" w:ascii="宋体" w:hAnsi="宋体" w:eastAsia="宋体" w:cs="宋体"/>
          <w:color w:val="auto"/>
          <w:highlight w:val="none"/>
        </w:rPr>
        <w:t>9.招标文件的澄清与修改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9.1采购人或者采购代理机构可以对已发出的招标文件进行澄清或者修改。澄清或者修改的内容可能影响投标文件编制的，应当在投标截止时间至少15日前，在原公告发布媒体上发布变更公告，并以书面形式通知所有获取招标文件的潜在供应商；不足15日的，采购人或者采购代理机构应当顺延提交投标文件的截止时间。</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9.2澄清或者修改的内容为招标文件的组成部分，对所有招标文件的收受人具有约束力。供应商在收到上述通知后，应及时向采购代理机构回函确认。</w:t>
      </w:r>
    </w:p>
    <w:p>
      <w:pPr>
        <w:pStyle w:val="6"/>
        <w:rPr>
          <w:rFonts w:hint="eastAsia" w:ascii="宋体" w:hAnsi="宋体" w:eastAsia="宋体" w:cs="宋体"/>
          <w:color w:val="auto"/>
          <w:highlight w:val="none"/>
        </w:rPr>
      </w:pPr>
      <w:bookmarkStart w:id="53" w:name="_Toc7415_WPSOffice_Level2"/>
      <w:r>
        <w:rPr>
          <w:rFonts w:hint="eastAsia" w:ascii="宋体" w:hAnsi="宋体" w:eastAsia="宋体" w:cs="宋体"/>
          <w:color w:val="auto"/>
          <w:highlight w:val="none"/>
        </w:rPr>
        <w:t>四  投标文件的编制</w:t>
      </w:r>
      <w:bookmarkEnd w:id="53"/>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10.投标范围</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10.1项目有分包的，供应商可对招标文件其中某一个分包或几个分包进行投标。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★10.2供应商应当对所投分包在招标文件“服务需求”中所列的所有服务内容进行投标，如仅响应分包中某一部分内容，其该包投标将被认定为投标无效。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10.3无论招标文件第三章服务需求中是否要求，供应商所投的服务均应符合国家强制性标准。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11.投标文件构成</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★11.1供应商应完整地按招标文件提供的投标文件格式及要求编写投标文件。投标文件应包括资格证明文件、符合性证明文件、其它材料三部分。具体见第二章 投标文件内容及格式。</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★11.2供应商应按招标文件提供的格式编写投标文件。招标文件提供标准格式的按标准格式填列，未提供标准格式的可自行拟定。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11.3演示要求详见供应商须知表11.3款。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★12.投标报价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12.1所有投标均按供应商须知表12.1款中要求货币进行报价。供应商的投标报价应遵守《中华人民共和国价格法》。同时，根据《中华人民共和国政府采购法》第三条的规定，为保证公平竞争，如有货物主体部分的赠与行为，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12.2供应商应按招标文件要求在相关表格中标明投标服务的单价和总价，并由法定代表人（非法人组织的负责人）或其委托代理人签署。</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12.3供应商所报的各分项投标单价在合同履行过程中是固定不变的，不得以任何理由予以变更。任何包含价格调整要求的投标，其投标将被认定为</w:t>
      </w:r>
      <w:r>
        <w:rPr>
          <w:rFonts w:hint="eastAsia" w:ascii="宋体" w:hAnsi="宋体" w:eastAsia="宋体" w:cs="宋体"/>
          <w:bCs/>
          <w:color w:val="auto"/>
          <w:highlight w:val="none"/>
        </w:rPr>
        <w:t>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12.4每种服务只能有一个投标报价。采购人不接受具有附加条件的报价。</w:t>
      </w:r>
    </w:p>
    <w:p>
      <w:pPr>
        <w:adjustRightInd w:val="0"/>
        <w:snapToGrid w:val="0"/>
        <w:rPr>
          <w:rFonts w:hint="eastAsia" w:ascii="宋体" w:hAnsi="宋体" w:eastAsia="宋体" w:cs="宋体"/>
          <w:color w:val="auto"/>
          <w:highlight w:val="none"/>
        </w:rPr>
      </w:pPr>
      <w:bookmarkStart w:id="54" w:name="_Toc31973_WPSOffice_Level2"/>
      <w:bookmarkStart w:id="55" w:name="_Toc22507_WPSOffice_Level2"/>
      <w:r>
        <w:rPr>
          <w:rFonts w:hint="eastAsia" w:ascii="宋体" w:hAnsi="宋体" w:eastAsia="宋体" w:cs="宋体"/>
          <w:color w:val="auto"/>
          <w:highlight w:val="none"/>
        </w:rPr>
        <w:t>12.5除非招标文件另有规定，报价原则上精确到小数点后两位。</w:t>
      </w:r>
      <w:bookmarkEnd w:id="54"/>
      <w:bookmarkEnd w:id="55"/>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★13.投标保证金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13.1供应商应提交供应商须知表13.1款中规定的投标保证金，并作为其投标的一部分。</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13.2投标保证金缴纳人、招标文件领取人、投标登记人和供应商必须为同一组织机构或联合体内不同成员单位，否则将视同未按招标文件规定交纳投标保证金。</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13.3供应商存在下列情形的，投标保证金不予退还:</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(1)在投标有效期内，供应商撤销投标的;</w:t>
      </w:r>
    </w:p>
    <w:p>
      <w:pPr>
        <w:adjustRightInd w:val="0"/>
        <w:snapToGrid w:val="0"/>
        <w:jc w:val="left"/>
        <w:rPr>
          <w:rFonts w:hint="eastAsia" w:ascii="宋体" w:hAnsi="宋体" w:eastAsia="宋体" w:cs="宋体"/>
          <w:color w:val="auto"/>
          <w:highlight w:val="none"/>
        </w:rPr>
      </w:pPr>
      <w:r>
        <w:rPr>
          <w:rFonts w:hint="eastAsia" w:ascii="宋体" w:hAnsi="宋体" w:eastAsia="宋体" w:cs="宋体"/>
          <w:color w:val="auto"/>
          <w:highlight w:val="none"/>
        </w:rPr>
        <w:t>(2)中标后不按本须知第34款的规定与采购人签订合同的;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(3)中标后不按本须知第35款的规定提交履约保证金的;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(4)存在其他违法违规行为的。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13.4联合体投标的，可以由联合体中的一方或者共同提交投标保证金。以一方名义提交投标保证金的，对联合体各方均具有约束力。</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13.5投标保证金的退还</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13.5.1中标人应在与采购人签订合同之日起5个工作日内，及时联系保证金收受机构办理投标保证金退还手续。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13.5.2未中标供应商的投标保证金将在中标通知书发出之日暨中标结果公告公布之日起5个工作日内无息退还。供应商应及时联系保证金收受机构办理退还投标保证金手续。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13.5.3供应商在投标截止时间前撤回已提交的投标文件的，供应商应自采购人或者采购代理机构收到供应商书面撤回通知之日起５个工作日内，及时联系保证金收受机构办理投标保证金退还手续。</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13.5.4政府采购投标担保函不予退回。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13.6因供应商自身原因导致无法及时退还的，采购人或采购代理机构将不承担相应责任。</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★14.证明投标标的的合格性和符合招标文件规定的技术文件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14.1供应商应提交证明文件，证明其投标内容符合招标文件规定。该证明文件是投标文件的一部分。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14.2上条所述的证明文件，可以是文字资料、图纸和数据。</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★15.投标有效期</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15.1 投标应在供应商须知表15.1款中规定的投标有效期内保持有效。投标有效期不满足要求的投标，其投标将被认定为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15.2 在特殊情况下，采购人或采购代理机构可根据实际情况，在原投标有效期截止之前，要求供应商延长投标文件的有效期。接受该要求的供应商将不会被要求和允许修正其投标，且本须知中有关投标保证金的要求须在延长的有效期内继续有效。供应商可以拒绝延长投标有效期的要求，其投标保证金将及时退还。上述要求和答复都应以书面形式提交。</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★16.投标文件的签署及规定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16.1 供应商应按供应商须知表16.1款中的规定，准备和递交投标文件正本、副本和电子文档，每份投标文件封皮须清楚地标明“正本”或“副本”。若正本和副本不符，以正本为准。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16.2 投标文件的正本需打印或用不褪色墨水书写，并由供应商的法定代表人（非法人组织负责人）或经其正式委托代理人按招标文件规定在投标文件上签字或盖章，并加盖单位印章。委托代理人须持有书面的“法定代表人（非法人组织负责人）授权委托书”，并将其附在投标文件中。如对投标文件进行了修改，则应由供应商的法定代表人（非法人组织负责人）或其委托代理人在每一修改处签字。投标文件的副本可采用正本的复印件。</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16.3 投标文件因字迹潦草无法辨认、表达不清或装订不当所引起的后果由供应商负责。</w:t>
      </w:r>
    </w:p>
    <w:p>
      <w:pPr>
        <w:pStyle w:val="6"/>
        <w:rPr>
          <w:rFonts w:hint="eastAsia" w:ascii="宋体" w:hAnsi="宋体" w:eastAsia="宋体" w:cs="宋体"/>
          <w:color w:val="auto"/>
          <w:highlight w:val="none"/>
        </w:rPr>
      </w:pPr>
      <w:bookmarkStart w:id="56" w:name="_Toc27725_WPSOffice_Level2"/>
      <w:r>
        <w:rPr>
          <w:rFonts w:hint="eastAsia" w:ascii="宋体" w:hAnsi="宋体" w:eastAsia="宋体" w:cs="宋体"/>
          <w:color w:val="auto"/>
          <w:highlight w:val="none"/>
        </w:rPr>
        <w:t>五 投标文件的递交</w:t>
      </w:r>
      <w:bookmarkEnd w:id="56"/>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17.投标文件的密封和标记</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★17.1 供应商应将投标文件装订成册、密封，将正本和所有的副本、电子文档密封，并进行包封。如果供应商未按上述要求密封，其投标文件将被</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17.2 所有包装封皮上均应：</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（1）注明项目名称、项目编号、包号、供应商名称和“在（开标时间）之前不得启封”的字样。</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（2）在封口处加盖供应商单位公章。</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★18.投标截止</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18.1 供应商应在供应商须知表18.1中规定的递交投标文件截止时间前，将投标文件递交到供应商须知表18.1款中规定的地点。</w:t>
      </w:r>
    </w:p>
    <w:p>
      <w:pPr>
        <w:pStyle w:val="6"/>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18.2 采购人和采购代理机构有权按本须知的规定，延迟投标截止时间。在此情况下，采购人、采购代理机构和供应商受投标截止时间制约的所有权利和义务均应延长至新的截止时间。</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★19. 投标文件的接收、修改与撤回</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19.1 在投标截止时间后送达的投标文件，采购人和采购代理机构将</w:t>
      </w:r>
      <w:r>
        <w:rPr>
          <w:rFonts w:hint="eastAsia" w:ascii="宋体" w:hAnsi="宋体" w:eastAsia="宋体" w:cs="宋体"/>
          <w:b/>
          <w:bCs/>
          <w:color w:val="auto"/>
          <w:highlight w:val="none"/>
        </w:rPr>
        <w:t>拒绝接收</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19.2 采购人或者采购代理机构收到投标文件后，应当如实记载投标文件的送达时间和密封情况。</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19.3 递交投标文件以后，如果供应商要进行修改或撤回投标，须提出书面申请并在投标截止时间前送达开标地点，供应商对投标文件的修改或撤回通知应按本须知规定编制、密封、标记。采购人和采购代理机构将予以接收，并视为投标文件的组成部分。否则，修改后的投标文件或撤回行为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19.4 在投标截止时间之后，供应商不得对其投标文件做任何修改。</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19.5 采购人和采购代理机构对所接收并当众宣读投标内容的投标文件概不退回。</w:t>
      </w:r>
    </w:p>
    <w:p>
      <w:pPr>
        <w:pStyle w:val="6"/>
        <w:rPr>
          <w:rFonts w:hint="eastAsia" w:ascii="宋体" w:hAnsi="宋体" w:eastAsia="宋体" w:cs="宋体"/>
          <w:color w:val="auto"/>
          <w:highlight w:val="none"/>
        </w:rPr>
      </w:pPr>
      <w:bookmarkStart w:id="57" w:name="_Toc988_WPSOffice_Level2"/>
      <w:r>
        <w:rPr>
          <w:rFonts w:hint="eastAsia" w:ascii="宋体" w:hAnsi="宋体" w:eastAsia="宋体" w:cs="宋体"/>
          <w:color w:val="auto"/>
          <w:highlight w:val="none"/>
        </w:rPr>
        <w:t>六 开标及评标</w:t>
      </w:r>
      <w:bookmarkEnd w:id="57"/>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20.开标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20.1 采购人和采购代理机构将按供应商须知表20.1款中规定的开标时间和地点组织公开开标并邀请所有供应商代表参加。</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供应商不足3家的，不得开标。评标委员会成员不得参加开标活动。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20.2 开标时，由供应商或其推选的代表检查投标文件的密封情况，经记录后，由采购人或采购代理机构当众拆封投标文件，宣读供应商名称、投标价格及招标文件规定的内容。对于供应商在投标截止时间前递交的投标声明，在开标时当众宣读，评标时有效。</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未宣读投标价格、价格折扣等实质内容，评标时不予承认。</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20.3 采购人或采购代理机构将对开标过程进行记录，由参加开标的各供应商代表和相关工作人员签字确认，并存档备查。供应商未参加开标或未签字确认的，视同认可开标结果。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20.4 供应商代表对开标过程和开标记录有疑义，以及认为采购人、采购代理机构相关工作人员有需要回避的情形的，应当场提出询问或者回避申请。</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21. 组建评标委员会</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按照《中华人民共和国政府采购法》、《中华人民共和国政府采购法实施条例》有关规定依法组建评标委员会，负责本项目评标工作。本项目评标委员会组成详见供应商须知表21款。</w:t>
      </w:r>
      <w:bookmarkStart w:id="58" w:name="_Hlk77063627"/>
      <w:r>
        <w:rPr>
          <w:rFonts w:hint="eastAsia" w:ascii="宋体" w:hAnsi="宋体" w:eastAsia="宋体" w:cs="宋体"/>
          <w:color w:val="auto"/>
          <w:highlight w:val="none"/>
        </w:rPr>
        <w:t>评标委员会组建后，</w:t>
      </w:r>
      <w:bookmarkEnd w:id="58"/>
      <w:r>
        <w:rPr>
          <w:rFonts w:hint="eastAsia" w:ascii="宋体" w:hAnsi="宋体" w:eastAsia="宋体" w:cs="宋体"/>
          <w:color w:val="auto"/>
          <w:highlight w:val="none"/>
        </w:rPr>
        <w:t>评标委员会成员共同推选组长，组长负责组织评标工作，采购人代表不得担任组长。</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★22. 资格审查</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22.1 采购人或采购代理机构依据法律法规和招标文件中规定的内容，对供应商的资格进行审查，供应商应按照第二章《投标文件内容及格式》中的相应要求提交资格证明材料。未通过资格审查的供应商不能进入评标，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；通过资格审查的供应商不足3家的，不得评标。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 采购人或采购代理机构将评审当日查询供应商的信用记录。供应商存在不良信用记录的，其投标将被认定为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22.2.1 不良信用记录指：供应商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以联合体形式参加投标的，联合体任何成员存在以上不良信用记录的，联合体投标将被认定为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22.2.2 查询及记录方式：采购人或采购代理机构经办人将查询网页打印并存档备查。供应商不良信用记录以采购人或采购代理机构查询结果为准。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在本招标文件规定的查询时间之后，网站信息发生的任何变更均不再作为评标依据。</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供应商自行提供的与网站信息不一致的其他证明材料亦不作为资格审查依据。</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★23.符合性审查</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符合性检查是指依据招标文件的规定，从投标文件的有效性和完整性对招标文件的响应程度进行审查，以确定是否对招标文件的实质性要求做出响应。供应商应按照第二章《投标文件内容及格式》中的相应要求，提交符合性证明材料。未通过符合性审查的供应商不能进入下一阶段评审，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；通过符合性审查的供应商数量不足3家的，不得作进一步的比较和评价。</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★24 投标文件的澄清</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24.1 在评标期间，评标委员会将以书面方式要求供应商对其投标文件中含义不明确、对同类问题表述不一致或者有明显文字和计算错误的内容作必要的澄清、说明或补正。供应商的澄清、说明或补正应在评标委员会规定的时间内以书面方式进行，并不得超出投标文件范围或者改变投标文件的实质性内容。供应商拒不进行澄清、说明、补正的，或者不能在规定时间内作出书面澄清、说明、补正的，其投标将被作为无效投标处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24.2 供应商的澄清、说明或补正将作为投标文件的一部分。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24.3 投标文件报价出现前后不一致的，按照下列规定修正：</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（1）投标文件中开标一览表内容与投标文件中相应内容不一致的，以开标一览表为准；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（2）大写金额和小写金额不一致的，以大写金额为准；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（3）单价金额小数点或者百分比有明显错位的，以开标一览表的总价为准，并修改单价；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（4）总价金额与按单价汇总金额不一致的，以单价金额计算结果为准。</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同时出现两种以上不一致的，按照前款规定的顺序修正。修正后的报价经供应商确认后产生约束力，供应商不确认的，其投标将被认定为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24.4</w:t>
      </w:r>
      <w:r>
        <w:rPr>
          <w:rFonts w:hint="eastAsia" w:ascii="宋体" w:hAnsi="宋体" w:eastAsia="宋体" w:cs="宋体"/>
          <w:b/>
          <w:bCs/>
          <w:color w:val="auto"/>
          <w:highlight w:val="none"/>
        </w:rPr>
        <w:t>评标委员会认为</w:t>
      </w:r>
      <w:r>
        <w:rPr>
          <w:rFonts w:hint="eastAsia" w:ascii="宋体" w:hAnsi="宋体" w:eastAsia="宋体" w:cs="宋体"/>
          <w:color w:val="auto"/>
          <w:highlight w:val="none"/>
        </w:rPr>
        <w:t>供应商的报价明显低于其他通过符合性审查供应商的报价，有可能影响产品质量或者不能诚信履约的，应当要求其在评标现场合理的时间内提供书面说明，必要时提交相关证明材料；供应商在不能证明其报价合理性的，评标委员会应当将其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处理。提交证明材料的合理时间按第四章 评标方法规定执行。</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25演示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演示的评审方法以及评审标准具体内容见供应商须知表25.1款。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★26.投标无效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26.1 在比较与评价之前，根据本须知的规定，评标委员会将审查每份投标文件是否实质上响应了招标文件的要求。</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实质性要求是指招标文件中带有★号标识内容（包括本级及其下级编号中所有内容）等文字说明的要求。</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对招标文件的实质性要求进行响应是指与招标文件中带有★号标识内容的文字说明、条款、条件和规格等要求相符。</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如果投标文件没有对招标文件的实质性要求进行响应，将作为</w:t>
      </w:r>
      <w:r>
        <w:rPr>
          <w:rFonts w:hint="eastAsia" w:ascii="宋体" w:hAnsi="宋体" w:eastAsia="宋体" w:cs="宋体"/>
          <w:b/>
          <w:bCs/>
          <w:color w:val="auto"/>
          <w:highlight w:val="none"/>
        </w:rPr>
        <w:t>无效投标</w:t>
      </w:r>
      <w:r>
        <w:rPr>
          <w:rFonts w:hint="eastAsia" w:ascii="宋体" w:hAnsi="宋体" w:eastAsia="宋体" w:cs="宋体"/>
          <w:color w:val="auto"/>
          <w:highlight w:val="none"/>
        </w:rPr>
        <w:t>处理，供应商不得再对投标文件进行任何修正从而使其投标成为实质上响应的投标。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评标委员会决定投标的响应性只根据招标文件要求、投标文件内容及财政主管部门指定媒体发布的相关信息。</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26.2 如发现下列情况之一的，其投标将被认定为</w:t>
      </w:r>
      <w:r>
        <w:rPr>
          <w:rFonts w:hint="eastAsia" w:ascii="宋体" w:hAnsi="宋体" w:eastAsia="宋体" w:cs="宋体"/>
          <w:b/>
          <w:bCs/>
          <w:color w:val="auto"/>
          <w:highlight w:val="none"/>
        </w:rPr>
        <w:t>投标无效</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（1）未按招标文件的规定提交投标保证金的；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（2）未按照招标文件规定要求签署、盖章的；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（3）供应商的报价超过了招标文件中规定的预算金额或者最高限价的；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（4）不具备招标文件中规定的资格要求的；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（5）不符合法规和招标文件中规定的其他实质性要求的。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（6）与其他供应商串通投标，或者与采购人串通投标；</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（7）评标委员会认为供应商的报价明显低于其他通过符合性检查供应商的报价，有可能影响履约的，且供应商未按照规定证明其报价合理性的；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（8）投标文件含有采购人不能接受的附加条件的；</w:t>
      </w:r>
    </w:p>
    <w:p>
      <w:pPr>
        <w:pStyle w:val="10"/>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（9） 所投产品中如要求安装软件，应提供正版软件，否则投标无效；台式计算机、便携式计算机必须预装正版操作系统，该系统须有唯一的正版序列号与之对应，一个正版序列号只能对应一台计算机，否则投标无效；</w:t>
      </w:r>
    </w:p>
    <w:p>
      <w:pPr>
        <w:pStyle w:val="10"/>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（10） 政府采购执行节能产品政府强制采购和优先采购政策。如采购人所采购产品为政府强制采购的节能产品，供应商所投产品的品牌及型号必须为清单中有效期内产品并提供证明文件，否则投标无效；</w:t>
      </w:r>
    </w:p>
    <w:p>
      <w:pPr>
        <w:pStyle w:val="10"/>
        <w:spacing w:line="360" w:lineRule="auto"/>
        <w:jc w:val="both"/>
        <w:rPr>
          <w:rFonts w:hint="eastAsia" w:ascii="宋体" w:hAnsi="宋体" w:eastAsia="宋体" w:cs="宋体"/>
          <w:color w:val="auto"/>
          <w:sz w:val="20"/>
          <w:highlight w:val="none"/>
        </w:rPr>
      </w:pPr>
      <w:r>
        <w:rPr>
          <w:rFonts w:hint="eastAsia" w:ascii="宋体" w:hAnsi="宋体" w:eastAsia="宋体" w:cs="宋体"/>
          <w:color w:val="auto"/>
          <w:sz w:val="20"/>
          <w:highlight w:val="none"/>
        </w:rPr>
        <w:t>（11） 所投产品应为经国家认证的信息安全产品，并提供由中国信息安全认证中心按国家标准认证颁发的有效认证证书，否则投标无效；</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（12） 属于法律、法规和招标文件规定的其他投标无效情形；</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27.比较与评价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27.1 经符合性审查合格的投标文件，评标委员会将根据招标文件确定的评标方法和标准，对其技术部分和商务部分作进一步的比较和评价。</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27.2 评标严格按照招标文件的要求和条件进行。根据实际情况，在供应商须知表27.2款中规定采用下列一种评标方法，详细评标标准见第四章 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 最低评标价法，是指投标文件满足招标文件全部实质性要求，且投标报价最低的供应商为中标候选人的评标方法。</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 综合评分法，是指投标文件满足招标文件全部实质性要求，且按照评审因素的量化指标评审得分最高的供应商为中标候选人的评标方法。</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27.3根据《政府采购促进中小企业发展管理办法》（财库〔2020〕46号）、《财政部 司法部关于政府采购支持监狱企业发展有关问题的通知》（财库〔2014〕68 号）和《三部门联合发布关于促进残疾人就业政府采购政策的通知》（财库〔2017〕141 号）、《财政部 关于进一步加大政府采购支持中小企业力度的通知》（财库〔2022〕19号）的规定，对于非专门面向中小企业的项目，在满足价格扣除条件且在投标文件中提交了《中小企业声明函》，或省级以上监狱管理局、戒毒管理局（含新疆生产建设兵团）出具的属于监狱企业的证明文件的供应商，其投标报价按照供应商须知表中规定的标准扣除后的价格参与评审。对于同时属于小微企业、监狱企业或残疾人福利性单位的，不重复进行投标报价扣除。</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接受大中型企业与小微企业组成联合体或者允许大中型企业向一家或者多家小微企业分包的，对于联合协议或者分包意向协议约定小微企业的合同份额占到合同总金额30%以上的，可给予联合体或者大中型企业的投标报价按照供应商须知表中规定的标准扣除后的价格参与评审。组成联合体或者接受分包的小微企业与联合体内其他企业、分包企业之间存在直接控股、管理关系的，不享受价格扣除优惠政策。</w:t>
      </w:r>
    </w:p>
    <w:p>
      <w:pPr>
        <w:ind w:firstLine="435"/>
        <w:rPr>
          <w:rFonts w:hint="eastAsia" w:ascii="宋体" w:hAnsi="宋体" w:eastAsia="宋体" w:cs="宋体"/>
          <w:color w:val="auto"/>
          <w:highlight w:val="none"/>
        </w:rPr>
      </w:pPr>
      <w:r>
        <w:rPr>
          <w:rFonts w:hint="eastAsia" w:ascii="宋体" w:hAnsi="宋体" w:eastAsia="宋体" w:cs="宋体"/>
          <w:color w:val="auto"/>
          <w:highlight w:val="none"/>
        </w:rPr>
        <w:t>以联合体形式参加政府采购活动，联合体各方均为中小企业的，联合体视同中小企业。其中，联合体各方均为小微企业的，联合体视同小微企业。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27.4 依据财政部、发展改革委、生态环境部等部门发布的品目清单和国家确定的认证机构出具的、处于有效期之内的节能产品、环境标志产品认证证书实施政府优先采购。具体优先采购办法见招标文件第四章 评标方法。</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★28.废标</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出现下列情形之一，将导致项目</w:t>
      </w:r>
      <w:r>
        <w:rPr>
          <w:rFonts w:hint="eastAsia" w:ascii="宋体" w:hAnsi="宋体" w:eastAsia="宋体" w:cs="宋体"/>
          <w:b/>
          <w:bCs/>
          <w:color w:val="auto"/>
          <w:highlight w:val="none"/>
        </w:rPr>
        <w:t>废标</w:t>
      </w:r>
      <w:r>
        <w:rPr>
          <w:rFonts w:hint="eastAsia" w:ascii="宋体" w:hAnsi="宋体" w:eastAsia="宋体" w:cs="宋体"/>
          <w:color w:val="auto"/>
          <w:highlight w:val="none"/>
        </w:rPr>
        <w:t>：</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（1）符合专业条件的供应商或者对招标文件做实质性响应的供应商不足3家；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（2）出现影响采购公正的违法、违规行为的；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（3）供应商的报价均超过了采购预算或最高限价，采购人不能支付的；</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（4）因重大变故，采购任务取消的。</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29.中标候选人的推荐原则及标准</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29.1除第32条规定外，评标委员会将根据评标标准，对实质上响应招标文件的供应商按下列方法进行排序，推荐中标候选人：</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1）采用最低评标价法的，除了算数修正和落实政府采购政策需进行的价格扣除外，不对供应商的投标价格进行任何调整。评标结果按修正和扣除后的投标报价由低到高顺序排列。报价相同的，按第四章评标办法规定执行。</w:t>
      </w:r>
    </w:p>
    <w:p>
      <w:pPr>
        <w:adjustRightInd w:val="0"/>
        <w:snapToGrid w:val="0"/>
        <w:ind w:firstLine="210" w:firstLineChars="100"/>
        <w:rPr>
          <w:rFonts w:hint="eastAsia" w:ascii="宋体" w:hAnsi="宋体" w:eastAsia="宋体" w:cs="宋体"/>
          <w:color w:val="auto"/>
          <w:highlight w:val="none"/>
        </w:rPr>
      </w:pPr>
      <w:r>
        <w:rPr>
          <w:rFonts w:hint="eastAsia" w:ascii="宋体" w:hAnsi="宋体" w:eastAsia="宋体" w:cs="宋体"/>
          <w:color w:val="auto"/>
          <w:highlight w:val="none"/>
        </w:rPr>
        <w:t>（2）采用综合评分法的，评标结果按评审后得分由高到低顺序排列。得分相同的，按第四章评标办法规定执行。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29.2评标委员会将根据评标标准，按供应商须知表29.2款中规定的数量推荐中标候选人。</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29.3因推荐中标候选人名单产生其他问题，由评标委员会集体研究处理。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★30.保密原则</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30.1 评标将在严格保密的情况下进行。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30.2 有关人员应当遵守评标工作纪律，不得泄露评审文件、评标情况和评标过程中获悉的国家秘密、商业秘密。</w:t>
      </w:r>
    </w:p>
    <w:p>
      <w:pPr>
        <w:pStyle w:val="6"/>
        <w:rPr>
          <w:rFonts w:hint="eastAsia" w:ascii="宋体" w:hAnsi="宋体" w:eastAsia="宋体" w:cs="宋体"/>
          <w:color w:val="auto"/>
          <w:highlight w:val="none"/>
        </w:rPr>
      </w:pPr>
      <w:bookmarkStart w:id="59" w:name="_Toc4544_WPSOffice_Level2"/>
      <w:r>
        <w:rPr>
          <w:rFonts w:hint="eastAsia" w:ascii="宋体" w:hAnsi="宋体" w:eastAsia="宋体" w:cs="宋体"/>
          <w:color w:val="auto"/>
          <w:highlight w:val="none"/>
        </w:rPr>
        <w:t>七 确定中标</w:t>
      </w:r>
      <w:bookmarkEnd w:id="59"/>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31.确定中标人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由采购人或者采购人委托评标委员会按照供应商须知表31中规定的方式确定中标人。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采购人在收到评标报告5个工作日内未按评标报告推荐的中标候选人顺序确定中标人，又不能说明合法理由的，视同按评标报告推荐的顺序确定排名第一的中标候选人为中标人。</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 xml:space="preserve">★32.采购任务取消        </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因重大变故采购任务取消时，采购人有权拒绝任何供应商中标，且对受影响的供应商不承担任何责任。</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33.中标通知书</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33.1 采购人或者采购代理机构应当自中标人确定之日起2个工作日内，在省级以上财政部门指定的媒体上公告中标结果。同时向中标人发出中标通知书。</w:t>
      </w:r>
    </w:p>
    <w:p>
      <w:pPr>
        <w:adjustRightInd w:val="0"/>
        <w:snapToGrid w:val="0"/>
        <w:rPr>
          <w:rFonts w:hint="eastAsia" w:ascii="宋体" w:hAnsi="宋体" w:eastAsia="宋体" w:cs="宋体"/>
          <w:color w:val="auto"/>
          <w:sz w:val="24"/>
          <w:highlight w:val="none"/>
        </w:rPr>
      </w:pPr>
      <w:r>
        <w:rPr>
          <w:rFonts w:hint="eastAsia" w:ascii="宋体" w:hAnsi="宋体" w:eastAsia="宋体" w:cs="宋体"/>
          <w:color w:val="auto"/>
          <w:highlight w:val="none"/>
        </w:rPr>
        <w:t>33.2 中标通知书是合同的组成部分。</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★34.签订合同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34.1 中标人应当自发出中标通知书之日起 30 日内，与采购人签订书面合同。</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34.2 招标文件、中标人的投标文件及其澄清文件等，均为签订合同的依据。所签订的合同不得对招标文件确定的事项和中标人投标文件作实质性修改。采购人不得向中标人提出任何不合理的要求，作为签订合同的条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34.3 中标人拒绝与采购人签订合同的，采购人可以按照评审报告推荐的中标候选人名单排序，确定下一中标候选人为中标人，也可以重新开展政府采购活动。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★35.履约保证金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35.1 中标人应按照供应商须知表35.1款规定向采购人缴纳履约保证金。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35.2 如果中标人没有按照上述履约保证金的规定执行，将视为拒绝签订放弃中标资格，中标人的投标保证金将不予退还。在此情况下，采购人可确定下一中标候选人为中标人，也可以重新开展采购活动。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★36.采购代理服务费</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中标人须按照投标须知表36款规定，向采购代理机构支付招标代理服务费。</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37.廉洁自律规定</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37.1 采购代理机构工作人员不得以不正当手段获取政府采购代理业务，不得与采购人、供应商恶意串通操纵政府采购活动。</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37.2 采购代理机构工作人员不得接受采购人或者供应商组织的宴请、旅游、娱乐，不得收受礼品、现金、有价证券等，不得向采购人或者供应商报销应当由个人承担的费用。</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38.人员回避</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供应商认为采购人及其相关人员有法律法规所列与其他供应商有利害关系的，可以向采购人或采购代理机构书面提出回避申请，并说明理由。</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39.质疑与接收</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39.1 供应商认为招标文件、招标过程和中标结果使自己的权益受到损害的，可以根据《中华人民共和国政府采购法》、《中华人民共和国政府采购法实施条例》和《政府采购质疑和投诉办法》的有关规定，依法向采购人或其委托的采购代理机构提出质疑。</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39.2 质疑供应商应按照财政部门制定的《政府采购质疑函范本》格式（</w:t>
      </w:r>
      <w:bookmarkStart w:id="60" w:name="_Hlk77150539"/>
      <w:r>
        <w:rPr>
          <w:rFonts w:hint="eastAsia" w:ascii="宋体" w:hAnsi="宋体" w:eastAsia="宋体" w:cs="宋体"/>
          <w:color w:val="auto"/>
          <w:highlight w:val="none"/>
        </w:rPr>
        <w:t>详见中国政府采购网或</w:t>
      </w:r>
      <w:bookmarkEnd w:id="60"/>
      <w:r>
        <w:rPr>
          <w:rFonts w:hint="eastAsia" w:ascii="宋体" w:hAnsi="宋体" w:eastAsia="宋体" w:cs="宋体"/>
          <w:color w:val="auto"/>
          <w:highlight w:val="none"/>
        </w:rPr>
        <w:t>黑龙江省政府采购网）和《政府采购质疑和投诉办法》的要求，在法定质疑期内以纸质形式提出质疑，针对同一采购程序环节的质疑应一次性提出。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超出法定质疑期的、重复提出的、分次提出的或内容、形式不符合《政府采购质疑和投诉办法》的，质疑供应商将依法承担不利后果。</w:t>
      </w:r>
    </w:p>
    <w:p>
      <w:pPr>
        <w:adjustRightInd w:val="0"/>
        <w:snapToGrid w:val="0"/>
        <w:rPr>
          <w:rFonts w:hint="eastAsia" w:ascii="宋体" w:hAnsi="宋体" w:eastAsia="宋体" w:cs="宋体"/>
          <w:color w:val="auto"/>
          <w:highlight w:val="none"/>
        </w:rPr>
      </w:pPr>
      <w:r>
        <w:rPr>
          <w:rFonts w:hint="eastAsia" w:ascii="宋体" w:hAnsi="宋体" w:eastAsia="宋体" w:cs="宋体"/>
          <w:color w:val="auto"/>
          <w:highlight w:val="none"/>
        </w:rPr>
        <w:t>39.3 采购代理机构质疑函接收部门、联系电话和通讯地址, 见供应商须知表39.3款。</w:t>
      </w:r>
    </w:p>
    <w:p>
      <w:pPr>
        <w:pStyle w:val="6"/>
        <w:jc w:val="left"/>
        <w:rPr>
          <w:rFonts w:hint="eastAsia" w:ascii="宋体" w:hAnsi="宋体" w:eastAsia="宋体" w:cs="宋体"/>
          <w:color w:val="auto"/>
          <w:highlight w:val="none"/>
        </w:rPr>
      </w:pPr>
      <w:r>
        <w:rPr>
          <w:rFonts w:hint="eastAsia" w:ascii="宋体" w:hAnsi="宋体" w:eastAsia="宋体" w:cs="宋体"/>
          <w:color w:val="auto"/>
          <w:highlight w:val="none"/>
        </w:rPr>
        <w:t>40.履约验收</w:t>
      </w:r>
    </w:p>
    <w:p>
      <w:pPr>
        <w:adjustRightInd w:val="0"/>
        <w:snapToGrid w:val="0"/>
        <w:ind w:firstLine="420"/>
        <w:rPr>
          <w:rFonts w:hint="eastAsia" w:ascii="宋体" w:hAnsi="宋体" w:eastAsia="宋体" w:cs="宋体"/>
          <w:b/>
          <w:color w:val="auto"/>
          <w:highlight w:val="none"/>
        </w:rPr>
        <w:sectPr>
          <w:footerReference r:id="rId5" w:type="default"/>
          <w:pgSz w:w="11906" w:h="16838"/>
          <w:pgMar w:top="1440" w:right="1803" w:bottom="1440" w:left="1803" w:header="851" w:footer="992" w:gutter="0"/>
          <w:cols w:space="720" w:num="1"/>
          <w:docGrid w:linePitch="312" w:charSpace="0"/>
        </w:sectPr>
      </w:pPr>
      <w:r>
        <w:rPr>
          <w:rFonts w:hint="eastAsia" w:ascii="宋体" w:hAnsi="宋体" w:eastAsia="宋体" w:cs="宋体"/>
          <w:color w:val="auto"/>
          <w:highlight w:val="none"/>
        </w:rPr>
        <w:t>本项目采购人及其委托的采购代理机构将严格按照政府采购相关法律法规以及</w:t>
      </w:r>
      <w:r>
        <w:rPr>
          <w:rFonts w:hint="eastAsia" w:ascii="宋体" w:hAnsi="宋体" w:eastAsia="宋体" w:cs="宋体"/>
          <w:color w:val="auto"/>
          <w:highlight w:val="none"/>
          <w:u w:val="single"/>
        </w:rPr>
        <w:t>《黑龙江省政府采购履约验收管理办法》</w:t>
      </w:r>
      <w:r>
        <w:rPr>
          <w:rFonts w:hint="eastAsia" w:ascii="宋体" w:hAnsi="宋体" w:eastAsia="宋体" w:cs="宋体"/>
          <w:color w:val="auto"/>
          <w:highlight w:val="none"/>
        </w:rPr>
        <w:t>要求进行验收。</w:t>
      </w:r>
    </w:p>
    <w:p>
      <w:pPr>
        <w:pStyle w:val="5"/>
        <w:rPr>
          <w:rFonts w:hint="eastAsia" w:ascii="宋体" w:hAnsi="宋体" w:eastAsia="宋体" w:cs="宋体"/>
          <w:color w:val="auto"/>
          <w:highlight w:val="none"/>
        </w:rPr>
      </w:pPr>
      <w:bookmarkStart w:id="61" w:name="_Toc17725_WPSOffice_Level1"/>
      <w:bookmarkStart w:id="62" w:name="_Toc29813"/>
      <w:bookmarkStart w:id="63" w:name="_Toc78902192"/>
      <w:r>
        <w:rPr>
          <w:rFonts w:hint="eastAsia" w:ascii="宋体" w:hAnsi="宋体" w:eastAsia="宋体" w:cs="宋体"/>
          <w:color w:val="auto"/>
          <w:highlight w:val="none"/>
        </w:rPr>
        <w:t>第二章 投标文件内容及格式</w:t>
      </w:r>
      <w:bookmarkEnd w:id="61"/>
      <w:bookmarkEnd w:id="62"/>
      <w:bookmarkEnd w:id="63"/>
    </w:p>
    <w:p>
      <w:pPr>
        <w:pStyle w:val="7"/>
        <w:rPr>
          <w:rFonts w:hint="eastAsia" w:ascii="宋体" w:hAnsi="宋体" w:eastAsia="宋体" w:cs="宋体"/>
          <w:color w:val="auto"/>
          <w:highlight w:val="none"/>
        </w:rPr>
      </w:pPr>
      <w:bookmarkStart w:id="64" w:name="sys_投标文件内容及格式：Block"/>
      <w:bookmarkEnd w:id="64"/>
      <w:bookmarkStart w:id="65" w:name="投标文件内容及格式：Block"/>
      <w:bookmarkEnd w:id="65"/>
      <w:bookmarkStart w:id="66" w:name="_Toc2481_WPSOffice_Level2"/>
      <w:bookmarkStart w:id="67" w:name="_Toc1538_WPSOffice_Level2"/>
      <w:r>
        <w:rPr>
          <w:rFonts w:hint="eastAsia" w:ascii="宋体" w:hAnsi="宋体" w:eastAsia="宋体" w:cs="宋体"/>
          <w:color w:val="auto"/>
          <w:highlight w:val="none"/>
        </w:rPr>
        <w:t>一、投标文件、电子文档的外封面、封口、封皮及目录</w:t>
      </w:r>
      <w:bookmarkEnd w:id="66"/>
      <w:bookmarkEnd w:id="67"/>
    </w:p>
    <w:tbl>
      <w:tblPr>
        <w:tblStyle w:val="23"/>
        <w:tblW w:w="928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7553"/>
        <w:gridCol w:w="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0"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5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内容</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投标文件、电子文档的外封面及封口</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投标文件的封皮</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4" w:hRule="atLeast"/>
          <w:jc w:val="center"/>
        </w:trPr>
        <w:tc>
          <w:tcPr>
            <w:tcW w:w="75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53"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投标文件的目录</w:t>
            </w:r>
          </w:p>
        </w:tc>
        <w:tc>
          <w:tcPr>
            <w:tcW w:w="98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r>
    </w:tbl>
    <w:p>
      <w:pPr>
        <w:pStyle w:val="7"/>
        <w:rPr>
          <w:rFonts w:hint="eastAsia" w:ascii="宋体" w:hAnsi="宋体" w:eastAsia="宋体" w:cs="宋体"/>
          <w:b/>
          <w:color w:val="auto"/>
          <w:highlight w:val="none"/>
        </w:rPr>
      </w:pPr>
      <w:bookmarkStart w:id="68" w:name="_Toc1266_WPSOffice_Level2"/>
      <w:bookmarkStart w:id="69" w:name="_Toc31052_WPSOffice_Level2"/>
      <w:r>
        <w:rPr>
          <w:rFonts w:hint="eastAsia" w:ascii="宋体" w:hAnsi="宋体" w:eastAsia="宋体" w:cs="宋体"/>
          <w:color w:val="auto"/>
          <w:highlight w:val="none"/>
        </w:rPr>
        <w:t>二、资格证明材料</w:t>
      </w:r>
      <w:bookmarkEnd w:id="68"/>
      <w:bookmarkEnd w:id="69"/>
      <w:r>
        <w:rPr>
          <w:rFonts w:hint="eastAsia" w:ascii="宋体" w:hAnsi="宋体" w:eastAsia="宋体" w:cs="宋体"/>
          <w:color w:val="auto"/>
          <w:highlight w:val="none"/>
        </w:rPr>
        <w:t>（有一项不符合要求，不能进入下一阶段评审）</w:t>
      </w:r>
    </w:p>
    <w:tbl>
      <w:tblPr>
        <w:tblStyle w:val="23"/>
        <w:tblW w:w="9282" w:type="dxa"/>
        <w:jc w:val="center"/>
        <w:tblInd w:w="0" w:type="dxa"/>
        <w:tblLayout w:type="fixed"/>
        <w:tblCellMar>
          <w:top w:w="0" w:type="dxa"/>
          <w:left w:w="0" w:type="dxa"/>
          <w:bottom w:w="0" w:type="dxa"/>
          <w:right w:w="0" w:type="dxa"/>
        </w:tblCellMar>
      </w:tblPr>
      <w:tblGrid>
        <w:gridCol w:w="737"/>
        <w:gridCol w:w="7711"/>
        <w:gridCol w:w="834"/>
      </w:tblGrid>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bookmarkStart w:id="70" w:name="资格性证明材料：Document"/>
            <w:bookmarkStart w:id="71" w:name="sys_资格性证明材料：Document"/>
            <w:r>
              <w:rPr>
                <w:rFonts w:hint="eastAsia" w:ascii="宋体" w:hAnsi="宋体" w:eastAsia="宋体" w:cs="宋体"/>
                <w:color w:val="auto"/>
                <w:highlight w:val="none"/>
              </w:rPr>
              <w:t>序号</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资格证明材料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Layout w:type="fixed"/>
          <w:tblCellMar>
            <w:top w:w="0" w:type="dxa"/>
            <w:left w:w="0" w:type="dxa"/>
            <w:bottom w:w="0" w:type="dxa"/>
            <w:right w:w="0" w:type="dxa"/>
          </w:tblCellMar>
        </w:tblPrEx>
        <w:trPr>
          <w:trHeight w:val="113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1若为企业法人：提供“统一社会信用代码营业执照”；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2若为事业法人：提供“事业单位法人证书”；</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3若为其他组织：提供“对应主管部门颁发的准许执业证明文件或营业执照”；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4若为个体工商户：提交“统一社会信用代码的营业执照”；</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5若为自然人：提供“身份证明材料”。以上均提供复印件联合体各方均需提供上述证明（如适用）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法定代表人（单位负责人）身份证的复印件及授权代表身份证的复印件。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供应商为法人单位时提供“法定代表人授权书”，供应商为其他组织时提供“单位负责人授权书”，供应商为自然人时提供“自然人身份证明材料”</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具有良好的商业信誉和健全的财务会计制度的证明文件：提供202</w:t>
            </w:r>
            <w:r>
              <w:rPr>
                <w:rFonts w:hint="eastAsia" w:ascii="宋体" w:hAnsi="宋体" w:eastAsia="宋体" w:cs="宋体"/>
                <w:color w:val="auto"/>
                <w:highlight w:val="none"/>
                <w:lang w:val="en-US" w:eastAsia="zh-CN"/>
              </w:rPr>
              <w:t>2</w:t>
            </w:r>
            <w:r>
              <w:rPr>
                <w:rFonts w:hint="eastAsia" w:ascii="宋体" w:hAnsi="宋体" w:eastAsia="宋体" w:cs="宋体"/>
                <w:color w:val="auto"/>
                <w:highlight w:val="none"/>
              </w:rPr>
              <w:t>年经审计的财务审计报告复印件或者本项目递交投标文件截止时间前30日内供应商基本开户银行出具的资信证明复印件；</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评标当日之前一年内任一个月的依法缴纳税收的缴款凭据复印件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（注：依法免税的供应商，应提供相关证明材料，包括相关法规要求原文及加盖公章的情况说明）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评标当日之前一年内任一个月的依法缴纳社会保障资金的缴款凭据复印件</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（注：依法不需要缴纳社会保障资金的供应商，应提供相关证明材料，包括相关法规要求原文及加盖公章的情况说明）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r>
      <w:tr>
        <w:tblPrEx>
          <w:tblLayout w:type="fixed"/>
          <w:tblCellMar>
            <w:top w:w="0" w:type="dxa"/>
            <w:left w:w="0" w:type="dxa"/>
            <w:bottom w:w="0" w:type="dxa"/>
            <w:right w:w="0" w:type="dxa"/>
          </w:tblCellMar>
        </w:tblPrEx>
        <w:trPr>
          <w:trHeight w:val="574"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联合体协议书（如适用）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r>
      <w:tr>
        <w:tblPrEx>
          <w:tblLayout w:type="fixed"/>
          <w:tblCellMar>
            <w:top w:w="0" w:type="dxa"/>
            <w:left w:w="0" w:type="dxa"/>
            <w:bottom w:w="0" w:type="dxa"/>
            <w:right w:w="0" w:type="dxa"/>
          </w:tblCellMar>
        </w:tblPrEx>
        <w:trPr>
          <w:trHeight w:val="90"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其它资格证明文件（按供应商须知表1.3.4要求描述）</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中小企业声明函格式详见格式15</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r>
        <w:tblPrEx>
          <w:tblLayout w:type="fixed"/>
          <w:tblCellMar>
            <w:top w:w="0" w:type="dxa"/>
            <w:left w:w="0" w:type="dxa"/>
            <w:bottom w:w="0" w:type="dxa"/>
            <w:right w:w="0" w:type="dxa"/>
          </w:tblCellMar>
        </w:tblPrEx>
        <w:trPr>
          <w:trHeight w:val="699" w:hRule="atLeast"/>
          <w:jc w:val="center"/>
        </w:trPr>
        <w:tc>
          <w:tcPr>
            <w:tcW w:w="737"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7711"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联合体的其它资格证明文件（如适用，按供应商须知表1.4.8要求描述）</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联合体各方均需提供上述证明（如适用）</w:t>
            </w:r>
          </w:p>
        </w:tc>
        <w:tc>
          <w:tcPr>
            <w:tcW w:w="834" w:type="dxa"/>
            <w:tcBorders>
              <w:top w:val="single" w:color="000000" w:sz="4" w:space="0"/>
              <w:left w:val="single" w:color="000000" w:sz="4" w:space="0"/>
              <w:bottom w:val="single" w:color="000000" w:sz="4" w:space="0"/>
              <w:right w:val="single" w:color="000000" w:sz="4" w:space="0"/>
            </w:tcBorders>
            <w:tcMar>
              <w:left w:w="108" w:type="dxa"/>
              <w:right w:w="108" w:type="dxa"/>
            </w:tcMar>
            <w:vAlign w:val="center"/>
          </w:tcPr>
          <w:p>
            <w:pPr>
              <w:spacing w:line="300" w:lineRule="exact"/>
              <w:jc w:val="center"/>
              <w:rPr>
                <w:rFonts w:hint="eastAsia" w:ascii="宋体" w:hAnsi="宋体" w:eastAsia="宋体" w:cs="宋体"/>
                <w:color w:val="auto"/>
                <w:highlight w:val="none"/>
              </w:rPr>
            </w:pPr>
          </w:p>
        </w:tc>
      </w:tr>
    </w:tbl>
    <w:p>
      <w:pPr>
        <w:pStyle w:val="7"/>
        <w:rPr>
          <w:rFonts w:hint="eastAsia" w:ascii="宋体" w:hAnsi="宋体" w:eastAsia="宋体" w:cs="宋体"/>
          <w:b/>
          <w:color w:val="auto"/>
          <w:highlight w:val="none"/>
        </w:rPr>
      </w:pPr>
      <w:bookmarkStart w:id="72" w:name="_Toc25206_WPSOffice_Level2"/>
      <w:bookmarkStart w:id="73" w:name="_Toc22359_WPSOffice_Level2"/>
      <w:r>
        <w:rPr>
          <w:rFonts w:hint="eastAsia" w:ascii="宋体" w:hAnsi="宋体" w:eastAsia="宋体" w:cs="宋体"/>
          <w:color w:val="auto"/>
          <w:highlight w:val="none"/>
        </w:rPr>
        <w:t>三、符合性证明材料</w:t>
      </w:r>
      <w:bookmarkEnd w:id="72"/>
      <w:bookmarkEnd w:id="73"/>
      <w:r>
        <w:rPr>
          <w:rFonts w:hint="eastAsia" w:ascii="宋体" w:hAnsi="宋体" w:eastAsia="宋体" w:cs="宋体"/>
          <w:color w:val="auto"/>
          <w:highlight w:val="none"/>
        </w:rPr>
        <w:t>（有一项不符合要求，不能进入下一阶段评审）</w:t>
      </w:r>
    </w:p>
    <w:bookmarkEnd w:id="70"/>
    <w:bookmarkEnd w:id="71"/>
    <w:tbl>
      <w:tblPr>
        <w:tblStyle w:val="23"/>
        <w:tblW w:w="92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6864"/>
        <w:gridCol w:w="11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5"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686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符合性证明材料</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递交投标保证金证明材料复印件（以保函形式递交的保证金，正本应放入保函原件）</w:t>
            </w:r>
          </w:p>
        </w:tc>
        <w:tc>
          <w:tcPr>
            <w:tcW w:w="1100"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9" w:hRule="atLeast"/>
          <w:jc w:val="center"/>
        </w:trPr>
        <w:tc>
          <w:tcPr>
            <w:tcW w:w="1276" w:type="dxa"/>
            <w:vAlign w:val="center"/>
          </w:tcPr>
          <w:p>
            <w:pPr>
              <w:spacing w:line="300" w:lineRule="exact"/>
              <w:jc w:val="center"/>
              <w:rPr>
                <w:rFonts w:hint="eastAsia" w:ascii="宋体" w:hAnsi="宋体" w:eastAsia="宋体" w:cs="宋体"/>
                <w:color w:val="auto"/>
                <w:highlight w:val="none"/>
              </w:rPr>
            </w:pPr>
            <w:bookmarkStart w:id="74" w:name="_Toc24432_WPSOffice_Level2"/>
            <w:bookmarkStart w:id="75" w:name="_Toc27769_WPSOffice_Level2"/>
            <w:r>
              <w:rPr>
                <w:rFonts w:hint="eastAsia" w:ascii="宋体" w:hAnsi="宋体" w:eastAsia="宋体" w:cs="宋体"/>
                <w:color w:val="auto"/>
                <w:highlight w:val="none"/>
              </w:rPr>
              <w:t>7</w:t>
            </w:r>
          </w:p>
        </w:tc>
        <w:tc>
          <w:tcPr>
            <w:tcW w:w="68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11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14</w:t>
            </w:r>
          </w:p>
        </w:tc>
      </w:tr>
    </w:tbl>
    <w:p>
      <w:pPr>
        <w:pStyle w:val="7"/>
        <w:rPr>
          <w:rFonts w:hint="eastAsia" w:ascii="宋体" w:hAnsi="宋体" w:eastAsia="宋体" w:cs="宋体"/>
          <w:color w:val="auto"/>
          <w:highlight w:val="none"/>
        </w:rPr>
      </w:pPr>
      <w:r>
        <w:rPr>
          <w:rFonts w:hint="eastAsia" w:ascii="宋体" w:hAnsi="宋体" w:eastAsia="宋体" w:cs="宋体"/>
          <w:color w:val="auto"/>
          <w:highlight w:val="none"/>
        </w:rPr>
        <w:t>四、其他材料</w:t>
      </w:r>
      <w:bookmarkEnd w:id="74"/>
      <w:bookmarkEnd w:id="75"/>
    </w:p>
    <w:tbl>
      <w:tblPr>
        <w:tblStyle w:val="23"/>
        <w:tblW w:w="928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0"/>
        <w:gridCol w:w="7587"/>
        <w:gridCol w:w="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758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其他材料</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《中小企业声明函》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7587" w:type="dxa"/>
            <w:vAlign w:val="center"/>
          </w:tcPr>
          <w:p>
            <w:pPr>
              <w:spacing w:line="300" w:lineRule="exact"/>
              <w:rPr>
                <w:rFonts w:hint="eastAsia" w:ascii="宋体" w:hAnsi="宋体" w:eastAsia="宋体" w:cs="宋体"/>
                <w:color w:val="auto"/>
                <w:highlight w:val="none"/>
                <w:lang w:eastAsia="zh-CN"/>
              </w:rPr>
            </w:pPr>
            <w:r>
              <w:rPr>
                <w:rFonts w:hint="eastAsia" w:ascii="宋体" w:hAnsi="宋体" w:eastAsia="宋体" w:cs="宋体"/>
                <w:color w:val="auto"/>
                <w:highlight w:val="none"/>
              </w:rPr>
              <w:t>残疾人福利性单位声明函</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监狱企业证明文件</w:t>
            </w:r>
          </w:p>
        </w:tc>
        <w:tc>
          <w:tcPr>
            <w:tcW w:w="99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kern w:val="0"/>
                <w:highlight w:val="none"/>
              </w:rPr>
              <w:t>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1" w:hRule="atLeast"/>
          <w:jc w:val="center"/>
        </w:trPr>
        <w:tc>
          <w:tcPr>
            <w:tcW w:w="700" w:type="dxa"/>
            <w:vAlign w:val="center"/>
          </w:tcPr>
          <w:p>
            <w:pPr>
              <w:spacing w:line="300" w:lineRule="exact"/>
              <w:jc w:val="center"/>
              <w:rPr>
                <w:rFonts w:hint="eastAsia" w:ascii="宋体" w:hAnsi="宋体" w:eastAsia="宋体" w:cs="宋体"/>
                <w:color w:val="auto"/>
                <w:highlight w:val="none"/>
              </w:rPr>
            </w:pPr>
          </w:p>
        </w:tc>
        <w:tc>
          <w:tcPr>
            <w:tcW w:w="758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99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b/>
          <w:color w:val="auto"/>
          <w:highlight w:val="none"/>
        </w:rPr>
      </w:pPr>
      <w:bookmarkStart w:id="76" w:name="_Toc24011_WPSOffice_Level2"/>
      <w:bookmarkStart w:id="77" w:name="_Toc23127_WPSOffice_Level2"/>
      <w:r>
        <w:rPr>
          <w:rFonts w:hint="eastAsia" w:ascii="宋体" w:hAnsi="宋体" w:eastAsia="宋体" w:cs="宋体"/>
          <w:b/>
          <w:color w:val="auto"/>
          <w:highlight w:val="none"/>
        </w:rPr>
        <w:t>重要提示：</w:t>
      </w:r>
      <w:bookmarkEnd w:id="76"/>
      <w:bookmarkEnd w:id="77"/>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1、供应商提供的证明材料，除需要供应商填报或有特殊说明外，均须按要求提供。</w:t>
      </w:r>
      <w:r>
        <w:rPr>
          <w:rFonts w:hint="eastAsia" w:ascii="宋体" w:hAnsi="宋体" w:eastAsia="宋体" w:cs="宋体"/>
          <w:b/>
          <w:bCs/>
          <w:color w:val="auto"/>
          <w:highlight w:val="none"/>
        </w:rPr>
        <w:t xml:space="preserve"> </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2、供应商在编制投标文件时，对于给定格式的文件内容，必须按照给定的标准格式进行填报；对于没有给定标准格式的文件内容，可以由供应商自行设计。供应商在装订投标文件时,应严格按照本表中“投标文件装订顺序”进行装订。</w:t>
      </w:r>
    </w:p>
    <w:p>
      <w:pPr>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3、投标文件应用中文书写。投标文件中所附或所引用的材料不是中文时，应附中文译本，并加盖公章。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w:t>
      </w:r>
      <w:r>
        <w:rPr>
          <w:rFonts w:hint="eastAsia" w:ascii="宋体" w:hAnsi="宋体" w:eastAsia="宋体" w:cs="宋体"/>
          <w:b/>
          <w:bCs/>
          <w:color w:val="auto"/>
          <w:highlight w:val="none"/>
        </w:rPr>
        <w:t>“资格性证明材料”</w:t>
      </w:r>
      <w:r>
        <w:rPr>
          <w:rFonts w:hint="eastAsia" w:ascii="宋体" w:hAnsi="宋体" w:eastAsia="宋体" w:cs="宋体"/>
          <w:color w:val="auto"/>
          <w:highlight w:val="none"/>
        </w:rPr>
        <w:t>所列内容即为采购项目的资格审查条件，有一项不符合要求，不能进入下一阶段评审。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w:t>
      </w:r>
      <w:r>
        <w:rPr>
          <w:rFonts w:hint="eastAsia" w:ascii="宋体" w:hAnsi="宋体" w:eastAsia="宋体" w:cs="宋体"/>
          <w:b/>
          <w:bCs/>
          <w:color w:val="auto"/>
          <w:highlight w:val="none"/>
        </w:rPr>
        <w:t>“符合性证明材料”</w:t>
      </w:r>
      <w:r>
        <w:rPr>
          <w:rFonts w:hint="eastAsia" w:ascii="宋体" w:hAnsi="宋体" w:eastAsia="宋体" w:cs="宋体"/>
          <w:color w:val="auto"/>
          <w:highlight w:val="none"/>
        </w:rPr>
        <w:t>所列内容即为采购项目的符合性审查条件，有一项不符合要求，不能进入下一阶段评审。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6、“其他材料”</w:t>
      </w:r>
    </w:p>
    <w:p>
      <w:pPr>
        <w:ind w:firstLine="420" w:firstLineChars="200"/>
        <w:rPr>
          <w:rFonts w:hint="eastAsia" w:ascii="宋体" w:hAnsi="宋体" w:eastAsia="宋体" w:cs="宋体"/>
          <w:color w:val="auto"/>
          <w:kern w:val="0"/>
          <w:highlight w:val="none"/>
        </w:rPr>
      </w:pPr>
      <w:r>
        <w:rPr>
          <w:rFonts w:hint="eastAsia" w:ascii="宋体" w:hAnsi="宋体" w:eastAsia="宋体" w:cs="宋体"/>
          <w:color w:val="auto"/>
          <w:highlight w:val="none"/>
        </w:rPr>
        <w:t>（1）</w:t>
      </w:r>
      <w:r>
        <w:rPr>
          <w:rFonts w:hint="eastAsia" w:ascii="宋体" w:hAnsi="宋体" w:eastAsia="宋体" w:cs="宋体"/>
          <w:color w:val="auto"/>
          <w:kern w:val="0"/>
          <w:highlight w:val="none"/>
        </w:rPr>
        <w:t>综合评分法：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招标文件要求以及评分细则中各项要求提供相应材料。</w:t>
      </w:r>
    </w:p>
    <w:p>
      <w:pPr>
        <w:ind w:firstLine="420" w:firstLineChars="200"/>
        <w:rPr>
          <w:rFonts w:hint="eastAsia" w:ascii="宋体" w:hAnsi="宋体" w:eastAsia="宋体" w:cs="宋体"/>
          <w:color w:val="auto"/>
          <w:kern w:val="0"/>
          <w:sz w:val="24"/>
          <w:highlight w:val="none"/>
        </w:rPr>
      </w:pPr>
      <w:r>
        <w:rPr>
          <w:rFonts w:hint="eastAsia" w:ascii="宋体" w:hAnsi="宋体" w:eastAsia="宋体" w:cs="宋体"/>
          <w:color w:val="auto"/>
          <w:highlight w:val="none"/>
        </w:rPr>
        <w:t>（2）</w:t>
      </w:r>
      <w:r>
        <w:rPr>
          <w:rFonts w:hint="eastAsia" w:ascii="宋体" w:hAnsi="宋体" w:eastAsia="宋体" w:cs="宋体"/>
          <w:color w:val="auto"/>
          <w:kern w:val="0"/>
          <w:highlight w:val="none"/>
        </w:rPr>
        <w:t>最低评标价法：</w:t>
      </w:r>
      <w:r>
        <w:rPr>
          <w:rFonts w:hint="eastAsia" w:ascii="宋体" w:hAnsi="宋体" w:eastAsia="宋体" w:cs="宋体"/>
          <w:color w:val="auto"/>
          <w:highlight w:val="none"/>
        </w:rPr>
        <w:t>供应商可就</w:t>
      </w:r>
      <w:r>
        <w:rPr>
          <w:rFonts w:hint="eastAsia" w:ascii="宋体" w:hAnsi="宋体" w:eastAsia="宋体" w:cs="宋体"/>
          <w:color w:val="auto"/>
          <w:kern w:val="0"/>
          <w:highlight w:val="none"/>
        </w:rPr>
        <w:t>招标文件要求提供相应材料。</w:t>
      </w:r>
    </w:p>
    <w:p>
      <w:pPr>
        <w:rPr>
          <w:rStyle w:val="36"/>
          <w:rFonts w:hint="eastAsia" w:ascii="宋体" w:hAnsi="宋体" w:eastAsia="宋体" w:cs="宋体"/>
          <w:color w:val="auto"/>
          <w:highlight w:val="none"/>
        </w:rPr>
      </w:pPr>
      <w:r>
        <w:rPr>
          <w:rFonts w:hint="eastAsia" w:ascii="宋体" w:hAnsi="宋体" w:eastAsia="宋体" w:cs="宋体"/>
          <w:color w:val="auto"/>
          <w:highlight w:val="none"/>
        </w:rPr>
        <w:br w:type="page"/>
      </w:r>
      <w:r>
        <w:rPr>
          <w:rStyle w:val="36"/>
          <w:rFonts w:hint="eastAsia" w:ascii="宋体" w:hAnsi="宋体" w:eastAsia="宋体" w:cs="宋体"/>
          <w:bCs/>
          <w:color w:val="auto"/>
          <w:highlight w:val="none"/>
        </w:rPr>
        <w:t>格式1</w:t>
      </w:r>
    </w:p>
    <w:p>
      <w:pPr>
        <w:pStyle w:val="6"/>
        <w:spacing w:before="0" w:after="0"/>
        <w:rPr>
          <w:rFonts w:hint="eastAsia" w:ascii="宋体" w:hAnsi="宋体" w:eastAsia="宋体" w:cs="宋体"/>
          <w:b/>
          <w:bCs/>
          <w:color w:val="auto"/>
          <w:highlight w:val="none"/>
        </w:rPr>
      </w:pPr>
      <w:bookmarkStart w:id="78" w:name="_Toc26322_WPSOffice_Level2"/>
      <w:bookmarkStart w:id="79" w:name="_Toc21090_WPSOffice_Level2"/>
      <w:r>
        <w:rPr>
          <w:rFonts w:hint="eastAsia" w:ascii="宋体" w:hAnsi="宋体" w:eastAsia="宋体" w:cs="宋体"/>
          <w:color w:val="auto"/>
          <w:highlight w:val="none"/>
        </w:rPr>
        <w:t>投标文件、电子文档外封面、封口格式</w:t>
      </w:r>
      <w:bookmarkEnd w:id="78"/>
      <w:bookmarkEnd w:id="79"/>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封面格式：</w:t>
      </w:r>
    </w:p>
    <w:tbl>
      <w:tblPr>
        <w:tblStyle w:val="23"/>
        <w:tblW w:w="596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96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8090" w:hRule="atLeast"/>
          <w:jc w:val="center"/>
        </w:trPr>
        <w:tc>
          <w:tcPr>
            <w:tcW w:w="5960" w:type="dxa"/>
            <w:tcBorders>
              <w:top w:val="single" w:color="auto" w:sz="12" w:space="0"/>
              <w:left w:val="single" w:color="auto" w:sz="12" w:space="0"/>
              <w:bottom w:val="single" w:color="auto" w:sz="12" w:space="0"/>
              <w:right w:val="single" w:color="auto" w:sz="12" w:space="0"/>
            </w:tcBorders>
          </w:tcPr>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r>
              <w:rPr>
                <w:rFonts w:hint="eastAsia" w:ascii="宋体" w:hAnsi="宋体" w:eastAsia="宋体" w:cs="宋体"/>
                <w:color w:val="auto"/>
                <w:highlight w:val="none"/>
              </w:rPr>
              <w:t>投标文件/电子文档</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所响应包号：第  包</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项目名称：</w:t>
            </w:r>
          </w:p>
          <w:p>
            <w:pPr>
              <w:jc w:val="left"/>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项目编号：</w:t>
            </w:r>
          </w:p>
          <w:p>
            <w:pPr>
              <w:jc w:val="center"/>
              <w:rPr>
                <w:rFonts w:hint="eastAsia" w:ascii="宋体" w:hAnsi="宋体" w:eastAsia="宋体" w:cs="宋体"/>
                <w:color w:val="auto"/>
                <w:highlight w:val="none"/>
              </w:rPr>
            </w:pPr>
          </w:p>
          <w:p>
            <w:pPr>
              <w:jc w:val="center"/>
              <w:rPr>
                <w:rFonts w:hint="eastAsia" w:ascii="宋体" w:hAnsi="宋体" w:eastAsia="宋体" w:cs="宋体"/>
                <w:color w:val="auto"/>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供应商名称（公章）</w:t>
            </w: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tc>
      </w:tr>
    </w:tbl>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sz w:val="24"/>
          <w:szCs w:val="32"/>
          <w:highlight w:val="none"/>
        </w:rPr>
        <w:t>封口格式：</w:t>
      </w:r>
    </w:p>
    <w:tbl>
      <w:tblPr>
        <w:tblStyle w:val="23"/>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——于  年  月  日  时之前不准启封（公章）——</w:t>
            </w:r>
          </w:p>
        </w:tc>
      </w:tr>
    </w:tbl>
    <w:p>
      <w:pPr>
        <w:rPr>
          <w:rFonts w:hint="eastAsia" w:ascii="宋体" w:hAnsi="宋体" w:eastAsia="宋体" w:cs="宋体"/>
          <w:color w:val="auto"/>
          <w:highlight w:val="none"/>
        </w:rPr>
      </w:pPr>
    </w:p>
    <w:p>
      <w:pPr>
        <w:rPr>
          <w:rStyle w:val="36"/>
          <w:rFonts w:hint="eastAsia" w:ascii="宋体" w:hAnsi="宋体" w:eastAsia="宋体" w:cs="宋体"/>
          <w:color w:val="auto"/>
          <w:highlight w:val="none"/>
        </w:rPr>
      </w:pPr>
      <w:r>
        <w:rPr>
          <w:rFonts w:hint="eastAsia" w:ascii="宋体" w:hAnsi="宋体" w:eastAsia="宋体" w:cs="宋体"/>
          <w:b/>
          <w:color w:val="auto"/>
          <w:sz w:val="28"/>
          <w:szCs w:val="28"/>
          <w:highlight w:val="none"/>
        </w:rPr>
        <w:br w:type="page"/>
      </w:r>
      <w:r>
        <w:rPr>
          <w:rStyle w:val="36"/>
          <w:rFonts w:hint="eastAsia" w:ascii="宋体" w:hAnsi="宋体" w:eastAsia="宋体" w:cs="宋体"/>
          <w:color w:val="auto"/>
          <w:highlight w:val="none"/>
        </w:rPr>
        <w:t>格式2</w:t>
      </w:r>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3878580</wp:posOffset>
                </wp:positionH>
                <wp:positionV relativeFrom="paragraph">
                  <wp:posOffset>361315</wp:posOffset>
                </wp:positionV>
                <wp:extent cx="1253490" cy="563245"/>
                <wp:effectExtent l="5080" t="4445" r="17780" b="22860"/>
                <wp:wrapNone/>
                <wp:docPr id="3" name="矩形 3"/>
                <wp:cNvGraphicFramePr/>
                <a:graphic xmlns:a="http://schemas.openxmlformats.org/drawingml/2006/main">
                  <a:graphicData uri="http://schemas.microsoft.com/office/word/2010/wordprocessingShape">
                    <wps:wsp>
                      <wps:cNvSpPr/>
                      <wps:spPr>
                        <a:xfrm>
                          <a:off x="0" y="0"/>
                          <a:ext cx="1253490" cy="563245"/>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wps:txbx>
                      <wps:bodyPr upright="1"/>
                    </wps:wsp>
                  </a:graphicData>
                </a:graphic>
              </wp:anchor>
            </w:drawing>
          </mc:Choice>
          <mc:Fallback>
            <w:pict>
              <v:rect id="_x0000_s1026" o:spid="_x0000_s1026" o:spt="1" style="position:absolute;left:0pt;margin-left:305.4pt;margin-top:28.45pt;height:44.35pt;width:98.7pt;z-index:251659264;mso-width-relative:page;mso-height-relative:page;" fillcolor="#FFFFFF" filled="t" stroked="t" coordsize="21600,21600" o:gfxdata="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J&#10;nZ152AAAAAoBAAAPAAAAAAAAAAEAIAAAACIAAABkcnMvZG93bnJldi54bWxQSwECFAAUAAAACACH&#10;TuJAPLe0fOsBAADpAwAADgAAAAAAAAABACAAAAAnAQAAZHJzL2Uyb0RvYy54bWxQSwUGAAAAAAYA&#10;BgBZAQAAhAUAAAAA&#10;">
                <v:fill on="t" focussize="0,0"/>
                <v:stroke color="#000000" joinstyle="miter"/>
                <v:imagedata o:title=""/>
                <o:lock v:ext="edit" aspectratio="f"/>
                <v:textbox>
                  <w:txbxContent>
                    <w:p>
                      <w:pPr>
                        <w:rPr>
                          <w:rFonts w:ascii="仿宋_GB2312" w:eastAsia="仿宋_GB2312" w:cs="仿宋_GB2312"/>
                          <w:sz w:val="32"/>
                          <w:szCs w:val="32"/>
                        </w:rPr>
                      </w:pPr>
                      <w:r>
                        <w:rPr>
                          <w:rFonts w:hint="eastAsia" w:ascii="仿宋_GB2312" w:eastAsia="仿宋_GB2312" w:cs="仿宋_GB2312"/>
                          <w:sz w:val="32"/>
                          <w:szCs w:val="32"/>
                        </w:rPr>
                        <w:t>正本/副本</w:t>
                      </w:r>
                    </w:p>
                  </w:txbxContent>
                </v:textbox>
              </v:rect>
            </w:pict>
          </mc:Fallback>
        </mc:AlternateContent>
      </w:r>
      <w:r>
        <w:rPr>
          <w:rFonts w:hint="eastAsia" w:ascii="宋体" w:hAnsi="宋体" w:eastAsia="宋体" w:cs="宋体"/>
          <w:color w:val="auto"/>
          <w:highlight w:val="none"/>
        </w:rPr>
        <w:t>投标文件的封皮</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jc w:val="center"/>
        <w:rPr>
          <w:rFonts w:hint="eastAsia" w:ascii="宋体" w:hAnsi="宋体" w:eastAsia="宋体" w:cs="宋体"/>
          <w:color w:val="auto"/>
          <w:sz w:val="100"/>
          <w:szCs w:val="100"/>
          <w:highlight w:val="none"/>
        </w:rPr>
      </w:pPr>
      <w:r>
        <w:rPr>
          <w:rFonts w:hint="eastAsia" w:ascii="宋体" w:hAnsi="宋体" w:eastAsia="宋体" w:cs="宋体"/>
          <w:color w:val="auto"/>
          <w:sz w:val="100"/>
          <w:szCs w:val="100"/>
          <w:highlight w:val="none"/>
        </w:rPr>
        <w:t>投  标  文  件</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2"/>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2"/>
        <w:ind w:firstLine="56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 xml:space="preserve"> </w:t>
      </w:r>
    </w:p>
    <w:p>
      <w:pPr>
        <w:pStyle w:val="32"/>
        <w:ind w:firstLine="560"/>
        <w:rPr>
          <w:rFonts w:hint="eastAsia" w:ascii="宋体" w:hAnsi="宋体" w:eastAsia="宋体" w:cs="宋体"/>
          <w:color w:val="auto"/>
          <w:sz w:val="28"/>
          <w:szCs w:val="28"/>
          <w:highlight w:val="none"/>
        </w:rPr>
      </w:pPr>
    </w:p>
    <w:p>
      <w:pPr>
        <w:ind w:firstLine="560" w:firstLineChars="200"/>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所响应包号：第</w:t>
      </w:r>
      <w:r>
        <w:rPr>
          <w:rFonts w:hint="eastAsia" w:ascii="宋体" w:hAnsi="宋体" w:eastAsia="宋体" w:cs="宋体"/>
          <w:color w:val="auto"/>
          <w:sz w:val="28"/>
          <w:szCs w:val="28"/>
          <w:highlight w:val="none"/>
          <w:u w:val="single"/>
        </w:rPr>
        <w:t xml:space="preserve">                     </w:t>
      </w:r>
      <w:r>
        <w:rPr>
          <w:rFonts w:hint="eastAsia" w:ascii="宋体" w:hAnsi="宋体" w:eastAsia="宋体" w:cs="宋体"/>
          <w:color w:val="auto"/>
          <w:sz w:val="28"/>
          <w:szCs w:val="28"/>
          <w:highlight w:val="none"/>
        </w:rPr>
        <w:t>包</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项目名称：</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项目编号：</w:t>
      </w:r>
      <w:r>
        <w:rPr>
          <w:rFonts w:hint="eastAsia" w:ascii="宋体" w:hAnsi="宋体" w:eastAsia="宋体" w:cs="宋体"/>
          <w:color w:val="auto"/>
          <w:sz w:val="28"/>
          <w:szCs w:val="28"/>
          <w:highlight w:val="none"/>
          <w:u w:val="single"/>
        </w:rPr>
        <w:t xml:space="preserve">                                             </w:t>
      </w:r>
    </w:p>
    <w:p>
      <w:pPr>
        <w:ind w:firstLine="560" w:firstLineChars="200"/>
        <w:rPr>
          <w:rFonts w:hint="eastAsia" w:ascii="宋体" w:hAnsi="宋体" w:eastAsia="宋体" w:cs="宋体"/>
          <w:color w:val="auto"/>
          <w:sz w:val="28"/>
          <w:szCs w:val="28"/>
          <w:highlight w:val="none"/>
          <w:u w:val="single"/>
        </w:rPr>
      </w:pPr>
      <w:r>
        <w:rPr>
          <w:rFonts w:hint="eastAsia" w:ascii="宋体" w:hAnsi="宋体" w:eastAsia="宋体" w:cs="宋体"/>
          <w:color w:val="auto"/>
          <w:sz w:val="28"/>
          <w:szCs w:val="28"/>
          <w:highlight w:val="none"/>
        </w:rPr>
        <w:t>供应商名称：</w:t>
      </w:r>
      <w:r>
        <w:rPr>
          <w:rFonts w:hint="eastAsia" w:ascii="宋体" w:hAnsi="宋体" w:eastAsia="宋体" w:cs="宋体"/>
          <w:color w:val="auto"/>
          <w:sz w:val="28"/>
          <w:szCs w:val="28"/>
          <w:highlight w:val="none"/>
          <w:u w:val="single"/>
        </w:rPr>
        <w:t xml:space="preserve">                                           </w:t>
      </w:r>
    </w:p>
    <w:p>
      <w:pPr>
        <w:rPr>
          <w:rStyle w:val="36"/>
          <w:rFonts w:hint="eastAsia" w:ascii="宋体" w:hAnsi="宋体" w:eastAsia="宋体" w:cs="宋体"/>
          <w:color w:val="auto"/>
          <w:highlight w:val="none"/>
        </w:rPr>
      </w:pPr>
      <w:r>
        <w:rPr>
          <w:rFonts w:hint="eastAsia" w:ascii="宋体" w:hAnsi="宋体" w:eastAsia="宋体" w:cs="宋体"/>
          <w:color w:val="auto"/>
          <w:sz w:val="28"/>
          <w:szCs w:val="28"/>
          <w:highlight w:val="none"/>
        </w:rPr>
        <w:br w:type="page"/>
      </w:r>
      <w:r>
        <w:rPr>
          <w:rStyle w:val="36"/>
          <w:rFonts w:hint="eastAsia" w:ascii="宋体" w:hAnsi="宋体" w:eastAsia="宋体" w:cs="宋体"/>
          <w:color w:val="auto"/>
          <w:highlight w:val="none"/>
        </w:rPr>
        <w:t>格式3</w:t>
      </w:r>
    </w:p>
    <w:p>
      <w:pPr>
        <w:jc w:val="center"/>
        <w:rPr>
          <w:rFonts w:hint="eastAsia" w:ascii="宋体" w:hAnsi="宋体" w:eastAsia="宋体" w:cs="宋体"/>
          <w:color w:val="auto"/>
          <w:sz w:val="32"/>
          <w:szCs w:val="32"/>
          <w:highlight w:val="none"/>
        </w:rPr>
      </w:pPr>
      <w:bookmarkStart w:id="80" w:name="_Toc21414_WPSOffice_Level2"/>
      <w:bookmarkStart w:id="81" w:name="_Toc2304_WPSOffice_Level2"/>
      <w:r>
        <w:rPr>
          <w:rFonts w:hint="eastAsia" w:ascii="宋体" w:hAnsi="宋体" w:eastAsia="宋体" w:cs="宋体"/>
          <w:color w:val="auto"/>
          <w:sz w:val="32"/>
          <w:szCs w:val="32"/>
          <w:highlight w:val="none"/>
        </w:rPr>
        <w:t>目  录</w:t>
      </w:r>
      <w:bookmarkEnd w:id="80"/>
      <w:bookmarkEnd w:id="81"/>
    </w:p>
    <w:p>
      <w:pPr>
        <w:rPr>
          <w:rFonts w:hint="eastAsia" w:ascii="宋体" w:hAnsi="宋体" w:eastAsia="宋体" w:cs="宋体"/>
          <w:color w:val="auto"/>
          <w:highlight w:val="none"/>
        </w:rPr>
      </w:pPr>
      <w:r>
        <w:rPr>
          <w:rFonts w:hint="eastAsia" w:ascii="宋体" w:hAnsi="宋体" w:eastAsia="宋体" w:cs="宋体"/>
          <w:color w:val="auto"/>
          <w:highlight w:val="none"/>
        </w:rPr>
        <w:t>一、资格证明材料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二、符合性证明材料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highlight w:val="none"/>
        </w:rPr>
      </w:pPr>
      <w:r>
        <w:rPr>
          <w:rFonts w:hint="eastAsia" w:ascii="宋体" w:hAnsi="宋体" w:eastAsia="宋体" w:cs="宋体"/>
          <w:color w:val="auto"/>
          <w:highlight w:val="none"/>
        </w:rPr>
        <w:t>三、其它材料</w:t>
      </w:r>
    </w:p>
    <w:p>
      <w:pPr>
        <w:rPr>
          <w:rFonts w:hint="eastAsia" w:ascii="宋体" w:hAnsi="宋体" w:eastAsia="宋体" w:cs="宋体"/>
          <w:color w:val="auto"/>
          <w:highlight w:val="none"/>
        </w:rPr>
      </w:pPr>
      <w:r>
        <w:rPr>
          <w:rFonts w:hint="eastAsia" w:ascii="宋体" w:hAnsi="宋体" w:eastAsia="宋体" w:cs="宋体"/>
          <w:color w:val="auto"/>
          <w:highlight w:val="none"/>
        </w:rPr>
        <w:t>……</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我单位的投标文件由资格证明材料、符合性证明材料和其它材料三部分组成，在此加盖公章并由法定代表人（或非法人组织负责人）或其授权代表人签字，保证投标文件中所有材料真实、有效。</w:t>
      </w:r>
    </w:p>
    <w:p>
      <w:pPr>
        <w:rPr>
          <w:rFonts w:hint="eastAsia" w:ascii="宋体" w:hAnsi="宋体" w:eastAsia="宋体" w:cs="宋体"/>
          <w:color w:val="auto"/>
          <w:highlight w:val="none"/>
        </w:rPr>
      </w:pPr>
    </w:p>
    <w:p>
      <w:pPr>
        <w:rPr>
          <w:rFonts w:hint="eastAsia" w:ascii="宋体" w:hAnsi="宋体" w:eastAsia="宋体" w:cs="宋体"/>
          <w:color w:val="auto"/>
          <w:sz w:val="28"/>
          <w:szCs w:val="28"/>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供应商名称：（加盖公章）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法定代表人（或非法人组织负责人）或其授权代表人：           (签字或盖章) </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签署日期：      年      月      日</w:t>
      </w:r>
    </w:p>
    <w:p>
      <w:pPr>
        <w:pStyle w:val="6"/>
        <w:adjustRightInd w:val="0"/>
        <w:snapToGrid w:val="0"/>
        <w:spacing w:before="0" w:after="0"/>
        <w:jc w:val="left"/>
        <w:rPr>
          <w:rFonts w:hint="eastAsia" w:ascii="宋体" w:hAnsi="宋体" w:eastAsia="宋体" w:cs="宋体"/>
          <w:b/>
          <w:bCs/>
          <w:color w:val="auto"/>
          <w:highlight w:val="none"/>
        </w:rPr>
      </w:pP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格式4</w:t>
      </w:r>
      <w:bookmarkStart w:id="82" w:name="_Toc3401_WPSOffice_Level2"/>
      <w:bookmarkStart w:id="83" w:name="_Toc16924_WPSOffice_Level2"/>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法定代表人（或非法人组织负责人）身份证明书</w:t>
      </w:r>
      <w:bookmarkEnd w:id="82"/>
      <w:bookmarkEnd w:id="83"/>
    </w:p>
    <w:p>
      <w:pPr>
        <w:ind w:firstLine="420" w:firstLineChars="200"/>
        <w:rPr>
          <w:rFonts w:hint="eastAsia" w:ascii="宋体" w:hAnsi="宋体" w:eastAsia="宋体" w:cs="宋体"/>
          <w:color w:val="auto"/>
          <w:highlight w:val="none"/>
          <w:u w:val="singl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，性别：</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，出生日期：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，现任职务：</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，系</w:t>
      </w:r>
      <w:r>
        <w:rPr>
          <w:rFonts w:hint="eastAsia" w:ascii="宋体" w:hAnsi="宋体" w:eastAsia="宋体" w:cs="宋体"/>
          <w:color w:val="auto"/>
          <w:highlight w:val="none"/>
          <w:u w:val="single"/>
        </w:rPr>
        <w:t xml:space="preserve">            （供应商名称）</w:t>
      </w:r>
      <w:r>
        <w:rPr>
          <w:rFonts w:hint="eastAsia" w:ascii="宋体" w:hAnsi="宋体" w:eastAsia="宋体" w:cs="宋体"/>
          <w:color w:val="auto"/>
          <w:highlight w:val="none"/>
        </w:rPr>
        <w:t>的法定代表人（或非法人组织负责人）。</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特此证明。</w:t>
      </w: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tbl>
      <w:tblPr>
        <w:tblStyle w:val="2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（※法定代表人（或非法人组织负责人）身份证正、反面复印件※）</w:t>
            </w:r>
          </w:p>
        </w:tc>
      </w:tr>
    </w:tbl>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rPr>
          <w:rFonts w:hint="eastAsia" w:ascii="宋体" w:hAnsi="宋体" w:eastAsia="宋体" w:cs="宋体"/>
          <w:color w:val="auto"/>
          <w:sz w:val="24"/>
          <w:highlight w:val="none"/>
        </w:rPr>
      </w:pPr>
    </w:p>
    <w:p>
      <w:pPr>
        <w:jc w:val="right"/>
        <w:rPr>
          <w:rFonts w:hint="eastAsia" w:ascii="宋体" w:hAnsi="宋体" w:eastAsia="宋体" w:cs="宋体"/>
          <w:color w:val="auto"/>
          <w:highlight w:val="none"/>
        </w:rPr>
      </w:pP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供应商名称：（加盖公章）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 xml:space="preserve">年   月   日 </w:t>
      </w:r>
      <w:r>
        <w:rPr>
          <w:rFonts w:hint="eastAsia" w:ascii="宋体" w:hAnsi="宋体" w:eastAsia="宋体" w:cs="宋体"/>
          <w:color w:val="auto"/>
          <w:sz w:val="24"/>
          <w:highlight w:val="none"/>
        </w:rPr>
        <w:t xml:space="preserve">      </w:t>
      </w:r>
      <w:r>
        <w:rPr>
          <w:rFonts w:hint="eastAsia" w:ascii="宋体" w:hAnsi="宋体" w:eastAsia="宋体" w:cs="宋体"/>
          <w:color w:val="auto"/>
          <w:highlight w:val="none"/>
        </w:rPr>
        <w:t xml:space="preserve">            </w:t>
      </w:r>
    </w:p>
    <w:p>
      <w:pPr>
        <w:rPr>
          <w:rFonts w:hint="eastAsia" w:ascii="宋体" w:hAnsi="宋体" w:eastAsia="宋体" w:cs="宋体"/>
          <w:b/>
          <w:bCs/>
          <w:color w:val="auto"/>
          <w:sz w:val="32"/>
          <w:szCs w:val="32"/>
          <w:highlight w:val="none"/>
        </w:rPr>
      </w:pP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格式5</w:t>
      </w:r>
      <w:bookmarkStart w:id="84" w:name="_Toc21833_WPSOffice_Level2"/>
      <w:bookmarkStart w:id="85" w:name="_Toc122_WPSOffice_Level2"/>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法定代表人（或非法人组织负责人）授权委托书</w:t>
      </w:r>
      <w:bookmarkEnd w:id="84"/>
      <w:bookmarkEnd w:id="85"/>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委托人名称：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法定代表人（或非法人组织负责人）姓名：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身份证号码：</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住所地：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受托人名称：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身份证号码：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工作单位：</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住址：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电话：</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现委托</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在委托人就</w:t>
      </w:r>
      <w:r>
        <w:rPr>
          <w:rFonts w:hint="eastAsia" w:ascii="宋体" w:hAnsi="宋体" w:eastAsia="宋体" w:cs="宋体"/>
          <w:color w:val="auto"/>
          <w:highlight w:val="none"/>
          <w:u w:val="single"/>
        </w:rPr>
        <w:t>（项目编号、项目名称、包号）</w:t>
      </w:r>
      <w:r>
        <w:rPr>
          <w:rFonts w:hint="eastAsia" w:ascii="宋体" w:hAnsi="宋体" w:eastAsia="宋体" w:cs="宋体"/>
          <w:color w:val="auto"/>
          <w:highlight w:val="none"/>
        </w:rPr>
        <w:t>投标中，以我单位名义处理一切与之有关的事务。</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本授权书于</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日签字或盖章生效,</w:t>
      </w:r>
      <w:r>
        <w:rPr>
          <w:rFonts w:hint="eastAsia" w:ascii="宋体" w:hAnsi="宋体" w:eastAsia="宋体" w:cs="宋体"/>
          <w:b/>
          <w:bCs/>
          <w:color w:val="auto"/>
          <w:highlight w:val="none"/>
        </w:rPr>
        <w:t>无转委托</w:t>
      </w:r>
      <w:r>
        <w:rPr>
          <w:rFonts w:hint="eastAsia" w:ascii="宋体" w:hAnsi="宋体" w:eastAsia="宋体" w:cs="宋体"/>
          <w:color w:val="auto"/>
          <w:highlight w:val="none"/>
        </w:rPr>
        <w:t>，特此声明。</w:t>
      </w:r>
    </w:p>
    <w:p>
      <w:pPr>
        <w:rPr>
          <w:rFonts w:hint="eastAsia" w:ascii="宋体" w:hAnsi="宋体" w:eastAsia="宋体" w:cs="宋体"/>
          <w:color w:val="auto"/>
          <w:sz w:val="24"/>
          <w:highlight w:val="none"/>
        </w:rPr>
      </w:pPr>
    </w:p>
    <w:tbl>
      <w:tblPr>
        <w:tblStyle w:val="23"/>
        <w:tblW w:w="92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20" w:hRule="atLeast"/>
          <w:jc w:val="center"/>
        </w:trPr>
        <w:tc>
          <w:tcPr>
            <w:tcW w:w="9288" w:type="dxa"/>
          </w:tcPr>
          <w:p>
            <w:pPr>
              <w:jc w:val="center"/>
              <w:rPr>
                <w:rFonts w:hint="eastAsia" w:ascii="宋体" w:hAnsi="宋体" w:eastAsia="宋体" w:cs="宋体"/>
                <w:color w:val="auto"/>
                <w:highlight w:val="none"/>
              </w:rPr>
            </w:pPr>
            <w:r>
              <w:rPr>
                <w:rFonts w:hint="eastAsia" w:ascii="宋体" w:hAnsi="宋体" w:eastAsia="宋体" w:cs="宋体"/>
                <w:color w:val="auto"/>
                <w:highlight w:val="none"/>
              </w:rPr>
              <w:t>（※受托人身份证正、反面复印件※）</w:t>
            </w:r>
          </w:p>
        </w:tc>
      </w:tr>
    </w:tbl>
    <w:p>
      <w:pPr>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委托人（单位公章）：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法定代表人（或非法人组织负责人）：（签字或盖章） </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受托人：（签字或盖章）</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详细通讯地址：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邮 政 编 码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传        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        话：</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color w:val="auto"/>
          <w:sz w:val="24"/>
          <w:highlight w:val="none"/>
          <w:u w:val="single"/>
        </w:rPr>
        <w:br w:type="page"/>
      </w:r>
      <w:r>
        <w:rPr>
          <w:rStyle w:val="36"/>
          <w:rFonts w:hint="eastAsia" w:ascii="宋体" w:hAnsi="宋体" w:eastAsia="宋体" w:cs="宋体"/>
          <w:color w:val="auto"/>
          <w:highlight w:val="none"/>
        </w:rPr>
        <w:t>格式6</w:t>
      </w:r>
    </w:p>
    <w:p>
      <w:pPr>
        <w:pStyle w:val="7"/>
        <w:jc w:val="center"/>
        <w:rPr>
          <w:rFonts w:hint="eastAsia" w:ascii="宋体" w:hAnsi="宋体" w:eastAsia="宋体" w:cs="宋体"/>
          <w:color w:val="auto"/>
          <w:highlight w:val="none"/>
        </w:rPr>
      </w:pPr>
      <w:bookmarkStart w:id="86" w:name="_Toc23728_WPSOffice_Level2"/>
      <w:bookmarkStart w:id="87" w:name="_Toc12037_WPSOffice_Level2"/>
      <w:r>
        <w:rPr>
          <w:rFonts w:hint="eastAsia" w:ascii="宋体" w:hAnsi="宋体" w:eastAsia="宋体" w:cs="宋体"/>
          <w:color w:val="auto"/>
          <w:highlight w:val="none"/>
        </w:rPr>
        <w:t>具备履行合同所必需的设备和专业技术能力声明函</w:t>
      </w:r>
    </w:p>
    <w:p>
      <w:pPr>
        <w:pStyle w:val="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我单位完全理解本次政府采购活动的采购需求、商务条款及其他内容，并承诺我单位将提供足够的设备和专业技术能力保证本合同履行。</w:t>
      </w:r>
    </w:p>
    <w:p>
      <w:pPr>
        <w:pStyle w:val="4"/>
        <w:spacing w:before="0" w:beforeAutospacing="0" w:after="360" w:afterAutospacing="0"/>
        <w:ind w:firstLine="540"/>
        <w:textAlignment w:val="baseline"/>
        <w:rPr>
          <w:rFonts w:hint="eastAsia" w:ascii="宋体" w:hAnsi="宋体" w:eastAsia="宋体" w:cs="宋体"/>
          <w:color w:val="auto"/>
          <w:kern w:val="2"/>
          <w:sz w:val="21"/>
          <w:szCs w:val="24"/>
          <w:highlight w:val="none"/>
        </w:rPr>
      </w:pPr>
      <w:r>
        <w:rPr>
          <w:rFonts w:hint="eastAsia" w:ascii="宋体" w:hAnsi="宋体" w:eastAsia="宋体" w:cs="宋体"/>
          <w:color w:val="auto"/>
          <w:kern w:val="2"/>
          <w:sz w:val="21"/>
          <w:szCs w:val="24"/>
          <w:highlight w:val="none"/>
        </w:rPr>
        <w:t>我单位对上述承诺的真实性负责。如有虚假,我单位同意按合同违约处理,并依法承担相应法律责任。</w:t>
      </w:r>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jc w:val="righ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         （签字或盖章）</w:t>
      </w:r>
    </w:p>
    <w:p>
      <w:pPr>
        <w:adjustRightInd w:val="0"/>
        <w:snapToGrid w:val="0"/>
        <w:ind w:right="105" w:rightChars="50" w:firstLine="544" w:firstLineChars="227"/>
        <w:jc w:val="right"/>
        <w:rPr>
          <w:rFonts w:hint="eastAsia" w:ascii="宋体" w:hAnsi="宋体" w:eastAsia="宋体" w:cs="宋体"/>
          <w:color w:val="auto"/>
          <w:sz w:val="24"/>
          <w:highlight w:val="none"/>
        </w:rPr>
      </w:pPr>
    </w:p>
    <w:p>
      <w:pPr>
        <w:adjustRightInd w:val="0"/>
        <w:snapToGrid w:val="0"/>
        <w:ind w:right="105" w:rightChars="50" w:firstLine="476" w:firstLineChars="227"/>
        <w:jc w:val="right"/>
        <w:rPr>
          <w:rFonts w:hint="eastAsia" w:ascii="宋体" w:hAnsi="宋体" w:eastAsia="宋体" w:cs="宋体"/>
          <w:color w:val="auto"/>
          <w:sz w:val="24"/>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sectPr>
          <w:pgSz w:w="11907" w:h="16840"/>
          <w:pgMar w:top="1418" w:right="1134" w:bottom="1418" w:left="1701" w:header="851" w:footer="851" w:gutter="0"/>
          <w:cols w:space="720" w:num="1"/>
          <w:docGrid w:linePitch="462" w:charSpace="0"/>
        </w:sectPr>
      </w:pPr>
    </w:p>
    <w:bookmarkEnd w:id="86"/>
    <w:bookmarkEnd w:id="87"/>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格式7</w:t>
      </w:r>
    </w:p>
    <w:p>
      <w:pPr>
        <w:pStyle w:val="6"/>
        <w:rPr>
          <w:rFonts w:hint="eastAsia" w:ascii="宋体" w:hAnsi="宋体" w:eastAsia="宋体" w:cs="宋体"/>
          <w:color w:val="auto"/>
          <w:highlight w:val="none"/>
        </w:rPr>
      </w:pPr>
      <w:bookmarkStart w:id="88" w:name="_Toc11967_WPSOffice_Level2"/>
      <w:bookmarkStart w:id="89" w:name="_Toc7498_WPSOffice_Level2"/>
      <w:r>
        <w:rPr>
          <w:rFonts w:hint="eastAsia" w:ascii="宋体" w:hAnsi="宋体" w:eastAsia="宋体" w:cs="宋体"/>
          <w:color w:val="auto"/>
          <w:highlight w:val="none"/>
        </w:rPr>
        <w:t>参加政府采购活动前3年内在经营活动中没有重大违法记录的书面声明</w:t>
      </w:r>
      <w:bookmarkEnd w:id="88"/>
      <w:bookmarkEnd w:id="89"/>
    </w:p>
    <w:p>
      <w:pPr>
        <w:rPr>
          <w:rFonts w:hint="eastAsia" w:ascii="宋体" w:hAnsi="宋体" w:eastAsia="宋体" w:cs="宋体"/>
          <w:color w:val="auto"/>
          <w:highlight w:val="none"/>
        </w:rPr>
      </w:pPr>
    </w:p>
    <w:p>
      <w:pPr>
        <w:rPr>
          <w:rFonts w:hint="eastAsia" w:ascii="宋体" w:hAnsi="宋体" w:eastAsia="宋体" w:cs="宋体"/>
          <w:color w:val="auto"/>
          <w:highlight w:val="none"/>
        </w:rPr>
      </w:pPr>
      <w:r>
        <w:rPr>
          <w:rFonts w:hint="eastAsia" w:ascii="宋体" w:hAnsi="宋体" w:eastAsia="宋体" w:cs="宋体"/>
          <w:b/>
          <w:bCs/>
          <w:color w:val="auto"/>
          <w:highlight w:val="none"/>
          <w:u w:val="single"/>
        </w:rPr>
        <w:t>（采购人名称）</w:t>
      </w:r>
      <w:r>
        <w:rPr>
          <w:rFonts w:hint="eastAsia" w:ascii="宋体" w:hAnsi="宋体" w:eastAsia="宋体" w:cs="宋体"/>
          <w:color w:val="auto"/>
          <w:highlight w:val="none"/>
        </w:rPr>
        <w:t>：</w:t>
      </w:r>
    </w:p>
    <w:p>
      <w:pPr>
        <w:ind w:firstLine="422" w:firstLineChars="200"/>
        <w:rPr>
          <w:rFonts w:hint="eastAsia" w:ascii="宋体" w:hAnsi="宋体" w:eastAsia="宋体" w:cs="宋体"/>
          <w:color w:val="auto"/>
          <w:highlight w:val="none"/>
        </w:rPr>
      </w:pPr>
      <w:r>
        <w:rPr>
          <w:rFonts w:hint="eastAsia" w:ascii="宋体" w:hAnsi="宋体" w:eastAsia="宋体" w:cs="宋体"/>
          <w:b/>
          <w:bCs/>
          <w:color w:val="auto"/>
          <w:highlight w:val="none"/>
        </w:rPr>
        <w:t>在本项目投标文件截止时间前</w:t>
      </w:r>
      <w:r>
        <w:rPr>
          <w:rFonts w:hint="eastAsia" w:ascii="宋体" w:hAnsi="宋体" w:eastAsia="宋体" w:cs="宋体"/>
          <w:color w:val="auto"/>
          <w:highlight w:val="none"/>
        </w:rPr>
        <w:t>，我单位参加本次政府采购活动前3年内在经营活动中没有因违法经营受到刑事处罚或者责令停产停业、吊销许可证或者执照、较大数额罚款等行政处罚的重大违法记录；通过“信用中国”(网站：www.creditchina.gov.cn/)、“中国政府采购网”（网站www.ccgp.gov.cn）等渠道查询，我单位未被列入失信被执行人、重大税收违法案件当事人名单、政府采购严重违法失信行为记录名单。</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如发现我单位提供的声明函不实时，我单位将按照《政府采购法》有关提供虚假材料的规定，接受处罚。</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特此声明。</w:t>
      </w:r>
    </w:p>
    <w:p>
      <w:pPr>
        <w:spacing w:line="500" w:lineRule="exact"/>
        <w:ind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spacing w:line="360" w:lineRule="exact"/>
        <w:ind w:left="1050" w:leftChars="500" w:right="1050" w:rightChars="500" w:firstLine="420" w:firstLineChars="200"/>
        <w:rPr>
          <w:rFonts w:hint="eastAsia" w:ascii="宋体" w:hAnsi="宋体" w:eastAsia="宋体" w:cs="宋体"/>
          <w:color w:val="auto"/>
          <w:highlight w:val="none"/>
        </w:rPr>
      </w:pPr>
    </w:p>
    <w:p>
      <w:pPr>
        <w:ind w:right="1050" w:rightChars="5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w:t>
      </w:r>
      <w:r>
        <w:rPr>
          <w:rFonts w:hint="eastAsia" w:ascii="宋体" w:hAnsi="宋体" w:eastAsia="宋体" w:cs="宋体"/>
          <w:color w:val="auto"/>
          <w:highlight w:val="none"/>
          <w:u w:val="single"/>
        </w:rPr>
        <w:t xml:space="preserve">       （加盖公章）   </w:t>
      </w:r>
    </w:p>
    <w:p>
      <w:pPr>
        <w:spacing w:line="360" w:lineRule="exact"/>
        <w:ind w:right="1050" w:rightChars="5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法定代表人（或非法人组织负责人）或其授权代表人：(签字或盖章)</w:t>
      </w:r>
    </w:p>
    <w:p>
      <w:pPr>
        <w:ind w:left="2270" w:hanging="2270" w:hangingChars="1081"/>
        <w:jc w:val="left"/>
        <w:rPr>
          <w:rFonts w:hint="eastAsia" w:ascii="宋体" w:hAnsi="宋体" w:eastAsia="宋体" w:cs="宋体"/>
          <w:color w:val="auto"/>
          <w:highlight w:val="none"/>
          <w:u w:val="single"/>
        </w:rPr>
      </w:pPr>
    </w:p>
    <w:p>
      <w:pPr>
        <w:ind w:left="2270" w:hanging="2270" w:hangingChars="1081"/>
        <w:jc w:val="left"/>
        <w:rPr>
          <w:rFonts w:hint="eastAsia" w:ascii="宋体" w:hAnsi="宋体" w:eastAsia="宋体" w:cs="宋体"/>
          <w:color w:val="auto"/>
          <w:highlight w:val="none"/>
          <w:u w:val="single"/>
        </w:rPr>
      </w:pPr>
    </w:p>
    <w:p>
      <w:pPr>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日期：       年     月     日  </w:t>
      </w:r>
    </w:p>
    <w:p>
      <w:pPr>
        <w:spacing w:beforeLines="50" w:afterLines="50" w:line="400" w:lineRule="exact"/>
        <w:ind w:left="1155" w:leftChars="550" w:right="1050" w:rightChars="500" w:firstLine="480" w:firstLineChars="200"/>
        <w:rPr>
          <w:rFonts w:hint="eastAsia" w:ascii="宋体" w:hAnsi="宋体" w:eastAsia="宋体" w:cs="宋体"/>
          <w:color w:val="auto"/>
          <w:sz w:val="24"/>
          <w:highlight w:val="none"/>
        </w:rPr>
      </w:pPr>
    </w:p>
    <w:p>
      <w:pPr>
        <w:jc w:val="left"/>
        <w:rPr>
          <w:rFonts w:hint="eastAsia" w:ascii="宋体" w:hAnsi="宋体" w:eastAsia="宋体" w:cs="宋体"/>
          <w:color w:val="auto"/>
          <w:highlight w:val="none"/>
        </w:rPr>
      </w:pPr>
      <w:r>
        <w:rPr>
          <w:rFonts w:hint="eastAsia" w:ascii="宋体" w:hAnsi="宋体" w:eastAsia="宋体" w:cs="宋体"/>
          <w:color w:val="auto"/>
          <w:highlight w:val="none"/>
        </w:rPr>
        <w:t>注：自然人投标的无需盖章，需要签字。</w:t>
      </w:r>
    </w:p>
    <w:p>
      <w:pPr>
        <w:rPr>
          <w:rFonts w:hint="eastAsia" w:ascii="宋体" w:hAnsi="宋体" w:eastAsia="宋体" w:cs="宋体"/>
          <w:color w:val="auto"/>
          <w:highlight w:val="none"/>
        </w:rPr>
      </w:pPr>
      <w:r>
        <w:rPr>
          <w:rFonts w:hint="eastAsia" w:ascii="宋体" w:hAnsi="宋体" w:eastAsia="宋体" w:cs="宋体"/>
          <w:color w:val="auto"/>
          <w:highlight w:val="none"/>
        </w:rPr>
        <w:br w:type="page"/>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格式8</w:t>
      </w:r>
    </w:p>
    <w:p>
      <w:pPr>
        <w:pStyle w:val="6"/>
        <w:rPr>
          <w:rFonts w:hint="eastAsia" w:ascii="宋体" w:hAnsi="宋体" w:eastAsia="宋体" w:cs="宋体"/>
          <w:color w:val="auto"/>
          <w:highlight w:val="none"/>
        </w:rPr>
      </w:pPr>
      <w:bookmarkStart w:id="90" w:name="_Toc30548_WPSOffice_Level2"/>
      <w:bookmarkStart w:id="91" w:name="_Toc16873_WPSOffice_Level2"/>
      <w:r>
        <w:rPr>
          <w:rFonts w:hint="eastAsia" w:ascii="宋体" w:hAnsi="宋体" w:eastAsia="宋体" w:cs="宋体"/>
          <w:color w:val="auto"/>
          <w:highlight w:val="none"/>
        </w:rPr>
        <w:t>联合体协议书</w:t>
      </w:r>
      <w:bookmarkEnd w:id="90"/>
      <w:bookmarkEnd w:id="91"/>
    </w:p>
    <w:p>
      <w:pPr>
        <w:pStyle w:val="13"/>
        <w:rPr>
          <w:rFonts w:hint="eastAsia" w:ascii="宋体" w:hAnsi="宋体" w:eastAsia="宋体" w:cs="宋体"/>
          <w:color w:val="auto"/>
          <w:highlight w:val="none"/>
        </w:rPr>
      </w:pPr>
      <w:r>
        <w:rPr>
          <w:rFonts w:hint="eastAsia" w:ascii="宋体" w:hAnsi="宋体" w:eastAsia="宋体" w:cs="宋体"/>
          <w:color w:val="auto"/>
          <w:highlight w:val="none"/>
        </w:rPr>
        <w:t>致</w:t>
      </w:r>
      <w:r>
        <w:rPr>
          <w:rFonts w:hint="eastAsia" w:ascii="宋体" w:hAnsi="宋体" w:eastAsia="宋体" w:cs="宋体"/>
          <w:color w:val="auto"/>
          <w:highlight w:val="none"/>
          <w:u w:val="single"/>
        </w:rPr>
        <w:t>(采购人或采购代理机构)</w:t>
      </w:r>
      <w:r>
        <w:rPr>
          <w:rFonts w:hint="eastAsia" w:ascii="宋体" w:hAnsi="宋体" w:eastAsia="宋体" w:cs="宋体"/>
          <w:color w:val="auto"/>
          <w:highlight w:val="none"/>
        </w:rPr>
        <w:t>：</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经研究，我方决定自愿组成联合体共同参加</w:t>
      </w:r>
      <w:r>
        <w:rPr>
          <w:rFonts w:hint="eastAsia" w:ascii="宋体" w:hAnsi="宋体" w:eastAsia="宋体" w:cs="宋体"/>
          <w:color w:val="auto"/>
          <w:highlight w:val="none"/>
          <w:u w:val="single"/>
        </w:rPr>
        <w:t>(项目名称、项目编号、包号)</w:t>
      </w:r>
      <w:r>
        <w:rPr>
          <w:rFonts w:hint="eastAsia" w:ascii="宋体" w:hAnsi="宋体" w:eastAsia="宋体" w:cs="宋体"/>
          <w:color w:val="auto"/>
          <w:highlight w:val="none"/>
        </w:rPr>
        <w:t>项目的投标。现就联合体询价事宜订立如下协议：</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一、联合体成员：</w:t>
      </w:r>
    </w:p>
    <w:p>
      <w:pPr>
        <w:pStyle w:val="13"/>
        <w:ind w:firstLine="420" w:firstLineChars="200"/>
        <w:rPr>
          <w:rFonts w:hint="eastAsia" w:ascii="宋体" w:hAnsi="宋体" w:eastAsia="宋体" w:cs="宋体"/>
          <w:color w:val="auto"/>
          <w:highlight w:val="none"/>
          <w:u w:val="single"/>
        </w:rPr>
      </w:pPr>
      <w:bookmarkStart w:id="92" w:name="_Toc15561_WPSOffice_Level2"/>
      <w:bookmarkStart w:id="93" w:name="_Toc23749_WPSOffice_Level2"/>
      <w:r>
        <w:rPr>
          <w:rFonts w:hint="eastAsia" w:ascii="宋体" w:hAnsi="宋体" w:eastAsia="宋体" w:cs="宋体"/>
          <w:color w:val="auto"/>
          <w:highlight w:val="none"/>
        </w:rPr>
        <w:t>1.</w:t>
      </w:r>
      <w:bookmarkEnd w:id="92"/>
      <w:bookmarkEnd w:id="93"/>
      <w:r>
        <w:rPr>
          <w:rFonts w:hint="eastAsia" w:ascii="宋体" w:hAnsi="宋体" w:eastAsia="宋体" w:cs="宋体"/>
          <w:color w:val="auto"/>
          <w:highlight w:val="none"/>
          <w:u w:val="single"/>
        </w:rPr>
        <w:t xml:space="preserve">                  </w:t>
      </w:r>
    </w:p>
    <w:p>
      <w:pPr>
        <w:pStyle w:val="13"/>
        <w:ind w:firstLine="420" w:firstLineChars="200"/>
        <w:rPr>
          <w:rFonts w:hint="eastAsia" w:ascii="宋体" w:hAnsi="宋体" w:eastAsia="宋体" w:cs="宋体"/>
          <w:color w:val="auto"/>
          <w:highlight w:val="none"/>
        </w:rPr>
      </w:pPr>
      <w:bookmarkStart w:id="94" w:name="_Toc22173_WPSOffice_Level2"/>
      <w:bookmarkStart w:id="95" w:name="_Toc405_WPSOffice_Level2"/>
      <w:r>
        <w:rPr>
          <w:rFonts w:hint="eastAsia" w:ascii="宋体" w:hAnsi="宋体" w:eastAsia="宋体" w:cs="宋体"/>
          <w:color w:val="auto"/>
          <w:highlight w:val="none"/>
        </w:rPr>
        <w:t>2.</w:t>
      </w:r>
      <w:bookmarkEnd w:id="94"/>
      <w:bookmarkEnd w:id="95"/>
      <w:r>
        <w:rPr>
          <w:rFonts w:hint="eastAsia" w:ascii="宋体" w:hAnsi="宋体" w:eastAsia="宋体" w:cs="宋体"/>
          <w:color w:val="auto"/>
          <w:highlight w:val="none"/>
          <w:u w:val="single"/>
        </w:rPr>
        <w:t xml:space="preserve">                  </w:t>
      </w:r>
    </w:p>
    <w:p>
      <w:pPr>
        <w:pStyle w:val="13"/>
        <w:ind w:firstLine="420" w:firstLineChars="200"/>
        <w:rPr>
          <w:rFonts w:hint="eastAsia" w:ascii="宋体" w:hAnsi="宋体" w:eastAsia="宋体" w:cs="宋体"/>
          <w:color w:val="auto"/>
          <w:highlight w:val="none"/>
        </w:rPr>
      </w:pPr>
      <w:bookmarkStart w:id="96" w:name="_Toc7084_WPSOffice_Level2"/>
      <w:bookmarkStart w:id="97" w:name="_Toc23482_WPSOffice_Level2"/>
      <w:r>
        <w:rPr>
          <w:rFonts w:hint="eastAsia" w:ascii="宋体" w:hAnsi="宋体" w:eastAsia="宋体" w:cs="宋体"/>
          <w:color w:val="auto"/>
          <w:highlight w:val="none"/>
        </w:rPr>
        <w:t>3.</w:t>
      </w:r>
      <w:bookmarkEnd w:id="96"/>
      <w:bookmarkEnd w:id="97"/>
      <w:r>
        <w:rPr>
          <w:rFonts w:hint="eastAsia" w:ascii="宋体" w:hAnsi="宋体" w:eastAsia="宋体" w:cs="宋体"/>
          <w:color w:val="auto"/>
          <w:highlight w:val="none"/>
          <w:u w:val="single"/>
        </w:rPr>
        <w:t xml:space="preserve">                  </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二、</w:t>
      </w:r>
      <w:r>
        <w:rPr>
          <w:rFonts w:hint="eastAsia" w:ascii="宋体" w:hAnsi="宋体" w:eastAsia="宋体" w:cs="宋体"/>
          <w:color w:val="auto"/>
          <w:highlight w:val="none"/>
          <w:u w:val="single"/>
        </w:rPr>
        <w:t>(某成员单位名称)</w:t>
      </w:r>
      <w:r>
        <w:rPr>
          <w:rFonts w:hint="eastAsia" w:ascii="宋体" w:hAnsi="宋体" w:eastAsia="宋体" w:cs="宋体"/>
          <w:color w:val="auto"/>
          <w:highlight w:val="none"/>
        </w:rPr>
        <w:t>为(联合体名称)牵头人。</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三、联合体牵头人合法代表联合体各成员负责本项目投标文件编制活动，代表联合体提交和接收相关的资料、信息及指示，并处理与投标或成交有关的一切事务；联合体成交后，联合体牵头人负责合同订立和合同实施阶段的主办、组织和协调工作。</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四、联合体将严格按照招标文件的各项要求，递交投标文件，参加投标，履行中标义务和中标后的合同，并向采购人承担连带责任。</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五、联合体各成员单位内部的职责分工如下：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。按照本条上述分工，联合体成员单位各自所承担的合同工作量比例如下：</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六、本协议书自签署之日起生效，合同履行完毕后自动失效。</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七、本协议书一式份，联合体成员和采购人各执一份。</w:t>
      </w:r>
    </w:p>
    <w:p>
      <w:pPr>
        <w:pStyle w:val="13"/>
        <w:ind w:firstLine="420" w:firstLineChars="200"/>
        <w:rPr>
          <w:rFonts w:hint="eastAsia" w:ascii="宋体" w:hAnsi="宋体" w:eastAsia="宋体" w:cs="宋体"/>
          <w:color w:val="auto"/>
          <w:highlight w:val="none"/>
        </w:rPr>
      </w:pP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牵头人名称(公章)：</w:t>
      </w:r>
    </w:p>
    <w:p>
      <w:pPr>
        <w:pStyle w:val="13"/>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法定代表人或其授权代表(签字或盖章)：</w:t>
      </w:r>
    </w:p>
    <w:p>
      <w:pPr>
        <w:adjustRightInd w:val="0"/>
        <w:snapToGrid w:val="0"/>
        <w:ind w:firstLine="420" w:firstLineChars="200"/>
        <w:rPr>
          <w:rFonts w:hint="eastAsia" w:ascii="宋体" w:hAnsi="宋体" w:eastAsia="宋体" w:cs="宋体"/>
          <w:color w:val="auto"/>
          <w:highlight w:val="none"/>
        </w:rPr>
      </w:pPr>
    </w:p>
    <w:p>
      <w:pPr>
        <w:pStyle w:val="32"/>
        <w:ind w:firstLine="560"/>
        <w:rPr>
          <w:rFonts w:hint="eastAsia" w:ascii="宋体" w:hAnsi="宋体" w:eastAsia="宋体" w:cs="宋体"/>
          <w:color w:val="auto"/>
          <w:sz w:val="28"/>
          <w:szCs w:val="28"/>
          <w:highlight w:val="none"/>
        </w:rPr>
      </w:pPr>
    </w:p>
    <w:p>
      <w:pPr>
        <w:pStyle w:val="13"/>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成员名称(公章)：</w:t>
      </w:r>
    </w:p>
    <w:p>
      <w:pPr>
        <w:pStyle w:val="13"/>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法定代表人或其授权代表(签字或盖章)：</w:t>
      </w:r>
    </w:p>
    <w:p>
      <w:pPr>
        <w:pStyle w:val="13"/>
        <w:ind w:firstLine="420" w:firstLineChars="200"/>
        <w:rPr>
          <w:rFonts w:hint="eastAsia" w:ascii="宋体" w:hAnsi="宋体" w:eastAsia="宋体" w:cs="宋体"/>
          <w:color w:val="auto"/>
          <w:highlight w:val="none"/>
        </w:rPr>
        <w:sectPr>
          <w:footerReference r:id="rId6" w:type="default"/>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格式9</w:t>
      </w:r>
    </w:p>
    <w:p>
      <w:pPr>
        <w:pStyle w:val="6"/>
        <w:rPr>
          <w:rFonts w:hint="eastAsia" w:ascii="宋体" w:hAnsi="宋体" w:eastAsia="宋体" w:cs="宋体"/>
          <w:color w:val="auto"/>
          <w:highlight w:val="none"/>
        </w:rPr>
      </w:pPr>
      <w:bookmarkStart w:id="98" w:name="_Toc14782_WPSOffice_Level2"/>
      <w:bookmarkStart w:id="99" w:name="_Toc24841_WPSOffice_Level2"/>
      <w:r>
        <w:rPr>
          <w:rFonts w:hint="eastAsia" w:ascii="宋体" w:hAnsi="宋体" w:eastAsia="宋体" w:cs="宋体"/>
          <w:color w:val="auto"/>
          <w:highlight w:val="none"/>
        </w:rPr>
        <w:t>投标函</w:t>
      </w:r>
      <w:bookmarkEnd w:id="98"/>
      <w:bookmarkEnd w:id="99"/>
    </w:p>
    <w:p>
      <w:pPr>
        <w:adjustRightInd w:val="0"/>
        <w:snapToGrid w:val="0"/>
        <w:ind w:right="630" w:rightChars="300"/>
        <w:rPr>
          <w:rFonts w:hint="eastAsia" w:ascii="宋体" w:hAnsi="宋体" w:eastAsia="宋体" w:cs="宋体"/>
          <w:color w:val="auto"/>
          <w:highlight w:val="none"/>
          <w:u w:val="single"/>
        </w:rPr>
      </w:pPr>
      <w:r>
        <w:rPr>
          <w:rFonts w:hint="eastAsia" w:ascii="宋体" w:hAnsi="宋体" w:eastAsia="宋体" w:cs="宋体"/>
          <w:color w:val="auto"/>
          <w:highlight w:val="none"/>
          <w:u w:val="single"/>
        </w:rPr>
        <w:t>（采购人或采购代理机构）：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根据贵方</w:t>
      </w:r>
      <w:r>
        <w:rPr>
          <w:rFonts w:hint="eastAsia" w:ascii="宋体" w:hAnsi="宋体" w:eastAsia="宋体" w:cs="宋体"/>
          <w:color w:val="auto"/>
          <w:highlight w:val="none"/>
          <w:u w:val="single"/>
        </w:rPr>
        <w:t xml:space="preserve">  (项目名称)   </w:t>
      </w:r>
      <w:r>
        <w:rPr>
          <w:rFonts w:hint="eastAsia" w:ascii="宋体" w:hAnsi="宋体" w:eastAsia="宋体" w:cs="宋体"/>
          <w:color w:val="auto"/>
          <w:highlight w:val="none"/>
        </w:rPr>
        <w:t>项目的招标公告</w:t>
      </w:r>
      <w:r>
        <w:rPr>
          <w:rFonts w:hint="eastAsia" w:ascii="宋体" w:hAnsi="宋体" w:eastAsia="宋体" w:cs="宋体"/>
          <w:color w:val="auto"/>
          <w:highlight w:val="none"/>
          <w:u w:val="single"/>
        </w:rPr>
        <w:t xml:space="preserve">  (项目编号)   </w:t>
      </w:r>
      <w:r>
        <w:rPr>
          <w:rFonts w:hint="eastAsia" w:ascii="宋体" w:hAnsi="宋体" w:eastAsia="宋体" w:cs="宋体"/>
          <w:color w:val="auto"/>
          <w:highlight w:val="none"/>
        </w:rPr>
        <w:t>，签字代表</w:t>
      </w:r>
      <w:r>
        <w:rPr>
          <w:rFonts w:hint="eastAsia" w:ascii="宋体" w:hAnsi="宋体" w:eastAsia="宋体" w:cs="宋体"/>
          <w:color w:val="auto"/>
          <w:highlight w:val="none"/>
          <w:u w:val="single"/>
        </w:rPr>
        <w:t xml:space="preserve">  (姓名、职务)</w:t>
      </w:r>
      <w:r>
        <w:rPr>
          <w:rFonts w:hint="eastAsia" w:ascii="宋体" w:hAnsi="宋体" w:eastAsia="宋体" w:cs="宋体"/>
          <w:color w:val="auto"/>
          <w:highlight w:val="none"/>
        </w:rPr>
        <w:t>经正式授权并代表供应商</w:t>
      </w:r>
      <w:r>
        <w:rPr>
          <w:rFonts w:hint="eastAsia" w:ascii="宋体" w:hAnsi="宋体" w:eastAsia="宋体" w:cs="宋体"/>
          <w:color w:val="auto"/>
          <w:highlight w:val="none"/>
          <w:u w:val="single"/>
        </w:rPr>
        <w:t xml:space="preserve">  （名称、地址）  </w:t>
      </w:r>
      <w:r>
        <w:rPr>
          <w:rFonts w:hint="eastAsia" w:ascii="宋体" w:hAnsi="宋体" w:eastAsia="宋体" w:cs="宋体"/>
          <w:color w:val="auto"/>
          <w:highlight w:val="none"/>
        </w:rPr>
        <w:t>提交下述文件正本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份、副本</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份及电子文档</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份，并以</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形式出具的金额为人民币</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元的投标保证金。</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据此，签字代表宣布同意如下：</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本项目投标总价详见开标一览表。</w:t>
      </w:r>
    </w:p>
    <w:p>
      <w:pPr>
        <w:numPr>
          <w:ilvl w:val="0"/>
          <w:numId w:val="5"/>
        </w:num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本投标有效期为自投标截止之日起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个日历日。</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（3）已详细审查全部招标文件，包括所有补充通知（如果有的话）。</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（4）遵守招标文件中有关保证金的规定。</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（5）我方不是为本项目提供整体设计、规范编制或者项目管理、监理、检测等服务的供应商，我方不是采购代理机构的附属机构。</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（6）在领取中标通知书的同时按招标文件规定的形式，向贵方一次性支付招标代理服务费。</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（7）按照贵方可能要求，提供与其投标有关的一切数据或资料，完全理解贵方不一定接受最低价的投标或收到的任何投标。</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（8）按照招标文件的规定履行合同责任和义务。</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（9）我方承诺投标文件中的证明材料真实、合法、有效。</w:t>
      </w:r>
    </w:p>
    <w:p>
      <w:pPr>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其他事项：</w:t>
      </w:r>
      <w:r>
        <w:rPr>
          <w:rFonts w:hint="eastAsia" w:ascii="宋体" w:hAnsi="宋体" w:eastAsia="宋体" w:cs="宋体"/>
          <w:color w:val="auto"/>
          <w:highlight w:val="none"/>
          <w:u w:val="single"/>
        </w:rPr>
        <w:t>如我方在多个包中标，优先选择的顺序为第 包→第 包</w:t>
      </w:r>
      <w:r>
        <w:rPr>
          <w:rFonts w:hint="eastAsia" w:ascii="宋体" w:hAnsi="宋体" w:eastAsia="宋体" w:cs="宋体"/>
          <w:color w:val="auto"/>
          <w:highlight w:val="none"/>
        </w:rPr>
        <w:t>。</w:t>
      </w:r>
    </w:p>
    <w:p>
      <w:pPr>
        <w:tabs>
          <w:tab w:val="left" w:pos="10467"/>
        </w:tabs>
        <w:adjustRightInd w:val="0"/>
        <w:snapToGrid w:val="0"/>
        <w:ind w:right="1050" w:rightChars="50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与本投标有关的一切往来通讯请寄：</w:t>
      </w:r>
    </w:p>
    <w:p>
      <w:pPr>
        <w:pStyle w:val="32"/>
        <w:ind w:firstLine="420"/>
        <w:rPr>
          <w:ins w:id="0" w:author="admin" w:date="2018-10-27T14:59:00Z"/>
          <w:rFonts w:hint="eastAsia" w:ascii="宋体" w:hAnsi="宋体" w:eastAsia="宋体" w:cs="宋体"/>
          <w:color w:val="auto"/>
          <w:highlight w:val="none"/>
        </w:rPr>
      </w:pPr>
    </w:p>
    <w:p>
      <w:pPr>
        <w:tabs>
          <w:tab w:val="left" w:pos="10467"/>
        </w:tabs>
        <w:adjustRightInd w:val="0"/>
        <w:snapToGrid w:val="0"/>
        <w:ind w:right="-21" w:rightChars="-10"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地    址：</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传    真：</w:t>
      </w:r>
      <w:r>
        <w:rPr>
          <w:rFonts w:hint="eastAsia" w:ascii="宋体" w:hAnsi="宋体" w:eastAsia="宋体" w:cs="宋体"/>
          <w:color w:val="auto"/>
          <w:highlight w:val="none"/>
          <w:u w:val="single"/>
        </w:rPr>
        <w:t xml:space="preserve">                     </w:t>
      </w:r>
    </w:p>
    <w:p>
      <w:pPr>
        <w:tabs>
          <w:tab w:val="left" w:pos="10467"/>
        </w:tabs>
        <w:adjustRightInd w:val="0"/>
        <w:snapToGrid w:val="0"/>
        <w:ind w:right="-21" w:rightChars="-10"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电    话：</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电子邮件：</w:t>
      </w:r>
      <w:r>
        <w:rPr>
          <w:rFonts w:hint="eastAsia" w:ascii="宋体" w:hAnsi="宋体" w:eastAsia="宋体" w:cs="宋体"/>
          <w:color w:val="auto"/>
          <w:highlight w:val="none"/>
          <w:u w:val="singl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法定代表人（非法人组织负责人）或其授权委托人（签字或盖章）：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供应商开户银行（全称）:</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tabs>
          <w:tab w:val="left" w:pos="10467"/>
        </w:tabs>
        <w:adjustRightInd w:val="0"/>
        <w:snapToGrid w:val="0"/>
        <w:ind w:right="260" w:rightChars="124"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供应商银行帐号:</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p>
    <w:p>
      <w:pPr>
        <w:adjustRightInd w:val="0"/>
        <w:snapToGrid w:val="0"/>
        <w:ind w:right="1050" w:rightChars="500" w:firstLine="420" w:firstLineChars="200"/>
        <w:rPr>
          <w:rStyle w:val="36"/>
          <w:rFonts w:hint="eastAsia" w:ascii="宋体" w:hAnsi="宋体" w:eastAsia="宋体" w:cs="宋体"/>
          <w:color w:val="auto"/>
          <w:highlight w:val="none"/>
        </w:rPr>
      </w:pPr>
      <w:r>
        <w:rPr>
          <w:rFonts w:hint="eastAsia" w:ascii="宋体" w:hAnsi="宋体" w:eastAsia="宋体" w:cs="宋体"/>
          <w:color w:val="auto"/>
          <w:highlight w:val="none"/>
        </w:rPr>
        <w:t>日期:</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 xml:space="preserve"> </w:t>
      </w: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格式10</w:t>
      </w:r>
    </w:p>
    <w:p>
      <w:pPr>
        <w:pStyle w:val="6"/>
        <w:rPr>
          <w:rFonts w:hint="eastAsia" w:ascii="宋体" w:hAnsi="宋体" w:eastAsia="宋体" w:cs="宋体"/>
          <w:b/>
          <w:bCs/>
          <w:color w:val="auto"/>
          <w:highlight w:val="none"/>
        </w:rPr>
      </w:pPr>
      <w:bookmarkStart w:id="100" w:name="_Toc2673_WPSOffice_Level2"/>
      <w:bookmarkStart w:id="101" w:name="_Toc11267_WPSOffice_Level2"/>
      <w:r>
        <w:rPr>
          <w:rFonts w:hint="eastAsia" w:ascii="宋体" w:hAnsi="宋体" w:eastAsia="宋体" w:cs="宋体"/>
          <w:color w:val="auto"/>
          <w:highlight w:val="none"/>
        </w:rPr>
        <w:t>开标一览表</w:t>
      </w:r>
      <w:bookmarkEnd w:id="100"/>
      <w:bookmarkEnd w:id="101"/>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3"/>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78"/>
        <w:gridCol w:w="1710"/>
        <w:gridCol w:w="1509"/>
        <w:gridCol w:w="1277"/>
        <w:gridCol w:w="1443"/>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0" w:hRule="atLeast"/>
          <w:jc w:val="center"/>
        </w:trPr>
        <w:tc>
          <w:tcPr>
            <w:tcW w:w="147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服务内容</w:t>
            </w:r>
          </w:p>
        </w:tc>
        <w:tc>
          <w:tcPr>
            <w:tcW w:w="171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投标总价</w:t>
            </w:r>
          </w:p>
        </w:tc>
        <w:tc>
          <w:tcPr>
            <w:tcW w:w="150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投标保证金</w:t>
            </w:r>
          </w:p>
        </w:tc>
        <w:tc>
          <w:tcPr>
            <w:tcW w:w="127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144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1096"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4" w:hRule="atLeast"/>
          <w:jc w:val="center"/>
        </w:trPr>
        <w:tc>
          <w:tcPr>
            <w:tcW w:w="1478" w:type="dxa"/>
            <w:vAlign w:val="center"/>
          </w:tcPr>
          <w:p>
            <w:pPr>
              <w:spacing w:line="300" w:lineRule="exact"/>
              <w:jc w:val="center"/>
              <w:rPr>
                <w:rFonts w:hint="eastAsia" w:ascii="宋体" w:hAnsi="宋体" w:eastAsia="宋体" w:cs="宋体"/>
                <w:color w:val="auto"/>
                <w:highlight w:val="none"/>
              </w:rPr>
            </w:pPr>
          </w:p>
        </w:tc>
        <w:tc>
          <w:tcPr>
            <w:tcW w:w="1710"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小写：</w:t>
            </w:r>
          </w:p>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大写：</w:t>
            </w:r>
          </w:p>
        </w:tc>
        <w:tc>
          <w:tcPr>
            <w:tcW w:w="1509" w:type="dxa"/>
            <w:vAlign w:val="center"/>
          </w:tcPr>
          <w:p>
            <w:pPr>
              <w:spacing w:line="300" w:lineRule="exact"/>
              <w:jc w:val="center"/>
              <w:rPr>
                <w:rFonts w:hint="eastAsia" w:ascii="宋体" w:hAnsi="宋体" w:eastAsia="宋体" w:cs="宋体"/>
                <w:color w:val="auto"/>
                <w:highlight w:val="none"/>
              </w:rPr>
            </w:pPr>
          </w:p>
        </w:tc>
        <w:tc>
          <w:tcPr>
            <w:tcW w:w="1277" w:type="dxa"/>
            <w:vAlign w:val="center"/>
          </w:tcPr>
          <w:p>
            <w:pPr>
              <w:spacing w:line="300" w:lineRule="exact"/>
              <w:jc w:val="center"/>
              <w:rPr>
                <w:rFonts w:hint="eastAsia" w:ascii="宋体" w:hAnsi="宋体" w:eastAsia="宋体" w:cs="宋体"/>
                <w:color w:val="auto"/>
                <w:highlight w:val="none"/>
              </w:rPr>
            </w:pPr>
          </w:p>
        </w:tc>
        <w:tc>
          <w:tcPr>
            <w:tcW w:w="1443" w:type="dxa"/>
            <w:vAlign w:val="center"/>
          </w:tcPr>
          <w:p>
            <w:pPr>
              <w:spacing w:line="300" w:lineRule="exact"/>
              <w:jc w:val="center"/>
              <w:rPr>
                <w:rFonts w:hint="eastAsia" w:ascii="宋体" w:hAnsi="宋体" w:eastAsia="宋体" w:cs="宋体"/>
                <w:color w:val="auto"/>
                <w:highlight w:val="none"/>
              </w:rPr>
            </w:pPr>
          </w:p>
        </w:tc>
        <w:tc>
          <w:tcPr>
            <w:tcW w:w="1096" w:type="dxa"/>
            <w:vAlign w:val="center"/>
          </w:tcPr>
          <w:p>
            <w:pPr>
              <w:spacing w:line="300" w:lineRule="exact"/>
              <w:jc w:val="center"/>
              <w:rPr>
                <w:rFonts w:hint="eastAsia" w:ascii="宋体" w:hAnsi="宋体" w:eastAsia="宋体" w:cs="宋体"/>
                <w:color w:val="auto"/>
                <w:highlight w:val="none"/>
              </w:rPr>
            </w:pPr>
          </w:p>
        </w:tc>
      </w:tr>
    </w:tbl>
    <w:p>
      <w:pPr>
        <w:spacing w:line="300" w:lineRule="exact"/>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注：此表中，投标总价应和分项报价表的总价相一致</w:t>
      </w:r>
    </w:p>
    <w:p>
      <w:pPr>
        <w:adjustRightInd w:val="0"/>
        <w:snapToGrid w:val="0"/>
        <w:ind w:right="105" w:rightChars="50" w:firstLine="544" w:firstLineChars="227"/>
        <w:jc w:val="left"/>
        <w:rPr>
          <w:rFonts w:hint="eastAsia" w:ascii="宋体" w:hAnsi="宋体" w:eastAsia="宋体" w:cs="宋体"/>
          <w:color w:val="auto"/>
          <w:sz w:val="24"/>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 xml:space="preserve">供应商(单位公章):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r>
        <w:rPr>
          <w:rStyle w:val="36"/>
          <w:rFonts w:hint="eastAsia" w:ascii="宋体" w:hAnsi="宋体" w:eastAsia="宋体" w:cs="宋体"/>
          <w:color w:val="auto"/>
          <w:highlight w:val="none"/>
        </w:rPr>
        <w:t>格式11</w:t>
      </w:r>
    </w:p>
    <w:p>
      <w:pPr>
        <w:pStyle w:val="6"/>
        <w:rPr>
          <w:rFonts w:hint="eastAsia" w:ascii="宋体" w:hAnsi="宋体" w:eastAsia="宋体" w:cs="宋体"/>
          <w:b/>
          <w:bCs/>
          <w:color w:val="auto"/>
          <w:highlight w:val="none"/>
        </w:rPr>
      </w:pPr>
      <w:r>
        <w:rPr>
          <w:rFonts w:hint="eastAsia" w:ascii="宋体" w:hAnsi="宋体" w:eastAsia="宋体" w:cs="宋体"/>
          <w:color w:val="auto"/>
          <w:highlight w:val="none"/>
        </w:rPr>
        <w:t>服务价格明细表</w:t>
      </w:r>
    </w:p>
    <w:p>
      <w:pPr>
        <w:jc w:val="center"/>
        <w:rPr>
          <w:rFonts w:hint="eastAsia" w:ascii="宋体" w:hAnsi="宋体" w:eastAsia="宋体" w:cs="宋体"/>
          <w:b/>
          <w:bCs/>
          <w:color w:val="auto"/>
          <w:highlight w:val="none"/>
          <w:lang w:val="en-US" w:eastAsia="zh-CN"/>
        </w:rPr>
      </w:pPr>
      <w:r>
        <w:rPr>
          <w:rFonts w:hint="eastAsia" w:ascii="宋体" w:hAnsi="宋体" w:eastAsia="宋体" w:cs="宋体"/>
          <w:b/>
          <w:bCs/>
          <w:color w:val="auto"/>
          <w:highlight w:val="none"/>
        </w:rPr>
        <w:t>项目名称：          项目编号：        包号：        报价单位：人民币元</w:t>
      </w:r>
    </w:p>
    <w:tbl>
      <w:tblPr>
        <w:tblStyle w:val="23"/>
        <w:tblW w:w="851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8"/>
        <w:gridCol w:w="1523"/>
        <w:gridCol w:w="1169"/>
        <w:gridCol w:w="804"/>
        <w:gridCol w:w="774"/>
        <w:gridCol w:w="763"/>
        <w:gridCol w:w="763"/>
        <w:gridCol w:w="770"/>
        <w:gridCol w:w="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1038"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5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名称</w:t>
            </w:r>
          </w:p>
        </w:tc>
        <w:tc>
          <w:tcPr>
            <w:tcW w:w="116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所用设备</w:t>
            </w:r>
          </w:p>
        </w:tc>
        <w:tc>
          <w:tcPr>
            <w:tcW w:w="80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人员配置</w:t>
            </w:r>
          </w:p>
        </w:tc>
        <w:tc>
          <w:tcPr>
            <w:tcW w:w="7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履约期限</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履约地点</w:t>
            </w:r>
          </w:p>
        </w:tc>
        <w:tc>
          <w:tcPr>
            <w:tcW w:w="76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单价</w:t>
            </w:r>
          </w:p>
        </w:tc>
        <w:tc>
          <w:tcPr>
            <w:tcW w:w="770"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90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34" w:hRule="atLeast"/>
          <w:jc w:val="center"/>
        </w:trPr>
        <w:tc>
          <w:tcPr>
            <w:tcW w:w="1038" w:type="dxa"/>
            <w:vAlign w:val="center"/>
          </w:tcPr>
          <w:p>
            <w:pPr>
              <w:spacing w:line="300" w:lineRule="exact"/>
              <w:jc w:val="center"/>
              <w:rPr>
                <w:rFonts w:hint="eastAsia" w:ascii="宋体" w:hAnsi="宋体" w:eastAsia="宋体" w:cs="宋体"/>
                <w:color w:val="auto"/>
                <w:highlight w:val="none"/>
              </w:rPr>
            </w:pPr>
          </w:p>
        </w:tc>
        <w:tc>
          <w:tcPr>
            <w:tcW w:w="1523" w:type="dxa"/>
            <w:vAlign w:val="center"/>
          </w:tcPr>
          <w:p>
            <w:pPr>
              <w:spacing w:line="300" w:lineRule="exact"/>
              <w:jc w:val="center"/>
              <w:rPr>
                <w:rFonts w:hint="eastAsia" w:ascii="宋体" w:hAnsi="宋体" w:eastAsia="宋体" w:cs="宋体"/>
                <w:color w:val="auto"/>
                <w:highlight w:val="none"/>
              </w:rPr>
            </w:pP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 w:hRule="atLeast"/>
          <w:jc w:val="center"/>
        </w:trPr>
        <w:tc>
          <w:tcPr>
            <w:tcW w:w="2561" w:type="dxa"/>
            <w:gridSpan w:val="2"/>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总价</w:t>
            </w:r>
          </w:p>
        </w:tc>
        <w:tc>
          <w:tcPr>
            <w:tcW w:w="1169" w:type="dxa"/>
            <w:vAlign w:val="center"/>
          </w:tcPr>
          <w:p>
            <w:pPr>
              <w:spacing w:line="300" w:lineRule="exact"/>
              <w:jc w:val="center"/>
              <w:rPr>
                <w:rFonts w:hint="eastAsia" w:ascii="宋体" w:hAnsi="宋体" w:eastAsia="宋体" w:cs="宋体"/>
                <w:color w:val="auto"/>
                <w:highlight w:val="none"/>
              </w:rPr>
            </w:pPr>
          </w:p>
        </w:tc>
        <w:tc>
          <w:tcPr>
            <w:tcW w:w="804" w:type="dxa"/>
            <w:vAlign w:val="center"/>
          </w:tcPr>
          <w:p>
            <w:pPr>
              <w:spacing w:line="300" w:lineRule="exact"/>
              <w:jc w:val="center"/>
              <w:rPr>
                <w:rFonts w:hint="eastAsia" w:ascii="宋体" w:hAnsi="宋体" w:eastAsia="宋体" w:cs="宋体"/>
                <w:color w:val="auto"/>
                <w:highlight w:val="none"/>
              </w:rPr>
            </w:pPr>
          </w:p>
        </w:tc>
        <w:tc>
          <w:tcPr>
            <w:tcW w:w="774"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63" w:type="dxa"/>
            <w:vAlign w:val="center"/>
          </w:tcPr>
          <w:p>
            <w:pPr>
              <w:spacing w:line="300" w:lineRule="exact"/>
              <w:jc w:val="center"/>
              <w:rPr>
                <w:rFonts w:hint="eastAsia" w:ascii="宋体" w:hAnsi="宋体" w:eastAsia="宋体" w:cs="宋体"/>
                <w:color w:val="auto"/>
                <w:highlight w:val="none"/>
              </w:rPr>
            </w:pPr>
          </w:p>
        </w:tc>
        <w:tc>
          <w:tcPr>
            <w:tcW w:w="770" w:type="dxa"/>
            <w:vAlign w:val="center"/>
          </w:tcPr>
          <w:p>
            <w:pPr>
              <w:spacing w:line="300" w:lineRule="exact"/>
              <w:jc w:val="center"/>
              <w:rPr>
                <w:rFonts w:hint="eastAsia" w:ascii="宋体" w:hAnsi="宋体" w:eastAsia="宋体" w:cs="宋体"/>
                <w:color w:val="auto"/>
                <w:highlight w:val="none"/>
              </w:rPr>
            </w:pPr>
          </w:p>
        </w:tc>
        <w:tc>
          <w:tcPr>
            <w:tcW w:w="907" w:type="dxa"/>
            <w:vAlign w:val="center"/>
          </w:tcPr>
          <w:p>
            <w:pPr>
              <w:spacing w:line="300" w:lineRule="exact"/>
              <w:jc w:val="center"/>
              <w:rPr>
                <w:rFonts w:hint="eastAsia" w:ascii="宋体" w:hAnsi="宋体" w:eastAsia="宋体" w:cs="宋体"/>
                <w:color w:val="auto"/>
                <w:highlight w:val="none"/>
              </w:rPr>
            </w:pP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注：1.各项服务详细内容应详细描述。如果供应商认为需要，每项服务填写一份该表。</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2.如果按单价计算的结果与总价不一致,以单价为准修正总价。</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3.如果不提供详细分项报价将视为没有实质性响应招标文件。</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4.上述各项的详细分项报价，应另页描述。</w:t>
      </w:r>
    </w:p>
    <w:p>
      <w:pPr>
        <w:ind w:firstLine="420"/>
        <w:rPr>
          <w:rFonts w:hint="eastAsia" w:ascii="宋体" w:hAnsi="宋体" w:eastAsia="宋体" w:cs="宋体"/>
          <w:color w:val="auto"/>
          <w:highlight w:val="none"/>
        </w:rPr>
      </w:pPr>
      <w:r>
        <w:rPr>
          <w:rFonts w:hint="eastAsia" w:ascii="宋体" w:hAnsi="宋体" w:eastAsia="宋体" w:cs="宋体"/>
          <w:color w:val="auto"/>
          <w:highlight w:val="none"/>
        </w:rPr>
        <w:t>5.如果开标一览表内容与投标文件中明细表内容不一致的，以开标一览表内容为准。</w:t>
      </w: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ind w:firstLine="420"/>
        <w:rPr>
          <w:rFonts w:hint="eastAsia" w:ascii="宋体" w:hAnsi="宋体" w:eastAsia="宋体" w:cs="宋体"/>
          <w:color w:val="auto"/>
          <w:highlight w:val="none"/>
        </w:rPr>
      </w:pPr>
    </w:p>
    <w:p>
      <w:pPr>
        <w:ind w:firstLine="42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p>
    <w:p>
      <w:pPr>
        <w:adjustRightInd w:val="0"/>
        <w:snapToGrid w:val="0"/>
        <w:ind w:right="105" w:rightChars="50" w:firstLine="480" w:firstLineChars="200"/>
        <w:jc w:val="left"/>
        <w:rPr>
          <w:rFonts w:hint="eastAsia" w:ascii="宋体" w:hAnsi="宋体" w:eastAsia="宋体" w:cs="宋体"/>
          <w:color w:val="auto"/>
          <w:sz w:val="24"/>
          <w:highlight w:val="none"/>
        </w:rPr>
      </w:pPr>
    </w:p>
    <w:p>
      <w:pPr>
        <w:adjustRightInd w:val="0"/>
        <w:snapToGrid w:val="0"/>
        <w:ind w:right="105" w:rightChars="50"/>
        <w:jc w:val="left"/>
        <w:rPr>
          <w:rFonts w:hint="eastAsia" w:ascii="宋体" w:hAnsi="宋体" w:eastAsia="宋体" w:cs="宋体"/>
          <w:b/>
          <w:color w:val="auto"/>
          <w:sz w:val="28"/>
          <w:szCs w:val="28"/>
          <w:highlight w:val="none"/>
        </w:rPr>
        <w:sectPr>
          <w:pgSz w:w="11906" w:h="16838"/>
          <w:pgMar w:top="1440" w:right="1803" w:bottom="1440" w:left="1803" w:header="851" w:footer="992" w:gutter="0"/>
          <w:cols w:space="720" w:num="1"/>
          <w:docGrid w:linePitch="319" w:charSpace="0"/>
        </w:sectPr>
      </w:pP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格式12</w:t>
      </w:r>
    </w:p>
    <w:p>
      <w:pPr>
        <w:pStyle w:val="6"/>
        <w:rPr>
          <w:rFonts w:hint="eastAsia" w:ascii="宋体" w:hAnsi="宋体" w:eastAsia="宋体" w:cs="宋体"/>
          <w:color w:val="auto"/>
          <w:highlight w:val="none"/>
        </w:rPr>
      </w:pPr>
      <w:bookmarkStart w:id="102" w:name="_Toc9235_WPSOffice_Level2"/>
      <w:bookmarkStart w:id="103" w:name="_Toc31555_WPSOffice_Level2"/>
      <w:r>
        <w:rPr>
          <w:rFonts w:hint="eastAsia" w:ascii="宋体" w:hAnsi="宋体" w:eastAsia="宋体" w:cs="宋体"/>
          <w:color w:val="auto"/>
          <w:highlight w:val="none"/>
        </w:rPr>
        <w:t>服务需求响应表</w:t>
      </w:r>
      <w:bookmarkEnd w:id="102"/>
      <w:bookmarkEnd w:id="103"/>
    </w:p>
    <w:tbl>
      <w:tblPr>
        <w:tblStyle w:val="23"/>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97"/>
        <w:gridCol w:w="2097"/>
        <w:gridCol w:w="1100"/>
        <w:gridCol w:w="1148"/>
        <w:gridCol w:w="1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1" w:hRule="atLeast"/>
        </w:trPr>
        <w:tc>
          <w:tcPr>
            <w:tcW w:w="8516" w:type="dxa"/>
            <w:gridSpan w:val="5"/>
            <w:tcBorders>
              <w:top w:val="single" w:color="auto" w:sz="4" w:space="0"/>
              <w:left w:val="single" w:color="auto" w:sz="4" w:space="0"/>
              <w:bottom w:val="single" w:color="auto" w:sz="4" w:space="0"/>
              <w:right w:val="single" w:color="auto" w:sz="4" w:space="0"/>
            </w:tcBorders>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包号/品目号：</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7"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招标文件要求</w:t>
            </w:r>
          </w:p>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rPr>
              <w:t>重要提示：实质性要求及重要指标用★标注（“★”必须标注在序号前），★标注项不得负偏离，如果负偏离，则投标文件无效。</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响应内容</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偏离说明</w:t>
            </w: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证明资料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1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服务要求</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121" w:hRule="atLeast"/>
        </w:trPr>
        <w:tc>
          <w:tcPr>
            <w:tcW w:w="29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09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10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48"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c>
          <w:tcPr>
            <w:tcW w:w="117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hint="eastAsia" w:ascii="宋体" w:hAnsi="宋体" w:eastAsia="宋体" w:cs="宋体"/>
                <w:color w:val="auto"/>
                <w:highlight w:val="none"/>
              </w:rPr>
            </w:pPr>
          </w:p>
        </w:tc>
      </w:tr>
    </w:tbl>
    <w:p>
      <w:pPr>
        <w:ind w:firstLine="422" w:firstLineChars="200"/>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1．“投标文件响应内容”一栏由供应商按照招标文件要求填写并进行逐项响应。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ind w:firstLine="420" w:firstLineChars="20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 xml:space="preserve">供应商(单位公章): </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Fonts w:hint="eastAsia" w:ascii="宋体" w:hAnsi="宋体" w:eastAsia="宋体" w:cs="宋体"/>
          <w:color w:val="auto"/>
          <w:szCs w:val="28"/>
          <w:highlight w:val="none"/>
        </w:rPr>
      </w:pPr>
      <w:r>
        <w:rPr>
          <w:rFonts w:hint="eastAsia" w:ascii="宋体" w:hAnsi="宋体" w:eastAsia="宋体" w:cs="宋体"/>
          <w:b/>
          <w:color w:val="auto"/>
          <w:sz w:val="28"/>
          <w:szCs w:val="28"/>
          <w:highlight w:val="none"/>
        </w:rPr>
        <w:br w:type="page"/>
      </w:r>
      <w:r>
        <w:rPr>
          <w:rStyle w:val="36"/>
          <w:rFonts w:hint="eastAsia" w:ascii="宋体" w:hAnsi="宋体" w:eastAsia="宋体" w:cs="宋体"/>
          <w:color w:val="auto"/>
          <w:highlight w:val="none"/>
        </w:rPr>
        <w:t>格式13</w:t>
      </w:r>
    </w:p>
    <w:p>
      <w:pPr>
        <w:pStyle w:val="6"/>
        <w:rPr>
          <w:rFonts w:hint="eastAsia" w:ascii="宋体" w:hAnsi="宋体" w:eastAsia="宋体" w:cs="宋体"/>
          <w:color w:val="auto"/>
          <w:highlight w:val="none"/>
        </w:rPr>
      </w:pPr>
      <w:bookmarkStart w:id="104" w:name="_Toc8488_WPSOffice_Level2"/>
      <w:bookmarkStart w:id="105" w:name="_Toc4431_WPSOffice_Level2"/>
      <w:r>
        <w:rPr>
          <w:rFonts w:hint="eastAsia" w:ascii="宋体" w:hAnsi="宋体" w:eastAsia="宋体" w:cs="宋体"/>
          <w:color w:val="auto"/>
          <w:highlight w:val="none"/>
        </w:rPr>
        <w:t>商务条款偏离表</w:t>
      </w:r>
      <w:bookmarkEnd w:id="104"/>
      <w:bookmarkEnd w:id="105"/>
    </w:p>
    <w:p>
      <w:pPr>
        <w:adjustRightInd w:val="0"/>
        <w:snapToGrid w:val="0"/>
        <w:ind w:right="105" w:rightChars="50" w:firstLine="479" w:firstLineChars="227"/>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项目名称：                  项目编号：                包号：</w:t>
      </w:r>
    </w:p>
    <w:tbl>
      <w:tblPr>
        <w:tblStyle w:val="23"/>
        <w:tblW w:w="851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7"/>
        <w:gridCol w:w="3759"/>
        <w:gridCol w:w="2359"/>
        <w:gridCol w:w="1003"/>
        <w:gridCol w:w="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65"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招标文件的商务条款</w:t>
            </w:r>
          </w:p>
          <w:p>
            <w:pPr>
              <w:spacing w:line="300" w:lineRule="exact"/>
              <w:jc w:val="center"/>
              <w:rPr>
                <w:rFonts w:hint="eastAsia" w:ascii="宋体" w:hAnsi="宋体" w:eastAsia="宋体" w:cs="宋体"/>
                <w:color w:val="auto"/>
                <w:highlight w:val="none"/>
              </w:rPr>
            </w:pPr>
            <w:r>
              <w:rPr>
                <w:rFonts w:hint="eastAsia" w:ascii="宋体" w:hAnsi="宋体" w:eastAsia="宋体" w:cs="宋体"/>
                <w:b/>
                <w:bCs/>
                <w:color w:val="auto"/>
                <w:highlight w:val="none"/>
              </w:rPr>
              <w:t>（实质性要求及重要指标用★标注，★标注项不得负偏离，如果负偏离，则投标文件无效。）</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投标文件响应内容</w:t>
            </w:r>
          </w:p>
        </w:tc>
        <w:tc>
          <w:tcPr>
            <w:tcW w:w="100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偏离程度</w:t>
            </w:r>
          </w:p>
        </w:tc>
        <w:tc>
          <w:tcPr>
            <w:tcW w:w="84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759" w:type="dxa"/>
            <w:vAlign w:val="center"/>
          </w:tcPr>
          <w:p>
            <w:pPr>
              <w:spacing w:line="300" w:lineRule="exact"/>
              <w:jc w:val="left"/>
              <w:rPr>
                <w:rFonts w:hint="eastAsia" w:ascii="宋体" w:hAnsi="宋体" w:eastAsia="宋体" w:cs="宋体"/>
                <w:color w:val="auto"/>
                <w:highlight w:val="none"/>
                <w:lang w:val="en-US" w:eastAsia="zh-CN"/>
              </w:rPr>
            </w:pPr>
            <w:r>
              <w:rPr>
                <w:rFonts w:hint="eastAsia" w:ascii="宋体" w:hAnsi="宋体" w:eastAsia="宋体" w:cs="宋体"/>
                <w:color w:val="auto"/>
                <w:highlight w:val="none"/>
              </w:rPr>
              <w:t>★服务期：</w:t>
            </w:r>
            <w:r>
              <w:rPr>
                <w:rFonts w:hint="eastAsia" w:ascii="宋体" w:hAnsi="宋体" w:eastAsia="宋体" w:cs="宋体"/>
                <w:color w:val="auto"/>
                <w:highlight w:val="none"/>
                <w:lang w:eastAsia="zh-CN"/>
              </w:rPr>
              <w:t>一年。</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4"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★服务地点：采购人指定地点</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8" w:hRule="atLeast"/>
          <w:jc w:val="center"/>
        </w:trPr>
        <w:tc>
          <w:tcPr>
            <w:tcW w:w="54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759" w:type="dxa"/>
            <w:vAlign w:val="center"/>
          </w:tcPr>
          <w:p>
            <w:pPr>
              <w:spacing w:line="300" w:lineRule="exact"/>
              <w:jc w:val="left"/>
              <w:rPr>
                <w:rFonts w:hint="eastAsia" w:ascii="宋体" w:hAnsi="宋体" w:eastAsia="宋体" w:cs="宋体"/>
                <w:color w:val="auto"/>
                <w:highlight w:val="none"/>
              </w:rPr>
            </w:pPr>
            <w:r>
              <w:rPr>
                <w:rFonts w:hint="eastAsia" w:ascii="宋体" w:hAnsi="宋体" w:eastAsia="宋体" w:cs="宋体"/>
                <w:color w:val="auto"/>
                <w:highlight w:val="none"/>
              </w:rPr>
              <w:t>★付款方式及条件：以合同签订为准。</w:t>
            </w:r>
          </w:p>
        </w:tc>
        <w:tc>
          <w:tcPr>
            <w:tcW w:w="2359" w:type="dxa"/>
            <w:vAlign w:val="center"/>
          </w:tcPr>
          <w:p>
            <w:pPr>
              <w:adjustRightInd w:val="0"/>
              <w:snapToGrid w:val="0"/>
              <w:ind w:right="105" w:rightChars="50"/>
              <w:jc w:val="center"/>
              <w:rPr>
                <w:rFonts w:hint="eastAsia" w:ascii="宋体" w:hAnsi="宋体" w:eastAsia="宋体" w:cs="宋体"/>
                <w:color w:val="auto"/>
                <w:highlight w:val="none"/>
              </w:rPr>
            </w:pP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8" w:hRule="atLeast"/>
          <w:jc w:val="center"/>
        </w:trPr>
        <w:tc>
          <w:tcPr>
            <w:tcW w:w="547" w:type="dxa"/>
            <w:vAlign w:val="center"/>
          </w:tcPr>
          <w:p>
            <w:pPr>
              <w:spacing w:line="300" w:lineRule="exact"/>
              <w:jc w:val="center"/>
              <w:rPr>
                <w:rFonts w:hint="eastAsia" w:ascii="宋体" w:hAnsi="宋体" w:eastAsia="宋体" w:cs="宋体"/>
                <w:color w:val="auto"/>
                <w:highlight w:val="none"/>
              </w:rPr>
            </w:pPr>
          </w:p>
        </w:tc>
        <w:tc>
          <w:tcPr>
            <w:tcW w:w="37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其它</w:t>
            </w:r>
          </w:p>
        </w:tc>
        <w:tc>
          <w:tcPr>
            <w:tcW w:w="23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采购单位未提供需求而供应商认为需说明及补充的内容在此填列</w:t>
            </w:r>
          </w:p>
        </w:tc>
        <w:tc>
          <w:tcPr>
            <w:tcW w:w="1003" w:type="dxa"/>
            <w:vAlign w:val="center"/>
          </w:tcPr>
          <w:p>
            <w:pPr>
              <w:adjustRightInd w:val="0"/>
              <w:snapToGrid w:val="0"/>
              <w:ind w:right="105" w:rightChars="50"/>
              <w:jc w:val="center"/>
              <w:rPr>
                <w:rFonts w:hint="eastAsia" w:ascii="宋体" w:hAnsi="宋体" w:eastAsia="宋体" w:cs="宋体"/>
                <w:color w:val="auto"/>
                <w:highlight w:val="none"/>
              </w:rPr>
            </w:pPr>
          </w:p>
        </w:tc>
        <w:tc>
          <w:tcPr>
            <w:tcW w:w="845" w:type="dxa"/>
            <w:vAlign w:val="center"/>
          </w:tcPr>
          <w:p>
            <w:pPr>
              <w:adjustRightInd w:val="0"/>
              <w:snapToGrid w:val="0"/>
              <w:ind w:right="105" w:rightChars="50"/>
              <w:jc w:val="center"/>
              <w:rPr>
                <w:rFonts w:hint="eastAsia" w:ascii="宋体" w:hAnsi="宋体" w:eastAsia="宋体" w:cs="宋体"/>
                <w:color w:val="auto"/>
                <w:highlight w:val="none"/>
              </w:rPr>
            </w:pPr>
          </w:p>
        </w:tc>
      </w:tr>
    </w:tbl>
    <w:p>
      <w:pPr>
        <w:tabs>
          <w:tab w:val="left" w:pos="364"/>
        </w:tabs>
        <w:rPr>
          <w:rFonts w:hint="eastAsia" w:ascii="宋体" w:hAnsi="宋体" w:eastAsia="宋体" w:cs="宋体"/>
          <w:b/>
          <w:bCs/>
          <w:color w:val="auto"/>
          <w:highlight w:val="none"/>
        </w:rPr>
      </w:pPr>
      <w:r>
        <w:rPr>
          <w:rFonts w:hint="eastAsia" w:ascii="宋体" w:hAnsi="宋体" w:eastAsia="宋体" w:cs="宋体"/>
          <w:b/>
          <w:bCs/>
          <w:color w:val="auto"/>
          <w:highlight w:val="none"/>
        </w:rPr>
        <w:t>填表要求：</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1．“投标文件响应内容”一栏由供应商按照招标文件要求填写，进行响应。</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2．“偏离程度”一栏根据“投标文件响应内容”与招标文件逐项对照的结果填写。偏离必须用 “正偏离、负偏离或无偏离”三个名称中的一种进行标注。</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3．“说明”一栏由供应商对偏离的情况做详细说明。</w:t>
      </w:r>
    </w:p>
    <w:p>
      <w:pPr>
        <w:pStyle w:val="32"/>
        <w:ind w:firstLine="420"/>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pStyle w:val="32"/>
        <w:ind w:firstLine="420"/>
        <w:rPr>
          <w:rFonts w:hint="eastAsia" w:ascii="宋体" w:hAnsi="宋体" w:eastAsia="宋体" w:cs="宋体"/>
          <w:color w:val="auto"/>
          <w:highlight w:val="none"/>
        </w:rPr>
      </w:pPr>
    </w:p>
    <w:p>
      <w:pPr>
        <w:ind w:firstLine="420" w:firstLineChars="200"/>
        <w:rPr>
          <w:rStyle w:val="36"/>
          <w:rFonts w:hint="eastAsia" w:ascii="宋体" w:hAnsi="宋体" w:eastAsia="宋体" w:cs="宋体"/>
          <w:color w:val="auto"/>
          <w:highlight w:val="none"/>
        </w:rPr>
      </w:pPr>
      <w:r>
        <w:rPr>
          <w:rFonts w:hint="eastAsia" w:ascii="宋体" w:hAnsi="宋体" w:eastAsia="宋体" w:cs="宋体"/>
          <w:color w:val="auto"/>
          <w:highlight w:val="none"/>
        </w:rPr>
        <w:t xml:space="preserve">法定代表人（或非法人组织负责人）或其授权委托人(签字或盖章): </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br w:type="page"/>
      </w:r>
      <w:r>
        <w:rPr>
          <w:rStyle w:val="36"/>
          <w:rFonts w:hint="eastAsia" w:ascii="宋体" w:hAnsi="宋体" w:eastAsia="宋体" w:cs="宋体"/>
          <w:color w:val="auto"/>
          <w:highlight w:val="none"/>
        </w:rPr>
        <w:t>格式14</w:t>
      </w:r>
    </w:p>
    <w:p>
      <w:pPr>
        <w:pStyle w:val="7"/>
        <w:jc w:val="center"/>
        <w:rPr>
          <w:rFonts w:hint="eastAsia" w:ascii="宋体" w:hAnsi="宋体" w:eastAsia="宋体" w:cs="宋体"/>
          <w:color w:val="auto"/>
          <w:highlight w:val="none"/>
        </w:rPr>
      </w:pPr>
      <w:r>
        <w:rPr>
          <w:rFonts w:hint="eastAsia" w:ascii="宋体" w:hAnsi="宋体" w:eastAsia="宋体" w:cs="宋体"/>
          <w:color w:val="auto"/>
          <w:highlight w:val="none"/>
        </w:rPr>
        <w:t>供应商关联单位的说明</w:t>
      </w:r>
    </w:p>
    <w:p>
      <w:pPr>
        <w:adjustRightInd w:val="0"/>
        <w:snapToGrid w:val="0"/>
        <w:ind w:right="105" w:rightChars="50" w:firstLine="476" w:firstLineChars="227"/>
        <w:jc w:val="left"/>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供应商应当如实披露与本单位存在下列关联关系的单位名称：</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（1）与供应商单位法定代表人（或非法人组织负责人）为同一人的其他单位；</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（2）与供应商存在直接控股、管理关系的其他单位。</w:t>
      </w:r>
    </w:p>
    <w:p>
      <w:pPr>
        <w:spacing w:line="300" w:lineRule="exact"/>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☐存在：</w:t>
      </w:r>
    </w:p>
    <w:p>
      <w:pPr>
        <w:pStyle w:val="32"/>
        <w:ind w:firstLine="420"/>
        <w:rPr>
          <w:rFonts w:hint="eastAsia" w:ascii="宋体" w:hAnsi="宋体" w:eastAsia="宋体" w:cs="宋体"/>
          <w:color w:val="auto"/>
          <w:highlight w:val="none"/>
        </w:rPr>
      </w:pPr>
      <w:r>
        <w:rPr>
          <w:rFonts w:hint="eastAsia" w:ascii="宋体" w:hAnsi="宋体" w:eastAsia="宋体" w:cs="宋体"/>
          <w:color w:val="auto"/>
          <w:highlight w:val="none"/>
        </w:rPr>
        <w:t>单位名称：</w:t>
      </w:r>
      <w:r>
        <w:rPr>
          <w:rFonts w:hint="eastAsia" w:ascii="宋体" w:hAnsi="宋体" w:eastAsia="宋体" w:cs="宋体"/>
          <w:color w:val="auto"/>
          <w:highlight w:val="none"/>
          <w:u w:val="single"/>
        </w:rPr>
        <w:t xml:space="preserve">                          </w:t>
      </w:r>
    </w:p>
    <w:p>
      <w:pPr>
        <w:ind w:firstLine="420" w:firstLineChars="200"/>
        <w:rPr>
          <w:rFonts w:hint="eastAsia" w:ascii="宋体" w:hAnsi="宋体" w:eastAsia="宋体" w:cs="宋体"/>
          <w:color w:val="auto"/>
          <w:kern w:val="0"/>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☐不存在。</w:t>
      </w:r>
    </w:p>
    <w:p>
      <w:pPr>
        <w:adjustRightInd w:val="0"/>
        <w:snapToGrid w:val="0"/>
        <w:ind w:right="105" w:rightChars="50" w:firstLine="476" w:firstLineChars="227"/>
        <w:jc w:val="left"/>
        <w:rPr>
          <w:rFonts w:hint="eastAsia" w:ascii="宋体" w:hAnsi="宋体" w:eastAsia="宋体" w:cs="宋体"/>
          <w:color w:val="auto"/>
          <w:highlight w:val="none"/>
        </w:rPr>
      </w:pPr>
    </w:p>
    <w:p>
      <w:pPr>
        <w:pStyle w:val="32"/>
        <w:ind w:firstLine="420"/>
        <w:rPr>
          <w:rFonts w:hint="eastAsia" w:ascii="宋体" w:hAnsi="宋体" w:eastAsia="宋体" w:cs="宋体"/>
          <w:color w:val="auto"/>
          <w:highlight w:val="none"/>
        </w:rPr>
      </w:pP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供应商(单位公章)：</w:t>
      </w:r>
      <w:r>
        <w:rPr>
          <w:rFonts w:hint="eastAsia" w:ascii="宋体" w:hAnsi="宋体" w:eastAsia="宋体" w:cs="宋体"/>
          <w:color w:val="auto"/>
          <w:highlight w:val="none"/>
          <w:u w:val="single"/>
        </w:rPr>
        <w:t xml:space="preserve">               </w:t>
      </w:r>
    </w:p>
    <w:p>
      <w:pPr>
        <w:adjustRightInd w:val="0"/>
        <w:snapToGrid w:val="0"/>
        <w:ind w:firstLine="420" w:firstLineChars="200"/>
        <w:jc w:val="left"/>
        <w:rPr>
          <w:rFonts w:hint="eastAsia" w:ascii="宋体" w:hAnsi="宋体" w:eastAsia="宋体" w:cs="宋体"/>
          <w:color w:val="auto"/>
          <w:highlight w:val="none"/>
          <w:u w:val="single"/>
        </w:rPr>
      </w:pPr>
      <w:r>
        <w:rPr>
          <w:rFonts w:hint="eastAsia" w:ascii="宋体" w:hAnsi="宋体" w:eastAsia="宋体" w:cs="宋体"/>
          <w:color w:val="auto"/>
          <w:highlight w:val="none"/>
        </w:rPr>
        <w:t>法定代表人（或非法人组织负责人）或其授权委托人(签字或盖章)：</w:t>
      </w:r>
      <w:r>
        <w:rPr>
          <w:rFonts w:hint="eastAsia" w:ascii="宋体" w:hAnsi="宋体" w:eastAsia="宋体" w:cs="宋体"/>
          <w:color w:val="auto"/>
          <w:highlight w:val="none"/>
          <w:u w:val="single"/>
        </w:rPr>
        <w:t xml:space="preserve">               </w:t>
      </w:r>
    </w:p>
    <w:p>
      <w:pPr>
        <w:rPr>
          <w:rStyle w:val="36"/>
          <w:rFonts w:hint="eastAsia" w:ascii="宋体" w:hAnsi="宋体" w:eastAsia="宋体" w:cs="宋体"/>
          <w:color w:val="auto"/>
          <w:highlight w:val="none"/>
        </w:rPr>
      </w:pPr>
      <w:r>
        <w:rPr>
          <w:rStyle w:val="36"/>
          <w:rFonts w:hint="eastAsia" w:ascii="宋体" w:hAnsi="宋体" w:eastAsia="宋体" w:cs="宋体"/>
          <w:color w:val="auto"/>
          <w:highlight w:val="none"/>
        </w:rPr>
        <w:br w:type="page"/>
      </w: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格式15</w:t>
      </w:r>
    </w:p>
    <w:p>
      <w:pPr>
        <w:pStyle w:val="6"/>
        <w:rPr>
          <w:rFonts w:hint="eastAsia" w:ascii="宋体" w:hAnsi="宋体" w:eastAsia="宋体" w:cs="宋体"/>
          <w:color w:val="auto"/>
          <w:highlight w:val="none"/>
        </w:rPr>
      </w:pPr>
      <w:r>
        <w:rPr>
          <w:rFonts w:hint="eastAsia" w:ascii="宋体" w:hAnsi="宋体" w:eastAsia="宋体" w:cs="宋体"/>
          <w:color w:val="auto"/>
          <w:highlight w:val="none"/>
        </w:rPr>
        <w:t>中小企业声明函（工程、服务）</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本公司（联合体）郑重声明，根据《政府采购促进中小企业发展管理办法》（财库﹝2020﹞46 号）的规定，本公司参加</w:t>
      </w:r>
      <w:r>
        <w:rPr>
          <w:rFonts w:hint="eastAsia" w:ascii="宋体" w:hAnsi="宋体" w:eastAsia="宋体" w:cs="宋体"/>
          <w:color w:val="auto"/>
          <w:spacing w:val="6"/>
          <w:highlight w:val="none"/>
          <w:u w:val="single"/>
        </w:rPr>
        <w:t>（单位名称）</w:t>
      </w:r>
      <w:r>
        <w:rPr>
          <w:rFonts w:hint="eastAsia" w:ascii="宋体" w:hAnsi="宋体" w:eastAsia="宋体" w:cs="宋体"/>
          <w:color w:val="auto"/>
          <w:spacing w:val="6"/>
          <w:highlight w:val="none"/>
        </w:rPr>
        <w:t>的</w:t>
      </w:r>
      <w:r>
        <w:rPr>
          <w:rFonts w:hint="eastAsia" w:ascii="宋体" w:hAnsi="宋体" w:eastAsia="宋体" w:cs="宋体"/>
          <w:color w:val="auto"/>
          <w:spacing w:val="6"/>
          <w:highlight w:val="none"/>
          <w:u w:val="single"/>
        </w:rPr>
        <w:t>（项目名称）</w:t>
      </w:r>
      <w:r>
        <w:rPr>
          <w:rFonts w:hint="eastAsia" w:ascii="宋体" w:hAnsi="宋体" w:eastAsia="宋体" w:cs="宋体"/>
          <w:color w:val="auto"/>
          <w:spacing w:val="6"/>
          <w:highlight w:val="none"/>
        </w:rPr>
        <w:t>采购活动，工程的施工单位全部为符合政策要求的中小企业（或者：服务全部由符合政策要求的中小企业承接）。相关企业（含联合体中的中小企业、签订分包意向协议的中小企业）的具体情况如下：</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1.</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万元，属于</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2.</w:t>
      </w:r>
      <w:r>
        <w:rPr>
          <w:rFonts w:hint="eastAsia" w:ascii="宋体" w:hAnsi="宋体" w:eastAsia="宋体" w:cs="宋体"/>
          <w:color w:val="auto"/>
          <w:spacing w:val="6"/>
          <w:highlight w:val="none"/>
          <w:u w:val="single"/>
        </w:rPr>
        <w:t>（标的名称）</w:t>
      </w:r>
      <w:r>
        <w:rPr>
          <w:rFonts w:hint="eastAsia" w:ascii="宋体" w:hAnsi="宋体" w:eastAsia="宋体" w:cs="宋体"/>
          <w:color w:val="auto"/>
          <w:spacing w:val="6"/>
          <w:highlight w:val="none"/>
        </w:rPr>
        <w:t>，属于</w:t>
      </w:r>
      <w:r>
        <w:rPr>
          <w:rFonts w:hint="eastAsia" w:ascii="宋体" w:hAnsi="宋体" w:eastAsia="宋体" w:cs="宋体"/>
          <w:color w:val="auto"/>
          <w:spacing w:val="6"/>
          <w:highlight w:val="none"/>
          <w:u w:val="single"/>
        </w:rPr>
        <w:t>（采购文件中明确的所属行业）</w:t>
      </w:r>
      <w:r>
        <w:rPr>
          <w:rFonts w:hint="eastAsia" w:ascii="宋体" w:hAnsi="宋体" w:eastAsia="宋体" w:cs="宋体"/>
          <w:color w:val="auto"/>
          <w:spacing w:val="6"/>
          <w:highlight w:val="none"/>
        </w:rPr>
        <w:t>；承接企业为</w:t>
      </w:r>
      <w:r>
        <w:rPr>
          <w:rFonts w:hint="eastAsia" w:ascii="宋体" w:hAnsi="宋体" w:eastAsia="宋体" w:cs="宋体"/>
          <w:color w:val="auto"/>
          <w:spacing w:val="6"/>
          <w:highlight w:val="none"/>
          <w:u w:val="single"/>
        </w:rPr>
        <w:t>（企业名称）</w:t>
      </w:r>
      <w:r>
        <w:rPr>
          <w:rFonts w:hint="eastAsia" w:ascii="宋体" w:hAnsi="宋体" w:eastAsia="宋体" w:cs="宋体"/>
          <w:color w:val="auto"/>
          <w:spacing w:val="6"/>
          <w:highlight w:val="none"/>
        </w:rPr>
        <w:t>，从业人员</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人，营业收入为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万元，资产总额为</w:t>
      </w:r>
      <w:r>
        <w:rPr>
          <w:rFonts w:hint="eastAsia" w:ascii="宋体" w:hAnsi="宋体" w:eastAsia="宋体" w:cs="宋体"/>
          <w:color w:val="auto"/>
          <w:spacing w:val="6"/>
          <w:highlight w:val="none"/>
          <w:u w:val="single"/>
        </w:rPr>
        <w:t xml:space="preserve">   </w:t>
      </w:r>
      <w:r>
        <w:rPr>
          <w:rFonts w:hint="eastAsia" w:ascii="宋体" w:hAnsi="宋体" w:eastAsia="宋体" w:cs="宋体"/>
          <w:color w:val="auto"/>
          <w:spacing w:val="6"/>
          <w:highlight w:val="none"/>
        </w:rPr>
        <w:t xml:space="preserve">万元，属于（中型企业、小型企业、微型企业）；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以上企业，不属于大企业的分支机构，不存在控股股东为大企业的情形，也不存在与大企业的负责人为同一人的情形。</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本企业对上述声明内容的真实性负责。如有虚假，将依法承担相应责任。 </w:t>
      </w: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 xml:space="preserve">企业名称（盖章）： </w:t>
      </w:r>
    </w:p>
    <w:p>
      <w:pPr>
        <w:ind w:firstLine="444" w:firstLineChars="200"/>
        <w:rPr>
          <w:rFonts w:hint="eastAsia" w:ascii="宋体" w:hAnsi="宋体" w:eastAsia="宋体" w:cs="宋体"/>
          <w:color w:val="auto"/>
          <w:spacing w:val="6"/>
          <w:highlight w:val="none"/>
        </w:rPr>
      </w:pPr>
      <w:r>
        <w:rPr>
          <w:rFonts w:hint="eastAsia" w:ascii="宋体" w:hAnsi="宋体" w:eastAsia="宋体" w:cs="宋体"/>
          <w:color w:val="auto"/>
          <w:spacing w:val="6"/>
          <w:highlight w:val="none"/>
        </w:rPr>
        <w:t>日 期：</w:t>
      </w: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18"/>
        <w:rPr>
          <w:rFonts w:hint="eastAsia" w:ascii="宋体" w:hAnsi="宋体" w:eastAsia="宋体" w:cs="宋体"/>
          <w:color w:val="auto"/>
          <w:highlight w:val="none"/>
        </w:rPr>
      </w:pPr>
      <w:r>
        <w:rPr>
          <w:rFonts w:hint="eastAsia" w:ascii="宋体" w:hAnsi="宋体" w:eastAsia="宋体" w:cs="宋体"/>
          <w:color w:val="auto"/>
          <w:highlight w:val="none"/>
        </w:rPr>
        <w:t xml:space="preserve"> </w:t>
      </w:r>
      <w:r>
        <w:rPr>
          <w:rFonts w:hint="eastAsia" w:ascii="宋体" w:hAnsi="宋体" w:eastAsia="宋体" w:cs="宋体"/>
          <w:i/>
          <w:iCs/>
          <w:color w:val="auto"/>
          <w:highlight w:val="none"/>
        </w:rPr>
        <w:t>从业人员、营业收入、资产总额填报上一年度数据，无上一年度数据的新成立企业可不填报。</w:t>
      </w: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pPr>
    </w:p>
    <w:p>
      <w:pPr>
        <w:pStyle w:val="32"/>
        <w:ind w:firstLine="444"/>
        <w:rPr>
          <w:rFonts w:hint="eastAsia" w:ascii="宋体" w:hAnsi="宋体" w:eastAsia="宋体" w:cs="宋体"/>
          <w:color w:val="auto"/>
          <w:spacing w:val="6"/>
          <w:highlight w:val="none"/>
        </w:rPr>
        <w:sectPr>
          <w:pgSz w:w="11906" w:h="16838"/>
          <w:pgMar w:top="1440" w:right="1803" w:bottom="1440" w:left="1803" w:header="851" w:footer="992" w:gutter="0"/>
          <w:cols w:space="720" w:num="1"/>
          <w:docGrid w:linePitch="319" w:charSpace="0"/>
        </w:sectPr>
      </w:pPr>
    </w:p>
    <w:p>
      <w:pPr>
        <w:pStyle w:val="7"/>
        <w:spacing w:before="0" w:after="0"/>
        <w:rPr>
          <w:rFonts w:hint="eastAsia" w:ascii="宋体" w:hAnsi="宋体" w:eastAsia="宋体" w:cs="宋体"/>
          <w:color w:val="auto"/>
          <w:highlight w:val="none"/>
        </w:rPr>
      </w:pPr>
      <w:r>
        <w:rPr>
          <w:rFonts w:hint="eastAsia" w:ascii="宋体" w:hAnsi="宋体" w:eastAsia="宋体" w:cs="宋体"/>
          <w:color w:val="auto"/>
          <w:highlight w:val="none"/>
        </w:rPr>
        <w:t>格式16</w:t>
      </w:r>
    </w:p>
    <w:p>
      <w:pPr>
        <w:pStyle w:val="6"/>
        <w:rPr>
          <w:rFonts w:hint="eastAsia" w:ascii="宋体" w:hAnsi="宋体" w:eastAsia="宋体" w:cs="宋体"/>
          <w:color w:val="auto"/>
          <w:szCs w:val="21"/>
          <w:highlight w:val="none"/>
        </w:rPr>
      </w:pPr>
      <w:bookmarkStart w:id="106" w:name="_Toc29880_WPSOffice_Level2"/>
      <w:bookmarkStart w:id="107" w:name="_Toc13566_WPSOffice_Level2"/>
      <w:r>
        <w:rPr>
          <w:rFonts w:hint="eastAsia" w:ascii="宋体" w:hAnsi="宋体" w:eastAsia="宋体" w:cs="宋体"/>
          <w:color w:val="auto"/>
          <w:highlight w:val="none"/>
        </w:rPr>
        <w:t>残疾人福利性单位声明函</w:t>
      </w:r>
      <w:bookmarkEnd w:id="106"/>
      <w:bookmarkEnd w:id="107"/>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本单位郑重声明，根据《财政部 民政部 中国残疾人联合会关于促进残疾人就业政府采购政策的通知》（财库〔2017〕141 号）的规定，本单位为符合条件的残疾人福利性单位，且本单位参加</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单位的</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项目采购活动，由本单位提供</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（服务或货物），或者提供其他残疾人福利性单位制造的货物（不包括使用非残疾人福利性单位注册商标的货物）。</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本单位对上述声明的真实性负责。如有虚假，将依法承担相应责任。</w:t>
      </w:r>
    </w:p>
    <w:tbl>
      <w:tblPr>
        <w:tblStyle w:val="23"/>
        <w:tblpPr w:leftFromText="180" w:rightFromText="180" w:vertAnchor="text" w:horzAnchor="page" w:tblpX="1873" w:tblpY="403"/>
        <w:tblOverlap w:val="never"/>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4"/>
        <w:gridCol w:w="1617"/>
        <w:gridCol w:w="1623"/>
        <w:gridCol w:w="1459"/>
        <w:gridCol w:w="1459"/>
        <w:gridCol w:w="13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5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1617"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品  名</w:t>
            </w:r>
          </w:p>
        </w:tc>
        <w:tc>
          <w:tcPr>
            <w:tcW w:w="1623"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数量</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规格</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型号</w:t>
            </w:r>
          </w:p>
        </w:tc>
        <w:tc>
          <w:tcPr>
            <w:tcW w:w="1459"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生产</w:t>
            </w:r>
          </w:p>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厂家</w:t>
            </w:r>
          </w:p>
        </w:tc>
        <w:tc>
          <w:tcPr>
            <w:tcW w:w="1381"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974"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w:t>
            </w:r>
          </w:p>
        </w:tc>
        <w:tc>
          <w:tcPr>
            <w:tcW w:w="1617" w:type="dxa"/>
            <w:vAlign w:val="center"/>
          </w:tcPr>
          <w:p>
            <w:pPr>
              <w:spacing w:line="300" w:lineRule="exact"/>
              <w:jc w:val="center"/>
              <w:rPr>
                <w:rFonts w:hint="eastAsia" w:ascii="宋体" w:hAnsi="宋体" w:eastAsia="宋体" w:cs="宋体"/>
                <w:color w:val="auto"/>
                <w:highlight w:val="none"/>
              </w:rPr>
            </w:pPr>
          </w:p>
        </w:tc>
        <w:tc>
          <w:tcPr>
            <w:tcW w:w="1623"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459" w:type="dxa"/>
            <w:vAlign w:val="center"/>
          </w:tcPr>
          <w:p>
            <w:pPr>
              <w:spacing w:line="300" w:lineRule="exact"/>
              <w:jc w:val="center"/>
              <w:rPr>
                <w:rFonts w:hint="eastAsia" w:ascii="宋体" w:hAnsi="宋体" w:eastAsia="宋体" w:cs="宋体"/>
                <w:color w:val="auto"/>
                <w:highlight w:val="none"/>
              </w:rPr>
            </w:pPr>
          </w:p>
        </w:tc>
        <w:tc>
          <w:tcPr>
            <w:tcW w:w="1381" w:type="dxa"/>
            <w:vAlign w:val="center"/>
          </w:tcPr>
          <w:p>
            <w:pPr>
              <w:spacing w:line="300" w:lineRule="exact"/>
              <w:jc w:val="center"/>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5" w:hRule="atLeast"/>
        </w:trPr>
        <w:tc>
          <w:tcPr>
            <w:tcW w:w="8513" w:type="dxa"/>
            <w:gridSpan w:val="6"/>
            <w:vAlign w:val="center"/>
          </w:tcPr>
          <w:p>
            <w:pPr>
              <w:spacing w:line="300" w:lineRule="exact"/>
              <w:rPr>
                <w:rFonts w:hint="eastAsia" w:ascii="宋体" w:hAnsi="宋体" w:eastAsia="宋体" w:cs="宋体"/>
                <w:color w:val="auto"/>
                <w:highlight w:val="none"/>
              </w:rPr>
            </w:pPr>
            <w:r>
              <w:rPr>
                <w:rFonts w:hint="eastAsia" w:ascii="宋体" w:hAnsi="宋体" w:eastAsia="宋体" w:cs="宋体"/>
                <w:b/>
                <w:bCs/>
                <w:color w:val="auto"/>
                <w:highlight w:val="none"/>
                <w:lang w:val="zh-CN"/>
              </w:rPr>
              <w:t>投标文件中所提供投标的以上伴随产品为我单位生产的产品，</w:t>
            </w:r>
            <w:r>
              <w:rPr>
                <w:rFonts w:hint="eastAsia" w:ascii="宋体" w:hAnsi="宋体" w:eastAsia="宋体" w:cs="宋体"/>
                <w:b/>
                <w:bCs/>
                <w:color w:val="auto"/>
                <w:highlight w:val="none"/>
              </w:rPr>
              <w:t>如有虚假</w:t>
            </w:r>
            <w:r>
              <w:rPr>
                <w:rFonts w:hint="eastAsia" w:ascii="宋体" w:hAnsi="宋体" w:eastAsia="宋体" w:cs="宋体"/>
                <w:b/>
                <w:bCs/>
                <w:color w:val="auto"/>
                <w:highlight w:val="none"/>
                <w:lang w:val="zh-CN"/>
              </w:rPr>
              <w:t>，我单位承担由此产生的一切后果。</w:t>
            </w:r>
          </w:p>
        </w:tc>
      </w:tr>
    </w:tbl>
    <w:p>
      <w:pPr>
        <w:rPr>
          <w:rFonts w:hint="eastAsia" w:ascii="宋体" w:hAnsi="宋体" w:eastAsia="宋体" w:cs="宋体"/>
          <w:color w:val="auto"/>
          <w:highlight w:val="none"/>
        </w:rPr>
      </w:pPr>
      <w:r>
        <w:rPr>
          <w:rFonts w:hint="eastAsia" w:ascii="宋体" w:hAnsi="宋体" w:eastAsia="宋体" w:cs="宋体"/>
          <w:color w:val="auto"/>
          <w:highlight w:val="none"/>
        </w:rPr>
        <w:t>注：1、供应商为非残疾人福利性单位的，无需填写此声明函。</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2、仅为本项目提供服务，未提供服务所伴随产品的，此表格可不填写。</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3、如为本项目提供本单位伴随产品的，请填写此表格。</w:t>
      </w:r>
    </w:p>
    <w:p>
      <w:pPr>
        <w:rPr>
          <w:rFonts w:hint="eastAsia" w:ascii="宋体" w:hAnsi="宋体" w:eastAsia="宋体" w:cs="宋体"/>
          <w:color w:val="auto"/>
          <w:highlight w:val="none"/>
        </w:rPr>
      </w:pPr>
      <w:r>
        <w:rPr>
          <w:rFonts w:hint="eastAsia" w:ascii="宋体" w:hAnsi="宋体" w:eastAsia="宋体" w:cs="宋体"/>
          <w:color w:val="auto"/>
          <w:highlight w:val="none"/>
        </w:rPr>
        <w:t xml:space="preserve">    4、如为本项目提供的伴随产品是其他单位生产的，无需填写此表格，但需生产单位按此格式出具此声明。</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供应商名称（单位公章）：</w:t>
      </w:r>
    </w:p>
    <w:p>
      <w:pPr>
        <w:ind w:firstLine="420" w:firstLineChars="200"/>
        <w:rPr>
          <w:rFonts w:hint="eastAsia" w:ascii="宋体" w:hAnsi="宋体" w:eastAsia="宋体" w:cs="宋体"/>
          <w:color w:val="auto"/>
          <w:highlight w:val="none"/>
        </w:rPr>
        <w:sectPr>
          <w:pgSz w:w="11906" w:h="16838"/>
          <w:pgMar w:top="1440" w:right="1803" w:bottom="1440" w:left="1803" w:header="851" w:footer="992" w:gutter="0"/>
          <w:cols w:space="720" w:num="1"/>
          <w:docGrid w:linePitch="319" w:charSpace="0"/>
        </w:sectPr>
      </w:pPr>
      <w:r>
        <w:rPr>
          <w:rFonts w:hint="eastAsia" w:ascii="宋体" w:hAnsi="宋体" w:eastAsia="宋体" w:cs="宋体"/>
          <w:color w:val="auto"/>
          <w:highlight w:val="none"/>
        </w:rPr>
        <w:t xml:space="preserve">日 期：              </w:t>
      </w:r>
    </w:p>
    <w:p>
      <w:pPr>
        <w:pStyle w:val="7"/>
        <w:spacing w:before="0" w:after="0"/>
        <w:rPr>
          <w:rFonts w:hint="eastAsia" w:ascii="宋体" w:hAnsi="宋体" w:eastAsia="宋体" w:cs="宋体"/>
          <w:color w:val="auto"/>
          <w:szCs w:val="21"/>
          <w:highlight w:val="none"/>
        </w:rPr>
      </w:pPr>
      <w:r>
        <w:rPr>
          <w:rFonts w:hint="eastAsia" w:ascii="宋体" w:hAnsi="宋体" w:eastAsia="宋体" w:cs="宋体"/>
          <w:color w:val="auto"/>
          <w:highlight w:val="none"/>
        </w:rPr>
        <w:t>格式17</w:t>
      </w:r>
    </w:p>
    <w:p>
      <w:pPr>
        <w:pStyle w:val="6"/>
        <w:rPr>
          <w:rFonts w:hint="eastAsia" w:ascii="宋体" w:hAnsi="宋体" w:eastAsia="宋体" w:cs="宋体"/>
          <w:color w:val="auto"/>
          <w:sz w:val="24"/>
          <w:highlight w:val="none"/>
        </w:rPr>
      </w:pPr>
      <w:r>
        <w:rPr>
          <w:rFonts w:hint="eastAsia" w:ascii="宋体" w:hAnsi="宋体" w:eastAsia="宋体" w:cs="宋体"/>
          <w:color w:val="auto"/>
          <w:highlight w:val="none"/>
        </w:rPr>
        <w:t>监狱企业证明材料</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供应商符合《关于政府采购支持监狱企业发展有关问题的通知》财库〔2014〕68号文件规定的，监狱企业视同小型、微型企业。监狱企业属于小型、微型企业的，不重复享受政策。</w:t>
      </w: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提供由省级以上监狱管理局、戒毒管理局(含新疆生产建设兵团)出具的属于监狱企业的证明文件。</w:t>
      </w:r>
    </w:p>
    <w:p>
      <w:pPr>
        <w:ind w:firstLine="420" w:firstLineChars="200"/>
        <w:rPr>
          <w:rFonts w:hint="eastAsia" w:ascii="宋体" w:hAnsi="宋体" w:eastAsia="宋体" w:cs="宋体"/>
          <w:color w:val="auto"/>
          <w:highlight w:val="none"/>
        </w:rPr>
      </w:pPr>
    </w:p>
    <w:p>
      <w:pPr>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特此承诺</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供应商：               （盖单位章）</w:t>
      </w:r>
    </w:p>
    <w:p>
      <w:pPr>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法定代表人或其委托代理人：         （签字或盖章）</w:t>
      </w:r>
    </w:p>
    <w:p>
      <w:pPr>
        <w:ind w:firstLine="409" w:firstLineChars="195"/>
        <w:jc w:val="left"/>
        <w:rPr>
          <w:rFonts w:hint="eastAsia" w:ascii="宋体" w:hAnsi="宋体" w:eastAsia="宋体" w:cs="宋体"/>
          <w:color w:val="auto"/>
          <w:highlight w:val="none"/>
        </w:rPr>
      </w:pP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年</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月</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日</w:t>
      </w:r>
    </w:p>
    <w:p>
      <w:pPr>
        <w:pStyle w:val="32"/>
        <w:ind w:firstLine="480"/>
        <w:rPr>
          <w:rFonts w:hint="eastAsia" w:ascii="宋体" w:hAnsi="宋体" w:eastAsia="宋体" w:cs="宋体"/>
          <w:color w:val="auto"/>
          <w:sz w:val="24"/>
          <w:szCs w:val="24"/>
          <w:highlight w:val="none"/>
        </w:rPr>
      </w:pPr>
    </w:p>
    <w:p>
      <w:pPr>
        <w:pStyle w:val="32"/>
        <w:ind w:firstLine="480"/>
        <w:rPr>
          <w:rFonts w:hint="eastAsia" w:ascii="宋体" w:hAnsi="宋体" w:eastAsia="宋体" w:cs="宋体"/>
          <w:color w:val="auto"/>
          <w:sz w:val="24"/>
          <w:szCs w:val="24"/>
          <w:highlight w:val="none"/>
        </w:rPr>
      </w:pPr>
    </w:p>
    <w:p>
      <w:pPr>
        <w:pStyle w:val="32"/>
        <w:ind w:firstLine="480"/>
        <w:rPr>
          <w:rFonts w:hint="eastAsia" w:ascii="宋体" w:hAnsi="宋体" w:eastAsia="宋体" w:cs="宋体"/>
          <w:color w:val="auto"/>
          <w:sz w:val="24"/>
          <w:szCs w:val="24"/>
          <w:highlight w:val="none"/>
        </w:rPr>
      </w:pPr>
    </w:p>
    <w:p>
      <w:pPr>
        <w:spacing w:before="200" w:after="200"/>
        <w:jc w:val="center"/>
        <w:rPr>
          <w:rFonts w:hint="eastAsia" w:ascii="宋体" w:hAnsi="宋体" w:eastAsia="宋体" w:cs="宋体"/>
          <w:color w:val="auto"/>
          <w:highlight w:val="none"/>
        </w:rPr>
      </w:pPr>
      <w:r>
        <w:rPr>
          <w:rFonts w:hint="eastAsia" w:ascii="宋体" w:hAnsi="宋体" w:eastAsia="宋体" w:cs="宋体"/>
          <w:color w:val="auto"/>
          <w:sz w:val="24"/>
          <w:highlight w:val="none"/>
          <w:u w:val="single"/>
        </w:rPr>
        <w:br w:type="page"/>
      </w:r>
      <w:bookmarkStart w:id="108" w:name="_Toc4498_WPSOffice_Level1"/>
      <w:bookmarkStart w:id="109" w:name="_Toc18902"/>
      <w:bookmarkStart w:id="110" w:name="_Toc78902193"/>
      <w:r>
        <w:rPr>
          <w:rStyle w:val="34"/>
          <w:rFonts w:hint="eastAsia" w:ascii="宋体" w:hAnsi="宋体" w:eastAsia="宋体" w:cs="宋体"/>
          <w:color w:val="auto"/>
          <w:highlight w:val="none"/>
        </w:rPr>
        <w:t>第三章 服务需求</w:t>
      </w:r>
      <w:bookmarkEnd w:id="108"/>
      <w:bookmarkEnd w:id="109"/>
      <w:bookmarkEnd w:id="110"/>
    </w:p>
    <w:p>
      <w:pPr>
        <w:keepNext/>
        <w:keepLines/>
        <w:spacing w:line="360" w:lineRule="auto"/>
        <w:ind w:firstLine="482" w:firstLineChars="200"/>
        <w:outlineLvl w:val="0"/>
        <w:rPr>
          <w:rFonts w:ascii="宋体" w:hAnsi="宋体" w:eastAsia="宋体" w:cs="宋体"/>
          <w:b/>
          <w:kern w:val="44"/>
          <w:sz w:val="24"/>
          <w:szCs w:val="24"/>
        </w:rPr>
      </w:pPr>
      <w:bookmarkStart w:id="111" w:name="_Toc2821_WPSOffice_Level1"/>
      <w:bookmarkStart w:id="112" w:name="_Toc78902194"/>
      <w:r>
        <w:rPr>
          <w:rFonts w:hint="eastAsia" w:ascii="宋体" w:hAnsi="宋体" w:eastAsia="宋体" w:cs="宋体"/>
          <w:b/>
          <w:kern w:val="44"/>
          <w:sz w:val="24"/>
          <w:szCs w:val="24"/>
        </w:rPr>
        <w:t>1.项目概述</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1</w:t>
      </w:r>
      <w:r>
        <w:rPr>
          <w:rFonts w:ascii="宋体" w:hAnsi="宋体" w:eastAsia="宋体" w:cs="宋体"/>
          <w:b/>
          <w:kern w:val="2"/>
          <w:sz w:val="24"/>
          <w:szCs w:val="24"/>
        </w:rPr>
        <w:t>.1</w:t>
      </w:r>
      <w:r>
        <w:rPr>
          <w:rFonts w:hint="eastAsia" w:ascii="宋体" w:hAnsi="宋体" w:eastAsia="宋体" w:cs="宋体"/>
          <w:b/>
          <w:kern w:val="2"/>
          <w:sz w:val="24"/>
          <w:szCs w:val="24"/>
        </w:rPr>
        <w:t>项目背景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按照《国家税务总局关于印发省税务局网站建设管理规范的通知》（税总发〔2019〕78号）和《国务院办公厅关于印发政府网站发展指引的通知》（国办发〔2017〕47号）的安排部署，通过对黑龙江省税务局集约化站群系统的建设运维管理、内容页面优化、平台升级建设、安全补漏管理、管理机制构建、技术支持保障等方面进行规范建设，不断提升黑龙江省税务网上履职能力和服务水平，黑龙江省税务内外网站已成为更加全面的政务公开平台、更加权威的政策解读和舆论引导平台、更加及时的回应关切和便民服务平台、更加高效的指导工作和学习交流平台。</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为了进一步做好全省税务局内外网站的运维服务，保证内外网站全天候24小时不间断正常运行，需要做好黑龙江省税务局集约化站群系统应急安全保障、应用系统维护、系统扫描和安全加固、数据备份、服务器系统和应用软件的巡检和清理、网站页面新增、调整和错误修复、专题专栏建设、网站信息发布和数据统计</w:t>
      </w:r>
      <w:r>
        <w:rPr>
          <w:rFonts w:hint="eastAsia" w:ascii="宋体" w:hAnsi="宋体" w:cs="宋体"/>
          <w:sz w:val="24"/>
          <w:szCs w:val="24"/>
          <w:lang w:eastAsia="zh-CN"/>
        </w:rPr>
        <w:t>以及</w:t>
      </w:r>
      <w:r>
        <w:rPr>
          <w:rFonts w:hint="eastAsia" w:ascii="宋体" w:hAnsi="宋体" w:eastAsia="宋体" w:cs="宋体"/>
          <w:sz w:val="24"/>
          <w:szCs w:val="24"/>
        </w:rPr>
        <w:t>网站日常巡检等方面日常运维服务工作，提高内外网站工作的服务质量。国家税务总局黑龙江省税务局门户网站功能优化提升及系统运维服务项目，服务期至2024年3月30日。现需采购2024年度黑龙江省税务局系统运维服务。</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1</w:t>
      </w:r>
      <w:r>
        <w:rPr>
          <w:rFonts w:ascii="宋体" w:hAnsi="宋体" w:eastAsia="宋体" w:cs="宋体"/>
          <w:b/>
          <w:kern w:val="2"/>
          <w:sz w:val="24"/>
          <w:szCs w:val="24"/>
        </w:rPr>
        <w:t>.2</w:t>
      </w:r>
      <w:r>
        <w:rPr>
          <w:rFonts w:hint="eastAsia" w:ascii="宋体" w:hAnsi="宋体" w:eastAsia="宋体" w:cs="宋体"/>
          <w:b/>
          <w:kern w:val="2"/>
          <w:sz w:val="24"/>
          <w:szCs w:val="24"/>
        </w:rPr>
        <w:t>项目内容</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.2.1</w:t>
      </w:r>
      <w:r>
        <w:rPr>
          <w:rFonts w:hint="eastAsia" w:ascii="宋体" w:hAnsi="宋体" w:eastAsia="宋体" w:cs="宋体"/>
          <w:b/>
          <w:bCs/>
          <w:snapToGrid/>
          <w:kern w:val="2"/>
          <w:sz w:val="24"/>
          <w:szCs w:val="24"/>
        </w:rPr>
        <w:t>、项目建设目标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黑龙江省税务局网站群运维将根据《政府网站发展指引的通知》《省税务机关互联网网站评估指标》《省税务局网站建设管理规范》《政府网站与政务新媒体检查指标》《政府网站与政务新媒体监管工作年度考核指标》等文件，结合黑龙江省政府办公厅对政府网站运维要求和我局网站管理实际，以纳税人、缴费人和社会公众需求为导向，遵循</w:t>
      </w:r>
      <w:r>
        <w:rPr>
          <w:rFonts w:ascii="宋体" w:hAnsi="宋体" w:eastAsia="宋体" w:cs="宋体"/>
          <w:sz w:val="24"/>
          <w:szCs w:val="24"/>
        </w:rPr>
        <w:t>“</w:t>
      </w:r>
      <w:r>
        <w:rPr>
          <w:rFonts w:hint="eastAsia" w:ascii="宋体" w:hAnsi="宋体" w:eastAsia="宋体" w:cs="宋体"/>
          <w:sz w:val="24"/>
          <w:szCs w:val="24"/>
        </w:rPr>
        <w:t>集约建设、需求导向、统一标准、开放创新</w:t>
      </w:r>
      <w:r>
        <w:rPr>
          <w:rFonts w:ascii="宋体" w:hAnsi="宋体" w:eastAsia="宋体" w:cs="宋体"/>
          <w:sz w:val="24"/>
          <w:szCs w:val="24"/>
        </w:rPr>
        <w:t>”</w:t>
      </w:r>
      <w:r>
        <w:rPr>
          <w:rFonts w:hint="eastAsia" w:ascii="宋体" w:hAnsi="宋体" w:eastAsia="宋体" w:cs="宋体"/>
          <w:sz w:val="24"/>
          <w:szCs w:val="24"/>
        </w:rPr>
        <w:t>建设原则，将门户网站建设成为推行政务公开、开展税法宣传、服务纳税人缴费人、展示税务部门形象的重要窗口和平台，为纳税人、缴费人和社会公众提供全程、高效、便捷涉税服务的</w:t>
      </w:r>
      <w:r>
        <w:rPr>
          <w:rFonts w:ascii="宋体" w:hAnsi="宋体" w:eastAsia="宋体" w:cs="宋体"/>
          <w:sz w:val="24"/>
          <w:szCs w:val="24"/>
        </w:rPr>
        <w:t>“</w:t>
      </w:r>
      <w:r>
        <w:rPr>
          <w:rFonts w:hint="eastAsia" w:ascii="宋体" w:hAnsi="宋体" w:eastAsia="宋体" w:cs="宋体"/>
          <w:sz w:val="24"/>
          <w:szCs w:val="24"/>
        </w:rPr>
        <w:t>智慧税务门户</w:t>
      </w:r>
      <w:r>
        <w:rPr>
          <w:rFonts w:ascii="宋体" w:hAnsi="宋体" w:eastAsia="宋体" w:cs="宋体"/>
          <w:sz w:val="24"/>
          <w:szCs w:val="24"/>
        </w:rPr>
        <w:t>”</w:t>
      </w:r>
      <w:r>
        <w:rPr>
          <w:rFonts w:hint="eastAsia" w:ascii="宋体" w:hAnsi="宋体" w:eastAsia="宋体" w:cs="宋体"/>
          <w:sz w:val="24"/>
          <w:szCs w:val="24"/>
        </w:rPr>
        <w:t>。</w:t>
      </w:r>
    </w:p>
    <w:p>
      <w:pPr>
        <w:pStyle w:val="55"/>
        <w:ind w:firstLine="640"/>
        <w:rPr>
          <w:rFonts w:ascii="仿宋" w:hAnsi="仿宋" w:eastAsia="仿宋" w:cs="仿宋_GB2312"/>
          <w:sz w:val="32"/>
          <w:szCs w:val="32"/>
        </w:rPr>
      </w:pP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.2.2</w:t>
      </w:r>
      <w:r>
        <w:rPr>
          <w:rFonts w:hint="eastAsia" w:ascii="宋体" w:hAnsi="宋体" w:eastAsia="宋体" w:cs="宋体"/>
          <w:b/>
          <w:bCs/>
          <w:snapToGrid/>
          <w:kern w:val="2"/>
          <w:sz w:val="24"/>
          <w:szCs w:val="24"/>
        </w:rPr>
        <w:t>、建设内容</w:t>
      </w:r>
    </w:p>
    <w:p>
      <w:pPr>
        <w:keepNext/>
        <w:keepLines/>
        <w:adjustRightInd w:val="0"/>
        <w:snapToGrid w:val="0"/>
        <w:spacing w:line="360" w:lineRule="auto"/>
        <w:ind w:firstLine="482" w:firstLineChars="200"/>
        <w:outlineLvl w:val="3"/>
        <w:rPr>
          <w:rFonts w:ascii="宋体" w:hAnsi="宋体" w:eastAsia="宋体" w:cs="宋体"/>
          <w:b/>
          <w:snapToGrid/>
          <w:kern w:val="2"/>
          <w:sz w:val="24"/>
          <w:szCs w:val="24"/>
          <w:lang w:val="zh-CN"/>
        </w:rPr>
      </w:pPr>
      <w:r>
        <w:rPr>
          <w:rFonts w:hint="eastAsia" w:ascii="宋体" w:hAnsi="宋体" w:eastAsia="宋体" w:cs="宋体"/>
          <w:b/>
          <w:snapToGrid/>
          <w:kern w:val="2"/>
          <w:sz w:val="24"/>
          <w:szCs w:val="24"/>
          <w:lang w:val="zh-CN"/>
        </w:rPr>
        <w:t>1</w:t>
      </w:r>
      <w:r>
        <w:rPr>
          <w:rFonts w:ascii="宋体" w:hAnsi="宋体" w:eastAsia="宋体" w:cs="宋体"/>
          <w:b/>
          <w:snapToGrid/>
          <w:kern w:val="2"/>
          <w:sz w:val="24"/>
          <w:szCs w:val="24"/>
          <w:lang w:val="zh-CN"/>
        </w:rPr>
        <w:t>.2.2.</w:t>
      </w:r>
      <w:r>
        <w:rPr>
          <w:rFonts w:hint="eastAsia" w:ascii="宋体" w:hAnsi="宋体" w:eastAsia="宋体" w:cs="宋体"/>
          <w:b/>
          <w:snapToGrid/>
          <w:kern w:val="2"/>
          <w:sz w:val="24"/>
          <w:szCs w:val="24"/>
          <w:lang w:val="zh-CN"/>
        </w:rPr>
        <w:t>1、运维主要内容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研究制定我局的内外网站服务需求。经认真研究总局《国家税务总局关于印发省税务局网站建设管理规范的通知》（税总发〔2019〕78号）和《国务院办公厅关于印发政府网站发展指引的通知》（国办发〔2017〕47号）工作要求,为我局提供内外网站运维服务应满足以下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1、运维服务方式：由内容编辑、美工设计、技术运维等各部门人员组成的客户技术支持中心，提供</w:t>
      </w:r>
      <w:r>
        <w:rPr>
          <w:rFonts w:ascii="宋体" w:hAnsi="宋体" w:eastAsia="宋体" w:cs="宋体"/>
          <w:sz w:val="24"/>
          <w:szCs w:val="24"/>
        </w:rPr>
        <w:t>3名</w:t>
      </w:r>
      <w:r>
        <w:rPr>
          <w:rFonts w:hint="eastAsia" w:ascii="宋体" w:hAnsi="宋体" w:eastAsia="宋体" w:cs="宋体"/>
          <w:sz w:val="24"/>
          <w:szCs w:val="24"/>
        </w:rPr>
        <w:t>驻场服务（</w:t>
      </w:r>
      <w:r>
        <w:rPr>
          <w:rFonts w:ascii="宋体" w:hAnsi="宋体" w:eastAsia="宋体" w:cs="宋体"/>
          <w:sz w:val="24"/>
          <w:szCs w:val="24"/>
        </w:rPr>
        <w:t>1名</w:t>
      </w:r>
      <w:r>
        <w:rPr>
          <w:rFonts w:hint="eastAsia" w:ascii="宋体" w:hAnsi="宋体" w:eastAsia="宋体" w:cs="宋体"/>
          <w:sz w:val="24"/>
          <w:szCs w:val="24"/>
        </w:rPr>
        <w:t>内容编辑、</w:t>
      </w:r>
      <w:r>
        <w:rPr>
          <w:rFonts w:ascii="宋体" w:hAnsi="宋体" w:eastAsia="宋体" w:cs="宋体"/>
          <w:sz w:val="24"/>
          <w:szCs w:val="24"/>
        </w:rPr>
        <w:t>1名</w:t>
      </w:r>
      <w:r>
        <w:rPr>
          <w:rFonts w:hint="eastAsia" w:ascii="宋体" w:hAnsi="宋体" w:eastAsia="宋体" w:cs="宋体"/>
          <w:sz w:val="24"/>
          <w:szCs w:val="24"/>
        </w:rPr>
        <w:t>美工设计、</w:t>
      </w:r>
      <w:r>
        <w:rPr>
          <w:rFonts w:ascii="宋体" w:hAnsi="宋体" w:eastAsia="宋体" w:cs="宋体"/>
          <w:sz w:val="24"/>
          <w:szCs w:val="24"/>
        </w:rPr>
        <w:t>1名</w:t>
      </w:r>
      <w:r>
        <w:rPr>
          <w:rFonts w:hint="eastAsia" w:ascii="宋体" w:hAnsi="宋体" w:eastAsia="宋体" w:cs="宋体"/>
          <w:sz w:val="24"/>
          <w:szCs w:val="24"/>
        </w:rPr>
        <w:t>技术运维）、远程技术支持、热线电话、qq、msn、email、传真等服务方式。</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2、常用运维服务：日常运维服务、网站运维服务、紧急运维服务、定期保养服务、数据备份服务、安全运维服务、内容编辑服务、美工设计服务。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3、系统软件运维服务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4、业务系统运维服务：全省互动平台管理系统运维、全省在线访谈系统运维、全省访问统计系统运维、全省全文检索系统运维、其他业务系统运维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5、服务响应要求，由于运维工作分工性质的需要，省局驻场运维标准配置3个人。</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.2.</w:t>
      </w:r>
      <w:r>
        <w:rPr>
          <w:rFonts w:hint="eastAsia" w:ascii="宋体" w:hAnsi="宋体" w:eastAsia="宋体" w:cs="宋体"/>
          <w:b/>
          <w:bCs/>
          <w:snapToGrid/>
          <w:kern w:val="2"/>
          <w:sz w:val="24"/>
          <w:szCs w:val="24"/>
        </w:rPr>
        <w:t>3、项目实施要求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本项目服务期1年。</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.2.</w:t>
      </w:r>
      <w:r>
        <w:rPr>
          <w:rFonts w:hint="eastAsia" w:ascii="宋体" w:hAnsi="宋体" w:eastAsia="宋体" w:cs="宋体"/>
          <w:b/>
          <w:bCs/>
          <w:snapToGrid/>
          <w:kern w:val="2"/>
          <w:sz w:val="24"/>
          <w:szCs w:val="24"/>
        </w:rPr>
        <w:t>4、执行的相关标准规范</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《国务院办公厅关于印发政府网站发展指引的通知》（国办发〔2017〕47号）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《国家税务总局关于印发省税务局网站建设管理规范的通知》（税总发〔2019〕78号）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《政府网站与政务新媒体检查指标》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《政府网站与政务新媒体监管工作年度考核指标》</w:t>
      </w:r>
    </w:p>
    <w:p>
      <w:pPr>
        <w:keepNext/>
        <w:keepLines/>
        <w:spacing w:line="360" w:lineRule="auto"/>
        <w:ind w:firstLine="482" w:firstLineChars="200"/>
        <w:outlineLvl w:val="0"/>
        <w:rPr>
          <w:rFonts w:ascii="宋体" w:hAnsi="宋体" w:eastAsia="宋体" w:cs="宋体"/>
          <w:b/>
          <w:kern w:val="44"/>
          <w:sz w:val="24"/>
          <w:szCs w:val="24"/>
        </w:rPr>
      </w:pPr>
      <w:bookmarkStart w:id="113" w:name="投标响应要求_Block"/>
      <w:r>
        <w:rPr>
          <w:rFonts w:hint="eastAsia" w:ascii="宋体" w:hAnsi="宋体" w:eastAsia="宋体" w:cs="宋体"/>
          <w:b/>
          <w:kern w:val="44"/>
          <w:sz w:val="24"/>
          <w:szCs w:val="24"/>
        </w:rPr>
        <w:t>2</w:t>
      </w:r>
      <w:r>
        <w:rPr>
          <w:rFonts w:ascii="宋体" w:hAnsi="宋体" w:eastAsia="宋体" w:cs="宋体"/>
          <w:b/>
          <w:kern w:val="44"/>
          <w:sz w:val="24"/>
          <w:szCs w:val="24"/>
        </w:rPr>
        <w:t>.</w:t>
      </w:r>
      <w:r>
        <w:rPr>
          <w:rFonts w:hint="eastAsia" w:ascii="宋体" w:hAnsi="宋体" w:eastAsia="宋体" w:cs="宋体"/>
          <w:b/>
          <w:kern w:val="44"/>
          <w:sz w:val="24"/>
          <w:szCs w:val="24"/>
        </w:rPr>
        <w:t>投标/响应要求</w:t>
      </w:r>
      <w:bookmarkEnd w:id="113"/>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应商需充分了解网站群各项功能和配置、系统架构及数据库表结构、开发规范和接口标准的熟悉程度和可操作性进行评价。包括但不限于:对现有网站内容管理系统熟悉程度，对网页、栏目、权限等进行调整和日常信息维护及运行监控操作的熟练性，对系统进行性能提升、安全防护以及二次开发和功能升级的方案的详细性、技术服务方案的可操作性等方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供应商需对网站群各项功能和配置、系统架构及数据库表结构、开发规范和接口标准的熟悉程度和可操作性有充分理解。</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供应商需完全响应本次项目服务内容、响应时间、故障处理、支持保障要求。</w:t>
      </w:r>
    </w:p>
    <w:p>
      <w:pPr>
        <w:keepNext/>
        <w:keepLines/>
        <w:spacing w:line="360" w:lineRule="auto"/>
        <w:ind w:firstLine="482" w:firstLineChars="200"/>
        <w:outlineLvl w:val="0"/>
        <w:rPr>
          <w:rFonts w:ascii="宋体" w:hAnsi="宋体" w:eastAsia="宋体" w:cs="宋体"/>
          <w:b/>
          <w:kern w:val="44"/>
          <w:sz w:val="24"/>
          <w:szCs w:val="24"/>
        </w:rPr>
      </w:pPr>
      <w:bookmarkStart w:id="114" w:name="项目需求_Block"/>
      <w:r>
        <w:rPr>
          <w:rFonts w:hint="eastAsia" w:ascii="宋体" w:hAnsi="宋体" w:eastAsia="宋体" w:cs="宋体"/>
          <w:b/>
          <w:kern w:val="44"/>
          <w:sz w:val="24"/>
          <w:szCs w:val="24"/>
        </w:rPr>
        <w:t>3</w:t>
      </w:r>
      <w:r>
        <w:rPr>
          <w:rFonts w:ascii="宋体" w:hAnsi="宋体" w:eastAsia="宋体" w:cs="宋体"/>
          <w:b/>
          <w:kern w:val="44"/>
          <w:sz w:val="24"/>
          <w:szCs w:val="24"/>
        </w:rPr>
        <w:t>.</w:t>
      </w:r>
      <w:r>
        <w:rPr>
          <w:rFonts w:hint="eastAsia" w:ascii="宋体" w:hAnsi="宋体" w:eastAsia="宋体" w:cs="宋体"/>
          <w:b/>
          <w:kern w:val="44"/>
          <w:sz w:val="24"/>
          <w:szCs w:val="24"/>
        </w:rPr>
        <w:t>项目需求</w:t>
      </w:r>
      <w:bookmarkEnd w:id="114"/>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现支撑黑龙江省税务局网站群平台的主要有以下子系统：全省网站群内容管理系统、互动交流系统、在线访谈系统、访问统计系统、意见征集系统、智能检索系统、政策法规库系统、用户行为分析系统等。涉及网站包括：黑龙江省税务局内外网省局网站、黑龙江省税务局手机网站、哈尔滨市税务局内外网网站、齐齐哈尔市税务局内外网网站、牡丹江市税务局内外网网站、佳木斯市税务局内外网网站、大庆市税务局内外网网站、鸡西市税务局内外网网站、双鸭山市税务局内外网网站、伊春市税务局内外网网站、七台河市税务局内外网网站、鹤岗市税务局内外网网站、黑河市税务局内外网网站、绥化市税务局内外网网站、大兴安岭地区税务局内外网网站。</w:t>
      </w:r>
    </w:p>
    <w:p>
      <w:pPr>
        <w:keepNext/>
        <w:keepLines/>
        <w:spacing w:line="360" w:lineRule="auto"/>
        <w:ind w:firstLine="482" w:firstLineChars="200"/>
        <w:outlineLvl w:val="1"/>
        <w:rPr>
          <w:rFonts w:ascii="宋体" w:hAnsi="宋体" w:eastAsia="宋体" w:cs="宋体"/>
          <w:b/>
          <w:kern w:val="2"/>
          <w:sz w:val="24"/>
          <w:szCs w:val="24"/>
        </w:rPr>
      </w:pPr>
      <w:r>
        <w:rPr>
          <w:rFonts w:ascii="宋体" w:hAnsi="宋体" w:eastAsia="宋体" w:cs="宋体"/>
          <w:b/>
          <w:kern w:val="2"/>
          <w:sz w:val="24"/>
          <w:szCs w:val="24"/>
        </w:rPr>
        <w:t>3.</w:t>
      </w:r>
      <w:r>
        <w:rPr>
          <w:rFonts w:hint="eastAsia" w:ascii="宋体" w:hAnsi="宋体" w:eastAsia="宋体" w:cs="宋体"/>
          <w:b/>
          <w:kern w:val="2"/>
          <w:sz w:val="24"/>
          <w:szCs w:val="24"/>
        </w:rPr>
        <w:t>1、常用运维服务</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15" w:name="项目管理和实施要求_Block"/>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.1</w:t>
      </w:r>
      <w:r>
        <w:rPr>
          <w:rFonts w:hint="eastAsia" w:ascii="宋体" w:hAnsi="宋体" w:eastAsia="宋体" w:cs="宋体"/>
          <w:b/>
          <w:bCs/>
          <w:snapToGrid/>
          <w:kern w:val="2"/>
          <w:sz w:val="24"/>
          <w:szCs w:val="24"/>
        </w:rPr>
        <w:t>、日常运维服务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w:t>
      </w:r>
      <w:r>
        <w:rPr>
          <w:rFonts w:hint="eastAsia" w:ascii="宋体" w:hAnsi="宋体" w:eastAsia="宋体" w:cs="宋体"/>
          <w:sz w:val="24"/>
          <w:szCs w:val="24"/>
        </w:rPr>
        <w:t>全省税务局系统的前后台访问是否正常；</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ascii="宋体" w:hAnsi="宋体" w:eastAsia="宋体" w:cs="宋体"/>
          <w:sz w:val="24"/>
          <w:szCs w:val="24"/>
        </w:rPr>
        <w:t>.</w:t>
      </w:r>
      <w:r>
        <w:rPr>
          <w:rFonts w:hint="eastAsia" w:ascii="宋体" w:hAnsi="宋体" w:eastAsia="宋体" w:cs="宋体"/>
          <w:sz w:val="24"/>
          <w:szCs w:val="24"/>
        </w:rPr>
        <w:t>全省税务局系统的运维平台，解决系统的程序缺陷及功能优化；</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3．全省税务局系统的日常维护，包括软件运行故障的修复、系统性能监控和优化，保障软件正常运行；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w:t>
      </w:r>
      <w:r>
        <w:rPr>
          <w:rFonts w:ascii="宋体" w:hAnsi="宋体" w:eastAsia="宋体" w:cs="宋体"/>
          <w:sz w:val="24"/>
          <w:szCs w:val="24"/>
        </w:rPr>
        <w:t>.</w:t>
      </w:r>
      <w:r>
        <w:rPr>
          <w:rFonts w:hint="eastAsia" w:ascii="宋体" w:hAnsi="宋体" w:eastAsia="宋体" w:cs="宋体"/>
          <w:sz w:val="24"/>
          <w:szCs w:val="24"/>
        </w:rPr>
        <w:t>全省税务局系统的备份：每周五对各程序软件、数据库做备份；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5.配合用户因提供的产品/模块出现质量问题或因产品/模块设计缺陷导致其他故障时进行现场维修和程序更新及测试服务；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6.配合用户对所提出产品的修正版本的升级服务；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7.系统相关数据信息采集、录入、修改和查询。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8.在省局领导下，根据网站群整体计划要求实施设计、制作工作，负责网站页面设计和美化，处理日常设计工作，独立完成div+css布局； </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9．负责网页、专题的页面设计和创意工作。 </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10．参与税收宣传活动策划，从设计层面提出合理化建设和意见。</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11．定期检查网页，杜绝差错的发生。</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12．与内容编辑和程序工程师做好项目实施前后的各项沟通工作，保障项目完成质量。</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13.定期监控税务系统网站群建设和相关专题建设，从设计角度，美感等方面对省局网站建设给予可行性改进意见。</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14．协助省局承接税务总局部署的新闻宣传组稿任务。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15．协助省局，围绕税收宣传工作要点、全省税务系统重点工作、中国税务报社宣传要点以及省内媒体阶段性约稿任务，组织素材撰写新闻宣传稿件。</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16.参与省局日常组稿、约稿等宣传任务和有关宣传活动策划活动。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17.联络稿件作者，沟通解决稿件问题。</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18.对系统上报的稿件送审、退改及发排，进行稿件初审校对工作,确保编校质量，保证提供新闻媒体稿件高质量刊发。</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19.完成领导交办的网站相关其他工作。</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.2</w:t>
      </w:r>
      <w:r>
        <w:rPr>
          <w:rFonts w:hint="eastAsia" w:ascii="宋体" w:hAnsi="宋体" w:eastAsia="宋体" w:cs="宋体"/>
          <w:b/>
          <w:bCs/>
          <w:snapToGrid/>
          <w:kern w:val="2"/>
          <w:sz w:val="24"/>
          <w:szCs w:val="24"/>
        </w:rPr>
        <w:t>、网站运维服务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1.全省税务局维护人员日常工作中遇到的问题及疑问，提供咨询、解答及技术支持服务；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2.全省税务局维护人员提出的页面局部调整及栏目局部调整需求进行现场更新服务（不含复杂专题制作及产品新功能的定制开发）。</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3.重要节日首页设计制作[提供五大节日（劳动节、中秋节、国庆节、元旦和春节）的首页Banner设计制作）]。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 提供网站专题设计制作，如重大事件、突发事件及周年庆等活动，完成交办的其他专题设计工作任务。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 提供网站错误修复服务、网站群内容管理系统的设置和调整。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 提供系统账号管理服务，包含新增账号、清除冗杂账号、修改账号信息等。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 提供数据统计信息，便于网站数据考核。</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 提供网站所需的图片制作。（不含LOGO设计以及大批量的照片修图处理工作）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 针对服务提供商的产品，提供规模4人以下的2日培训。（培训地点可选择在服务提供商单位内进行或用户方进行）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10. 每月做工作汇总，汇报本月的运行情况，了解次月工作需求。</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、紧急运维服务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1.（通常指系统无法正常访问、系统出错、宕机、网站错误给外界带来不良影响等）保障全省税务局网站群各应用支撑系统正常运转，做好访谈、交互功能等现场应急技术支持工作。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 用户方如对机房相关硬件设备进行调整，包括IP地址更换、移机、硬件损坏的更换等，提供相关软件的技术支持和服务。</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.4</w:t>
      </w:r>
      <w:r>
        <w:rPr>
          <w:rFonts w:hint="eastAsia" w:ascii="宋体" w:hAnsi="宋体" w:eastAsia="宋体" w:cs="宋体"/>
          <w:b/>
          <w:bCs/>
          <w:snapToGrid/>
          <w:kern w:val="2"/>
          <w:sz w:val="24"/>
          <w:szCs w:val="24"/>
        </w:rPr>
        <w:t>、定期保养服务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1.操作系统巡检服务：每三个月对操作系统进行一次全面巡检，包括磁盘清理，相关性能查看，并给出合理化建议；</w:t>
      </w:r>
      <w:r>
        <w:rPr>
          <w:rFonts w:hint="eastAsia" w:ascii="宋体" w:hAnsi="宋体" w:eastAsia="宋体" w:cs="宋体"/>
          <w:sz w:val="24"/>
          <w:szCs w:val="24"/>
        </w:rPr>
        <w:br w:type="textWrapping"/>
      </w:r>
      <w:r>
        <w:rPr>
          <w:rFonts w:hint="eastAsia" w:ascii="宋体" w:hAnsi="宋体" w:eastAsia="宋体" w:cs="宋体"/>
          <w:sz w:val="24"/>
          <w:szCs w:val="24"/>
        </w:rPr>
        <w:t xml:space="preserve">    2.数据库维护：每三个月对数据库进行一次全面维护，包括垃圾数据清理、数据备份等；</w:t>
      </w:r>
      <w:r>
        <w:rPr>
          <w:rFonts w:hint="eastAsia" w:ascii="宋体" w:hAnsi="宋体" w:eastAsia="宋体" w:cs="宋体"/>
          <w:sz w:val="24"/>
          <w:szCs w:val="24"/>
        </w:rPr>
        <w:br w:type="textWrapping"/>
      </w:r>
      <w:r>
        <w:rPr>
          <w:rFonts w:hint="eastAsia" w:ascii="宋体" w:hAnsi="宋体" w:eastAsia="宋体" w:cs="宋体"/>
          <w:sz w:val="24"/>
          <w:szCs w:val="24"/>
        </w:rPr>
        <w:t xml:space="preserve">    3.提供阶段性应用系统维护和升级建议；</w:t>
      </w:r>
      <w:r>
        <w:rPr>
          <w:rFonts w:hint="eastAsia" w:ascii="宋体" w:hAnsi="宋体" w:eastAsia="宋体" w:cs="宋体"/>
          <w:sz w:val="24"/>
          <w:szCs w:val="24"/>
        </w:rPr>
        <w:br w:type="textWrapping"/>
      </w:r>
      <w:r>
        <w:rPr>
          <w:rFonts w:hint="eastAsia" w:ascii="宋体" w:hAnsi="宋体" w:eastAsia="宋体" w:cs="宋体"/>
          <w:sz w:val="24"/>
          <w:szCs w:val="24"/>
        </w:rPr>
        <w:t xml:space="preserve">    4.针对节假日和重要时期提供特别的网站安全服务（主要包括：主动性安全监控、安全加固，24小时专人不间断远程值守，故障通报，事故快速上门服务）。</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.5</w:t>
      </w:r>
      <w:r>
        <w:rPr>
          <w:rFonts w:hint="eastAsia" w:ascii="宋体" w:hAnsi="宋体" w:eastAsia="宋体" w:cs="宋体"/>
          <w:b/>
          <w:bCs/>
          <w:snapToGrid/>
          <w:kern w:val="2"/>
          <w:sz w:val="24"/>
          <w:szCs w:val="24"/>
        </w:rPr>
        <w:t>、数据备份服务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1.为确保网站相关的数据安全，确保意外情况发生时网站数据的迅速恢复，应提供对网站所有数据每周的增量备份及每月的全备份等。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2.评估现有备份系统是否可以满足需求，并说明理由。</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3.确定备份系统可以实现按业务备份和恢复。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4.确定备份策略，备份介质以及简单容灾的方法。</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5.实施建议的备份策略，构建完整的备份系统。</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6.根据用户软硬件情况，预定义各种失败状况的恢复，提供一个针对所有失败状况的恢复解决方案。</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7.对备份有效性加以校验。</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.6</w:t>
      </w:r>
      <w:r>
        <w:rPr>
          <w:rFonts w:hint="eastAsia" w:ascii="宋体" w:hAnsi="宋体" w:eastAsia="宋体" w:cs="宋体"/>
          <w:b/>
          <w:bCs/>
          <w:snapToGrid/>
          <w:kern w:val="2"/>
          <w:sz w:val="24"/>
          <w:szCs w:val="24"/>
        </w:rPr>
        <w:t>、安全运维服务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1.全省税务局网站系统软件可能存在的安全隐患提供修补服务；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2.提供阶段性全省税务局网站系统软件的维护和升级建议。</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.7</w:t>
      </w:r>
      <w:r>
        <w:rPr>
          <w:rFonts w:hint="eastAsia" w:ascii="宋体" w:hAnsi="宋体" w:eastAsia="宋体" w:cs="宋体"/>
          <w:b/>
          <w:bCs/>
          <w:snapToGrid/>
          <w:kern w:val="2"/>
          <w:sz w:val="24"/>
          <w:szCs w:val="24"/>
        </w:rPr>
        <w:t>、内容编辑服务</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负责网站等媒体的基础信息采集、筛选、整理工作。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负责网站等媒体的文字构思、编辑、录入工作。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负责网站等媒体的栏目信息审核工作。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、负责对日常发布信息进行监控与管理，做好相关统计工作。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5</w:t>
      </w:r>
      <w:r>
        <w:rPr>
          <w:rFonts w:hint="eastAsia" w:ascii="宋体" w:hAnsi="宋体" w:eastAsia="宋体" w:cs="宋体"/>
          <w:sz w:val="24"/>
          <w:szCs w:val="24"/>
        </w:rPr>
        <w:t>、负责稿件撰写、发布方面与其他部门协调工作。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、负责检查信息发布系统前后台访问和发布功能是否正常。</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、对文章中经常涉及的敏感词和错别字等进行修改。</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、对信息维护人员在日常工作中遇到的问题和疑问，提供咨询和解答。</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、有关专题文字内容的收集与统筹组合。</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10</w:t>
      </w:r>
      <w:r>
        <w:rPr>
          <w:rFonts w:hint="eastAsia" w:ascii="宋体" w:hAnsi="宋体" w:eastAsia="宋体" w:cs="宋体"/>
          <w:sz w:val="24"/>
          <w:szCs w:val="24"/>
        </w:rPr>
        <w:t>、协助完成相关专题、栏目的发展规划。</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11</w:t>
      </w:r>
      <w:r>
        <w:rPr>
          <w:rFonts w:hint="eastAsia" w:ascii="宋体" w:hAnsi="宋体" w:eastAsia="宋体" w:cs="宋体"/>
          <w:sz w:val="24"/>
          <w:szCs w:val="24"/>
        </w:rPr>
        <w:t>、根据客户需求提供相关支持，协助相关培训，解决相关稿件问题。</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12</w:t>
      </w:r>
      <w:r>
        <w:rPr>
          <w:rFonts w:hint="eastAsia" w:ascii="宋体" w:hAnsi="宋体" w:eastAsia="宋体" w:cs="宋体"/>
          <w:sz w:val="24"/>
          <w:szCs w:val="24"/>
        </w:rPr>
        <w:t>、将日常工作和相关系统数据进行记录，形成汇总表。</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13、驻场人员每月需处理不少于</w:t>
      </w:r>
      <w:r>
        <w:rPr>
          <w:rFonts w:hint="eastAsia" w:ascii="宋体" w:hAnsi="宋体" w:eastAsia="宋体" w:cs="宋体"/>
          <w:sz w:val="24"/>
          <w:szCs w:val="24"/>
        </w:rPr>
        <w:t>3</w:t>
      </w:r>
      <w:r>
        <w:rPr>
          <w:rFonts w:ascii="宋体" w:hAnsi="宋体" w:eastAsia="宋体" w:cs="宋体"/>
          <w:sz w:val="24"/>
          <w:szCs w:val="24"/>
        </w:rPr>
        <w:t>00篇的稿件。</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1</w:t>
      </w:r>
      <w:r>
        <w:rPr>
          <w:rFonts w:ascii="宋体" w:hAnsi="宋体" w:eastAsia="宋体" w:cs="宋体"/>
          <w:b/>
          <w:bCs/>
          <w:snapToGrid/>
          <w:kern w:val="2"/>
          <w:sz w:val="24"/>
          <w:szCs w:val="24"/>
        </w:rPr>
        <w:t>.8</w:t>
      </w:r>
      <w:r>
        <w:rPr>
          <w:rFonts w:hint="eastAsia" w:ascii="宋体" w:hAnsi="宋体" w:eastAsia="宋体" w:cs="宋体"/>
          <w:b/>
          <w:bCs/>
          <w:snapToGrid/>
          <w:kern w:val="2"/>
          <w:sz w:val="24"/>
          <w:szCs w:val="24"/>
        </w:rPr>
        <w:t>、美工设计服务</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1、负责网站整体视觉规划及创意提供</w:t>
      </w:r>
      <w:r>
        <w:rPr>
          <w:rFonts w:hint="eastAsia" w:ascii="宋体" w:hAnsi="宋体" w:eastAsia="宋体" w:cs="宋体"/>
          <w:sz w:val="24"/>
          <w:szCs w:val="24"/>
        </w:rPr>
        <w:t>。</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、负责提供网站页面排版整理、文字排版整理及效果图制作。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、负责网站首页</w:t>
      </w:r>
      <w:r>
        <w:rPr>
          <w:rFonts w:ascii="宋体" w:hAnsi="宋体" w:eastAsia="宋体" w:cs="宋体"/>
          <w:sz w:val="24"/>
          <w:szCs w:val="24"/>
        </w:rPr>
        <w:t>Banner设计制作（包括劳动节、中秋节、国庆节、新年和春节的网站首页Banner设计制作）</w:t>
      </w:r>
      <w:r>
        <w:rPr>
          <w:rFonts w:hint="eastAsia" w:ascii="宋体" w:hAnsi="宋体" w:eastAsia="宋体" w:cs="宋体"/>
          <w:sz w:val="24"/>
          <w:szCs w:val="24"/>
        </w:rPr>
        <w:t>。</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、负责网站专题、网站热点关注图、网站图片图标、网站宣传图片的设计制作。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5</w:t>
      </w:r>
      <w:r>
        <w:rPr>
          <w:rFonts w:hint="eastAsia" w:ascii="宋体" w:hAnsi="宋体" w:eastAsia="宋体" w:cs="宋体"/>
          <w:sz w:val="24"/>
          <w:szCs w:val="24"/>
        </w:rPr>
        <w:t>、负责检查网站图片日常检查工作。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、配合完成</w:t>
      </w:r>
      <w:r>
        <w:rPr>
          <w:rFonts w:ascii="宋体" w:hAnsi="宋体" w:eastAsia="宋体" w:cs="宋体"/>
          <w:sz w:val="24"/>
          <w:szCs w:val="24"/>
        </w:rPr>
        <w:t>PDF转图片、文字等设计相关工作</w:t>
      </w:r>
      <w:r>
        <w:rPr>
          <w:rFonts w:hint="eastAsia" w:ascii="宋体" w:hAnsi="宋体" w:eastAsia="宋体" w:cs="宋体"/>
          <w:sz w:val="24"/>
          <w:szCs w:val="24"/>
        </w:rPr>
        <w:t>。</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、负责网站专题后期视频、图解、图片内容的更新。</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8</w:t>
      </w:r>
      <w:r>
        <w:rPr>
          <w:rFonts w:hint="eastAsia" w:ascii="宋体" w:hAnsi="宋体" w:eastAsia="宋体" w:cs="宋体"/>
          <w:sz w:val="24"/>
          <w:szCs w:val="24"/>
        </w:rPr>
        <w:t>、负责网站媒体栏目查找发布媒体文章工作。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9</w:t>
      </w:r>
      <w:r>
        <w:rPr>
          <w:rFonts w:hint="eastAsia" w:ascii="宋体" w:hAnsi="宋体" w:eastAsia="宋体" w:cs="宋体"/>
          <w:sz w:val="24"/>
          <w:szCs w:val="24"/>
        </w:rPr>
        <w:t>、负责开会照片、各处室图片等处理工作。</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10</w:t>
      </w:r>
      <w:r>
        <w:rPr>
          <w:rFonts w:hint="eastAsia" w:ascii="宋体" w:hAnsi="宋体" w:eastAsia="宋体" w:cs="宋体"/>
          <w:sz w:val="24"/>
          <w:szCs w:val="24"/>
        </w:rPr>
        <w:t>、驻场人员每月需处理不少于</w:t>
      </w:r>
      <w:r>
        <w:rPr>
          <w:rFonts w:ascii="宋体" w:hAnsi="宋体" w:eastAsia="宋体" w:cs="宋体"/>
          <w:sz w:val="24"/>
          <w:szCs w:val="24"/>
        </w:rPr>
        <w:t>600张的图片。</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3</w:t>
      </w:r>
      <w:r>
        <w:rPr>
          <w:rFonts w:ascii="宋体" w:hAnsi="宋体" w:eastAsia="宋体" w:cs="宋体"/>
          <w:b/>
          <w:kern w:val="2"/>
          <w:sz w:val="24"/>
          <w:szCs w:val="24"/>
        </w:rPr>
        <w:t>.</w:t>
      </w:r>
      <w:r>
        <w:rPr>
          <w:rFonts w:hint="eastAsia" w:ascii="宋体" w:hAnsi="宋体" w:eastAsia="宋体" w:cs="宋体"/>
          <w:b/>
          <w:kern w:val="2"/>
          <w:sz w:val="24"/>
          <w:szCs w:val="24"/>
        </w:rPr>
        <w:t>2、系统软件运维服务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1.提供操作系统、应用软件及数据库的安装配置和维护服务；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2.及时提供系统补丁包升级服务，LOG日志及垃圾文件清理等；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3.能够及时向用户方通报软件升级情况及升级建议方案；</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4.定期提供相关产品进行更高版本、补丁等升级服务；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5.所提供产品升级与补丁必须是稳定的、安全的，并且附有完整的升级说明、新增功能说明、对应用的影响说明等文档；</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6.能够及时提供升级产品的操作培训；</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7.软件代码维护参数配置、权限管理、流程配置。</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3</w:t>
      </w:r>
      <w:r>
        <w:rPr>
          <w:rFonts w:ascii="宋体" w:hAnsi="宋体" w:eastAsia="宋体" w:cs="宋体"/>
          <w:b/>
          <w:kern w:val="2"/>
          <w:sz w:val="24"/>
          <w:szCs w:val="24"/>
        </w:rPr>
        <w:t>.</w:t>
      </w:r>
      <w:r>
        <w:rPr>
          <w:rFonts w:hint="eastAsia" w:ascii="宋体" w:hAnsi="宋体" w:eastAsia="宋体" w:cs="宋体"/>
          <w:b/>
          <w:kern w:val="2"/>
          <w:sz w:val="24"/>
          <w:szCs w:val="24"/>
        </w:rPr>
        <w:t>3、业务系统运维服务</w:t>
      </w:r>
    </w:p>
    <w:p>
      <w:pPr>
        <w:keepNext/>
        <w:keepLines/>
        <w:adjustRightInd w:val="0"/>
        <w:snapToGrid w:val="0"/>
        <w:spacing w:line="360" w:lineRule="auto"/>
        <w:ind w:firstLine="482" w:firstLineChars="200"/>
        <w:outlineLvl w:val="2"/>
        <w:rPr>
          <w:b/>
          <w:bCs/>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.1</w:t>
      </w:r>
      <w:r>
        <w:rPr>
          <w:rFonts w:hint="eastAsia" w:ascii="宋体" w:hAnsi="宋体" w:eastAsia="宋体" w:cs="宋体"/>
          <w:b/>
          <w:bCs/>
          <w:snapToGrid/>
          <w:kern w:val="2"/>
          <w:sz w:val="24"/>
          <w:szCs w:val="24"/>
        </w:rPr>
        <w:t>、全省互动平台管理系统运维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1.及时做好平台的运行稳定性维护；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2.按照用户要求做好办件处理维护工作；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3.帮助做好办件反馈保障工作的督促落实；</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4.指导用户养成更高效的使用系统的习惯；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5.协助用户优化办件处理流程；</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6.做好前台页面的修改和调整工作；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7.做好与其他系统所需的前后台运行调用数据的运维。</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.2</w:t>
      </w:r>
      <w:r>
        <w:rPr>
          <w:rFonts w:hint="eastAsia" w:ascii="宋体" w:hAnsi="宋体" w:eastAsia="宋体" w:cs="宋体"/>
          <w:b/>
          <w:bCs/>
          <w:snapToGrid/>
          <w:kern w:val="2"/>
          <w:sz w:val="24"/>
          <w:szCs w:val="24"/>
        </w:rPr>
        <w:t>、全省在线访谈系统运维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1.及时做好平台的运行稳定性维护；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2.按照用户要求做好访谈管理维护工作；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3.帮助做好访谈回复保障工作的督促落实；</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4.指导用户养成更高效的使用系统的习惯；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5.做好前台页面的修改和调整工作。</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、全省访问统计系统运维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1.及时做好平台的运行稳定性维护；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2.按照用户要求做好数据处理维护工作；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3.帮助做好统计数据的报表生成、导出和备份；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4.指导用户养成更高效的使用系统的习惯；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5.做好前台页面的修改和调整工作。</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.4</w:t>
      </w:r>
      <w:r>
        <w:rPr>
          <w:rFonts w:hint="eastAsia" w:ascii="宋体" w:hAnsi="宋体" w:eastAsia="宋体" w:cs="宋体"/>
          <w:b/>
          <w:bCs/>
          <w:snapToGrid/>
          <w:kern w:val="2"/>
          <w:sz w:val="24"/>
          <w:szCs w:val="24"/>
        </w:rPr>
        <w:t>、全省全文检索系统运维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1.及时做好平台的运行稳定性维护；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2.按照用户要求做好检索索引的处理维护工作；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3.指导用户养成更高效的使用系统的习惯；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4.做好前台页面的修改和调整工作；</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.5</w:t>
      </w:r>
      <w:r>
        <w:rPr>
          <w:rFonts w:hint="eastAsia" w:ascii="宋体" w:hAnsi="宋体" w:eastAsia="宋体" w:cs="宋体"/>
          <w:b/>
          <w:bCs/>
          <w:snapToGrid/>
          <w:kern w:val="2"/>
          <w:sz w:val="24"/>
          <w:szCs w:val="24"/>
        </w:rPr>
        <w:t>、其他业务系统运维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1.及时做好网站其他系统（法规库、意见征集、网上调查等）的运行稳定性维护；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2.按照用户要求做好数据处理维护工作；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3.指导用户养成更高效的使用系统的习惯；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4.做好前台页面的修改和调整工作。</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3</w:t>
      </w:r>
      <w:r>
        <w:rPr>
          <w:rFonts w:ascii="宋体" w:hAnsi="宋体" w:eastAsia="宋体" w:cs="宋体"/>
          <w:b/>
          <w:kern w:val="2"/>
          <w:sz w:val="24"/>
          <w:szCs w:val="24"/>
        </w:rPr>
        <w:t>.</w:t>
      </w:r>
      <w:r>
        <w:rPr>
          <w:rFonts w:hint="eastAsia" w:ascii="宋体" w:hAnsi="宋体" w:eastAsia="宋体" w:cs="宋体"/>
          <w:b/>
          <w:kern w:val="2"/>
          <w:sz w:val="24"/>
          <w:szCs w:val="24"/>
        </w:rPr>
        <w:t>4、软件情况</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.1</w:t>
      </w:r>
      <w:r>
        <w:rPr>
          <w:rFonts w:hint="eastAsia" w:ascii="宋体" w:hAnsi="宋体" w:eastAsia="宋体" w:cs="宋体"/>
          <w:b/>
          <w:bCs/>
          <w:snapToGrid/>
          <w:kern w:val="2"/>
          <w:sz w:val="24"/>
          <w:szCs w:val="24"/>
        </w:rPr>
        <w:t>、总体技术架构</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现阶段采用面向对象的技术、组件开发技术以及平台开发技术，使多层架构设计成为可能，因此本架构方案的目的，就是展现多层架构设计的完整思路，以及其相关的设计原理、内部组织</w:t>
      </w:r>
      <w:r>
        <w:rPr>
          <w:rFonts w:hint="eastAsia" w:ascii="宋体" w:hAnsi="宋体" w:cs="宋体"/>
          <w:sz w:val="24"/>
          <w:szCs w:val="24"/>
          <w:lang w:eastAsia="zh-CN"/>
        </w:rPr>
        <w:t>以及</w:t>
      </w:r>
      <w:r>
        <w:rPr>
          <w:rFonts w:hint="eastAsia" w:ascii="宋体" w:hAnsi="宋体" w:eastAsia="宋体" w:cs="宋体"/>
          <w:sz w:val="24"/>
          <w:szCs w:val="24"/>
        </w:rPr>
        <w:t>相互的关系。</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总体技术架构如下图：</w:t>
      </w:r>
    </w:p>
    <w:p>
      <w:pPr>
        <w:pStyle w:val="57"/>
        <w:ind w:firstLine="640"/>
        <w:rPr>
          <w:rFonts w:ascii="仿宋" w:hAnsi="仿宋" w:eastAsia="仿宋" w:cs="仿宋_GB2312"/>
          <w:snapToGrid w:val="0"/>
          <w:sz w:val="32"/>
          <w:szCs w:val="32"/>
        </w:rPr>
      </w:pPr>
      <w:r>
        <w:rPr>
          <w:rFonts w:ascii="仿宋" w:hAnsi="仿宋" w:eastAsia="仿宋" w:cs="仿宋_GB2312"/>
          <w:snapToGrid w:val="0"/>
          <w:sz w:val="32"/>
          <w:szCs w:val="32"/>
        </w:rPr>
        <w:drawing>
          <wp:inline distT="0" distB="0" distL="0" distR="0">
            <wp:extent cx="5120640" cy="2819400"/>
            <wp:effectExtent l="0" t="0" r="3810" b="0"/>
            <wp:docPr id="6" name="图片 6" descr="平台架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平台架构"/>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5120640" cy="2819400"/>
                    </a:xfrm>
                    <a:prstGeom prst="rect">
                      <a:avLst/>
                    </a:prstGeom>
                    <a:noFill/>
                    <a:ln>
                      <a:noFill/>
                    </a:ln>
                  </pic:spPr>
                </pic:pic>
              </a:graphicData>
            </a:graphic>
          </wp:inline>
        </w:drawing>
      </w:r>
    </w:p>
    <w:p>
      <w:pPr>
        <w:spacing w:line="360" w:lineRule="auto"/>
        <w:ind w:firstLine="480" w:firstLineChars="200"/>
        <w:jc w:val="center"/>
        <w:rPr>
          <w:rFonts w:ascii="宋体" w:hAnsi="宋体" w:eastAsia="宋体" w:cs="宋体"/>
          <w:sz w:val="24"/>
          <w:szCs w:val="24"/>
        </w:rPr>
      </w:pPr>
      <w:r>
        <w:rPr>
          <w:rFonts w:hint="eastAsia" w:ascii="宋体" w:hAnsi="宋体" w:eastAsia="宋体" w:cs="宋体"/>
          <w:sz w:val="24"/>
          <w:szCs w:val="24"/>
        </w:rPr>
        <w:t>应用软件组件层次结构图</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系统应用软件采用基于组件的多层架构。</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最底层是系统平台层，主要基于标准的</w:t>
      </w:r>
      <w:r>
        <w:rPr>
          <w:rFonts w:ascii="宋体" w:hAnsi="宋体" w:eastAsia="宋体" w:cs="宋体"/>
          <w:sz w:val="24"/>
          <w:szCs w:val="24"/>
        </w:rPr>
        <w:t xml:space="preserve">J2EE </w:t>
      </w:r>
      <w:r>
        <w:rPr>
          <w:rFonts w:hint="eastAsia" w:ascii="宋体" w:hAnsi="宋体" w:eastAsia="宋体" w:cs="宋体"/>
          <w:sz w:val="24"/>
          <w:szCs w:val="24"/>
        </w:rPr>
        <w:t>组件。</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上层是应用平台层，包括工作流引擎、组织权限框架、基础数据访问组件等。这些组件分别封装了工作流、组织权限、数据访问等方面的基本功能部件，是应用系统构建业务逻辑的基础。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在应用平台层之上，是由各种业务数据模型、配置信息、组织权限定义、应用系统的业务处理逻辑和界面控制逻辑等组成的软件系统。通过组件化拼装，形成了整个应用软件系统，并通过内部信息互联来确保整个系统稳定、有效的运行。同时这种架构已经充分考虑到未来系统的扩展性及集成性，为未来系统的扩容和与其它相关应用系统的整合提供技术保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针对应用需求，集成了很多的基础软件和应用软件，形成一个完整的解决方案。方案提出的这些软件产品系列，形成一个基于</w:t>
      </w:r>
      <w:r>
        <w:rPr>
          <w:rFonts w:ascii="宋体" w:hAnsi="宋体" w:eastAsia="宋体" w:cs="宋体"/>
          <w:sz w:val="24"/>
          <w:szCs w:val="24"/>
        </w:rPr>
        <w:t>SOA</w:t>
      </w:r>
      <w:r>
        <w:rPr>
          <w:rFonts w:hint="eastAsia" w:ascii="宋体" w:hAnsi="宋体" w:eastAsia="宋体" w:cs="宋体"/>
          <w:sz w:val="24"/>
          <w:szCs w:val="24"/>
        </w:rPr>
        <w:t>的设计理念的，多层次组件化的软件体系结构。</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.2</w:t>
      </w:r>
      <w:r>
        <w:rPr>
          <w:rFonts w:hint="eastAsia" w:ascii="宋体" w:hAnsi="宋体" w:eastAsia="宋体" w:cs="宋体"/>
          <w:b/>
          <w:bCs/>
          <w:snapToGrid/>
          <w:kern w:val="2"/>
          <w:sz w:val="24"/>
          <w:szCs w:val="24"/>
        </w:rPr>
        <w:t>、软件技术</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采用</w:t>
      </w:r>
      <w:r>
        <w:rPr>
          <w:rFonts w:ascii="宋体" w:hAnsi="宋体" w:eastAsia="宋体" w:cs="宋体"/>
          <w:sz w:val="24"/>
          <w:szCs w:val="24"/>
        </w:rPr>
        <w:t>J2EE</w:t>
      </w:r>
      <w:r>
        <w:rPr>
          <w:rFonts w:hint="eastAsia" w:ascii="宋体" w:hAnsi="宋体" w:eastAsia="宋体" w:cs="宋体"/>
          <w:sz w:val="24"/>
          <w:szCs w:val="24"/>
        </w:rPr>
        <w:t>或其他符合行业发展方向的先进技术架构；</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采用多层</w:t>
      </w:r>
      <w:r>
        <w:rPr>
          <w:rFonts w:ascii="宋体" w:hAnsi="宋体" w:eastAsia="宋体" w:cs="宋体"/>
          <w:sz w:val="24"/>
          <w:szCs w:val="24"/>
        </w:rPr>
        <w:t>B/S</w:t>
      </w:r>
      <w:r>
        <w:rPr>
          <w:rFonts w:hint="eastAsia" w:ascii="宋体" w:hAnsi="宋体" w:eastAsia="宋体" w:cs="宋体"/>
          <w:sz w:val="24"/>
          <w:szCs w:val="24"/>
        </w:rPr>
        <w:t>应用结构体系，表示层、业务层、数据层访问层要分开；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支持组件化架构，为第三方应用系统提供标准化数据接口；</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系统可以运行在</w:t>
      </w:r>
      <w:r>
        <w:rPr>
          <w:rFonts w:ascii="宋体" w:hAnsi="宋体" w:eastAsia="宋体" w:cs="宋体"/>
          <w:sz w:val="24"/>
          <w:szCs w:val="24"/>
        </w:rPr>
        <w:t xml:space="preserve">Microsoft Windows </w:t>
      </w:r>
      <w:r>
        <w:rPr>
          <w:rFonts w:hint="eastAsia" w:ascii="宋体" w:hAnsi="宋体" w:eastAsia="宋体" w:cs="宋体"/>
          <w:sz w:val="24"/>
          <w:szCs w:val="24"/>
        </w:rPr>
        <w:t>、</w:t>
      </w:r>
      <w:r>
        <w:rPr>
          <w:rFonts w:ascii="宋体" w:hAnsi="宋体" w:eastAsia="宋体" w:cs="宋体"/>
          <w:sz w:val="24"/>
          <w:szCs w:val="24"/>
        </w:rPr>
        <w:t>Linux</w:t>
      </w:r>
      <w:r>
        <w:rPr>
          <w:rFonts w:hint="eastAsia" w:ascii="宋体" w:hAnsi="宋体" w:eastAsia="宋体" w:cs="宋体"/>
          <w:sz w:val="24"/>
          <w:szCs w:val="24"/>
        </w:rPr>
        <w:t>、</w:t>
      </w:r>
      <w:r>
        <w:rPr>
          <w:rFonts w:ascii="宋体" w:hAnsi="宋体" w:eastAsia="宋体" w:cs="宋体"/>
          <w:sz w:val="24"/>
          <w:szCs w:val="24"/>
        </w:rPr>
        <w:t>Unix</w:t>
      </w:r>
      <w:r>
        <w:rPr>
          <w:rFonts w:hint="eastAsia" w:ascii="宋体" w:hAnsi="宋体" w:eastAsia="宋体" w:cs="宋体"/>
          <w:sz w:val="24"/>
          <w:szCs w:val="24"/>
        </w:rPr>
        <w:t>等主流的服务器操作系统平台；系统可以部署在</w:t>
      </w:r>
      <w:r>
        <w:rPr>
          <w:rFonts w:ascii="宋体" w:hAnsi="宋体" w:eastAsia="宋体" w:cs="宋体"/>
          <w:sz w:val="24"/>
          <w:szCs w:val="24"/>
        </w:rPr>
        <w:t>Tomcat</w:t>
      </w:r>
      <w:r>
        <w:rPr>
          <w:rFonts w:hint="eastAsia" w:ascii="宋体" w:hAnsi="宋体" w:eastAsia="宋体" w:cs="宋体"/>
          <w:sz w:val="24"/>
          <w:szCs w:val="24"/>
        </w:rPr>
        <w:t>、</w:t>
      </w:r>
      <w:r>
        <w:rPr>
          <w:rFonts w:ascii="宋体" w:hAnsi="宋体" w:eastAsia="宋体" w:cs="宋体"/>
          <w:sz w:val="24"/>
          <w:szCs w:val="24"/>
        </w:rPr>
        <w:t>Websphere</w:t>
      </w:r>
      <w:r>
        <w:rPr>
          <w:rFonts w:hint="eastAsia" w:ascii="宋体" w:hAnsi="宋体" w:eastAsia="宋体" w:cs="宋体"/>
          <w:sz w:val="24"/>
          <w:szCs w:val="24"/>
        </w:rPr>
        <w:t>、</w:t>
      </w:r>
      <w:r>
        <w:rPr>
          <w:rFonts w:ascii="宋体" w:hAnsi="宋体" w:eastAsia="宋体" w:cs="宋体"/>
          <w:sz w:val="24"/>
          <w:szCs w:val="24"/>
        </w:rPr>
        <w:t>Weblogic</w:t>
      </w:r>
      <w:r>
        <w:rPr>
          <w:rFonts w:hint="eastAsia" w:ascii="宋体" w:hAnsi="宋体" w:eastAsia="宋体" w:cs="宋体"/>
          <w:sz w:val="24"/>
          <w:szCs w:val="24"/>
        </w:rPr>
        <w:t>、</w:t>
      </w:r>
      <w:r>
        <w:rPr>
          <w:rFonts w:ascii="宋体" w:hAnsi="宋体" w:eastAsia="宋体" w:cs="宋体"/>
          <w:sz w:val="24"/>
          <w:szCs w:val="24"/>
        </w:rPr>
        <w:t>Resin</w:t>
      </w:r>
      <w:r>
        <w:rPr>
          <w:rFonts w:hint="eastAsia" w:ascii="宋体" w:hAnsi="宋体" w:eastAsia="宋体" w:cs="宋体"/>
          <w:sz w:val="24"/>
          <w:szCs w:val="24"/>
        </w:rPr>
        <w:t>、</w:t>
      </w:r>
      <w:r>
        <w:rPr>
          <w:rFonts w:ascii="宋体" w:hAnsi="宋体" w:eastAsia="宋体" w:cs="宋体"/>
          <w:sz w:val="24"/>
          <w:szCs w:val="24"/>
        </w:rPr>
        <w:t>Apache</w:t>
      </w:r>
      <w:r>
        <w:rPr>
          <w:rFonts w:hint="eastAsia" w:ascii="宋体" w:hAnsi="宋体" w:eastAsia="宋体" w:cs="宋体"/>
          <w:sz w:val="24"/>
          <w:szCs w:val="24"/>
        </w:rPr>
        <w:t>等</w:t>
      </w:r>
      <w:r>
        <w:rPr>
          <w:rFonts w:ascii="宋体" w:hAnsi="宋体" w:eastAsia="宋体" w:cs="宋体"/>
          <w:sz w:val="24"/>
          <w:szCs w:val="24"/>
        </w:rPr>
        <w:t>J2EE Server</w:t>
      </w:r>
      <w:r>
        <w:rPr>
          <w:rFonts w:hint="eastAsia" w:ascii="宋体" w:hAnsi="宋体" w:eastAsia="宋体" w:cs="宋体"/>
          <w:sz w:val="24"/>
          <w:szCs w:val="24"/>
        </w:rPr>
        <w:t>；系统升级后支持</w:t>
      </w:r>
      <w:r>
        <w:rPr>
          <w:rFonts w:ascii="宋体" w:hAnsi="宋体" w:eastAsia="宋体" w:cs="宋体"/>
          <w:sz w:val="24"/>
          <w:szCs w:val="24"/>
        </w:rPr>
        <w:t>Oracle</w:t>
      </w:r>
      <w:r>
        <w:rPr>
          <w:rFonts w:hint="eastAsia" w:ascii="宋体" w:hAnsi="宋体" w:eastAsia="宋体" w:cs="宋体"/>
          <w:sz w:val="24"/>
          <w:szCs w:val="24"/>
        </w:rPr>
        <w:t>、</w:t>
      </w:r>
      <w:r>
        <w:rPr>
          <w:rFonts w:ascii="宋体" w:hAnsi="宋体" w:eastAsia="宋体" w:cs="宋体"/>
          <w:sz w:val="24"/>
          <w:szCs w:val="24"/>
        </w:rPr>
        <w:t>MySQL</w:t>
      </w:r>
      <w:r>
        <w:rPr>
          <w:rFonts w:hint="eastAsia" w:ascii="宋体" w:hAnsi="宋体" w:eastAsia="宋体" w:cs="宋体"/>
          <w:sz w:val="24"/>
          <w:szCs w:val="24"/>
        </w:rPr>
        <w:t>、</w:t>
      </w:r>
      <w:r>
        <w:rPr>
          <w:rFonts w:ascii="宋体" w:hAnsi="宋体" w:eastAsia="宋体" w:cs="宋体"/>
          <w:sz w:val="24"/>
          <w:szCs w:val="24"/>
        </w:rPr>
        <w:t>Microsoft SQL Server</w:t>
      </w:r>
      <w:r>
        <w:rPr>
          <w:rFonts w:hint="eastAsia" w:ascii="宋体" w:hAnsi="宋体" w:eastAsia="宋体" w:cs="宋体"/>
          <w:sz w:val="24"/>
          <w:szCs w:val="24"/>
        </w:rPr>
        <w:t>等主流数据库系统；系统升级后支持分布式事务功能；系统升级后应支持消息服务；</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支持负载均衡和群集技术；系统升级后应具备优化功能；</w:t>
      </w:r>
    </w:p>
    <w:p>
      <w:pPr>
        <w:spacing w:line="360" w:lineRule="auto"/>
        <w:ind w:firstLine="480" w:firstLineChars="200"/>
        <w:rPr>
          <w:rFonts w:ascii="仿宋" w:hAnsi="仿宋" w:eastAsia="仿宋"/>
        </w:rPr>
      </w:pPr>
      <w:r>
        <w:rPr>
          <w:rFonts w:hint="eastAsia" w:ascii="宋体" w:hAnsi="宋体" w:eastAsia="宋体" w:cs="宋体"/>
          <w:sz w:val="24"/>
          <w:szCs w:val="24"/>
        </w:rPr>
        <w:t>采用数据服务总线模式，将不同的信息资源互相衔接起来，实现站群内各网站、栏目数据的维护、共享使用等。</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16" w:name="_Toc275978062"/>
      <w:bookmarkStart w:id="117" w:name="_Toc223746707"/>
      <w:bookmarkStart w:id="118" w:name="_Toc295236240"/>
      <w:bookmarkStart w:id="119" w:name="_Toc395528609"/>
      <w:bookmarkStart w:id="120" w:name="_Toc449429973"/>
      <w:bookmarkStart w:id="121" w:name="_Toc30880201"/>
      <w:bookmarkStart w:id="122" w:name="_Toc98661431"/>
      <w:bookmarkStart w:id="123" w:name="_Toc28051200"/>
      <w:bookmarkStart w:id="124" w:name="_Toc25740914"/>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、采用</w:t>
      </w:r>
      <w:r>
        <w:rPr>
          <w:rFonts w:ascii="宋体" w:hAnsi="宋体" w:eastAsia="宋体" w:cs="宋体"/>
          <w:b/>
          <w:bCs/>
          <w:snapToGrid/>
          <w:kern w:val="2"/>
          <w:sz w:val="24"/>
          <w:szCs w:val="24"/>
        </w:rPr>
        <w:t>J2EE的技术构架</w:t>
      </w:r>
      <w:bookmarkEnd w:id="116"/>
      <w:bookmarkEnd w:id="117"/>
      <w:bookmarkEnd w:id="118"/>
      <w:bookmarkEnd w:id="119"/>
      <w:bookmarkEnd w:id="120"/>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J2EE</w:t>
      </w:r>
      <w:r>
        <w:rPr>
          <w:rFonts w:hint="eastAsia" w:ascii="宋体" w:hAnsi="宋体" w:eastAsia="宋体" w:cs="宋体"/>
          <w:sz w:val="24"/>
          <w:szCs w:val="24"/>
        </w:rPr>
        <w:t>是一种功能完备、稳定可靠、安全快速的企业级计算平台，它由多种基于</w:t>
      </w:r>
      <w:r>
        <w:rPr>
          <w:rFonts w:ascii="宋体" w:hAnsi="宋体" w:eastAsia="宋体" w:cs="宋体"/>
          <w:sz w:val="24"/>
          <w:szCs w:val="24"/>
        </w:rPr>
        <w:t>JAVA</w:t>
      </w:r>
      <w:r>
        <w:rPr>
          <w:rFonts w:hint="eastAsia" w:ascii="宋体" w:hAnsi="宋体" w:eastAsia="宋体" w:cs="宋体"/>
          <w:sz w:val="24"/>
          <w:szCs w:val="24"/>
        </w:rPr>
        <w:t>的技术组成：</w:t>
      </w:r>
      <w:r>
        <w:rPr>
          <w:rFonts w:ascii="宋体" w:hAnsi="宋体" w:eastAsia="宋体" w:cs="宋体"/>
          <w:sz w:val="24"/>
          <w:szCs w:val="24"/>
        </w:rPr>
        <w:t>EJB</w:t>
      </w:r>
      <w:r>
        <w:rPr>
          <w:rFonts w:hint="eastAsia" w:ascii="宋体" w:hAnsi="宋体" w:eastAsia="宋体" w:cs="宋体"/>
          <w:sz w:val="24"/>
          <w:szCs w:val="24"/>
        </w:rPr>
        <w:t>、</w:t>
      </w:r>
      <w:r>
        <w:rPr>
          <w:rFonts w:ascii="宋体" w:hAnsi="宋体" w:eastAsia="宋体" w:cs="宋体"/>
          <w:sz w:val="24"/>
          <w:szCs w:val="24"/>
        </w:rPr>
        <w:t xml:space="preserve"> JSP</w:t>
      </w:r>
      <w:r>
        <w:rPr>
          <w:rFonts w:hint="eastAsia" w:ascii="宋体" w:hAnsi="宋体" w:eastAsia="宋体" w:cs="宋体"/>
          <w:sz w:val="24"/>
          <w:szCs w:val="24"/>
        </w:rPr>
        <w:t>、</w:t>
      </w:r>
      <w:r>
        <w:rPr>
          <w:rFonts w:ascii="宋体" w:hAnsi="宋体" w:eastAsia="宋体" w:cs="宋体"/>
          <w:sz w:val="24"/>
          <w:szCs w:val="24"/>
        </w:rPr>
        <w:t>SERVLETS</w:t>
      </w:r>
      <w:r>
        <w:rPr>
          <w:rFonts w:hint="eastAsia" w:ascii="宋体" w:hAnsi="宋体" w:eastAsia="宋体" w:cs="宋体"/>
          <w:sz w:val="24"/>
          <w:szCs w:val="24"/>
        </w:rPr>
        <w:t>、</w:t>
      </w:r>
      <w:r>
        <w:rPr>
          <w:rFonts w:ascii="宋体" w:hAnsi="宋体" w:eastAsia="宋体" w:cs="宋体"/>
          <w:sz w:val="24"/>
          <w:szCs w:val="24"/>
        </w:rPr>
        <w:t>JNDI</w:t>
      </w:r>
      <w:r>
        <w:rPr>
          <w:rFonts w:hint="eastAsia" w:ascii="宋体" w:hAnsi="宋体" w:eastAsia="宋体" w:cs="宋体"/>
          <w:sz w:val="24"/>
          <w:szCs w:val="24"/>
        </w:rPr>
        <w:t>、</w:t>
      </w:r>
      <w:r>
        <w:rPr>
          <w:rFonts w:ascii="宋体" w:hAnsi="宋体" w:eastAsia="宋体" w:cs="宋体"/>
          <w:sz w:val="24"/>
          <w:szCs w:val="24"/>
        </w:rPr>
        <w:t>JTA</w:t>
      </w:r>
      <w:r>
        <w:rPr>
          <w:rFonts w:hint="eastAsia" w:ascii="宋体" w:hAnsi="宋体" w:eastAsia="宋体" w:cs="宋体"/>
          <w:sz w:val="24"/>
          <w:szCs w:val="24"/>
        </w:rPr>
        <w:t>、</w:t>
      </w:r>
      <w:r>
        <w:rPr>
          <w:rFonts w:ascii="宋体" w:hAnsi="宋体" w:eastAsia="宋体" w:cs="宋体"/>
          <w:sz w:val="24"/>
          <w:szCs w:val="24"/>
        </w:rPr>
        <w:t xml:space="preserve"> JDBC </w:t>
      </w:r>
      <w:r>
        <w:rPr>
          <w:rFonts w:hint="eastAsia" w:ascii="宋体" w:hAnsi="宋体" w:eastAsia="宋体" w:cs="宋体"/>
          <w:sz w:val="24"/>
          <w:szCs w:val="24"/>
        </w:rPr>
        <w:t>等。</w:t>
      </w:r>
      <w:r>
        <w:rPr>
          <w:rFonts w:ascii="宋体" w:hAnsi="宋体" w:eastAsia="宋体" w:cs="宋体"/>
          <w:sz w:val="24"/>
          <w:szCs w:val="24"/>
        </w:rPr>
        <w:t>J2EE</w:t>
      </w:r>
      <w:r>
        <w:rPr>
          <w:rFonts w:hint="eastAsia" w:ascii="宋体" w:hAnsi="宋体" w:eastAsia="宋体" w:cs="宋体"/>
          <w:sz w:val="24"/>
          <w:szCs w:val="24"/>
        </w:rPr>
        <w:t>具有以下优点：</w:t>
      </w:r>
      <w:r>
        <w:rPr>
          <w:rFonts w:ascii="宋体" w:hAnsi="宋体" w:eastAsia="宋体" w:cs="宋体"/>
          <w:sz w:val="24"/>
          <w:szCs w:val="24"/>
        </w:rPr>
        <w:t xml:space="preserve"> </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平台无关性。我们不必将自己捆绑在某一种硬件或操作系统上，可以根据自身的情况选择合适的硬件、操作系统、数据库。支持</w:t>
      </w:r>
      <w:r>
        <w:rPr>
          <w:rFonts w:ascii="宋体" w:hAnsi="宋体" w:eastAsia="宋体" w:cs="宋体"/>
          <w:sz w:val="24"/>
          <w:szCs w:val="24"/>
        </w:rPr>
        <w:t>Windows</w:t>
      </w:r>
      <w:r>
        <w:rPr>
          <w:rFonts w:hint="eastAsia" w:ascii="宋体" w:hAnsi="宋体" w:eastAsia="宋体" w:cs="宋体"/>
          <w:sz w:val="24"/>
          <w:szCs w:val="24"/>
        </w:rPr>
        <w:t>、</w:t>
      </w:r>
      <w:r>
        <w:rPr>
          <w:rFonts w:ascii="宋体" w:hAnsi="宋体" w:eastAsia="宋体" w:cs="宋体"/>
          <w:sz w:val="24"/>
          <w:szCs w:val="24"/>
        </w:rPr>
        <w:t>Linux</w:t>
      </w:r>
      <w:r>
        <w:rPr>
          <w:rFonts w:hint="eastAsia" w:ascii="宋体" w:hAnsi="宋体" w:eastAsia="宋体" w:cs="宋体"/>
          <w:sz w:val="24"/>
          <w:szCs w:val="24"/>
        </w:rPr>
        <w:t>等主流操作系统；支持</w:t>
      </w:r>
      <w:r>
        <w:rPr>
          <w:rFonts w:ascii="宋体" w:hAnsi="宋体" w:eastAsia="宋体" w:cs="宋体"/>
          <w:sz w:val="24"/>
          <w:szCs w:val="24"/>
        </w:rPr>
        <w:t>SQL Server</w:t>
      </w:r>
      <w:r>
        <w:rPr>
          <w:rFonts w:hint="eastAsia" w:ascii="宋体" w:hAnsi="宋体" w:eastAsia="宋体" w:cs="宋体"/>
          <w:sz w:val="24"/>
          <w:szCs w:val="24"/>
        </w:rPr>
        <w:t>、</w:t>
      </w:r>
      <w:r>
        <w:rPr>
          <w:rFonts w:ascii="宋体" w:hAnsi="宋体" w:eastAsia="宋体" w:cs="宋体"/>
          <w:sz w:val="24"/>
          <w:szCs w:val="24"/>
        </w:rPr>
        <w:t>Oracle</w:t>
      </w:r>
      <w:r>
        <w:rPr>
          <w:rFonts w:hint="eastAsia" w:ascii="宋体" w:hAnsi="宋体" w:eastAsia="宋体" w:cs="宋体"/>
          <w:sz w:val="24"/>
          <w:szCs w:val="24"/>
        </w:rPr>
        <w:t>、</w:t>
      </w:r>
      <w:r>
        <w:rPr>
          <w:rFonts w:ascii="宋体" w:hAnsi="宋体" w:eastAsia="宋体" w:cs="宋体"/>
          <w:sz w:val="24"/>
          <w:szCs w:val="24"/>
        </w:rPr>
        <w:t>Sybase</w:t>
      </w:r>
      <w:r>
        <w:rPr>
          <w:rFonts w:hint="eastAsia" w:ascii="宋体" w:hAnsi="宋体" w:eastAsia="宋体" w:cs="宋体"/>
          <w:sz w:val="24"/>
          <w:szCs w:val="24"/>
        </w:rPr>
        <w:t>、</w:t>
      </w:r>
      <w:r>
        <w:rPr>
          <w:rFonts w:ascii="宋体" w:hAnsi="宋体" w:eastAsia="宋体" w:cs="宋体"/>
          <w:sz w:val="24"/>
          <w:szCs w:val="24"/>
        </w:rPr>
        <w:t>MySQL</w:t>
      </w:r>
      <w:r>
        <w:rPr>
          <w:rFonts w:hint="eastAsia" w:ascii="宋体" w:hAnsi="宋体" w:eastAsia="宋体" w:cs="宋体"/>
          <w:sz w:val="24"/>
          <w:szCs w:val="24"/>
        </w:rPr>
        <w:t>、</w:t>
      </w:r>
      <w:r>
        <w:rPr>
          <w:rFonts w:ascii="宋体" w:hAnsi="宋体" w:eastAsia="宋体" w:cs="宋体"/>
          <w:sz w:val="24"/>
          <w:szCs w:val="24"/>
        </w:rPr>
        <w:t>IBM DB2</w:t>
      </w:r>
      <w:r>
        <w:rPr>
          <w:rFonts w:hint="eastAsia" w:ascii="宋体" w:hAnsi="宋体" w:eastAsia="宋体" w:cs="宋体"/>
          <w:sz w:val="24"/>
          <w:szCs w:val="24"/>
        </w:rPr>
        <w:t>等多种主流数据库系统；可以支持</w:t>
      </w:r>
      <w:r>
        <w:rPr>
          <w:rFonts w:ascii="宋体" w:hAnsi="宋体" w:eastAsia="宋体" w:cs="宋体"/>
          <w:sz w:val="24"/>
          <w:szCs w:val="24"/>
        </w:rPr>
        <w:t>Tomcat</w:t>
      </w:r>
      <w:r>
        <w:rPr>
          <w:rFonts w:hint="eastAsia" w:ascii="宋体" w:hAnsi="宋体" w:eastAsia="宋体" w:cs="宋体"/>
          <w:sz w:val="24"/>
          <w:szCs w:val="24"/>
        </w:rPr>
        <w:t>、</w:t>
      </w:r>
      <w:r>
        <w:rPr>
          <w:rFonts w:ascii="宋体" w:hAnsi="宋体" w:eastAsia="宋体" w:cs="宋体"/>
          <w:sz w:val="24"/>
          <w:szCs w:val="24"/>
        </w:rPr>
        <w:t>Apache</w:t>
      </w:r>
      <w:r>
        <w:rPr>
          <w:rFonts w:hint="eastAsia" w:ascii="宋体" w:hAnsi="宋体" w:eastAsia="宋体" w:cs="宋体"/>
          <w:sz w:val="24"/>
          <w:szCs w:val="24"/>
        </w:rPr>
        <w:t>、</w:t>
      </w:r>
      <w:r>
        <w:rPr>
          <w:rFonts w:ascii="宋体" w:hAnsi="宋体" w:eastAsia="宋体" w:cs="宋体"/>
          <w:sz w:val="24"/>
          <w:szCs w:val="24"/>
        </w:rPr>
        <w:t>WebSphere</w:t>
      </w:r>
      <w:r>
        <w:rPr>
          <w:rFonts w:hint="eastAsia" w:ascii="宋体" w:hAnsi="宋体" w:eastAsia="宋体" w:cs="宋体"/>
          <w:sz w:val="24"/>
          <w:szCs w:val="24"/>
        </w:rPr>
        <w:t>、</w:t>
      </w:r>
      <w:r>
        <w:rPr>
          <w:rFonts w:ascii="宋体" w:hAnsi="宋体" w:eastAsia="宋体" w:cs="宋体"/>
          <w:sz w:val="24"/>
          <w:szCs w:val="24"/>
        </w:rPr>
        <w:t>WebLogic</w:t>
      </w:r>
      <w:r>
        <w:rPr>
          <w:rFonts w:hint="eastAsia" w:ascii="宋体" w:hAnsi="宋体" w:eastAsia="宋体" w:cs="宋体"/>
          <w:sz w:val="24"/>
          <w:szCs w:val="24"/>
        </w:rPr>
        <w:t>等应用服务器。</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J2EE</w:t>
      </w:r>
      <w:r>
        <w:rPr>
          <w:rFonts w:hint="eastAsia" w:ascii="宋体" w:hAnsi="宋体" w:eastAsia="宋体" w:cs="宋体"/>
          <w:sz w:val="24"/>
          <w:szCs w:val="24"/>
        </w:rPr>
        <w:t>是一种组件技术，已完成的组件能被方便地移植到任何其它地方。</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J2EE</w:t>
      </w:r>
      <w:r>
        <w:rPr>
          <w:rFonts w:hint="eastAsia" w:ascii="宋体" w:hAnsi="宋体" w:eastAsia="宋体" w:cs="宋体"/>
          <w:sz w:val="24"/>
          <w:szCs w:val="24"/>
        </w:rPr>
        <w:t>作为中间件，提供了强大的功能，使开发人员只需要关注商业逻辑，因而能加快开发速度，提高系统的运行效率和稳定性。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保护用户投资，当用户更换平台时，由于基于</w:t>
      </w:r>
      <w:r>
        <w:rPr>
          <w:rFonts w:ascii="宋体" w:hAnsi="宋体" w:eastAsia="宋体" w:cs="宋体"/>
          <w:sz w:val="24"/>
          <w:szCs w:val="24"/>
        </w:rPr>
        <w:t>J2EE</w:t>
      </w:r>
      <w:r>
        <w:rPr>
          <w:rFonts w:hint="eastAsia" w:ascii="宋体" w:hAnsi="宋体" w:eastAsia="宋体" w:cs="宋体"/>
          <w:sz w:val="24"/>
          <w:szCs w:val="24"/>
        </w:rPr>
        <w:t>的系统能方便地移植到其它平台上，而无须重新开发，因此能有效地保护系统的投资。</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我们的系统设计中系统开发，及业务构件开发均采用</w:t>
      </w:r>
      <w:r>
        <w:rPr>
          <w:rFonts w:ascii="宋体" w:hAnsi="宋体" w:eastAsia="宋体" w:cs="宋体"/>
          <w:sz w:val="24"/>
          <w:szCs w:val="24"/>
        </w:rPr>
        <w:t>J2EE</w:t>
      </w:r>
      <w:r>
        <w:rPr>
          <w:rFonts w:hint="eastAsia" w:ascii="宋体" w:hAnsi="宋体" w:eastAsia="宋体" w:cs="宋体"/>
          <w:sz w:val="24"/>
          <w:szCs w:val="24"/>
        </w:rPr>
        <w:t>实现，采用</w:t>
      </w:r>
      <w:r>
        <w:rPr>
          <w:rFonts w:ascii="宋体" w:hAnsi="宋体" w:eastAsia="宋体" w:cs="宋体"/>
          <w:sz w:val="24"/>
          <w:szCs w:val="24"/>
        </w:rPr>
        <w:t>J2EE</w:t>
      </w:r>
      <w:r>
        <w:rPr>
          <w:rFonts w:hint="eastAsia" w:ascii="宋体" w:hAnsi="宋体" w:eastAsia="宋体" w:cs="宋体"/>
          <w:sz w:val="24"/>
          <w:szCs w:val="24"/>
        </w:rPr>
        <w:t>方式进行系统间的通讯与协作。</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25" w:name="_Toc275978063"/>
      <w:bookmarkStart w:id="126" w:name="_Toc223746708"/>
      <w:bookmarkStart w:id="127" w:name="_Toc449429974"/>
      <w:bookmarkStart w:id="128" w:name="_Toc395528610"/>
      <w:bookmarkStart w:id="129" w:name="_Toc295236241"/>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.4</w:t>
      </w:r>
      <w:r>
        <w:rPr>
          <w:rFonts w:hint="eastAsia" w:ascii="宋体" w:hAnsi="宋体" w:eastAsia="宋体" w:cs="宋体"/>
          <w:b/>
          <w:bCs/>
          <w:snapToGrid/>
          <w:kern w:val="2"/>
          <w:sz w:val="24"/>
          <w:szCs w:val="24"/>
        </w:rPr>
        <w:t>、全</w:t>
      </w:r>
      <w:r>
        <w:rPr>
          <w:rFonts w:ascii="宋体" w:hAnsi="宋体" w:eastAsia="宋体" w:cs="宋体"/>
          <w:b/>
          <w:bCs/>
          <w:snapToGrid/>
          <w:kern w:val="2"/>
          <w:sz w:val="24"/>
          <w:szCs w:val="24"/>
        </w:rPr>
        <w:t>B/S结构，三层（多层）技术应用</w:t>
      </w:r>
      <w:bookmarkEnd w:id="121"/>
      <w:bookmarkEnd w:id="122"/>
      <w:bookmarkEnd w:id="123"/>
      <w:bookmarkEnd w:id="124"/>
      <w:bookmarkEnd w:id="125"/>
      <w:bookmarkEnd w:id="126"/>
      <w:bookmarkEnd w:id="127"/>
      <w:bookmarkEnd w:id="128"/>
      <w:bookmarkEnd w:id="129"/>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三层结构是将应用功能分成表示层、业务逻辑层和数据层三部分。其解决方案是对这三层进行明确分割，并在逻辑上使其独立。</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本项目建设中，所涉及系统全部基于纯</w:t>
      </w:r>
      <w:r>
        <w:rPr>
          <w:rFonts w:ascii="宋体" w:hAnsi="宋体" w:eastAsia="宋体" w:cs="宋体"/>
          <w:sz w:val="24"/>
          <w:szCs w:val="24"/>
        </w:rPr>
        <w:t>B/S</w:t>
      </w:r>
      <w:r>
        <w:rPr>
          <w:rFonts w:hint="eastAsia" w:ascii="宋体" w:hAnsi="宋体" w:eastAsia="宋体" w:cs="宋体"/>
          <w:sz w:val="24"/>
          <w:szCs w:val="24"/>
        </w:rPr>
        <w:t>结构，对于系统管理和前台浏览全部基于浏览器操作，全面支持各种</w:t>
      </w:r>
      <w:r>
        <w:rPr>
          <w:rFonts w:ascii="宋体" w:hAnsi="宋体" w:eastAsia="宋体" w:cs="宋体"/>
          <w:sz w:val="24"/>
          <w:szCs w:val="24"/>
        </w:rPr>
        <w:t>WEB</w:t>
      </w:r>
      <w:r>
        <w:rPr>
          <w:rFonts w:hint="eastAsia" w:ascii="宋体" w:hAnsi="宋体" w:eastAsia="宋体" w:cs="宋体"/>
          <w:sz w:val="24"/>
          <w:szCs w:val="24"/>
        </w:rPr>
        <w:t>应用。</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30" w:name="_Toc449429975"/>
      <w:bookmarkStart w:id="131" w:name="_Toc395528611"/>
      <w:bookmarkStart w:id="132" w:name="_Toc98661433"/>
      <w:bookmarkStart w:id="133" w:name="_Toc223746709"/>
      <w:bookmarkStart w:id="134" w:name="_Toc275978064"/>
      <w:bookmarkStart w:id="135" w:name="_Toc295236242"/>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.5</w:t>
      </w:r>
      <w:r>
        <w:rPr>
          <w:rFonts w:hint="eastAsia" w:ascii="宋体" w:hAnsi="宋体" w:eastAsia="宋体" w:cs="宋体"/>
          <w:b/>
          <w:bCs/>
          <w:snapToGrid/>
          <w:kern w:val="2"/>
          <w:sz w:val="24"/>
          <w:szCs w:val="24"/>
        </w:rPr>
        <w:t>、</w:t>
      </w:r>
      <w:r>
        <w:rPr>
          <w:rFonts w:ascii="宋体" w:hAnsi="宋体" w:eastAsia="宋体" w:cs="宋体"/>
          <w:b/>
          <w:bCs/>
          <w:snapToGrid/>
          <w:kern w:val="2"/>
          <w:sz w:val="24"/>
          <w:szCs w:val="24"/>
        </w:rPr>
        <w:t>XML技术及其应用</w:t>
      </w:r>
      <w:bookmarkEnd w:id="130"/>
      <w:bookmarkEnd w:id="131"/>
      <w:bookmarkEnd w:id="132"/>
      <w:bookmarkEnd w:id="133"/>
      <w:bookmarkEnd w:id="134"/>
      <w:bookmarkEnd w:id="135"/>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XML（可扩展标记语言）简化了数据交换、进程间消息交换这一类的事情</w:t>
      </w:r>
      <w:r>
        <w:rPr>
          <w:rFonts w:hint="eastAsia" w:ascii="宋体" w:hAnsi="宋体" w:eastAsia="宋体" w:cs="宋体"/>
          <w:sz w:val="24"/>
          <w:szCs w:val="24"/>
        </w:rPr>
        <w:t>。</w:t>
      </w:r>
      <w:r>
        <w:rPr>
          <w:rFonts w:ascii="宋体" w:hAnsi="宋体" w:eastAsia="宋体" w:cs="宋体"/>
          <w:sz w:val="24"/>
          <w:szCs w:val="24"/>
        </w:rPr>
        <w:t>XML</w:t>
      </w:r>
      <w:r>
        <w:rPr>
          <w:rFonts w:hint="eastAsia" w:ascii="宋体" w:hAnsi="宋体" w:eastAsia="宋体" w:cs="宋体"/>
          <w:sz w:val="24"/>
          <w:szCs w:val="24"/>
        </w:rPr>
        <w:t>使用一个简单而有灵活的标准格式，为基于</w:t>
      </w:r>
      <w:r>
        <w:rPr>
          <w:rFonts w:ascii="宋体" w:hAnsi="宋体" w:eastAsia="宋体" w:cs="宋体"/>
          <w:sz w:val="24"/>
          <w:szCs w:val="24"/>
        </w:rPr>
        <w:t>Web</w:t>
      </w:r>
      <w:r>
        <w:rPr>
          <w:rFonts w:hint="eastAsia" w:ascii="宋体" w:hAnsi="宋体" w:eastAsia="宋体" w:cs="宋体"/>
          <w:sz w:val="24"/>
          <w:szCs w:val="24"/>
        </w:rPr>
        <w:t>的应用提供了一个描述数据和交换数据的有效手段。提供了直接处理全球数据的通用方法。</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36" w:name="_Toc48460980"/>
      <w:bookmarkStart w:id="137" w:name="_Toc275978065"/>
      <w:bookmarkStart w:id="138" w:name="_Toc295236243"/>
      <w:bookmarkStart w:id="139" w:name="_Toc395528612"/>
      <w:bookmarkStart w:id="140" w:name="_Toc449429976"/>
      <w:bookmarkStart w:id="141" w:name="_Toc47778601"/>
      <w:bookmarkStart w:id="142" w:name="_Toc98661435"/>
      <w:bookmarkStart w:id="143" w:name="_Toc69551682"/>
      <w:bookmarkStart w:id="144" w:name="_Toc223746710"/>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.6</w:t>
      </w:r>
      <w:r>
        <w:rPr>
          <w:rFonts w:hint="eastAsia" w:ascii="宋体" w:hAnsi="宋体" w:eastAsia="宋体" w:cs="宋体"/>
          <w:b/>
          <w:bCs/>
          <w:snapToGrid/>
          <w:kern w:val="2"/>
          <w:sz w:val="24"/>
          <w:szCs w:val="24"/>
        </w:rPr>
        <w:t>、采用</w:t>
      </w:r>
      <w:r>
        <w:rPr>
          <w:rFonts w:ascii="宋体" w:hAnsi="宋体" w:eastAsia="宋体" w:cs="宋体"/>
          <w:b/>
          <w:bCs/>
          <w:snapToGrid/>
          <w:kern w:val="2"/>
          <w:sz w:val="24"/>
          <w:szCs w:val="24"/>
        </w:rPr>
        <w:t>Web Services等Internet/Intranet技术标准</w:t>
      </w:r>
      <w:bookmarkEnd w:id="136"/>
      <w:bookmarkEnd w:id="137"/>
      <w:bookmarkEnd w:id="138"/>
      <w:bookmarkEnd w:id="139"/>
      <w:bookmarkEnd w:id="140"/>
      <w:bookmarkEnd w:id="141"/>
      <w:bookmarkEnd w:id="142"/>
      <w:bookmarkEnd w:id="143"/>
      <w:bookmarkEnd w:id="144"/>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Web services</w:t>
      </w:r>
      <w:r>
        <w:rPr>
          <w:rFonts w:hint="eastAsia" w:ascii="宋体" w:hAnsi="宋体" w:eastAsia="宋体" w:cs="宋体"/>
          <w:sz w:val="24"/>
          <w:szCs w:val="24"/>
        </w:rPr>
        <w:t>是建立可互操作的分布式应用程序的新平台。它定义了应用程序如何在</w:t>
      </w:r>
      <w:r>
        <w:rPr>
          <w:rFonts w:ascii="宋体" w:hAnsi="宋体" w:eastAsia="宋体" w:cs="宋体"/>
          <w:sz w:val="24"/>
          <w:szCs w:val="24"/>
        </w:rPr>
        <w:t>Web</w:t>
      </w:r>
      <w:r>
        <w:rPr>
          <w:rFonts w:hint="eastAsia" w:ascii="宋体" w:hAnsi="宋体" w:eastAsia="宋体" w:cs="宋体"/>
          <w:sz w:val="24"/>
          <w:szCs w:val="24"/>
        </w:rPr>
        <w:t>上实现互操作性。具有平台无关性、编程语言无关性。构成</w:t>
      </w:r>
      <w:r>
        <w:rPr>
          <w:rFonts w:ascii="宋体" w:hAnsi="宋体" w:eastAsia="宋体" w:cs="宋体"/>
          <w:sz w:val="24"/>
          <w:szCs w:val="24"/>
        </w:rPr>
        <w:t>Web service</w:t>
      </w:r>
      <w:r>
        <w:rPr>
          <w:rFonts w:hint="eastAsia" w:ascii="宋体" w:hAnsi="宋体" w:eastAsia="宋体" w:cs="宋体"/>
          <w:sz w:val="24"/>
          <w:szCs w:val="24"/>
        </w:rPr>
        <w:t>平台的技术有：</w:t>
      </w:r>
      <w:r>
        <w:rPr>
          <w:rFonts w:ascii="宋体" w:hAnsi="宋体" w:eastAsia="宋体" w:cs="宋体"/>
          <w:sz w:val="24"/>
          <w:szCs w:val="24"/>
        </w:rPr>
        <w:t xml:space="preserve">XML </w:t>
      </w:r>
      <w:r>
        <w:rPr>
          <w:rFonts w:hint="eastAsia" w:ascii="宋体" w:hAnsi="宋体" w:eastAsia="宋体" w:cs="宋体"/>
          <w:sz w:val="24"/>
          <w:szCs w:val="24"/>
        </w:rPr>
        <w:t>、</w:t>
      </w:r>
      <w:r>
        <w:rPr>
          <w:rFonts w:ascii="宋体" w:hAnsi="宋体" w:eastAsia="宋体" w:cs="宋体"/>
          <w:sz w:val="24"/>
          <w:szCs w:val="24"/>
        </w:rPr>
        <w:t>UDDI</w:t>
      </w:r>
      <w:r>
        <w:rPr>
          <w:rFonts w:hint="eastAsia" w:ascii="宋体" w:hAnsi="宋体" w:eastAsia="宋体" w:cs="宋体"/>
          <w:sz w:val="24"/>
          <w:szCs w:val="24"/>
        </w:rPr>
        <w:t>、</w:t>
      </w:r>
      <w:r>
        <w:rPr>
          <w:rFonts w:ascii="宋体" w:hAnsi="宋体" w:eastAsia="宋体" w:cs="宋体"/>
          <w:sz w:val="24"/>
          <w:szCs w:val="24"/>
        </w:rPr>
        <w:t>SOAP</w:t>
      </w:r>
      <w:r>
        <w:rPr>
          <w:rFonts w:hint="eastAsia" w:ascii="宋体" w:hAnsi="宋体" w:eastAsia="宋体" w:cs="宋体"/>
          <w:sz w:val="24"/>
          <w:szCs w:val="24"/>
        </w:rPr>
        <w:t>、</w:t>
      </w:r>
      <w:r>
        <w:rPr>
          <w:rFonts w:ascii="宋体" w:hAnsi="宋体" w:eastAsia="宋体" w:cs="宋体"/>
          <w:sz w:val="24"/>
          <w:szCs w:val="24"/>
        </w:rPr>
        <w:t>WSDL</w:t>
      </w:r>
      <w:r>
        <w:rPr>
          <w:rFonts w:hint="eastAsia" w:ascii="宋体" w:hAnsi="宋体" w:eastAsia="宋体" w:cs="宋体"/>
          <w:sz w:val="24"/>
          <w:szCs w:val="24"/>
        </w:rPr>
        <w:t>。在我们的设计的系统中对异构环境及跨网络其它业务系统的通信与协作采用</w:t>
      </w:r>
      <w:r>
        <w:rPr>
          <w:rFonts w:ascii="宋体" w:hAnsi="宋体" w:eastAsia="宋体" w:cs="宋体"/>
          <w:sz w:val="24"/>
          <w:szCs w:val="24"/>
        </w:rPr>
        <w:t>Web Service</w:t>
      </w:r>
      <w:r>
        <w:rPr>
          <w:rFonts w:hint="eastAsia" w:ascii="宋体" w:hAnsi="宋体" w:eastAsia="宋体" w:cs="宋体"/>
          <w:sz w:val="24"/>
          <w:szCs w:val="24"/>
        </w:rPr>
        <w:t>实现。</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45" w:name="_Toc395528613"/>
      <w:bookmarkStart w:id="146" w:name="_Toc449429977"/>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.7</w:t>
      </w:r>
      <w:r>
        <w:rPr>
          <w:rFonts w:hint="eastAsia" w:ascii="宋体" w:hAnsi="宋体" w:eastAsia="宋体" w:cs="宋体"/>
          <w:b/>
          <w:bCs/>
          <w:snapToGrid/>
          <w:kern w:val="2"/>
          <w:sz w:val="24"/>
          <w:szCs w:val="24"/>
        </w:rPr>
        <w:t>、采用分布式部署方式，提高系统性能和安全</w:t>
      </w:r>
      <w:bookmarkEnd w:id="145"/>
      <w:bookmarkEnd w:id="146"/>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通常的网站建设都是只能基于同一台服务器上搭建的，这样做即无法提高系统性能，也会导致某一台机器受攻击后数据丢失将无法恢复到原来的样式。</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本次网站建设将针对此弊端拟采用网站制作、网站数据库与网站对外发布分离的技术，增强网站数据流失和损坏的恢复可控能力；</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47" w:name="_Toc449429978"/>
      <w:bookmarkStart w:id="148" w:name="_Toc395528614"/>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.8</w:t>
      </w:r>
      <w:r>
        <w:rPr>
          <w:rFonts w:hint="eastAsia" w:ascii="宋体" w:hAnsi="宋体" w:eastAsia="宋体" w:cs="宋体"/>
          <w:b/>
          <w:bCs/>
          <w:snapToGrid/>
          <w:kern w:val="2"/>
          <w:sz w:val="24"/>
          <w:szCs w:val="24"/>
        </w:rPr>
        <w:t>、采用多种安全手段，提高系统安全性</w:t>
      </w:r>
      <w:bookmarkEnd w:id="147"/>
      <w:bookmarkEnd w:id="148"/>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提供用户多层次的权限管理方式，可以针对网站按不同机构进行划分，并针对不同机构设置相关的用户和其在网站的维护和访问扮演的不同角色，不同的用户根据所拥有的权限访问相应的内容和做各自权限范围内的操作。保障信息访问的安全性。</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49" w:name="_Toc449429979"/>
      <w:bookmarkStart w:id="150" w:name="_Toc395528615"/>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.9</w:t>
      </w:r>
      <w:r>
        <w:rPr>
          <w:rFonts w:hint="eastAsia" w:ascii="宋体" w:hAnsi="宋体" w:eastAsia="宋体" w:cs="宋体"/>
          <w:b/>
          <w:bCs/>
          <w:snapToGrid/>
          <w:kern w:val="2"/>
          <w:sz w:val="24"/>
          <w:szCs w:val="24"/>
        </w:rPr>
        <w:t>、提供安全日志及容灾备份功能</w:t>
      </w:r>
      <w:bookmarkEnd w:id="149"/>
      <w:bookmarkEnd w:id="150"/>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日志管理是记录用户对网站模块的各项操作。为维护人员提供网站平台运行受攻击或误操作而导致故障的分析依据。通过日志所记录的操作信息，可提供记录用户使用计算机网络系统进行所有与安全相关的活动的过程，它是提高安全性的重要工具。它不仅能够识别谁访问了系统，还能指出系统正被怎样地使用。系统能确定是否有网络攻击的情况。同时，系统事件的记录能够更迅速地、系统地识别问题，并且是后阶段事故处理的重要依据。另外，通过对安全事件的不断收集与积累并且加以分析，有选择性地对其中的某些用户进行跟踪，以便发现可能产生的破坏性行为并对此提供有力的证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系统平台提供完善的数据备份功能，数据管理维护包括机构导入导出、用户导入导出、应用导入导出、数据导入导出。</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51" w:name="_Toc395528617"/>
      <w:bookmarkStart w:id="152" w:name="_Toc449429980"/>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.10</w:t>
      </w:r>
      <w:r>
        <w:rPr>
          <w:rFonts w:hint="eastAsia" w:ascii="宋体" w:hAnsi="宋体" w:eastAsia="宋体" w:cs="宋体"/>
          <w:b/>
          <w:bCs/>
          <w:snapToGrid/>
          <w:kern w:val="2"/>
          <w:sz w:val="24"/>
          <w:szCs w:val="24"/>
        </w:rPr>
        <w:t>、采用模板与信息分离技术</w:t>
      </w:r>
      <w:bookmarkEnd w:id="151"/>
      <w:bookmarkEnd w:id="152"/>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系统采用模板与内容分离技术，通过灵活的网页模板定制方式，与不同模板的复用，在不改变单元内容的情况下，对页面的版式与样式方面进行调整将变得随心所欲，不再是以往的牵一发而动全身，可以实现可视化方式快速的改变首页、频道页、栏目页乃至整个网站的任意页面，并迅速发送到前台。</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53" w:name="_Toc449429981"/>
      <w:bookmarkStart w:id="154" w:name="_Toc395528618"/>
      <w:r>
        <w:rPr>
          <w:rFonts w:hint="eastAsia" w:ascii="宋体" w:hAnsi="宋体" w:eastAsia="宋体" w:cs="宋体"/>
          <w:b/>
          <w:bCs/>
          <w:snapToGrid/>
          <w:kern w:val="2"/>
          <w:sz w:val="24"/>
          <w:szCs w:val="24"/>
        </w:rPr>
        <w:t>3</w:t>
      </w:r>
      <w:r>
        <w:rPr>
          <w:rFonts w:ascii="宋体" w:hAnsi="宋体" w:eastAsia="宋体" w:cs="宋体"/>
          <w:b/>
          <w:bCs/>
          <w:snapToGrid/>
          <w:kern w:val="2"/>
          <w:sz w:val="24"/>
          <w:szCs w:val="24"/>
        </w:rPr>
        <w:t>.</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.11</w:t>
      </w:r>
      <w:r>
        <w:rPr>
          <w:rFonts w:hint="eastAsia" w:ascii="宋体" w:hAnsi="宋体" w:eastAsia="宋体" w:cs="宋体"/>
          <w:b/>
          <w:bCs/>
          <w:snapToGrid/>
          <w:kern w:val="2"/>
          <w:sz w:val="24"/>
          <w:szCs w:val="24"/>
        </w:rPr>
        <w:t>、动静结合的发布模式</w:t>
      </w:r>
      <w:bookmarkEnd w:id="153"/>
      <w:bookmarkEnd w:id="154"/>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网站栏目全部是多维的，在发布策略有信息的及时性、效率性、稳定性、统一性等多方面，因此采用动、静结合的方式进行信息发布。</w:t>
      </w:r>
    </w:p>
    <w:p>
      <w:pPr>
        <w:keepNext/>
        <w:keepLines/>
        <w:adjustRightInd w:val="0"/>
        <w:snapToGrid w:val="0"/>
        <w:spacing w:line="360" w:lineRule="auto"/>
        <w:ind w:firstLine="482" w:firstLineChars="200"/>
        <w:outlineLvl w:val="2"/>
        <w:rPr>
          <w:b/>
          <w:bCs/>
        </w:rPr>
      </w:pPr>
      <w:bookmarkStart w:id="155" w:name="_Toc395528619"/>
      <w:bookmarkStart w:id="156" w:name="_Toc449429982"/>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.12</w:t>
      </w:r>
      <w:r>
        <w:rPr>
          <w:rFonts w:hint="eastAsia" w:ascii="宋体" w:hAnsi="宋体" w:eastAsia="宋体" w:cs="宋体"/>
          <w:b/>
          <w:bCs/>
          <w:snapToGrid/>
          <w:kern w:val="2"/>
          <w:sz w:val="24"/>
          <w:szCs w:val="24"/>
        </w:rPr>
        <w:t>、全面的浏览器兼容，分辨率自适应</w:t>
      </w:r>
      <w:bookmarkEnd w:id="155"/>
      <w:bookmarkEnd w:id="156"/>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系统具有全面的浏览器兼容性，支持</w:t>
      </w:r>
      <w:r>
        <w:rPr>
          <w:rFonts w:ascii="宋体" w:hAnsi="宋体" w:eastAsia="宋体" w:cs="宋体"/>
          <w:sz w:val="24"/>
          <w:szCs w:val="24"/>
        </w:rPr>
        <w:t xml:space="preserve">IE </w:t>
      </w:r>
      <w:r>
        <w:rPr>
          <w:rFonts w:hint="eastAsia" w:ascii="宋体" w:hAnsi="宋体" w:eastAsia="宋体" w:cs="宋体"/>
          <w:sz w:val="24"/>
          <w:szCs w:val="24"/>
        </w:rPr>
        <w:t>核心浏览器、火狐浏览器，搜狐浏览器，</w:t>
      </w:r>
      <w:r>
        <w:rPr>
          <w:rFonts w:ascii="宋体" w:hAnsi="宋体" w:eastAsia="宋体" w:cs="宋体"/>
          <w:sz w:val="24"/>
          <w:szCs w:val="24"/>
        </w:rPr>
        <w:t>360</w:t>
      </w:r>
      <w:r>
        <w:rPr>
          <w:rFonts w:hint="eastAsia" w:ascii="宋体" w:hAnsi="宋体" w:eastAsia="宋体" w:cs="宋体"/>
          <w:sz w:val="24"/>
          <w:szCs w:val="24"/>
        </w:rPr>
        <w:t>浏览器，世界之窗等主流浏览器。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系统采用弹性流体布局，支持宽屏、窄屏内各</w:t>
      </w:r>
      <w:r>
        <w:rPr>
          <w:rFonts w:ascii="宋体" w:hAnsi="宋体" w:eastAsia="宋体" w:cs="宋体"/>
          <w:sz w:val="24"/>
          <w:szCs w:val="24"/>
        </w:rPr>
        <w:t>1024x768</w:t>
      </w:r>
      <w:r>
        <w:rPr>
          <w:rFonts w:hint="eastAsia" w:ascii="宋体" w:hAnsi="宋体" w:eastAsia="宋体" w:cs="宋体"/>
          <w:sz w:val="24"/>
          <w:szCs w:val="24"/>
        </w:rPr>
        <w:t>或</w:t>
      </w:r>
      <w:r>
        <w:rPr>
          <w:rFonts w:ascii="宋体" w:hAnsi="宋体" w:eastAsia="宋体" w:cs="宋体"/>
          <w:sz w:val="24"/>
          <w:szCs w:val="24"/>
        </w:rPr>
        <w:t>800x600</w:t>
      </w:r>
      <w:r>
        <w:rPr>
          <w:rFonts w:hint="eastAsia" w:ascii="宋体" w:hAnsi="宋体" w:eastAsia="宋体" w:cs="宋体"/>
          <w:sz w:val="24"/>
          <w:szCs w:val="24"/>
        </w:rPr>
        <w:t>等分辨率的自适应显示。</w:t>
      </w:r>
    </w:p>
    <w:p>
      <w:pPr>
        <w:keepNext/>
        <w:keepLines/>
        <w:adjustRightInd w:val="0"/>
        <w:snapToGrid w:val="0"/>
        <w:spacing w:line="360" w:lineRule="auto"/>
        <w:ind w:firstLine="482" w:firstLineChars="200"/>
        <w:outlineLvl w:val="2"/>
        <w:rPr>
          <w:rFonts w:ascii="宋体" w:hAnsi="宋体" w:eastAsia="宋体" w:cs="宋体"/>
          <w:b/>
          <w:bCs/>
          <w:snapToGrid/>
          <w:kern w:val="2"/>
          <w:sz w:val="24"/>
          <w:szCs w:val="24"/>
        </w:rPr>
      </w:pPr>
      <w:bookmarkStart w:id="157" w:name="_Toc449429984"/>
      <w:bookmarkStart w:id="158" w:name="_Toc395528621"/>
      <w:r>
        <w:rPr>
          <w:rFonts w:ascii="宋体" w:hAnsi="宋体" w:eastAsia="宋体" w:cs="宋体"/>
          <w:b/>
          <w:bCs/>
          <w:snapToGrid/>
          <w:kern w:val="2"/>
          <w:sz w:val="24"/>
          <w:szCs w:val="24"/>
        </w:rPr>
        <w:t>3.</w:t>
      </w:r>
      <w:r>
        <w:rPr>
          <w:rFonts w:hint="eastAsia" w:ascii="宋体" w:hAnsi="宋体" w:eastAsia="宋体" w:cs="宋体"/>
          <w:b/>
          <w:bCs/>
          <w:snapToGrid/>
          <w:kern w:val="2"/>
          <w:sz w:val="24"/>
          <w:szCs w:val="24"/>
        </w:rPr>
        <w:t>4</w:t>
      </w:r>
      <w:r>
        <w:rPr>
          <w:rFonts w:ascii="宋体" w:hAnsi="宋体" w:eastAsia="宋体" w:cs="宋体"/>
          <w:b/>
          <w:bCs/>
          <w:snapToGrid/>
          <w:kern w:val="2"/>
          <w:sz w:val="24"/>
          <w:szCs w:val="24"/>
        </w:rPr>
        <w:t>.13</w:t>
      </w:r>
      <w:r>
        <w:rPr>
          <w:rFonts w:hint="eastAsia" w:ascii="宋体" w:hAnsi="宋体" w:eastAsia="宋体" w:cs="宋体"/>
          <w:b/>
          <w:bCs/>
          <w:snapToGrid/>
          <w:kern w:val="2"/>
          <w:sz w:val="24"/>
          <w:szCs w:val="24"/>
        </w:rPr>
        <w:t>、采用基于组件的软件结构，良好的扩展性</w:t>
      </w:r>
      <w:bookmarkEnd w:id="157"/>
      <w:bookmarkEnd w:id="158"/>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组件技术是一种近来才开始日益普及的软件开发技术。组件，是一种可部署软件的代码包，其中包括某些可执行模块。组件单独开发并作为软件单元使用，它具有明确的接口，软件就是通过这些接口调用组件所能提供的服务，多种组件可以联合起来构成更大型的组件乃至直接建立整个系统。组件必须是自包含的，组件设计中必须包括需求、源代码和可执行代码、接口规范、分析和设计模型、测试和其他同类术语。组件的实现必须支持一种或者多种其用户所希望获得的接口。全部基于统一通用平台开发，统一通用平台为底层组件式实现，包括数据库调用、</w:t>
      </w:r>
      <w:r>
        <w:rPr>
          <w:rFonts w:ascii="宋体" w:hAnsi="宋体" w:eastAsia="宋体" w:cs="宋体"/>
          <w:sz w:val="24"/>
          <w:szCs w:val="24"/>
        </w:rPr>
        <w:t>listview</w:t>
      </w:r>
      <w:r>
        <w:rPr>
          <w:rFonts w:hint="eastAsia" w:ascii="宋体" w:hAnsi="宋体" w:eastAsia="宋体" w:cs="宋体"/>
          <w:sz w:val="24"/>
          <w:szCs w:val="24"/>
        </w:rPr>
        <w:t>的展现、</w:t>
      </w:r>
      <w:r>
        <w:rPr>
          <w:rFonts w:ascii="宋体" w:hAnsi="宋体" w:eastAsia="宋体" w:cs="宋体"/>
          <w:sz w:val="24"/>
          <w:szCs w:val="24"/>
        </w:rPr>
        <w:t>webservice</w:t>
      </w:r>
      <w:r>
        <w:rPr>
          <w:rFonts w:hint="eastAsia" w:ascii="宋体" w:hAnsi="宋体" w:eastAsia="宋体" w:cs="宋体"/>
          <w:sz w:val="24"/>
          <w:szCs w:val="24"/>
        </w:rPr>
        <w:t>接口等，都以组件化模式体现，在通用平台之上构架的产品内部业务逻辑之间，也都采用组件式开发，比如在网站内容管理系统中，信息的编辑、模板的管理、数据的发布等模块，也采用松耦合式的组件化开发。产品与产品之间，采用组件化模式开发，比如网站群管理平台统、内容管理系统、信息公开系统、全文检索系统等，既可独立运行，也可以协作工作。产品独立封装，但之间接口可互相调用。</w:t>
      </w:r>
    </w:p>
    <w:p>
      <w:pPr>
        <w:spacing w:line="360" w:lineRule="auto"/>
        <w:ind w:firstLine="480" w:firstLineChars="200"/>
        <w:rPr>
          <w:rFonts w:ascii="宋体" w:hAnsi="宋体" w:eastAsia="宋体" w:cs="宋体"/>
          <w:sz w:val="24"/>
          <w:szCs w:val="24"/>
        </w:rPr>
      </w:pPr>
    </w:p>
    <w:p>
      <w:pPr>
        <w:keepNext/>
        <w:keepLines/>
        <w:spacing w:line="360" w:lineRule="auto"/>
        <w:ind w:firstLine="482" w:firstLineChars="200"/>
        <w:outlineLvl w:val="0"/>
        <w:rPr>
          <w:rFonts w:ascii="宋体" w:hAnsi="宋体" w:eastAsia="宋体" w:cs="宋体"/>
          <w:b/>
          <w:kern w:val="44"/>
          <w:sz w:val="24"/>
          <w:szCs w:val="24"/>
        </w:rPr>
      </w:pPr>
      <w:r>
        <w:rPr>
          <w:rFonts w:hint="eastAsia" w:ascii="宋体" w:hAnsi="宋体" w:eastAsia="宋体" w:cs="宋体"/>
          <w:b/>
          <w:kern w:val="44"/>
          <w:sz w:val="24"/>
          <w:szCs w:val="24"/>
        </w:rPr>
        <w:t>4</w:t>
      </w:r>
      <w:r>
        <w:rPr>
          <w:rFonts w:ascii="宋体" w:hAnsi="宋体" w:eastAsia="宋体" w:cs="宋体"/>
          <w:b/>
          <w:kern w:val="44"/>
          <w:sz w:val="24"/>
          <w:szCs w:val="24"/>
        </w:rPr>
        <w:t>.</w:t>
      </w:r>
      <w:r>
        <w:rPr>
          <w:rFonts w:hint="eastAsia" w:ascii="宋体" w:hAnsi="宋体" w:eastAsia="宋体" w:cs="宋体"/>
          <w:b/>
          <w:kern w:val="44"/>
          <w:sz w:val="24"/>
          <w:szCs w:val="24"/>
        </w:rPr>
        <w:t>项目管理和实施要求</w:t>
      </w:r>
      <w:bookmarkEnd w:id="115"/>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本项目服务时间为签约后一年。服务地点为国家税务总局黑龙江省税务局指定地点。</w:t>
      </w:r>
    </w:p>
    <w:p>
      <w:pPr>
        <w:keepNext/>
        <w:keepLines/>
        <w:spacing w:line="360" w:lineRule="auto"/>
        <w:ind w:firstLine="482" w:firstLineChars="200"/>
        <w:outlineLvl w:val="0"/>
        <w:rPr>
          <w:rFonts w:ascii="宋体" w:hAnsi="宋体" w:eastAsia="宋体" w:cs="宋体"/>
          <w:b/>
          <w:kern w:val="44"/>
          <w:sz w:val="24"/>
          <w:szCs w:val="24"/>
        </w:rPr>
      </w:pPr>
      <w:bookmarkStart w:id="159" w:name="技术支持服务要求_Block"/>
      <w:r>
        <w:rPr>
          <w:rFonts w:hint="eastAsia" w:ascii="宋体" w:hAnsi="宋体" w:eastAsia="宋体" w:cs="宋体"/>
          <w:b/>
          <w:kern w:val="44"/>
          <w:sz w:val="24"/>
          <w:szCs w:val="24"/>
        </w:rPr>
        <w:t>5</w:t>
      </w:r>
      <w:r>
        <w:rPr>
          <w:rFonts w:ascii="宋体" w:hAnsi="宋体" w:eastAsia="宋体" w:cs="宋体"/>
          <w:b/>
          <w:kern w:val="44"/>
          <w:sz w:val="24"/>
          <w:szCs w:val="24"/>
        </w:rPr>
        <w:t>.</w:t>
      </w:r>
      <w:r>
        <w:rPr>
          <w:rFonts w:hint="eastAsia" w:ascii="宋体" w:hAnsi="宋体" w:eastAsia="宋体" w:cs="宋体"/>
          <w:b/>
          <w:kern w:val="44"/>
          <w:sz w:val="24"/>
          <w:szCs w:val="24"/>
        </w:rPr>
        <w:t>技术支持服务要求</w:t>
      </w:r>
      <w:bookmarkEnd w:id="159"/>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5</w:t>
      </w:r>
      <w:r>
        <w:rPr>
          <w:rFonts w:ascii="宋体" w:hAnsi="宋体" w:eastAsia="宋体" w:cs="宋体"/>
          <w:b/>
          <w:kern w:val="2"/>
          <w:sz w:val="24"/>
          <w:szCs w:val="24"/>
        </w:rPr>
        <w:t>.1</w:t>
      </w:r>
      <w:r>
        <w:rPr>
          <w:rFonts w:hint="eastAsia" w:ascii="宋体" w:hAnsi="宋体" w:eastAsia="宋体" w:cs="宋体"/>
          <w:b/>
          <w:kern w:val="2"/>
          <w:sz w:val="24"/>
          <w:szCs w:val="24"/>
        </w:rPr>
        <w:t>、运维服务人员要求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为了保质保量的做好工程及售后服务，要求成交供应商的维护技术支持队伍必须人员齐备，自身技术素质要过硬，都要有类似此项规模工程的经历和必要的经验及必要的服务意识。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另外各项目组的技术支持队伍在售前和售后要固定，不能临时替补或经常更换。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需提供1年3人的现场运维服务，包括：</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技术运维人员，需具有</w:t>
      </w:r>
      <w:r>
        <w:rPr>
          <w:rFonts w:ascii="宋体" w:hAnsi="宋体" w:eastAsia="宋体" w:cs="宋体"/>
          <w:sz w:val="24"/>
          <w:szCs w:val="24"/>
        </w:rPr>
        <w:t>6</w:t>
      </w:r>
      <w:r>
        <w:rPr>
          <w:rFonts w:hint="eastAsia" w:ascii="宋体" w:hAnsi="宋体" w:eastAsia="宋体" w:cs="宋体"/>
          <w:sz w:val="24"/>
          <w:szCs w:val="24"/>
        </w:rPr>
        <w:t>年以上相关行业工作经验；熟悉Linux操作系统的部署及使用；有丰富的Tomcat、Nginx、Apache等软件使用经验，了解其部署和基本操作；熟悉Oracle、MySql等数据库的部署及使用；熟悉docker、k8s容器等;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内容编辑人员，</w:t>
      </w:r>
      <w:bookmarkStart w:id="160" w:name="_Hlk127266807"/>
      <w:r>
        <w:rPr>
          <w:rFonts w:hint="eastAsia" w:ascii="宋体" w:hAnsi="宋体" w:eastAsia="宋体" w:cs="宋体"/>
          <w:sz w:val="24"/>
          <w:szCs w:val="24"/>
        </w:rPr>
        <w:t>需具有</w:t>
      </w:r>
      <w:r>
        <w:rPr>
          <w:rFonts w:ascii="宋体" w:hAnsi="宋体" w:eastAsia="宋体" w:cs="宋体"/>
          <w:sz w:val="24"/>
          <w:szCs w:val="24"/>
        </w:rPr>
        <w:t>3</w:t>
      </w:r>
      <w:r>
        <w:rPr>
          <w:rFonts w:hint="eastAsia" w:ascii="宋体" w:hAnsi="宋体" w:eastAsia="宋体" w:cs="宋体"/>
          <w:sz w:val="24"/>
          <w:szCs w:val="24"/>
        </w:rPr>
        <w:t>年以上相关行业工作经验；熟悉各类文章的写作手法及时发现相关热点，并有自己的见解；有扎实熟练写作功底，能独立撰文，有相关写作经验优先；负责网站的内容编辑、热点相关话题多维度的撰稿等；根据内容方向，按时按量完成所运营网站的内容更新。</w:t>
      </w:r>
      <w:bookmarkEnd w:id="160"/>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美工设计人员，需具有</w:t>
      </w:r>
      <w:r>
        <w:rPr>
          <w:rFonts w:ascii="宋体" w:hAnsi="宋体" w:eastAsia="宋体" w:cs="宋体"/>
          <w:sz w:val="24"/>
          <w:szCs w:val="24"/>
        </w:rPr>
        <w:t>4</w:t>
      </w:r>
      <w:r>
        <w:rPr>
          <w:rFonts w:hint="eastAsia" w:ascii="宋体" w:hAnsi="宋体" w:eastAsia="宋体" w:cs="宋体"/>
          <w:sz w:val="24"/>
          <w:szCs w:val="24"/>
        </w:rPr>
        <w:t>年以上相关行业工作经验，需提供平面设计师（高级）证书。有良好的创意构思，对平面设计、美术实际制作非常熟悉，精通Photoshop、lllustrator、coreldraw、InDesign等设计软件；具备开阔的思维，有想法，有创意，学习能力强，对互联网及设计相关资讯具有敏锐的洞察力；具有优异的设计能力，能根据客户要求延展创意并制作设计稿。</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投标人提供其相关学历证明以及在本单位近1年内缴纳社保证明。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运维服务人员工作包括以下内容，常用运维服务：日常运维服务、网站运维服务、紧急运维服务、定期保养服务、数据备份服务、安全运维服务、内容编辑服务、美工设计服务；系统软件运维服务；业务系统运维服务：全省互动平台管理系统运维、全省在线访谈系统运维、全省访问统计系统运维、全省全文检索系统运维、其他业务系统运维。</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5</w:t>
      </w:r>
      <w:r>
        <w:rPr>
          <w:rFonts w:ascii="宋体" w:hAnsi="宋体" w:eastAsia="宋体" w:cs="宋体"/>
          <w:b/>
          <w:kern w:val="2"/>
          <w:sz w:val="24"/>
          <w:szCs w:val="24"/>
        </w:rPr>
        <w:t>.2</w:t>
      </w:r>
      <w:r>
        <w:rPr>
          <w:rFonts w:hint="eastAsia" w:ascii="宋体" w:hAnsi="宋体" w:eastAsia="宋体" w:cs="宋体"/>
          <w:b/>
          <w:kern w:val="2"/>
          <w:sz w:val="24"/>
          <w:szCs w:val="24"/>
        </w:rPr>
        <w:t>、岗位职责要求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一是按照国办普查和总局检查考核指标要求，协助黑龙江省税务局做好门户网站网页风格样式的调整、栏目的增减、新增网页模板的设计部署、新增专题、新增功能等的设计部署。</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是做好黑龙江省门户网站平台（包括所有平台系统和应用功能）安全隐患检测排查、漏洞修复完善、安全解决方案制定等安全检查服务，及时处理解决总局、有关部门或其他第三方检测机构推送的网站平台安全问题。</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三是做好网站平台的版本升级，各个模块的技术升级。</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四是通过微信群等方式对黑龙江省税务系统网站维护人员进行技术培训。</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五是做好值守，驻场运维人员上下班时间与黑龙江省税务局省局机关上下班时间保持一致，节假日和重要时期根据税务局通知要求做好网站运营值班服务。</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5</w:t>
      </w:r>
      <w:r>
        <w:rPr>
          <w:rFonts w:ascii="宋体" w:hAnsi="宋体" w:eastAsia="宋体" w:cs="宋体"/>
          <w:b/>
          <w:kern w:val="2"/>
          <w:sz w:val="24"/>
          <w:szCs w:val="24"/>
        </w:rPr>
        <w:t>.3</w:t>
      </w:r>
      <w:r>
        <w:rPr>
          <w:rFonts w:hint="eastAsia" w:ascii="宋体" w:hAnsi="宋体" w:eastAsia="宋体" w:cs="宋体"/>
          <w:b/>
          <w:kern w:val="2"/>
          <w:sz w:val="24"/>
          <w:szCs w:val="24"/>
        </w:rPr>
        <w:t>、服务响应要求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对于黑龙江省税务局及各地市税务局而言不同的故障对业务的影响是不同的。普通的故障不会给黑龙江省税务局及各地市税务局带来太大的麻烦，而严重的故障则可能导致系统全面瘫痪。因此针对较为严重的系统故障，服务提供商必须以最快的速度解决用户的问题，这样就需要对所有故障事件进行分类和界定，以决定采取什么样的服务响应速度。</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为了减少用户损失，充分利用公司资源，服务提供商需将黑龙江省税务局及各地市税务局门户网站的系统故障（CASE）分成4个级别。具体的标准如下：</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一级故障（CASE）：由于硬件或系统软件的原因造成现有的系统停机，或对黑龙江省税务局及各地市税务局的业务运作有严重影响。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二级故障（CASE）：现有系统的操作性能严重下降，或由于系统性能明显下降，使黑龙江省税务局及各地市税务局的业务运作受到严重影响。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三级故障（CASE）：系统的操作性能受损，但黑龙江省税务局及各地市税务局大部分业务运作仍可正常工作。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四级故障（CASE）：对黑龙江省税务局及各地市税务局的业务运作几乎无影响，或没有影响。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驻场服务人员和公司售后服务部人员在接到黑龙江省税务局及各地市税务局求助电话时，将会严格按照CASE的建立流程进行相关的工作。</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具体响应时间要求如下：</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服务提供商应提供3人驻场快速响应服务；</w:t>
      </w:r>
    </w:p>
    <w:p>
      <w:pPr>
        <w:keepNext/>
        <w:keepLines/>
        <w:spacing w:line="360" w:lineRule="auto"/>
        <w:ind w:firstLine="482" w:firstLineChars="200"/>
        <w:outlineLvl w:val="1"/>
        <w:rPr>
          <w:rFonts w:ascii="宋体" w:hAnsi="宋体" w:eastAsia="宋体" w:cs="宋体"/>
          <w:b/>
          <w:kern w:val="2"/>
          <w:sz w:val="24"/>
          <w:szCs w:val="24"/>
        </w:rPr>
      </w:pPr>
      <w:r>
        <w:rPr>
          <w:rFonts w:hint="eastAsia" w:ascii="宋体" w:hAnsi="宋体" w:eastAsia="宋体" w:cs="宋体"/>
          <w:b/>
          <w:kern w:val="2"/>
          <w:sz w:val="24"/>
          <w:szCs w:val="24"/>
        </w:rPr>
        <w:t>5</w:t>
      </w:r>
      <w:r>
        <w:rPr>
          <w:rFonts w:ascii="宋体" w:hAnsi="宋体" w:eastAsia="宋体" w:cs="宋体"/>
          <w:b/>
          <w:kern w:val="2"/>
          <w:sz w:val="24"/>
          <w:szCs w:val="24"/>
        </w:rPr>
        <w:t>.4</w:t>
      </w:r>
      <w:r>
        <w:rPr>
          <w:rFonts w:hint="eastAsia" w:ascii="宋体" w:hAnsi="宋体" w:eastAsia="宋体" w:cs="宋体"/>
          <w:b/>
          <w:kern w:val="2"/>
          <w:sz w:val="24"/>
          <w:szCs w:val="24"/>
        </w:rPr>
        <w:t>、维护人员资质经验要求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1.应从事编辑、技术、设计等相关岗位；</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2.熟悉黑龙江省税务局门户网站相关应用平台软件的操作与维护。</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3.人员在未经用户方允许，不得进行随意变更，如需变更应提前3个月告知，并在后续工作人员到岗后方可变更。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w:t>
      </w:r>
      <w:r>
        <w:rPr>
          <w:rFonts w:ascii="宋体" w:hAnsi="宋体" w:eastAsia="宋体" w:cs="宋体"/>
          <w:sz w:val="24"/>
          <w:szCs w:val="24"/>
        </w:rPr>
        <w:t>.</w:t>
      </w:r>
      <w:r>
        <w:rPr>
          <w:rFonts w:hint="eastAsia" w:ascii="宋体" w:hAnsi="宋体" w:eastAsia="宋体" w:cs="宋体"/>
          <w:sz w:val="24"/>
          <w:szCs w:val="24"/>
        </w:rPr>
        <w:t>驻场人员工作时间为每周一至周五（遇国家法定节假日有冲突的，将按照相关规定进行调整），驻场人员每工作日为5*8小时工作制，具体作息时间可根据用户方要求进行调整；</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5.</w:t>
      </w:r>
      <w:r>
        <w:rPr>
          <w:rFonts w:hint="eastAsia" w:ascii="宋体" w:hAnsi="宋体" w:eastAsia="宋体" w:cs="宋体"/>
          <w:sz w:val="24"/>
          <w:szCs w:val="24"/>
        </w:rPr>
        <w:t>非正常工作日，紧急情况下服务提供商应自接到报修电话起，1小时之内派人到达用户方工作场所，提供现场技术服务，提出实质性解决方案，确认后立即实施。</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w:t>
      </w:r>
      <w:r>
        <w:rPr>
          <w:rFonts w:ascii="宋体" w:hAnsi="宋体" w:eastAsia="宋体" w:cs="宋体"/>
          <w:sz w:val="24"/>
          <w:szCs w:val="24"/>
        </w:rPr>
        <w:t>.</w:t>
      </w:r>
      <w:r>
        <w:rPr>
          <w:rFonts w:hint="eastAsia" w:ascii="宋体" w:hAnsi="宋体" w:eastAsia="宋体" w:cs="宋体"/>
          <w:sz w:val="24"/>
          <w:szCs w:val="24"/>
        </w:rPr>
        <w:t>节假日期间（春节、清明节、劳动节、端午节、国庆节、中秋节、元旦等）提供</w:t>
      </w:r>
      <w:r>
        <w:rPr>
          <w:rFonts w:ascii="宋体" w:hAnsi="宋体" w:eastAsia="宋体" w:cs="宋体"/>
          <w:sz w:val="24"/>
          <w:szCs w:val="24"/>
        </w:rPr>
        <w:t>远程值班，发现问题，2小时内到场处理</w:t>
      </w:r>
      <w:r>
        <w:rPr>
          <w:rFonts w:hint="eastAsia" w:ascii="宋体" w:hAnsi="宋体" w:eastAsia="宋体" w:cs="宋体"/>
          <w:sz w:val="24"/>
          <w:szCs w:val="24"/>
        </w:rPr>
        <w:t>。</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w:t>
      </w:r>
      <w:r>
        <w:rPr>
          <w:rFonts w:ascii="宋体" w:hAnsi="宋体" w:eastAsia="宋体" w:cs="宋体"/>
          <w:sz w:val="24"/>
          <w:szCs w:val="24"/>
        </w:rPr>
        <w:t>.</w:t>
      </w:r>
      <w:r>
        <w:rPr>
          <w:rFonts w:hint="eastAsia" w:ascii="宋体" w:hAnsi="宋体" w:eastAsia="宋体" w:cs="宋体"/>
          <w:sz w:val="24"/>
          <w:szCs w:val="24"/>
        </w:rPr>
        <w:t>根据黑龙江省税务局项目组的要求，随时根据项目组要求组织人员加班，配合完成黑龙江省税务局项目组安排的各项工作。</w:t>
      </w:r>
    </w:p>
    <w:p>
      <w:pPr>
        <w:keepNext/>
        <w:keepLines/>
        <w:spacing w:line="360" w:lineRule="auto"/>
        <w:ind w:firstLine="482" w:firstLineChars="200"/>
        <w:outlineLvl w:val="0"/>
        <w:rPr>
          <w:rFonts w:ascii="宋体" w:hAnsi="宋体" w:eastAsia="宋体" w:cs="宋体"/>
          <w:b/>
          <w:kern w:val="44"/>
          <w:sz w:val="24"/>
          <w:szCs w:val="24"/>
        </w:rPr>
      </w:pPr>
      <w:bookmarkStart w:id="161" w:name="售后及质量保障服务要求_Block"/>
      <w:r>
        <w:rPr>
          <w:rFonts w:hint="eastAsia" w:ascii="宋体" w:hAnsi="宋体" w:eastAsia="宋体" w:cs="宋体"/>
          <w:b/>
          <w:kern w:val="44"/>
          <w:sz w:val="24"/>
          <w:szCs w:val="24"/>
        </w:rPr>
        <w:t>6</w:t>
      </w:r>
      <w:r>
        <w:rPr>
          <w:rFonts w:ascii="宋体" w:hAnsi="宋体" w:eastAsia="宋体" w:cs="宋体"/>
          <w:b/>
          <w:kern w:val="44"/>
          <w:sz w:val="24"/>
          <w:szCs w:val="24"/>
        </w:rPr>
        <w:t>.</w:t>
      </w:r>
      <w:r>
        <w:rPr>
          <w:rFonts w:hint="eastAsia" w:ascii="宋体" w:hAnsi="宋体" w:eastAsia="宋体" w:cs="宋体"/>
          <w:b/>
          <w:kern w:val="44"/>
          <w:sz w:val="24"/>
          <w:szCs w:val="24"/>
        </w:rPr>
        <w:t>售后及质量保障服务要求</w:t>
      </w:r>
      <w:bookmarkEnd w:id="161"/>
    </w:p>
    <w:p>
      <w:pPr>
        <w:keepNext/>
        <w:keepLines/>
        <w:spacing w:line="360" w:lineRule="auto"/>
        <w:ind w:firstLine="482" w:firstLineChars="200"/>
        <w:outlineLvl w:val="1"/>
        <w:rPr>
          <w:rFonts w:ascii="宋体" w:hAnsi="宋体" w:eastAsia="宋体" w:cs="宋体"/>
          <w:b/>
          <w:kern w:val="2"/>
          <w:sz w:val="24"/>
          <w:szCs w:val="24"/>
        </w:rPr>
      </w:pPr>
      <w:r>
        <w:rPr>
          <w:rFonts w:ascii="宋体" w:hAnsi="宋体" w:eastAsia="宋体" w:cs="宋体"/>
          <w:b/>
          <w:kern w:val="2"/>
          <w:sz w:val="24"/>
          <w:szCs w:val="24"/>
        </w:rPr>
        <w:t>6.1、项目团队要熟练掌握java语言开发，J2EE技术架构，B/S结构设计，可以根据用户需要开发扩展多种其他WEB应用。</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包括应用服务器、Linux操作系统、Oracle数据库以及前端H5页面程序。要了解网络和网站安全防护技术手段，能够对现有网站群各平台系统进行安全升级和漏洞查补，具备根据采购人现有网站群部署情况制定安全应对和应急处理预案的能力，成立安全预警处置技术小组，组织实施安全防护演练，实现快速应对各类突发事件和事故；驻场人员工作时间为每周一至周五（遇国家法定节假日有冲突的，将按照相关规定进行调整），具体作息时间根据局方要求进行调整。驻场人员需提供7*24小时响应服务，确保任何时间内均能在1小时之内到达局方工作场所，提供现场技术服务，提出实质性解决方案，并立即实施。节假日期间（春节、清明节、劳动节、端午节、国庆节、中秋节、元旦等）提供24小时值班运维服务。驻场人员要按照局方要求随时配合局方完成安排的各项工作。</w:t>
      </w:r>
    </w:p>
    <w:p>
      <w:pPr>
        <w:keepNext/>
        <w:keepLines/>
        <w:spacing w:line="360" w:lineRule="auto"/>
        <w:ind w:firstLine="482" w:firstLineChars="200"/>
        <w:outlineLvl w:val="1"/>
        <w:rPr>
          <w:rFonts w:ascii="宋体" w:hAnsi="宋体" w:eastAsia="宋体" w:cs="宋体"/>
          <w:b/>
          <w:kern w:val="2"/>
          <w:sz w:val="24"/>
          <w:szCs w:val="24"/>
        </w:rPr>
      </w:pPr>
      <w:r>
        <w:rPr>
          <w:rFonts w:ascii="宋体" w:hAnsi="宋体" w:eastAsia="宋体" w:cs="宋体"/>
          <w:b/>
          <w:kern w:val="2"/>
          <w:sz w:val="24"/>
          <w:szCs w:val="24"/>
        </w:rPr>
        <w:t>6.2、中标供应商要了解SOA、ESB及J2EE架构体系应用要求</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在统一的SOA开发方法的指导下，遵循相关标准与规范，来开发实现各种应用的支撑服务，提供SOA运行的底层支撑，包括应用服务器、数据库。</w:t>
      </w:r>
    </w:p>
    <w:p>
      <w:pPr>
        <w:keepNext/>
        <w:keepLines/>
        <w:spacing w:line="360" w:lineRule="auto"/>
        <w:ind w:firstLine="482" w:firstLineChars="200"/>
        <w:outlineLvl w:val="1"/>
        <w:rPr>
          <w:rFonts w:ascii="宋体" w:hAnsi="宋体" w:eastAsia="宋体" w:cs="宋体"/>
          <w:b/>
          <w:kern w:val="2"/>
          <w:sz w:val="24"/>
          <w:szCs w:val="24"/>
        </w:rPr>
      </w:pPr>
      <w:r>
        <w:rPr>
          <w:rFonts w:ascii="宋体" w:hAnsi="宋体" w:eastAsia="宋体" w:cs="宋体"/>
          <w:b/>
          <w:kern w:val="2"/>
          <w:sz w:val="24"/>
          <w:szCs w:val="24"/>
        </w:rPr>
        <w:t>6.3、中标供应商要了解云计算技术应用要求</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基于云计算技术和大数据算法实现更好的应用弹性和服务支持；基于云计算技术实现建立统一消息管理，实现基于各设备等的信息交互；建立多渠道异构系统统一的通用流程，为新建与流程审批相关系统提供统一的工作流引擎服务；</w:t>
      </w:r>
    </w:p>
    <w:p>
      <w:pPr>
        <w:keepNext/>
        <w:keepLines/>
        <w:spacing w:line="360" w:lineRule="auto"/>
        <w:ind w:firstLine="482" w:firstLineChars="200"/>
        <w:outlineLvl w:val="1"/>
        <w:rPr>
          <w:rFonts w:ascii="宋体" w:hAnsi="宋体" w:eastAsia="宋体" w:cs="Times New Roman"/>
          <w:snapToGrid/>
          <w:kern w:val="2"/>
        </w:rPr>
      </w:pPr>
      <w:r>
        <w:rPr>
          <w:rFonts w:ascii="宋体" w:hAnsi="宋体" w:eastAsia="宋体" w:cs="宋体"/>
          <w:b/>
          <w:kern w:val="2"/>
          <w:sz w:val="24"/>
          <w:szCs w:val="24"/>
        </w:rPr>
        <w:t>6.4、中标供应商要了解开放式体系结构</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能够熟练操作平台接口，对接现有业务系统的各类数据资源，提供统一标准的服务。打造一体化、协同化、智能化、松耦合、高效和高可用的高速服务框架。</w:t>
      </w:r>
    </w:p>
    <w:p>
      <w:pPr>
        <w:keepNext/>
        <w:keepLines/>
        <w:spacing w:line="360" w:lineRule="auto"/>
        <w:ind w:firstLine="482" w:firstLineChars="200"/>
        <w:outlineLvl w:val="1"/>
        <w:rPr>
          <w:rFonts w:ascii="宋体" w:hAnsi="宋体" w:eastAsia="宋体" w:cs="宋体"/>
          <w:b/>
          <w:kern w:val="2"/>
          <w:sz w:val="24"/>
          <w:szCs w:val="24"/>
        </w:rPr>
      </w:pPr>
      <w:r>
        <w:rPr>
          <w:rFonts w:ascii="宋体" w:hAnsi="宋体" w:eastAsia="宋体" w:cs="宋体"/>
          <w:b/>
          <w:kern w:val="2"/>
          <w:sz w:val="24"/>
          <w:szCs w:val="24"/>
        </w:rPr>
        <w:t>6.5、中标供应商要熟练掌握大数据技术</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基于大数据技术，收集纳税人访问网站行为数据，追溯其上网轨迹，分析行为，并基于行为分析结果，实现对纳税人的个性化信息推送。</w:t>
      </w:r>
    </w:p>
    <w:p>
      <w:pPr>
        <w:keepNext/>
        <w:keepLines/>
        <w:spacing w:line="360" w:lineRule="auto"/>
        <w:ind w:firstLine="482" w:firstLineChars="200"/>
        <w:outlineLvl w:val="1"/>
        <w:rPr>
          <w:rFonts w:ascii="宋体" w:hAnsi="宋体" w:eastAsia="宋体" w:cs="宋体"/>
          <w:b/>
          <w:kern w:val="2"/>
          <w:sz w:val="24"/>
          <w:szCs w:val="24"/>
        </w:rPr>
      </w:pPr>
      <w:r>
        <w:rPr>
          <w:rFonts w:ascii="宋体" w:hAnsi="宋体" w:eastAsia="宋体" w:cs="宋体"/>
          <w:b/>
          <w:kern w:val="2"/>
          <w:sz w:val="24"/>
          <w:szCs w:val="24"/>
        </w:rPr>
        <w:t>6.6、中标供应商要熟练掌握硬件设备</w:t>
      </w:r>
      <w:r>
        <w:rPr>
          <w:rFonts w:hint="eastAsia" w:ascii="宋体" w:hAnsi="宋体" w:eastAsia="宋体" w:cs="宋体"/>
          <w:b/>
          <w:kern w:val="2"/>
          <w:sz w:val="24"/>
          <w:szCs w:val="24"/>
        </w:rPr>
        <w:t>及其性能</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熟练掌握（一体机）的CPU、memory、hdd、network和并发数量及峰值，并根据设备状态，分析出硬件性能情况，并及时调整分配资源。</w:t>
      </w:r>
    </w:p>
    <w:p>
      <w:pPr>
        <w:keepNext/>
        <w:keepLines/>
        <w:spacing w:line="360" w:lineRule="auto"/>
        <w:ind w:firstLine="482" w:firstLineChars="200"/>
        <w:outlineLvl w:val="0"/>
        <w:rPr>
          <w:rFonts w:ascii="宋体" w:hAnsi="宋体" w:eastAsia="宋体" w:cs="宋体"/>
          <w:b/>
          <w:kern w:val="44"/>
          <w:sz w:val="24"/>
          <w:szCs w:val="24"/>
        </w:rPr>
      </w:pPr>
      <w:bookmarkStart w:id="162" w:name="验收要求_Block"/>
      <w:r>
        <w:rPr>
          <w:rFonts w:hint="eastAsia" w:ascii="宋体" w:hAnsi="宋体" w:eastAsia="宋体" w:cs="宋体"/>
          <w:b/>
          <w:kern w:val="44"/>
          <w:sz w:val="24"/>
          <w:szCs w:val="24"/>
        </w:rPr>
        <w:t>7</w:t>
      </w:r>
      <w:r>
        <w:rPr>
          <w:rFonts w:ascii="宋体" w:hAnsi="宋体" w:eastAsia="宋体" w:cs="宋体"/>
          <w:b/>
          <w:kern w:val="44"/>
          <w:sz w:val="24"/>
          <w:szCs w:val="24"/>
        </w:rPr>
        <w:t>.</w:t>
      </w:r>
      <w:r>
        <w:rPr>
          <w:rFonts w:hint="eastAsia" w:ascii="宋体" w:hAnsi="宋体" w:eastAsia="宋体" w:cs="宋体"/>
          <w:b/>
          <w:kern w:val="44"/>
          <w:sz w:val="24"/>
          <w:szCs w:val="24"/>
        </w:rPr>
        <w:t>验收要求</w:t>
      </w:r>
      <w:bookmarkEnd w:id="162"/>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项目验收以项目合同和相关标准规范为依据，主要对合同规定的工作内容完成情况进行考核和评价。项目验收工作应当坚持实事求是、客观公正的原则，确保信息化项目验收工作的严肃性和科学性。本项目要针对服务期内的服务实施情况进行分期考核，结合考核情况和服务效果进行验收。项目验收阶段包括中期验收和最终验收。验收工作所需提供材料内容：</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（一）合同书（复印件）；</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（二）项目运维工作总结；</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（三）项目运维标准规范（包含页面样式规范、栏目规范、信息规范等）；</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（四）项目操作手册（包含系统部署管理手册、系统操作使用手册、用户管理手册等）；</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（五）项目季度检测分析报告（对全省网站新媒体等平台进行周期性检查，包括信息更新维护情况，链接可用性、栏目信息访问情况等）；</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（六）项目内容设计报告（包含系统运维期间对系统架构的设计、功能设计、模板设计、图片设计等）；</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（七）系统安全管理报告（包含系统升级、系统漏洞修复，系统安全备份等）；</w:t>
      </w:r>
    </w:p>
    <w:p>
      <w:pPr>
        <w:spacing w:line="360" w:lineRule="auto"/>
        <w:ind w:firstLine="480" w:firstLineChars="200"/>
        <w:rPr>
          <w:rFonts w:ascii="宋体" w:hAnsi="宋体" w:eastAsia="宋体" w:cs="宋体"/>
          <w:sz w:val="24"/>
          <w:szCs w:val="24"/>
        </w:rPr>
      </w:pPr>
      <w:r>
        <w:rPr>
          <w:rFonts w:ascii="宋体" w:hAnsi="宋体" w:eastAsia="宋体" w:cs="宋体"/>
          <w:sz w:val="24"/>
          <w:szCs w:val="24"/>
        </w:rPr>
        <w:t>（八）系统测试报告（包含功能测试、集成测试和性能测试）</w:t>
      </w:r>
      <w:r>
        <w:rPr>
          <w:rFonts w:hint="eastAsia" w:ascii="宋体" w:hAnsi="宋体" w:eastAsia="宋体" w:cs="宋体"/>
          <w:sz w:val="24"/>
          <w:szCs w:val="24"/>
        </w:rPr>
        <w:t>。</w:t>
      </w:r>
    </w:p>
    <w:p>
      <w:pPr>
        <w:keepNext/>
        <w:keepLines/>
        <w:spacing w:line="360" w:lineRule="auto"/>
        <w:ind w:firstLine="482" w:firstLineChars="200"/>
        <w:outlineLvl w:val="0"/>
        <w:rPr>
          <w:rFonts w:ascii="宋体" w:hAnsi="宋体" w:eastAsia="宋体" w:cs="宋体"/>
          <w:b/>
          <w:kern w:val="44"/>
          <w:sz w:val="24"/>
          <w:szCs w:val="24"/>
        </w:rPr>
      </w:pPr>
      <w:bookmarkStart w:id="163" w:name="其他要求_Block"/>
      <w:r>
        <w:rPr>
          <w:rFonts w:hint="eastAsia" w:ascii="宋体" w:hAnsi="宋体" w:eastAsia="宋体" w:cs="宋体"/>
          <w:b/>
          <w:kern w:val="44"/>
          <w:sz w:val="24"/>
          <w:szCs w:val="24"/>
        </w:rPr>
        <w:t>8</w:t>
      </w:r>
      <w:r>
        <w:rPr>
          <w:rFonts w:ascii="宋体" w:hAnsi="宋体" w:eastAsia="宋体" w:cs="宋体"/>
          <w:b/>
          <w:kern w:val="44"/>
          <w:sz w:val="24"/>
          <w:szCs w:val="24"/>
        </w:rPr>
        <w:t>.</w:t>
      </w:r>
      <w:r>
        <w:rPr>
          <w:rFonts w:hint="eastAsia" w:ascii="宋体" w:hAnsi="宋体" w:eastAsia="宋体" w:cs="宋体"/>
          <w:b/>
          <w:kern w:val="44"/>
          <w:sz w:val="24"/>
          <w:szCs w:val="24"/>
        </w:rPr>
        <w:t>其他要求</w:t>
      </w:r>
      <w:bookmarkEnd w:id="163"/>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本次项目涉及定制开发部分的源代码归局方所有。</w:t>
      </w:r>
    </w:p>
    <w:p>
      <w:pPr>
        <w:pStyle w:val="20"/>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宋体" w:hAnsi="宋体" w:eastAsia="宋体" w:cs="宋体"/>
          <w:color w:val="auto"/>
          <w:kern w:val="2"/>
          <w:sz w:val="21"/>
          <w:szCs w:val="21"/>
          <w:highlight w:val="none"/>
          <w:lang w:val="en-US" w:eastAsia="zh-CN" w:bidi="ar-SA"/>
        </w:rPr>
      </w:pPr>
    </w:p>
    <w:p>
      <w:pPr>
        <w:pStyle w:val="20"/>
        <w:pageBreakBefore w:val="0"/>
        <w:widowControl w:val="0"/>
        <w:kinsoku/>
        <w:wordWrap/>
        <w:overflowPunct/>
        <w:topLinePunct w:val="0"/>
        <w:autoSpaceDE/>
        <w:autoSpaceDN/>
        <w:bidi w:val="0"/>
        <w:adjustRightInd/>
        <w:snapToGrid/>
        <w:spacing w:after="0" w:line="360" w:lineRule="auto"/>
        <w:ind w:left="0" w:firstLine="420" w:firstLineChars="200"/>
        <w:jc w:val="left"/>
        <w:textAlignment w:val="auto"/>
        <w:rPr>
          <w:rFonts w:hint="eastAsia" w:ascii="宋体" w:hAnsi="宋体" w:eastAsia="宋体" w:cs="宋体"/>
          <w:color w:val="auto"/>
          <w:kern w:val="2"/>
          <w:sz w:val="21"/>
          <w:szCs w:val="21"/>
          <w:highlight w:val="none"/>
          <w:lang w:val="en-US" w:eastAsia="zh-CN" w:bidi="ar-SA"/>
        </w:rPr>
      </w:pPr>
    </w:p>
    <w:p>
      <w:pPr>
        <w:pStyle w:val="20"/>
        <w:jc w:val="left"/>
        <w:rPr>
          <w:rFonts w:hint="eastAsia" w:ascii="宋体" w:hAnsi="宋体" w:eastAsia="宋体" w:cs="宋体"/>
          <w:color w:val="auto"/>
          <w:kern w:val="2"/>
          <w:sz w:val="21"/>
          <w:szCs w:val="21"/>
          <w:highlight w:val="none"/>
          <w:lang w:val="en-US" w:eastAsia="zh-CN" w:bidi="ar-SA"/>
        </w:rPr>
        <w:sectPr>
          <w:pgSz w:w="11906" w:h="16838"/>
          <w:pgMar w:top="1440" w:right="1803" w:bottom="1440" w:left="1803" w:header="851" w:footer="992" w:gutter="0"/>
          <w:cols w:space="720" w:num="1"/>
          <w:docGrid w:linePitch="319" w:charSpace="0"/>
        </w:sectPr>
      </w:pPr>
    </w:p>
    <w:p>
      <w:pPr>
        <w:spacing w:before="200" w:after="200"/>
        <w:jc w:val="center"/>
        <w:outlineLvl w:val="0"/>
        <w:rPr>
          <w:rFonts w:hint="eastAsia" w:ascii="宋体" w:hAnsi="宋体" w:eastAsia="宋体" w:cs="宋体"/>
          <w:color w:val="auto"/>
          <w:highlight w:val="none"/>
        </w:rPr>
      </w:pPr>
      <w:bookmarkStart w:id="164" w:name="_Toc17739"/>
      <w:r>
        <w:rPr>
          <w:rStyle w:val="34"/>
          <w:rFonts w:hint="eastAsia" w:ascii="宋体" w:hAnsi="宋体" w:eastAsia="宋体" w:cs="宋体"/>
          <w:color w:val="auto"/>
          <w:highlight w:val="none"/>
        </w:rPr>
        <w:t>第四章 评标方法</w:t>
      </w:r>
      <w:bookmarkEnd w:id="111"/>
      <w:bookmarkEnd w:id="112"/>
      <w:bookmarkEnd w:id="164"/>
    </w:p>
    <w:p>
      <w:pPr>
        <w:adjustRightInd w:val="0"/>
        <w:snapToGrid w:val="0"/>
        <w:ind w:firstLine="422" w:firstLineChars="200"/>
        <w:rPr>
          <w:rFonts w:hint="eastAsia" w:ascii="宋体" w:hAnsi="宋体" w:eastAsia="宋体" w:cs="宋体"/>
          <w:b/>
          <w:color w:val="auto"/>
          <w:kern w:val="0"/>
          <w:highlight w:val="none"/>
        </w:rPr>
      </w:pPr>
      <w:bookmarkStart w:id="165" w:name="_Toc22313_WPSOffice_Level2"/>
      <w:r>
        <w:rPr>
          <w:rFonts w:hint="eastAsia" w:ascii="宋体" w:hAnsi="宋体" w:eastAsia="宋体" w:cs="宋体"/>
          <w:b/>
          <w:color w:val="auto"/>
          <w:kern w:val="0"/>
          <w:highlight w:val="none"/>
        </w:rPr>
        <w:t>一、评标方法</w:t>
      </w:r>
      <w:bookmarkEnd w:id="165"/>
    </w:p>
    <w:p>
      <w:pPr>
        <w:adjustRightInd w:val="0"/>
        <w:snapToGrid w:val="0"/>
        <w:ind w:firstLine="420" w:firstLineChars="200"/>
        <w:textAlignment w:val="baseline"/>
        <w:rPr>
          <w:rFonts w:hint="eastAsia" w:ascii="宋体" w:hAnsi="宋体" w:eastAsia="宋体" w:cs="宋体"/>
          <w:color w:val="auto"/>
          <w:highlight w:val="none"/>
        </w:rPr>
      </w:pPr>
      <w:bookmarkStart w:id="166" w:name="_Toc21368_WPSOffice_Level2"/>
      <w:r>
        <w:rPr>
          <w:rFonts w:hint="eastAsia" w:ascii="宋体" w:hAnsi="宋体" w:eastAsia="宋体" w:cs="宋体"/>
          <w:color w:val="auto"/>
          <w:highlight w:val="none"/>
        </w:rPr>
        <w:t>本项目将按照招标文件第一章 供应商须知的相关要求及本章的规定评标。</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二、评标原则及程序</w:t>
      </w:r>
      <w:bookmarkEnd w:id="166"/>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（一）评标原则</w:t>
      </w:r>
    </w:p>
    <w:p>
      <w:pPr>
        <w:adjustRightInd w:val="0"/>
        <w:snapToGrid w:val="0"/>
        <w:ind w:firstLine="420" w:firstLineChars="200"/>
        <w:textAlignment w:val="baseline"/>
        <w:rPr>
          <w:rFonts w:hint="eastAsia" w:ascii="宋体" w:hAnsi="宋体" w:eastAsia="宋体" w:cs="宋体"/>
          <w:b/>
          <w:color w:val="auto"/>
          <w:kern w:val="0"/>
          <w:highlight w:val="none"/>
        </w:rPr>
      </w:pPr>
      <w:r>
        <w:rPr>
          <w:rFonts w:hint="eastAsia" w:ascii="宋体" w:hAnsi="宋体" w:eastAsia="宋体" w:cs="宋体"/>
          <w:color w:val="auto"/>
          <w:kern w:val="0"/>
          <w:highlight w:val="none"/>
        </w:rPr>
        <w:t>评标委员会应当按照客观、公正、审慎的原则，根据采购文件规定的评审程序、评审方法和评审标准进行独立评审。采购文件内容违反国家有关强制性规定的，评标委员会应当停止评审并向采购人或者采购代理机构说明情况。</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（二）评标程序</w:t>
      </w:r>
    </w:p>
    <w:p>
      <w:pPr>
        <w:adjustRightInd w:val="0"/>
        <w:snapToGrid w:val="0"/>
        <w:ind w:firstLine="422" w:firstLineChars="200"/>
        <w:textAlignment w:val="baseline"/>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★1、资格审查</w:t>
      </w:r>
    </w:p>
    <w:p>
      <w:pPr>
        <w:adjustRightInd w:val="0"/>
        <w:snapToGrid w:val="0"/>
        <w:ind w:firstLine="420" w:firstLineChars="200"/>
        <w:textAlignment w:val="baseline"/>
        <w:rPr>
          <w:rFonts w:hint="eastAsia" w:ascii="宋体" w:hAnsi="宋体" w:eastAsia="宋体" w:cs="宋体"/>
          <w:color w:val="auto"/>
          <w:kern w:val="0"/>
          <w:highlight w:val="none"/>
        </w:rPr>
      </w:pPr>
      <w:r>
        <w:rPr>
          <w:rFonts w:hint="eastAsia" w:ascii="宋体" w:hAnsi="宋体" w:eastAsia="宋体" w:cs="宋体"/>
          <w:color w:val="auto"/>
          <w:kern w:val="0"/>
          <w:highlight w:val="none"/>
        </w:rPr>
        <w:t>1.1详见供应商须知22条。资格评审表详见本章附件1。</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w:t>
      </w:r>
      <w:r>
        <w:rPr>
          <w:rFonts w:hint="eastAsia" w:ascii="宋体" w:hAnsi="宋体" w:eastAsia="宋体" w:cs="宋体"/>
          <w:b/>
          <w:bCs/>
          <w:color w:val="auto"/>
          <w:kern w:val="0"/>
          <w:highlight w:val="none"/>
        </w:rPr>
        <w:t>2、符合性审查</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2.1详见供应商须知23条。符合性审查表详见本章附件2。</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bCs/>
          <w:color w:val="auto"/>
          <w:kern w:val="0"/>
          <w:highlight w:val="none"/>
        </w:rPr>
        <w:t>3、演示</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3.1</w:t>
      </w:r>
      <w:r>
        <w:rPr>
          <w:rFonts w:hint="eastAsia" w:ascii="宋体" w:hAnsi="宋体" w:eastAsia="宋体" w:cs="宋体"/>
          <w:color w:val="auto"/>
          <w:kern w:val="0"/>
          <w:highlight w:val="none"/>
        </w:rPr>
        <w:t>供应商须知表11.3条</w:t>
      </w:r>
      <w:r>
        <w:rPr>
          <w:rFonts w:hint="eastAsia" w:ascii="宋体" w:hAnsi="宋体" w:eastAsia="宋体" w:cs="宋体"/>
          <w:color w:val="auto"/>
          <w:highlight w:val="none"/>
        </w:rPr>
        <w:t>中要求供应商提供演示的，按照</w:t>
      </w:r>
      <w:r>
        <w:rPr>
          <w:rFonts w:hint="eastAsia" w:ascii="宋体" w:hAnsi="宋体" w:eastAsia="宋体" w:cs="宋体"/>
          <w:color w:val="auto"/>
          <w:kern w:val="0"/>
          <w:highlight w:val="none"/>
        </w:rPr>
        <w:t>供应商须知表25.1条</w:t>
      </w:r>
      <w:r>
        <w:rPr>
          <w:rFonts w:hint="eastAsia" w:ascii="宋体" w:hAnsi="宋体" w:eastAsia="宋体" w:cs="宋体"/>
          <w:color w:val="auto"/>
          <w:highlight w:val="none"/>
        </w:rPr>
        <w:t>中确定的评审方法以及评审标准进行评审。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★4</w:t>
      </w:r>
      <w:r>
        <w:rPr>
          <w:rFonts w:hint="eastAsia" w:ascii="宋体" w:hAnsi="宋体" w:eastAsia="宋体" w:cs="宋体"/>
          <w:b/>
          <w:bCs/>
          <w:color w:val="auto"/>
          <w:kern w:val="0"/>
          <w:highlight w:val="none"/>
        </w:rPr>
        <w:t>、比较及评价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4.1评标委员会对通过符合性审查的投标文件进行比较和评价。</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4.2在评标期间，对投标文件的澄清按供应商须知24条内容执行。</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4.3评标委员会认为供应商的报价明显低于其他通过符合性审查的供应商报价，有可能影响服务质量或者不能诚信履约的，评标委员会应当要求其在评标现场合理的时间内提供书面说明，并提交相关证明材料，</w:t>
      </w:r>
      <w:r>
        <w:rPr>
          <w:rFonts w:hint="eastAsia" w:ascii="宋体" w:hAnsi="宋体" w:eastAsia="宋体" w:cs="宋体"/>
          <w:color w:val="auto"/>
          <w:kern w:val="0"/>
          <w:highlight w:val="none"/>
        </w:rPr>
        <w:t>供应商不能证明其报价合理性的，评标委员会应当将</w:t>
      </w:r>
      <w:r>
        <w:rPr>
          <w:rFonts w:hint="eastAsia" w:ascii="宋体" w:hAnsi="宋体" w:eastAsia="宋体" w:cs="宋体"/>
          <w:color w:val="auto"/>
          <w:highlight w:val="none"/>
        </w:rPr>
        <w:t>其投标作为</w:t>
      </w:r>
      <w:r>
        <w:rPr>
          <w:rFonts w:hint="eastAsia" w:ascii="宋体" w:hAnsi="宋体" w:eastAsia="宋体" w:cs="宋体"/>
          <w:b/>
          <w:bCs/>
          <w:color w:val="auto"/>
          <w:highlight w:val="none"/>
        </w:rPr>
        <w:t>无效投标处理</w:t>
      </w:r>
      <w:r>
        <w:rPr>
          <w:rFonts w:hint="eastAsia" w:ascii="宋体" w:hAnsi="宋体" w:eastAsia="宋体" w:cs="宋体"/>
          <w:color w:val="auto"/>
          <w:highlight w:val="none"/>
        </w:rPr>
        <w:t>。</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供应商的书面说明材料包含服务本身成本、人工费用、运输、税收等，以及报价不会影响服务质量或诚信履约能力的说明等。</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供应商的书面说明应当签字确认或者加盖公章，否则无效。书面说明的签字确认，由其法定代表人（非法人单位负责人或自然人本人）或者其授权代表签字确认。</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供应商提供书面说明后，评标委员会应当结合采购项目服务需求、专业实际情况、供应商财务状况报告、与其他供应商比较情况等就供应商的书面说明进行审查评价。供应商如有下列情况的，评标委员会应当将其投标文件作为无效处理：</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拒绝或者变相拒绝提供有效书面说明；</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书面说明不能证明其报价合理性的；</w:t>
      </w:r>
    </w:p>
    <w:p>
      <w:pPr>
        <w:numPr>
          <w:ilvl w:val="0"/>
          <w:numId w:val="6"/>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未在规定时间内递交有效书面说明书的。</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★5</w:t>
      </w:r>
      <w:r>
        <w:rPr>
          <w:rFonts w:hint="eastAsia" w:ascii="宋体" w:hAnsi="宋体" w:eastAsia="宋体" w:cs="宋体"/>
          <w:b/>
          <w:bCs/>
          <w:color w:val="auto"/>
          <w:kern w:val="0"/>
          <w:highlight w:val="none"/>
        </w:rPr>
        <w:t>、需落实的政府采购政策性规定：</w:t>
      </w:r>
    </w:p>
    <w:p>
      <w:pPr>
        <w:adjustRightInd w:val="0"/>
        <w:snapToGrid w:val="0"/>
        <w:ind w:firstLine="422" w:firstLineChars="200"/>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5.1对于中小微企业（含监狱企业）的相关规定</w:t>
      </w:r>
    </w:p>
    <w:p>
      <w:pPr>
        <w:adjustRightInd w:val="0"/>
        <w:ind w:firstLine="420" w:firstLineChars="200"/>
        <w:jc w:val="left"/>
        <w:rPr>
          <w:rFonts w:hint="eastAsia" w:ascii="宋体" w:hAnsi="宋体" w:eastAsia="宋体" w:cs="宋体"/>
          <w:b/>
          <w:color w:val="auto"/>
          <w:highlight w:val="none"/>
          <w:u w:val="single"/>
        </w:rPr>
      </w:pPr>
      <w:r>
        <w:rPr>
          <w:rFonts w:hint="eastAsia" w:ascii="宋体" w:hAnsi="宋体" w:eastAsia="宋体" w:cs="宋体"/>
          <w:color w:val="auto"/>
          <w:highlight w:val="none"/>
        </w:rPr>
        <w:t>对于非专门面向中小企业的项目，在满足价格扣除条件且在响应文件中按要求提交了《中小企业声明函》、《制造商企业（单位）类型声明函》</w:t>
      </w:r>
      <w:r>
        <w:rPr>
          <w:rFonts w:hint="eastAsia" w:ascii="宋体" w:hAnsi="宋体" w:eastAsia="宋体" w:cs="宋体"/>
          <w:color w:val="auto"/>
          <w:kern w:val="0"/>
          <w:highlight w:val="none"/>
        </w:rPr>
        <w:t>（</w:t>
      </w:r>
      <w:r>
        <w:rPr>
          <w:rFonts w:hint="eastAsia" w:ascii="宋体" w:hAnsi="宋体" w:eastAsia="宋体" w:cs="宋体"/>
          <w:color w:val="auto"/>
          <w:highlight w:val="none"/>
        </w:rPr>
        <w:t>响应</w:t>
      </w:r>
      <w:r>
        <w:rPr>
          <w:rFonts w:hint="eastAsia" w:ascii="宋体" w:hAnsi="宋体" w:eastAsia="宋体" w:cs="宋体"/>
          <w:color w:val="auto"/>
          <w:kern w:val="0"/>
          <w:highlight w:val="none"/>
        </w:rPr>
        <w:t>产品非供应商生产制造的须提供）</w:t>
      </w:r>
      <w:r>
        <w:rPr>
          <w:rFonts w:hint="eastAsia" w:ascii="宋体" w:hAnsi="宋体" w:eastAsia="宋体" w:cs="宋体"/>
          <w:color w:val="auto"/>
          <w:highlight w:val="none"/>
        </w:rPr>
        <w:t>或省级以上监狱管理局、戒毒管理局（含新疆生产建设兵团）出具的属于监狱企业的证明文件的供应商，对响应报价给予价格扣除，用扣除后的价格参与评审。</w:t>
      </w:r>
    </w:p>
    <w:p>
      <w:pPr>
        <w:adjustRightIn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大中型企业和其他自然人、法人或者其他组织与小型、微型企业组成联合体共同参加非专门面向中小企业的政府采购活动的，联合体参加询价协议中约定，小型、微型企业的协议合同金额占到联合体参加询价协议合同总金额30%以上的，对响应报价给予价格扣除，用扣除后的价格参与评审。</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highlight w:val="none"/>
        </w:rPr>
        <w:t>联合体各方均为小型、微型企业的，联合体视同为小型、微型企业享受规定的扶持政策。组成联合体的大中型企业和其他自然人、法人或者其他组织，与小型、微型企业之间不得存在投资关系。</w:t>
      </w:r>
    </w:p>
    <w:p>
      <w:pPr>
        <w:adjustRightInd w:val="0"/>
        <w:snapToGrid w:val="0"/>
        <w:ind w:firstLine="422" w:firstLineChars="200"/>
        <w:jc w:val="left"/>
        <w:rPr>
          <w:rFonts w:hint="eastAsia" w:ascii="宋体" w:hAnsi="宋体" w:eastAsia="宋体" w:cs="宋体"/>
          <w:b/>
          <w:color w:val="auto"/>
          <w:kern w:val="0"/>
          <w:highlight w:val="none"/>
        </w:rPr>
      </w:pPr>
      <w:r>
        <w:rPr>
          <w:rFonts w:hint="eastAsia" w:ascii="宋体" w:hAnsi="宋体" w:eastAsia="宋体" w:cs="宋体"/>
          <w:b/>
          <w:color w:val="auto"/>
          <w:kern w:val="0"/>
          <w:highlight w:val="none"/>
        </w:rPr>
        <w:t>5.2对于促进残疾人就业政府采购政策的相关规定</w:t>
      </w:r>
    </w:p>
    <w:p>
      <w:pPr>
        <w:adjustRightInd w:val="0"/>
        <w:snapToGrid w:val="0"/>
        <w:ind w:firstLine="420" w:firstLineChars="200"/>
        <w:jc w:val="left"/>
        <w:rPr>
          <w:rFonts w:hint="eastAsia" w:ascii="宋体" w:hAnsi="宋体" w:eastAsia="宋体" w:cs="宋体"/>
          <w:color w:val="auto"/>
          <w:highlight w:val="none"/>
        </w:rPr>
      </w:pPr>
      <w:r>
        <w:rPr>
          <w:rFonts w:hint="eastAsia" w:ascii="宋体" w:hAnsi="宋体" w:eastAsia="宋体" w:cs="宋体"/>
          <w:color w:val="auto"/>
          <w:kern w:val="0"/>
          <w:highlight w:val="none"/>
        </w:rPr>
        <w:t>（1）</w:t>
      </w:r>
      <w:r>
        <w:rPr>
          <w:rFonts w:hint="eastAsia" w:ascii="宋体" w:hAnsi="宋体" w:eastAsia="宋体" w:cs="宋体"/>
          <w:color w:val="auto"/>
          <w:highlight w:val="none"/>
        </w:rPr>
        <w:t>残疾人福利性单位视同小型、微型企业，对残疾人福利性单位的产品价格给</w:t>
      </w:r>
      <w:r>
        <w:rPr>
          <w:rFonts w:hint="eastAsia" w:ascii="宋体" w:hAnsi="宋体" w:eastAsia="宋体" w:cs="宋体"/>
          <w:color w:val="auto"/>
          <w:kern w:val="0"/>
          <w:highlight w:val="none"/>
        </w:rPr>
        <w:t>予相同的价格扣除，用扣除后的价格参与评审。</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kern w:val="0"/>
          <w:highlight w:val="none"/>
        </w:rPr>
        <w:t>（2）投标文件中必须提供《残疾人福利性单位声明函》（详见第二章 投标文件内容及格式），否则不予享受该政策性优惠，并对声明的真实性负责</w:t>
      </w:r>
      <w:r>
        <w:rPr>
          <w:rFonts w:hint="eastAsia" w:ascii="宋体" w:hAnsi="宋体" w:eastAsia="宋体" w:cs="宋体"/>
          <w:color w:val="auto"/>
          <w:highlight w:val="none"/>
        </w:rPr>
        <w:t>，如《残疾人福利性单位声明函》与事实不符的，将依照《中华人民共和国政府采购法》第七十七条第一款的规定追究法律责任。</w:t>
      </w:r>
    </w:p>
    <w:p>
      <w:pPr>
        <w:adjustRightInd w:val="0"/>
        <w:snapToGrid w:val="0"/>
        <w:ind w:firstLine="422" w:firstLineChars="200"/>
        <w:rPr>
          <w:rFonts w:hint="eastAsia" w:ascii="宋体" w:hAnsi="宋体" w:eastAsia="宋体" w:cs="宋体"/>
          <w:b/>
          <w:color w:val="auto"/>
          <w:highlight w:val="none"/>
        </w:rPr>
      </w:pPr>
      <w:r>
        <w:rPr>
          <w:rFonts w:hint="eastAsia" w:ascii="宋体" w:hAnsi="宋体" w:eastAsia="宋体" w:cs="宋体"/>
          <w:b/>
          <w:color w:val="auto"/>
          <w:highlight w:val="none"/>
        </w:rPr>
        <w:t>（3）残疾人福利性单位属于小型、微型企业的，不重复享受政策。</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★6</w:t>
      </w:r>
      <w:r>
        <w:rPr>
          <w:rFonts w:hint="eastAsia" w:ascii="宋体" w:hAnsi="宋体" w:eastAsia="宋体" w:cs="宋体"/>
          <w:b/>
          <w:bCs/>
          <w:color w:val="auto"/>
          <w:kern w:val="0"/>
          <w:highlight w:val="none"/>
        </w:rPr>
        <w:t>、废标情况详见供应商须知28条。</w:t>
      </w:r>
    </w:p>
    <w:p>
      <w:pPr>
        <w:adjustRightInd w:val="0"/>
        <w:snapToGrid w:val="0"/>
        <w:ind w:firstLine="422" w:firstLineChars="200"/>
        <w:rPr>
          <w:rFonts w:hint="eastAsia" w:ascii="宋体" w:hAnsi="宋体" w:eastAsia="宋体" w:cs="宋体"/>
          <w:b/>
          <w:bCs/>
          <w:color w:val="auto"/>
          <w:kern w:val="0"/>
          <w:highlight w:val="none"/>
        </w:rPr>
      </w:pPr>
      <w:r>
        <w:rPr>
          <w:rFonts w:hint="eastAsia" w:ascii="宋体" w:hAnsi="宋体" w:eastAsia="宋体" w:cs="宋体"/>
          <w:b/>
          <w:color w:val="auto"/>
          <w:kern w:val="0"/>
          <w:highlight w:val="none"/>
        </w:rPr>
        <w:t>★7</w:t>
      </w:r>
      <w:r>
        <w:rPr>
          <w:rFonts w:hint="eastAsia" w:ascii="宋体" w:hAnsi="宋体" w:eastAsia="宋体" w:cs="宋体"/>
          <w:b/>
          <w:bCs/>
          <w:color w:val="auto"/>
          <w:kern w:val="0"/>
          <w:highlight w:val="none"/>
        </w:rPr>
        <w:t>、推荐中标候选人的原则</w:t>
      </w:r>
    </w:p>
    <w:p>
      <w:pPr>
        <w:adjustRightInd w:val="0"/>
        <w:snapToGrid w:val="0"/>
        <w:ind w:firstLine="420" w:firstLineChars="200"/>
        <w:rPr>
          <w:rFonts w:hint="eastAsia" w:ascii="宋体" w:hAnsi="宋体" w:eastAsia="宋体" w:cs="宋体"/>
          <w:color w:val="auto"/>
          <w:kern w:val="0"/>
          <w:highlight w:val="none"/>
        </w:rPr>
      </w:pPr>
      <w:r>
        <w:rPr>
          <w:rFonts w:hint="eastAsia" w:ascii="宋体" w:hAnsi="宋体" w:eastAsia="宋体" w:cs="宋体"/>
          <w:color w:val="auto"/>
          <w:kern w:val="0"/>
          <w:highlight w:val="none"/>
        </w:rPr>
        <w:t>详见第一章供应商须知第29条，报价相同的处理办法如下：</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采用最低评标价法的：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扣除后的投标报价相同时，按投标报价由低至高排序；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按前款不能区分的，优先采购节能产品、环境标志产品；</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其他情况，由评标委员会集体研究处理。</w:t>
      </w:r>
    </w:p>
    <w:p>
      <w:pPr>
        <w:numPr>
          <w:ilvl w:val="0"/>
          <w:numId w:val="7"/>
        </w:num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采用综合评分法的：</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得分相同的，按扣除后的投标报价由低到高顺序排列；</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按前款不能区分的，按投标报价由低至高顺序排序；</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按前款不能区分的，按技术指标优劣排序；</w:t>
      </w:r>
    </w:p>
    <w:p>
      <w:pPr>
        <w:adjustRightInd w:val="0"/>
        <w:snapToGrid w:val="0"/>
        <w:ind w:firstLine="420" w:firstLineChars="200"/>
        <w:rPr>
          <w:rFonts w:hint="eastAsia" w:ascii="宋体" w:hAnsi="宋体" w:eastAsia="宋体" w:cs="宋体"/>
          <w:color w:val="auto"/>
          <w:sz w:val="24"/>
          <w:highlight w:val="none"/>
        </w:rPr>
      </w:pPr>
      <w:r>
        <w:rPr>
          <w:rFonts w:hint="eastAsia" w:ascii="宋体" w:hAnsi="宋体" w:eastAsia="宋体" w:cs="宋体"/>
          <w:color w:val="auto"/>
          <w:highlight w:val="none"/>
        </w:rPr>
        <w:t>其他情况，由评标委员会集体研究处理。</w:t>
      </w:r>
    </w:p>
    <w:p>
      <w:pPr>
        <w:adjustRightInd w:val="0"/>
        <w:snapToGrid w:val="0"/>
        <w:ind w:firstLine="422" w:firstLineChars="200"/>
        <w:rPr>
          <w:rFonts w:hint="eastAsia" w:ascii="宋体" w:hAnsi="宋体" w:eastAsia="宋体" w:cs="宋体"/>
          <w:b/>
          <w:color w:val="auto"/>
          <w:kern w:val="0"/>
          <w:highlight w:val="none"/>
        </w:rPr>
      </w:pPr>
      <w:bookmarkStart w:id="167" w:name="_Toc30297_WPSOffice_Level2"/>
      <w:r>
        <w:rPr>
          <w:rFonts w:hint="eastAsia" w:ascii="宋体" w:hAnsi="宋体" w:eastAsia="宋体" w:cs="宋体"/>
          <w:b/>
          <w:color w:val="auto"/>
          <w:highlight w:val="none"/>
        </w:rPr>
        <w:t>三、</w:t>
      </w:r>
      <w:r>
        <w:rPr>
          <w:rFonts w:hint="eastAsia" w:ascii="宋体" w:hAnsi="宋体" w:eastAsia="宋体" w:cs="宋体"/>
          <w:b/>
          <w:color w:val="auto"/>
          <w:kern w:val="0"/>
          <w:highlight w:val="none"/>
        </w:rPr>
        <w:t>确定中标人</w:t>
      </w:r>
      <w:bookmarkEnd w:id="167"/>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评标委员会根据全体评标委员会成员签字的原始评标记录和评标结果编写评标报告，并向采购人提交书面评标报告。</w:t>
      </w:r>
    </w:p>
    <w:p>
      <w:pPr>
        <w:adjustRightInd w:val="0"/>
        <w:snapToGrid w:val="0"/>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采购人按照评标报告确定的中标候选人名单按顺序确定中标人，或由采购人委托评标委员会按照第一章供应商须知第31条规定的方式确定中标人。</w:t>
      </w:r>
    </w:p>
    <w:p>
      <w:pPr>
        <w:pStyle w:val="6"/>
        <w:adjustRightInd w:val="0"/>
        <w:snapToGrid w:val="0"/>
        <w:spacing w:before="0" w:after="0" w:line="240" w:lineRule="auto"/>
        <w:jc w:val="left"/>
        <w:rPr>
          <w:rFonts w:hint="eastAsia" w:ascii="宋体" w:hAnsi="宋体" w:eastAsia="宋体" w:cs="宋体"/>
          <w:color w:val="auto"/>
          <w:szCs w:val="28"/>
          <w:highlight w:val="none"/>
        </w:rPr>
      </w:pPr>
      <w:r>
        <w:rPr>
          <w:rFonts w:hint="eastAsia" w:ascii="宋体" w:hAnsi="宋体" w:eastAsia="宋体" w:cs="宋体"/>
          <w:color w:val="auto"/>
          <w:highlight w:val="none"/>
        </w:rPr>
        <w:br w:type="page"/>
      </w:r>
      <w:bookmarkStart w:id="168" w:name="_Toc32318_WPSOffice_Level2"/>
      <w:r>
        <w:rPr>
          <w:rStyle w:val="36"/>
          <w:rFonts w:hint="eastAsia" w:ascii="宋体" w:hAnsi="宋体" w:eastAsia="宋体" w:cs="宋体"/>
          <w:color w:val="auto"/>
          <w:highlight w:val="none"/>
        </w:rPr>
        <w:t xml:space="preserve">附件1 </w:t>
      </w:r>
      <w:r>
        <w:rPr>
          <w:rFonts w:hint="eastAsia" w:ascii="宋体" w:hAnsi="宋体" w:eastAsia="宋体" w:cs="宋体"/>
          <w:color w:val="auto"/>
          <w:szCs w:val="28"/>
          <w:highlight w:val="none"/>
        </w:rPr>
        <w:t xml:space="preserve">              </w:t>
      </w:r>
    </w:p>
    <w:p>
      <w:pPr>
        <w:pStyle w:val="6"/>
        <w:spacing w:before="0" w:after="0"/>
        <w:rPr>
          <w:rFonts w:hint="eastAsia" w:ascii="宋体" w:hAnsi="宋体" w:eastAsia="宋体" w:cs="宋体"/>
          <w:color w:val="auto"/>
          <w:highlight w:val="none"/>
        </w:rPr>
      </w:pPr>
      <w:r>
        <w:rPr>
          <w:rFonts w:hint="eastAsia" w:ascii="宋体" w:hAnsi="宋体" w:eastAsia="宋体" w:cs="宋体"/>
          <w:color w:val="auto"/>
          <w:highlight w:val="none"/>
        </w:rPr>
        <w:t>资格评审表</w:t>
      </w:r>
      <w:bookmarkEnd w:id="168"/>
    </w:p>
    <w:tbl>
      <w:tblPr>
        <w:tblStyle w:val="23"/>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0"/>
        <w:gridCol w:w="3647"/>
        <w:gridCol w:w="1964"/>
        <w:gridCol w:w="695"/>
        <w:gridCol w:w="886"/>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9" w:hRule="atLeast"/>
        </w:trPr>
        <w:tc>
          <w:tcPr>
            <w:tcW w:w="500"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序号</w:t>
            </w:r>
          </w:p>
        </w:tc>
        <w:tc>
          <w:tcPr>
            <w:tcW w:w="3647"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评审因素</w:t>
            </w:r>
          </w:p>
        </w:tc>
        <w:tc>
          <w:tcPr>
            <w:tcW w:w="1964" w:type="dxa"/>
            <w:vMerge w:val="restart"/>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评审标准</w:t>
            </w:r>
          </w:p>
        </w:tc>
        <w:tc>
          <w:tcPr>
            <w:tcW w:w="2402" w:type="dxa"/>
            <w:gridSpan w:val="3"/>
            <w:vAlign w:val="center"/>
          </w:tcPr>
          <w:p>
            <w:pPr>
              <w:spacing w:line="300" w:lineRule="exact"/>
              <w:jc w:val="center"/>
              <w:rPr>
                <w:rFonts w:hint="eastAsia" w:ascii="宋体" w:hAnsi="宋体" w:eastAsia="宋体" w:cs="宋体"/>
                <w:b/>
                <w:bCs/>
                <w:color w:val="auto"/>
                <w:highlight w:val="none"/>
              </w:rPr>
            </w:pPr>
            <w:r>
              <w:rPr>
                <w:rFonts w:hint="eastAsia" w:ascii="宋体" w:hAnsi="宋体" w:eastAsia="宋体" w:cs="宋体"/>
                <w:b/>
                <w:bCs/>
                <w:color w:val="auto"/>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4" w:hRule="atLeast"/>
        </w:trPr>
        <w:tc>
          <w:tcPr>
            <w:tcW w:w="500" w:type="dxa"/>
            <w:vMerge w:val="continue"/>
            <w:vAlign w:val="center"/>
          </w:tcPr>
          <w:p>
            <w:pPr>
              <w:spacing w:line="300" w:lineRule="exact"/>
              <w:rPr>
                <w:rFonts w:hint="eastAsia" w:ascii="宋体" w:hAnsi="宋体" w:eastAsia="宋体" w:cs="宋体"/>
                <w:color w:val="auto"/>
                <w:highlight w:val="none"/>
              </w:rPr>
            </w:pPr>
          </w:p>
        </w:tc>
        <w:tc>
          <w:tcPr>
            <w:tcW w:w="3647" w:type="dxa"/>
            <w:vMerge w:val="continue"/>
            <w:vAlign w:val="center"/>
          </w:tcPr>
          <w:p>
            <w:pPr>
              <w:spacing w:line="300" w:lineRule="exact"/>
              <w:rPr>
                <w:rFonts w:hint="eastAsia" w:ascii="宋体" w:hAnsi="宋体" w:eastAsia="宋体" w:cs="宋体"/>
                <w:color w:val="auto"/>
                <w:highlight w:val="none"/>
              </w:rPr>
            </w:pPr>
          </w:p>
        </w:tc>
        <w:tc>
          <w:tcPr>
            <w:tcW w:w="1964" w:type="dxa"/>
            <w:vMerge w:val="continue"/>
            <w:vAlign w:val="center"/>
          </w:tcPr>
          <w:p>
            <w:pPr>
              <w:spacing w:line="300" w:lineRule="exact"/>
              <w:rPr>
                <w:rFonts w:hint="eastAsia" w:ascii="宋体" w:hAnsi="宋体" w:eastAsia="宋体" w:cs="宋体"/>
                <w:color w:val="auto"/>
                <w:highlight w:val="none"/>
              </w:rPr>
            </w:pP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营业执照或事业单位法人证书或执业许可证等证明文件或自然人的身份证明</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vAlign w:val="center"/>
          </w:tcPr>
          <w:p>
            <w:pPr>
              <w:spacing w:line="300" w:lineRule="exact"/>
              <w:rPr>
                <w:rFonts w:hint="eastAsia" w:ascii="宋体" w:hAnsi="宋体" w:eastAsia="宋体" w:cs="宋体"/>
                <w:color w:val="auto"/>
                <w:highlight w:val="none"/>
              </w:rPr>
            </w:pPr>
          </w:p>
        </w:tc>
        <w:tc>
          <w:tcPr>
            <w:tcW w:w="886" w:type="dxa"/>
            <w:vAlign w:val="center"/>
          </w:tcPr>
          <w:p>
            <w:pPr>
              <w:spacing w:line="300" w:lineRule="exact"/>
              <w:rPr>
                <w:rFonts w:hint="eastAsia" w:ascii="宋体" w:hAnsi="宋体" w:eastAsia="宋体" w:cs="宋体"/>
                <w:color w:val="auto"/>
                <w:highlight w:val="none"/>
              </w:rPr>
            </w:pPr>
          </w:p>
        </w:tc>
        <w:tc>
          <w:tcPr>
            <w:tcW w:w="821" w:type="dxa"/>
            <w:vAlign w:val="center"/>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25"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法定代表人（或非法人组织负责人）身份证明书</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法定代表人（或非法人组织负责人）授权委托书（授权委托人参加投标的须提供）</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具有良好的商业信誉和健全的财务会计制度的证明文件</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开标时间前一年内任一个月的依法缴纳税收的缴款凭据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6"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开标时间前一年内任一个月的依法缴纳社会保障资金的缴款凭据</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具备履行合同所必需的设备和专业技术能力声明函</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参加政府采购活动前3年内在经营活动中没有重大违法记录的书面声明</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1、按给定格式填写</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2、按规定签章</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9</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其它资格证明文件（如适用，按供应商须知表1.3.4要求描述）</w:t>
            </w:r>
          </w:p>
        </w:tc>
        <w:tc>
          <w:tcPr>
            <w:tcW w:w="1964"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1、按要求提供</w:t>
            </w:r>
          </w:p>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2、合法有效</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500"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10</w:t>
            </w:r>
          </w:p>
        </w:tc>
        <w:tc>
          <w:tcPr>
            <w:tcW w:w="3647"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信用记录（按照招标文件规定的审查期间内进行查询）</w:t>
            </w:r>
          </w:p>
        </w:tc>
        <w:tc>
          <w:tcPr>
            <w:tcW w:w="1964" w:type="dxa"/>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无投标须知22.2.1所述的不良记录</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8" w:hRule="atLeast"/>
        </w:trPr>
        <w:tc>
          <w:tcPr>
            <w:tcW w:w="6111" w:type="dxa"/>
            <w:gridSpan w:val="3"/>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结论</w:t>
            </w:r>
          </w:p>
        </w:tc>
        <w:tc>
          <w:tcPr>
            <w:tcW w:w="695" w:type="dxa"/>
          </w:tcPr>
          <w:p>
            <w:pPr>
              <w:spacing w:line="300" w:lineRule="exact"/>
              <w:rPr>
                <w:rFonts w:hint="eastAsia" w:ascii="宋体" w:hAnsi="宋体" w:eastAsia="宋体" w:cs="宋体"/>
                <w:color w:val="auto"/>
                <w:highlight w:val="none"/>
              </w:rPr>
            </w:pPr>
          </w:p>
        </w:tc>
        <w:tc>
          <w:tcPr>
            <w:tcW w:w="886" w:type="dxa"/>
          </w:tcPr>
          <w:p>
            <w:pPr>
              <w:spacing w:line="300" w:lineRule="exact"/>
              <w:rPr>
                <w:rFonts w:hint="eastAsia" w:ascii="宋体" w:hAnsi="宋体" w:eastAsia="宋体" w:cs="宋体"/>
                <w:color w:val="auto"/>
                <w:highlight w:val="none"/>
              </w:rPr>
            </w:pPr>
          </w:p>
        </w:tc>
        <w:tc>
          <w:tcPr>
            <w:tcW w:w="821" w:type="dxa"/>
          </w:tcPr>
          <w:p>
            <w:pPr>
              <w:spacing w:line="300" w:lineRule="exact"/>
              <w:rPr>
                <w:rFonts w:hint="eastAsia" w:ascii="宋体" w:hAnsi="宋体" w:eastAsia="宋体" w:cs="宋体"/>
                <w:color w:val="auto"/>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填表说明：1、每项审查内容中填写“√”或“×”</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keepNext/>
        <w:keepLines/>
        <w:adjustRightInd w:val="0"/>
        <w:snapToGrid w:val="0"/>
        <w:jc w:val="left"/>
        <w:rPr>
          <w:rFonts w:hint="eastAsia" w:ascii="宋体" w:hAnsi="宋体" w:eastAsia="宋体" w:cs="宋体"/>
          <w:b/>
          <w:color w:val="auto"/>
          <w:highlight w:val="none"/>
        </w:rPr>
      </w:pPr>
    </w:p>
    <w:p>
      <w:pPr>
        <w:pStyle w:val="4"/>
        <w:widowControl w:val="0"/>
        <w:snapToGrid w:val="0"/>
        <w:spacing w:before="0" w:beforeAutospacing="0" w:after="0" w:afterAutospacing="0"/>
        <w:jc w:val="both"/>
        <w:rPr>
          <w:rFonts w:hint="eastAsia" w:ascii="宋体" w:hAnsi="宋体" w:eastAsia="宋体" w:cs="宋体"/>
          <w:color w:val="auto"/>
          <w:szCs w:val="28"/>
          <w:highlight w:val="none"/>
        </w:rPr>
      </w:pPr>
      <w:r>
        <w:rPr>
          <w:rFonts w:hint="eastAsia" w:ascii="宋体" w:hAnsi="宋体" w:eastAsia="宋体" w:cs="宋体"/>
          <w:b/>
          <w:color w:val="auto"/>
          <w:sz w:val="21"/>
          <w:highlight w:val="none"/>
        </w:rPr>
        <w:br w:type="page"/>
      </w:r>
      <w:bookmarkStart w:id="169" w:name="_Toc11558_WPSOffice_Level2"/>
      <w:r>
        <w:rPr>
          <w:rStyle w:val="36"/>
          <w:rFonts w:hint="eastAsia" w:ascii="宋体" w:hAnsi="宋体" w:eastAsia="宋体" w:cs="宋体"/>
          <w:color w:val="auto"/>
          <w:highlight w:val="none"/>
        </w:rPr>
        <w:t>附件2</w:t>
      </w:r>
      <w:r>
        <w:rPr>
          <w:rFonts w:hint="eastAsia" w:ascii="宋体" w:hAnsi="宋体" w:eastAsia="宋体" w:cs="宋体"/>
          <w:color w:val="auto"/>
          <w:szCs w:val="28"/>
          <w:highlight w:val="none"/>
        </w:rPr>
        <w:t xml:space="preserve">             </w:t>
      </w:r>
    </w:p>
    <w:p>
      <w:pPr>
        <w:pStyle w:val="4"/>
        <w:widowControl w:val="0"/>
        <w:snapToGrid w:val="0"/>
        <w:spacing w:before="0" w:beforeAutospacing="0" w:after="0" w:afterAutospacing="0"/>
        <w:jc w:val="center"/>
        <w:rPr>
          <w:rFonts w:hint="eastAsia" w:ascii="宋体" w:hAnsi="宋体" w:eastAsia="宋体" w:cs="宋体"/>
          <w:color w:val="auto"/>
          <w:highlight w:val="none"/>
        </w:rPr>
      </w:pPr>
      <w:r>
        <w:rPr>
          <w:rFonts w:hint="eastAsia" w:ascii="宋体" w:hAnsi="宋体" w:eastAsia="宋体" w:cs="宋体"/>
          <w:color w:val="auto"/>
          <w:szCs w:val="28"/>
          <w:highlight w:val="none"/>
        </w:rPr>
        <w:t xml:space="preserve">    </w:t>
      </w:r>
      <w:r>
        <w:rPr>
          <w:rStyle w:val="35"/>
          <w:rFonts w:hint="eastAsia" w:ascii="宋体" w:hAnsi="宋体" w:eastAsia="宋体" w:cs="宋体"/>
          <w:color w:val="auto"/>
          <w:highlight w:val="none"/>
        </w:rPr>
        <w:t xml:space="preserve"> 符合性审查表</w:t>
      </w:r>
      <w:bookmarkEnd w:id="169"/>
    </w:p>
    <w:tbl>
      <w:tblPr>
        <w:tblStyle w:val="23"/>
        <w:tblW w:w="85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5"/>
        <w:gridCol w:w="2258"/>
        <w:gridCol w:w="2755"/>
        <w:gridCol w:w="995"/>
        <w:gridCol w:w="969"/>
        <w:gridCol w:w="9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3" w:hRule="atLeast"/>
        </w:trPr>
        <w:tc>
          <w:tcPr>
            <w:tcW w:w="63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序号</w:t>
            </w:r>
          </w:p>
        </w:tc>
        <w:tc>
          <w:tcPr>
            <w:tcW w:w="2258"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评审因素</w:t>
            </w:r>
          </w:p>
        </w:tc>
        <w:tc>
          <w:tcPr>
            <w:tcW w:w="2755" w:type="dxa"/>
            <w:vMerge w:val="restart"/>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评审标准</w:t>
            </w:r>
          </w:p>
        </w:tc>
        <w:tc>
          <w:tcPr>
            <w:tcW w:w="2865" w:type="dxa"/>
            <w:gridSpan w:val="3"/>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供应商名称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8" w:hRule="atLeast"/>
        </w:trPr>
        <w:tc>
          <w:tcPr>
            <w:tcW w:w="635" w:type="dxa"/>
            <w:vMerge w:val="continue"/>
            <w:vAlign w:val="center"/>
          </w:tcPr>
          <w:p>
            <w:pPr>
              <w:spacing w:line="300" w:lineRule="exact"/>
              <w:jc w:val="center"/>
              <w:rPr>
                <w:rFonts w:hint="eastAsia" w:ascii="宋体" w:hAnsi="宋体" w:eastAsia="宋体" w:cs="宋体"/>
                <w:color w:val="auto"/>
                <w:highlight w:val="none"/>
              </w:rPr>
            </w:pPr>
          </w:p>
        </w:tc>
        <w:tc>
          <w:tcPr>
            <w:tcW w:w="2258" w:type="dxa"/>
            <w:vMerge w:val="continue"/>
            <w:vAlign w:val="center"/>
          </w:tcPr>
          <w:p>
            <w:pPr>
              <w:spacing w:line="300" w:lineRule="exact"/>
              <w:rPr>
                <w:rFonts w:hint="eastAsia" w:ascii="宋体" w:hAnsi="宋体" w:eastAsia="宋体" w:cs="宋体"/>
                <w:color w:val="auto"/>
                <w:highlight w:val="none"/>
              </w:rPr>
            </w:pPr>
          </w:p>
        </w:tc>
        <w:tc>
          <w:tcPr>
            <w:tcW w:w="2755" w:type="dxa"/>
            <w:vMerge w:val="continue"/>
            <w:vAlign w:val="center"/>
          </w:tcPr>
          <w:p>
            <w:pPr>
              <w:spacing w:line="300" w:lineRule="exact"/>
              <w:rPr>
                <w:rFonts w:hint="eastAsia" w:ascii="宋体" w:hAnsi="宋体" w:eastAsia="宋体" w:cs="宋体"/>
                <w:color w:val="auto"/>
                <w:highlight w:val="none"/>
              </w:rPr>
            </w:pPr>
          </w:p>
        </w:tc>
        <w:tc>
          <w:tcPr>
            <w:tcW w:w="995"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1</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投标函</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47"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2</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递交投标保证金证明</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1、按要求提供</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2、合法有效</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3</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开标一览表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62"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4</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服务价格明细报价表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5</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服务需求响应表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31"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6</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商务条款偏离表</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1、按给定格式及填表要求填写</w:t>
            </w:r>
          </w:p>
          <w:p>
            <w:pPr>
              <w:spacing w:line="300" w:lineRule="exact"/>
              <w:jc w:val="left"/>
              <w:rPr>
                <w:rFonts w:hint="eastAsia" w:ascii="宋体" w:hAnsi="宋体" w:eastAsia="宋体" w:cs="宋体"/>
                <w:b/>
                <w:color w:val="auto"/>
                <w:highlight w:val="none"/>
              </w:rPr>
            </w:pPr>
            <w:r>
              <w:rPr>
                <w:rFonts w:hint="eastAsia" w:ascii="宋体" w:hAnsi="宋体" w:eastAsia="宋体" w:cs="宋体"/>
                <w:b/>
                <w:color w:val="auto"/>
                <w:highlight w:val="none"/>
              </w:rPr>
              <w:t>2、响应招标文件实质性要求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7</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供应商关联单位说明</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1、按给定格式填写</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2、按规定签章</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0" w:hRule="atLeast"/>
        </w:trPr>
        <w:tc>
          <w:tcPr>
            <w:tcW w:w="635" w:type="dxa"/>
            <w:vAlign w:val="center"/>
          </w:tcPr>
          <w:p>
            <w:pPr>
              <w:spacing w:line="300" w:lineRule="exact"/>
              <w:jc w:val="center"/>
              <w:rPr>
                <w:rFonts w:hint="eastAsia" w:ascii="宋体" w:hAnsi="宋体" w:eastAsia="宋体" w:cs="宋体"/>
                <w:color w:val="auto"/>
                <w:highlight w:val="none"/>
              </w:rPr>
            </w:pPr>
            <w:r>
              <w:rPr>
                <w:rFonts w:hint="eastAsia" w:ascii="宋体" w:hAnsi="宋体" w:eastAsia="宋体" w:cs="宋体"/>
                <w:color w:val="auto"/>
                <w:highlight w:val="none"/>
              </w:rPr>
              <w:t>8</w:t>
            </w:r>
          </w:p>
        </w:tc>
        <w:tc>
          <w:tcPr>
            <w:tcW w:w="2258" w:type="dxa"/>
            <w:vAlign w:val="center"/>
          </w:tcPr>
          <w:p>
            <w:pPr>
              <w:spacing w:line="300" w:lineRule="exact"/>
              <w:rPr>
                <w:rFonts w:hint="eastAsia" w:ascii="宋体" w:hAnsi="宋体" w:eastAsia="宋体" w:cs="宋体"/>
                <w:color w:val="auto"/>
                <w:highlight w:val="none"/>
              </w:rPr>
            </w:pPr>
            <w:r>
              <w:rPr>
                <w:rFonts w:hint="eastAsia" w:ascii="宋体" w:hAnsi="宋体" w:eastAsia="宋体" w:cs="宋体"/>
                <w:color w:val="auto"/>
                <w:highlight w:val="none"/>
              </w:rPr>
              <w:t>投标报价</w:t>
            </w:r>
          </w:p>
        </w:tc>
        <w:tc>
          <w:tcPr>
            <w:tcW w:w="2755" w:type="dxa"/>
          </w:tcPr>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1、响应招标文件实质性要求</w:t>
            </w:r>
          </w:p>
          <w:p>
            <w:pPr>
              <w:pStyle w:val="6"/>
              <w:adjustRightInd w:val="0"/>
              <w:snapToGrid w:val="0"/>
              <w:spacing w:before="0" w:after="0" w:line="300" w:lineRule="exact"/>
              <w:jc w:val="left"/>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2、无投标须知26.2所述情形</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1" w:hRule="atLeast"/>
        </w:trPr>
        <w:tc>
          <w:tcPr>
            <w:tcW w:w="5648" w:type="dxa"/>
            <w:gridSpan w:val="3"/>
            <w:vAlign w:val="center"/>
          </w:tcPr>
          <w:p>
            <w:pPr>
              <w:pStyle w:val="6"/>
              <w:adjustRightInd w:val="0"/>
              <w:snapToGrid w:val="0"/>
              <w:spacing w:before="0" w:after="0" w:line="300" w:lineRule="exact"/>
              <w:rPr>
                <w:rFonts w:hint="eastAsia" w:ascii="宋体" w:hAnsi="宋体" w:eastAsia="宋体" w:cs="宋体"/>
                <w:color w:val="auto"/>
                <w:sz w:val="21"/>
                <w:szCs w:val="21"/>
                <w:highlight w:val="none"/>
              </w:rPr>
            </w:pPr>
            <w:r>
              <w:rPr>
                <w:rFonts w:hint="eastAsia" w:ascii="宋体" w:hAnsi="宋体" w:eastAsia="宋体" w:cs="宋体"/>
                <w:color w:val="auto"/>
                <w:sz w:val="21"/>
                <w:highlight w:val="none"/>
              </w:rPr>
              <w:t>结论</w:t>
            </w:r>
          </w:p>
        </w:tc>
        <w:tc>
          <w:tcPr>
            <w:tcW w:w="995"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69"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c>
          <w:tcPr>
            <w:tcW w:w="901" w:type="dxa"/>
          </w:tcPr>
          <w:p>
            <w:pPr>
              <w:pStyle w:val="6"/>
              <w:adjustRightInd w:val="0"/>
              <w:snapToGrid w:val="0"/>
              <w:spacing w:before="0" w:after="0" w:line="300" w:lineRule="exact"/>
              <w:rPr>
                <w:rFonts w:hint="eastAsia" w:ascii="宋体" w:hAnsi="宋体" w:eastAsia="宋体" w:cs="宋体"/>
                <w:color w:val="auto"/>
                <w:sz w:val="21"/>
                <w:szCs w:val="21"/>
                <w:highlight w:val="none"/>
              </w:rPr>
            </w:pPr>
          </w:p>
        </w:tc>
      </w:tr>
    </w:tbl>
    <w:p>
      <w:pPr>
        <w:rPr>
          <w:rFonts w:hint="eastAsia" w:ascii="宋体" w:hAnsi="宋体" w:eastAsia="宋体" w:cs="宋体"/>
          <w:b/>
          <w:bCs/>
          <w:color w:val="auto"/>
          <w:highlight w:val="none"/>
        </w:rPr>
      </w:pPr>
      <w:r>
        <w:rPr>
          <w:rFonts w:hint="eastAsia" w:ascii="宋体" w:hAnsi="宋体" w:eastAsia="宋体" w:cs="宋体"/>
          <w:b/>
          <w:bCs/>
          <w:color w:val="auto"/>
          <w:highlight w:val="none"/>
        </w:rPr>
        <w:t>填表说明：1、每项审查内容中填写“有”或“无”</w:t>
      </w:r>
    </w:p>
    <w:p>
      <w:pPr>
        <w:rPr>
          <w:rFonts w:hint="eastAsia" w:ascii="宋体" w:hAnsi="宋体" w:eastAsia="宋体" w:cs="宋体"/>
          <w:b/>
          <w:bCs/>
          <w:color w:val="auto"/>
          <w:highlight w:val="none"/>
        </w:rPr>
      </w:pPr>
      <w:r>
        <w:rPr>
          <w:rFonts w:hint="eastAsia" w:ascii="宋体" w:hAnsi="宋体" w:eastAsia="宋体" w:cs="宋体"/>
          <w:b/>
          <w:bCs/>
          <w:color w:val="auto"/>
          <w:highlight w:val="none"/>
        </w:rPr>
        <w:t xml:space="preserve">          2、结论填写“通过”或“不通过”</w:t>
      </w:r>
    </w:p>
    <w:p>
      <w:pPr>
        <w:pStyle w:val="4"/>
        <w:widowControl w:val="0"/>
        <w:snapToGrid w:val="0"/>
        <w:spacing w:before="0" w:beforeAutospacing="0" w:after="0" w:afterAutospacing="0"/>
        <w:ind w:left="5880" w:hanging="5903" w:hangingChars="2800"/>
        <w:rPr>
          <w:rFonts w:hint="eastAsia" w:ascii="宋体" w:hAnsi="宋体" w:eastAsia="宋体" w:cs="宋体"/>
          <w:b/>
          <w:color w:val="auto"/>
          <w:sz w:val="21"/>
          <w:highlight w:val="none"/>
        </w:rPr>
      </w:pP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r>
        <w:rPr>
          <w:rFonts w:hint="eastAsia" w:ascii="宋体" w:hAnsi="宋体" w:eastAsia="宋体" w:cs="宋体"/>
          <w:b/>
          <w:color w:val="auto"/>
          <w:sz w:val="28"/>
          <w:szCs w:val="28"/>
          <w:highlight w:val="none"/>
        </w:rPr>
        <w:br w:type="page"/>
      </w: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4"/>
        <w:widowControl w:val="0"/>
        <w:snapToGrid w:val="0"/>
        <w:spacing w:before="0" w:beforeAutospacing="0" w:after="0" w:afterAutospacing="0"/>
        <w:ind w:left="7840" w:hanging="7871" w:hangingChars="2800"/>
        <w:rPr>
          <w:rFonts w:hint="eastAsia" w:ascii="宋体" w:hAnsi="宋体" w:eastAsia="宋体" w:cs="宋体"/>
          <w:b/>
          <w:color w:val="auto"/>
          <w:sz w:val="28"/>
          <w:szCs w:val="28"/>
          <w:highlight w:val="none"/>
        </w:rPr>
      </w:pPr>
    </w:p>
    <w:p>
      <w:pPr>
        <w:pStyle w:val="6"/>
        <w:adjustRightInd w:val="0"/>
        <w:snapToGrid w:val="0"/>
        <w:spacing w:before="0" w:after="0" w:line="240" w:lineRule="auto"/>
        <w:jc w:val="left"/>
        <w:rPr>
          <w:rFonts w:hint="eastAsia" w:ascii="宋体" w:hAnsi="宋体" w:eastAsia="宋体" w:cs="宋体"/>
          <w:color w:val="auto"/>
          <w:highlight w:val="none"/>
        </w:rPr>
      </w:pPr>
      <w:bookmarkStart w:id="170" w:name="_Toc17433_WPSOffice_Level2"/>
      <w:r>
        <w:rPr>
          <w:rStyle w:val="36"/>
          <w:rFonts w:hint="eastAsia" w:ascii="宋体" w:hAnsi="宋体" w:eastAsia="宋体" w:cs="宋体"/>
          <w:color w:val="auto"/>
          <w:highlight w:val="none"/>
        </w:rPr>
        <w:t>附件3</w:t>
      </w:r>
      <w:r>
        <w:rPr>
          <w:rFonts w:hint="eastAsia" w:ascii="宋体" w:hAnsi="宋体" w:eastAsia="宋体" w:cs="宋体"/>
          <w:color w:val="auto"/>
          <w:szCs w:val="28"/>
          <w:highlight w:val="none"/>
        </w:rPr>
        <w:t xml:space="preserve">                    </w:t>
      </w:r>
      <w:r>
        <w:rPr>
          <w:rFonts w:hint="eastAsia" w:ascii="宋体" w:hAnsi="宋体" w:eastAsia="宋体" w:cs="宋体"/>
          <w:color w:val="auto"/>
          <w:highlight w:val="none"/>
        </w:rPr>
        <w:t xml:space="preserve"> </w:t>
      </w:r>
    </w:p>
    <w:p>
      <w:pPr>
        <w:pStyle w:val="6"/>
        <w:spacing w:before="200" w:after="200"/>
        <w:jc w:val="center"/>
        <w:rPr>
          <w:rFonts w:ascii="Times New Roman" w:hAnsi="Times New Roman" w:cs="Times New Roman"/>
          <w:b w:val="0"/>
          <w:snapToGrid/>
          <w:szCs w:val="20"/>
        </w:rPr>
      </w:pPr>
      <w:r>
        <w:rPr>
          <w:rFonts w:hint="eastAsia" w:ascii="Times New Roman" w:hAnsi="Times New Roman" w:cs="Times New Roman"/>
          <w:b w:val="0"/>
          <w:snapToGrid/>
          <w:szCs w:val="20"/>
        </w:rPr>
        <w:t>评分细则</w:t>
      </w:r>
    </w:p>
    <w:tbl>
      <w:tblPr>
        <w:tblStyle w:val="23"/>
        <w:tblW w:w="8816"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4"/>
        <w:gridCol w:w="1083"/>
        <w:gridCol w:w="838"/>
        <w:gridCol w:w="741"/>
        <w:gridCol w:w="54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0" w:hRule="atLeast"/>
        </w:trPr>
        <w:tc>
          <w:tcPr>
            <w:tcW w:w="664"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序号</w:t>
            </w:r>
          </w:p>
        </w:tc>
        <w:tc>
          <w:tcPr>
            <w:tcW w:w="1083"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评分项目</w:t>
            </w: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项目描述</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分值</w:t>
            </w:r>
          </w:p>
        </w:tc>
        <w:tc>
          <w:tcPr>
            <w:tcW w:w="5490"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573" w:hRule="atLeast"/>
        </w:trPr>
        <w:tc>
          <w:tcPr>
            <w:tcW w:w="664"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1</w:t>
            </w:r>
          </w:p>
        </w:tc>
        <w:tc>
          <w:tcPr>
            <w:tcW w:w="1083"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报价（30分）</w:t>
            </w: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报价得分</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30</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采用低价优先法计算，即满足</w:t>
            </w:r>
            <w:r>
              <w:rPr>
                <w:rFonts w:hint="eastAsia" w:ascii="宋体" w:hAnsi="宋体" w:eastAsia="宋体" w:cs="宋体"/>
                <w:snapToGrid/>
                <w:kern w:val="2"/>
                <w:sz w:val="21"/>
                <w:szCs w:val="24"/>
                <w:lang w:eastAsia="zh-CN"/>
              </w:rPr>
              <w:t>招标</w:t>
            </w:r>
            <w:r>
              <w:rPr>
                <w:rFonts w:hint="eastAsia" w:ascii="宋体" w:hAnsi="宋体" w:eastAsia="宋体" w:cs="宋体"/>
                <w:snapToGrid/>
                <w:kern w:val="2"/>
                <w:sz w:val="21"/>
                <w:szCs w:val="24"/>
              </w:rPr>
              <w:t>文件要求且</w:t>
            </w: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报价最低的报价为评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基准价，其价格分为满分，其他供应商的价格分统一按照下列公式计算：</w:t>
            </w:r>
            <w:r>
              <w:rPr>
                <w:rFonts w:hint="eastAsia" w:ascii="宋体" w:hAnsi="宋体" w:eastAsia="宋体" w:cs="宋体"/>
                <w:snapToGrid/>
                <w:kern w:val="2"/>
                <w:sz w:val="21"/>
                <w:szCs w:val="24"/>
                <w:lang w:eastAsia="zh-CN"/>
              </w:rPr>
              <w:t>投标</w:t>
            </w:r>
            <w:r>
              <w:rPr>
                <w:rFonts w:hint="eastAsia" w:ascii="宋体" w:hAnsi="宋体" w:eastAsia="宋体" w:cs="宋体"/>
                <w:snapToGrid/>
                <w:kern w:val="2"/>
                <w:sz w:val="21"/>
                <w:szCs w:val="24"/>
              </w:rPr>
              <w:t>报价得分=（评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基准价/评</w:t>
            </w:r>
            <w:r>
              <w:rPr>
                <w:rFonts w:hint="eastAsia" w:ascii="宋体" w:hAnsi="宋体" w:eastAsia="宋体" w:cs="宋体"/>
                <w:snapToGrid/>
                <w:kern w:val="2"/>
                <w:sz w:val="21"/>
                <w:szCs w:val="24"/>
                <w:lang w:eastAsia="zh-CN"/>
              </w:rPr>
              <w:t>标</w:t>
            </w:r>
            <w:r>
              <w:rPr>
                <w:rFonts w:hint="eastAsia" w:ascii="宋体" w:hAnsi="宋体" w:eastAsia="宋体" w:cs="宋体"/>
                <w:snapToGrid/>
                <w:kern w:val="2"/>
                <w:sz w:val="21"/>
                <w:szCs w:val="24"/>
              </w:rPr>
              <w:t>价）×价格权值×100</w:t>
            </w:r>
          </w:p>
          <w:p>
            <w:pPr>
              <w:keepNext w:val="0"/>
              <w:keepLines w:val="0"/>
              <w:pageBreakBefore w:val="0"/>
              <w:kinsoku/>
              <w:wordWrap/>
              <w:overflowPunct/>
              <w:topLinePunct w:val="0"/>
              <w:bidi w:val="0"/>
              <w:spacing w:line="240" w:lineRule="auto"/>
              <w:textAlignment w:val="auto"/>
              <w:rPr>
                <w:rFonts w:ascii="宋体" w:hAnsi="宋体" w:eastAsia="宋体" w:cs="宋体"/>
                <w:snapToGrid/>
                <w:kern w:val="2"/>
                <w:sz w:val="21"/>
                <w:szCs w:val="24"/>
              </w:rPr>
            </w:pPr>
            <w:r>
              <w:rPr>
                <w:rFonts w:hint="eastAsia" w:ascii="宋体" w:hAnsi="宋体" w:eastAsia="宋体" w:cs="宋体"/>
                <w:snapToGrid/>
                <w:kern w:val="2"/>
                <w:sz w:val="21"/>
                <w:szCs w:val="24"/>
              </w:rPr>
              <w:t>注明：评标委员会认为供应商的报价明显低于其他通过符合性审查供应商的报价，有可能影响产品质量或者不能诚信履约的，可要求其在评审现场合理的时间内提供书面说明，必要时提交相关证明材料；如不能证明其报价合理性的，评标委员会应当将其作为响应无效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4" w:hRule="atLeast"/>
        </w:trPr>
        <w:tc>
          <w:tcPr>
            <w:tcW w:w="664" w:type="dxa"/>
            <w:vMerge w:val="restart"/>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2</w:t>
            </w:r>
          </w:p>
        </w:tc>
        <w:tc>
          <w:tcPr>
            <w:tcW w:w="1083" w:type="dxa"/>
            <w:vMerge w:val="restart"/>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商务部分</w:t>
            </w:r>
          </w:p>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（17分）</w:t>
            </w:r>
          </w:p>
        </w:tc>
        <w:tc>
          <w:tcPr>
            <w:tcW w:w="838" w:type="dxa"/>
            <w:vAlign w:val="center"/>
          </w:tcPr>
          <w:p>
            <w:pPr>
              <w:keepNext w:val="0"/>
              <w:keepLines w:val="0"/>
              <w:pageBreakBefore w:val="0"/>
              <w:kinsoku/>
              <w:wordWrap/>
              <w:overflowPunct/>
              <w:topLinePunct w:val="0"/>
              <w:autoSpaceDE w:val="0"/>
              <w:autoSpaceDN w:val="0"/>
              <w:bidi w:val="0"/>
              <w:adjustRightInd w:val="0"/>
              <w:snapToGrid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售后服务承诺</w:t>
            </w:r>
          </w:p>
        </w:tc>
        <w:tc>
          <w:tcPr>
            <w:tcW w:w="741" w:type="dxa"/>
            <w:vAlign w:val="center"/>
          </w:tcPr>
          <w:p>
            <w:pPr>
              <w:keepNext w:val="0"/>
              <w:keepLines w:val="0"/>
              <w:pageBreakBefore w:val="0"/>
              <w:widowControl/>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6</w:t>
            </w:r>
          </w:p>
        </w:tc>
        <w:tc>
          <w:tcPr>
            <w:tcW w:w="5490" w:type="dxa"/>
            <w:vAlign w:val="center"/>
          </w:tcPr>
          <w:p>
            <w:pPr>
              <w:pStyle w:val="4"/>
              <w:keepNext w:val="0"/>
              <w:keepLines w:val="0"/>
              <w:pageBreakBefore w:val="0"/>
              <w:kinsoku/>
              <w:wordWrap/>
              <w:overflowPunct/>
              <w:topLinePunct w:val="0"/>
              <w:bidi w:val="0"/>
              <w:spacing w:before="0" w:beforeAutospacing="0" w:after="0" w:afterAutospacing="0" w:line="240" w:lineRule="auto"/>
              <w:jc w:val="both"/>
              <w:textAlignment w:val="auto"/>
              <w:rPr>
                <w:rFonts w:ascii="宋体" w:hAnsi="宋体" w:cs="宋体"/>
                <w:color w:val="auto"/>
                <w:kern w:val="2"/>
                <w:sz w:val="21"/>
              </w:rPr>
            </w:pPr>
            <w:r>
              <w:rPr>
                <w:rFonts w:hint="eastAsia" w:ascii="宋体" w:hAnsi="宋体" w:cs="宋体"/>
                <w:color w:val="auto"/>
                <w:kern w:val="2"/>
                <w:sz w:val="21"/>
              </w:rPr>
              <w:t>根据供应商提供的售后服务承诺进行打分，内容包括原厂商服务、故障响应、服务应答、备机备件。</w:t>
            </w:r>
            <w:r>
              <w:rPr>
                <w:rFonts w:hint="eastAsia" w:ascii="宋体" w:hAnsi="宋体" w:cs="宋体"/>
                <w:kern w:val="2"/>
                <w:sz w:val="21"/>
                <w:lang w:eastAsia="zh-CN"/>
              </w:rPr>
              <w:t>以上内容每具备一项且无缺陷</w:t>
            </w:r>
            <w:r>
              <w:rPr>
                <w:rFonts w:hint="eastAsia" w:ascii="宋体" w:hAnsi="宋体" w:cs="宋体"/>
                <w:kern w:val="2"/>
                <w:sz w:val="21"/>
              </w:rPr>
              <w:t>得</w:t>
            </w:r>
            <w:r>
              <w:rPr>
                <w:rFonts w:hint="eastAsia" w:ascii="宋体" w:hAnsi="宋体" w:cs="宋体"/>
                <w:color w:val="auto"/>
                <w:kern w:val="2"/>
                <w:sz w:val="21"/>
              </w:rPr>
              <w:t>1.5分，最多得6分。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12"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供应商类似项目业绩</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5</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提供2021年1月1日之后供应商与本项目类似的运维项目合同，以合同个数为准，每提供一个合同得1分，最多得5分。时间以签订合同时间为准。提供清晰的合同扫描件装订到投标文件中，否则不予计算。（提供合同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98"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供应商实力</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6</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重点考核供应商保证本项目履约能力的相关企业认证证书。根据供应商提供的认证证书，质量管理体系认证（ISO9001）、信息安全管理体系认证（ISO27001）、信息技术服务管理体系认证（ISO20000），每提供一个得2分；满分6分。（提供证书复印件，原件备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3" w:hRule="atLeast"/>
        </w:trPr>
        <w:tc>
          <w:tcPr>
            <w:tcW w:w="664" w:type="dxa"/>
            <w:vMerge w:val="restart"/>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3</w:t>
            </w:r>
          </w:p>
        </w:tc>
        <w:tc>
          <w:tcPr>
            <w:tcW w:w="1083" w:type="dxa"/>
            <w:vMerge w:val="restart"/>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技术部分（53分）</w:t>
            </w: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项目需求理解</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8</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根据供应商的项目需求理解程度进行打分，内容包括项目服务内容、采购人相关业务知识、工作现状、工作流程，</w:t>
            </w:r>
            <w:r>
              <w:rPr>
                <w:rFonts w:hint="eastAsia" w:ascii="宋体" w:hAnsi="宋体" w:eastAsia="宋体" w:cs="宋体"/>
                <w:snapToGrid/>
                <w:kern w:val="2"/>
                <w:sz w:val="21"/>
                <w:szCs w:val="24"/>
                <w:lang w:eastAsia="zh-CN"/>
              </w:rPr>
              <w:t>以上内容每具备一项且无缺陷的</w:t>
            </w:r>
            <w:r>
              <w:rPr>
                <w:rFonts w:hint="eastAsia" w:ascii="宋体" w:hAnsi="宋体" w:eastAsia="宋体" w:cs="宋体"/>
                <w:snapToGrid/>
                <w:color w:val="auto"/>
                <w:kern w:val="2"/>
                <w:sz w:val="21"/>
                <w:szCs w:val="24"/>
              </w:rPr>
              <w:t>得2分，最多得8分。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4"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ascii="宋体" w:hAnsi="宋体" w:eastAsia="宋体" w:cs="宋体"/>
                <w:snapToGrid/>
                <w:color w:val="auto"/>
                <w:kern w:val="2"/>
                <w:sz w:val="21"/>
                <w:szCs w:val="24"/>
              </w:rPr>
              <w:t>项目管理及实施方案</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12</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根据供应商提供的项目管理及实施方案进行打分，内容包括项目管理方案、项目实施方案、进度控制、重点难点分析、应对措施、相关的合理化建议。</w:t>
            </w:r>
            <w:r>
              <w:rPr>
                <w:rFonts w:hint="eastAsia" w:ascii="宋体" w:hAnsi="宋体" w:eastAsia="宋体" w:cs="宋体"/>
                <w:snapToGrid/>
                <w:kern w:val="2"/>
                <w:sz w:val="21"/>
                <w:szCs w:val="24"/>
                <w:lang w:eastAsia="zh-CN"/>
              </w:rPr>
              <w:t>以上内容每具备一项且无缺陷的</w:t>
            </w:r>
            <w:r>
              <w:rPr>
                <w:rFonts w:hint="eastAsia" w:ascii="宋体" w:hAnsi="宋体" w:eastAsia="宋体" w:cs="宋体"/>
                <w:snapToGrid/>
                <w:color w:val="auto"/>
                <w:kern w:val="2"/>
                <w:sz w:val="21"/>
                <w:szCs w:val="24"/>
              </w:rPr>
              <w:t>得2分，最多得12分。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08"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安全保密服务措施</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6</w:t>
            </w:r>
          </w:p>
        </w:tc>
        <w:tc>
          <w:tcPr>
            <w:tcW w:w="5490" w:type="dxa"/>
            <w:vAlign w:val="center"/>
          </w:tcPr>
          <w:p>
            <w:pPr>
              <w:pStyle w:val="21"/>
              <w:keepNext w:val="0"/>
              <w:keepLines w:val="0"/>
              <w:pageBreakBefore w:val="0"/>
              <w:kinsoku/>
              <w:wordWrap/>
              <w:overflowPunct/>
              <w:topLinePunct w:val="0"/>
              <w:bidi w:val="0"/>
              <w:spacing w:after="0" w:line="240" w:lineRule="auto"/>
              <w:ind w:firstLine="0" w:firstLineChars="0"/>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根据供应商针对本项目提供的安全保密服务措施进行打分，包括保障网络安全、数据安全、软硬件设备安全的服务措施，</w:t>
            </w:r>
            <w:r>
              <w:rPr>
                <w:rFonts w:hint="eastAsia" w:ascii="宋体" w:hAnsi="宋体" w:eastAsia="宋体" w:cs="宋体"/>
                <w:snapToGrid/>
                <w:color w:val="auto"/>
                <w:kern w:val="2"/>
                <w:sz w:val="21"/>
                <w:szCs w:val="24"/>
                <w:lang w:eastAsia="zh-CN"/>
              </w:rPr>
              <w:t>以上内容每具备一项且无缺陷的</w:t>
            </w:r>
            <w:r>
              <w:rPr>
                <w:rFonts w:hint="eastAsia" w:ascii="宋体" w:hAnsi="宋体" w:eastAsia="宋体" w:cs="宋体"/>
                <w:snapToGrid/>
                <w:color w:val="auto"/>
                <w:kern w:val="2"/>
                <w:sz w:val="21"/>
                <w:szCs w:val="24"/>
              </w:rPr>
              <w:t>得2分，最多得6分。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70"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服务质量保证措施</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9</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根据供应商提供的服务质量控制保证措施进行打分，内容包括质量保证体系、进度保证措施、疑难故障技术解决措施，</w:t>
            </w:r>
            <w:r>
              <w:rPr>
                <w:rFonts w:hint="eastAsia" w:ascii="宋体" w:hAnsi="宋体" w:eastAsia="宋体" w:cs="宋体"/>
                <w:snapToGrid/>
                <w:kern w:val="2"/>
                <w:sz w:val="21"/>
                <w:szCs w:val="24"/>
                <w:lang w:eastAsia="zh-CN"/>
              </w:rPr>
              <w:t>以上内容每具备一项且无缺陷的</w:t>
            </w:r>
            <w:r>
              <w:rPr>
                <w:rFonts w:hint="eastAsia" w:ascii="宋体" w:hAnsi="宋体" w:eastAsia="宋体" w:cs="宋体"/>
                <w:snapToGrid/>
                <w:color w:val="auto"/>
                <w:kern w:val="2"/>
                <w:sz w:val="21"/>
                <w:szCs w:val="24"/>
              </w:rPr>
              <w:t>得3分，最多得9分。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9"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Merge w:val="restart"/>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ascii="宋体" w:hAnsi="宋体" w:eastAsia="宋体" w:cs="宋体"/>
                <w:snapToGrid/>
                <w:color w:val="auto"/>
                <w:kern w:val="2"/>
                <w:sz w:val="21"/>
                <w:szCs w:val="24"/>
              </w:rPr>
              <w:t>人员能力</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6</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ascii="宋体" w:hAnsi="宋体" w:eastAsia="宋体" w:cs="宋体"/>
                <w:snapToGrid/>
                <w:color w:val="auto"/>
                <w:kern w:val="2"/>
                <w:sz w:val="21"/>
                <w:szCs w:val="24"/>
              </w:rPr>
              <w:t>驻场人员需承诺真实出现在本次项目中，</w:t>
            </w:r>
            <w:r>
              <w:rPr>
                <w:rFonts w:hint="eastAsia" w:ascii="宋体" w:hAnsi="宋体" w:eastAsia="宋体" w:cs="宋体"/>
                <w:snapToGrid/>
                <w:color w:val="auto"/>
                <w:kern w:val="2"/>
                <w:sz w:val="21"/>
                <w:szCs w:val="24"/>
              </w:rPr>
              <w:t>同时具备</w:t>
            </w:r>
            <w:r>
              <w:rPr>
                <w:rFonts w:ascii="宋体" w:hAnsi="宋体" w:eastAsia="宋体" w:cs="宋体"/>
                <w:snapToGrid/>
                <w:color w:val="auto"/>
                <w:kern w:val="2"/>
                <w:sz w:val="21"/>
                <w:szCs w:val="24"/>
              </w:rPr>
              <w:t>三年以上工作经验</w:t>
            </w:r>
            <w:r>
              <w:rPr>
                <w:rFonts w:hint="eastAsia" w:ascii="宋体" w:hAnsi="宋体" w:eastAsia="宋体" w:cs="宋体"/>
                <w:snapToGrid/>
                <w:color w:val="auto"/>
                <w:kern w:val="2"/>
                <w:sz w:val="21"/>
                <w:szCs w:val="24"/>
              </w:rPr>
              <w:t>与</w:t>
            </w:r>
            <w:r>
              <w:rPr>
                <w:rFonts w:ascii="宋体" w:hAnsi="宋体" w:eastAsia="宋体" w:cs="宋体"/>
                <w:snapToGrid/>
                <w:color w:val="auto"/>
                <w:kern w:val="2"/>
                <w:sz w:val="21"/>
                <w:szCs w:val="24"/>
              </w:rPr>
              <w:t>CISP证书</w:t>
            </w:r>
            <w:r>
              <w:rPr>
                <w:rFonts w:hint="eastAsia" w:ascii="宋体" w:hAnsi="宋体" w:eastAsia="宋体" w:cs="宋体"/>
                <w:snapToGrid/>
                <w:color w:val="auto"/>
                <w:kern w:val="2"/>
                <w:sz w:val="21"/>
                <w:szCs w:val="24"/>
              </w:rPr>
              <w:t>的，每人次得2分，最多</w:t>
            </w:r>
            <w:r>
              <w:rPr>
                <w:rFonts w:ascii="宋体" w:hAnsi="宋体" w:eastAsia="宋体" w:cs="宋体"/>
                <w:snapToGrid/>
                <w:color w:val="auto"/>
                <w:kern w:val="2"/>
                <w:sz w:val="21"/>
                <w:szCs w:val="24"/>
              </w:rPr>
              <w:t>得</w:t>
            </w:r>
            <w:r>
              <w:rPr>
                <w:rFonts w:hint="eastAsia" w:ascii="宋体" w:hAnsi="宋体" w:eastAsia="宋体" w:cs="宋体"/>
                <w:snapToGrid/>
                <w:color w:val="auto"/>
                <w:kern w:val="2"/>
                <w:sz w:val="21"/>
                <w:szCs w:val="24"/>
              </w:rPr>
              <w:t>6</w:t>
            </w:r>
            <w:r>
              <w:rPr>
                <w:rFonts w:ascii="宋体" w:hAnsi="宋体" w:eastAsia="宋体" w:cs="宋体"/>
                <w:snapToGrid/>
                <w:color w:val="auto"/>
                <w:kern w:val="2"/>
                <w:sz w:val="21"/>
                <w:szCs w:val="24"/>
              </w:rPr>
              <w:t>分。</w:t>
            </w:r>
            <w:r>
              <w:rPr>
                <w:rFonts w:hint="eastAsia" w:ascii="宋体" w:hAnsi="宋体" w:eastAsia="宋体" w:cs="宋体"/>
                <w:snapToGrid/>
                <w:color w:val="auto"/>
                <w:kern w:val="2"/>
                <w:sz w:val="21"/>
                <w:szCs w:val="24"/>
              </w:rPr>
              <w:t>（必须提供承诺书格式自拟加盖公章，工作经验证明材料、证书以及供应商给驻场人员缴纳的社保证明装订在投标文件中，否则不得分）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54"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2</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ascii="宋体" w:hAnsi="宋体" w:eastAsia="宋体" w:cs="宋体"/>
                <w:snapToGrid/>
                <w:color w:val="auto"/>
                <w:kern w:val="2"/>
                <w:sz w:val="21"/>
                <w:szCs w:val="24"/>
              </w:rPr>
              <w:t>护网期间能提供7*24小时安全值守人员的，得</w:t>
            </w:r>
            <w:r>
              <w:rPr>
                <w:rFonts w:hint="eastAsia" w:ascii="宋体" w:hAnsi="宋体" w:eastAsia="宋体" w:cs="宋体"/>
                <w:snapToGrid/>
                <w:color w:val="auto"/>
                <w:kern w:val="2"/>
                <w:sz w:val="21"/>
                <w:szCs w:val="24"/>
              </w:rPr>
              <w:t>2</w:t>
            </w:r>
            <w:r>
              <w:rPr>
                <w:rFonts w:ascii="宋体" w:hAnsi="宋体" w:eastAsia="宋体" w:cs="宋体"/>
                <w:snapToGrid/>
                <w:color w:val="auto"/>
                <w:kern w:val="2"/>
                <w:sz w:val="21"/>
                <w:szCs w:val="24"/>
              </w:rPr>
              <w:t>分，不能提供的，不得分。</w:t>
            </w:r>
            <w:r>
              <w:rPr>
                <w:rFonts w:hint="eastAsia" w:ascii="宋体" w:hAnsi="宋体" w:eastAsia="宋体" w:cs="宋体"/>
                <w:snapToGrid/>
                <w:color w:val="auto"/>
                <w:kern w:val="2"/>
                <w:sz w:val="21"/>
                <w:szCs w:val="24"/>
              </w:rPr>
              <w:t>（提供承诺书，格式自拟加盖公章装订在投标文件中）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41"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验收方案</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6</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根据供应商的验收方案进行打分，内容包括考核验收流程；管理措施；技术成果移交；日常考核等相关档案；各项档案建立、分类；归档、移交程序，</w:t>
            </w:r>
            <w:r>
              <w:rPr>
                <w:rFonts w:hint="eastAsia" w:ascii="宋体" w:hAnsi="宋体" w:eastAsia="宋体" w:cs="宋体"/>
                <w:snapToGrid/>
                <w:kern w:val="2"/>
                <w:sz w:val="21"/>
                <w:szCs w:val="24"/>
                <w:lang w:eastAsia="zh-CN"/>
              </w:rPr>
              <w:t>以上内容每具备一项且无缺陷的</w:t>
            </w:r>
            <w:r>
              <w:rPr>
                <w:rFonts w:hint="eastAsia" w:ascii="宋体" w:hAnsi="宋体" w:eastAsia="宋体" w:cs="宋体"/>
                <w:snapToGrid/>
                <w:color w:val="auto"/>
                <w:kern w:val="2"/>
                <w:sz w:val="21"/>
                <w:szCs w:val="24"/>
              </w:rPr>
              <w:t>得1分，最多得6分。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7" w:hRule="atLeast"/>
        </w:trPr>
        <w:tc>
          <w:tcPr>
            <w:tcW w:w="664"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1083" w:type="dxa"/>
            <w:vMerge w:val="continue"/>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p>
        </w:tc>
        <w:tc>
          <w:tcPr>
            <w:tcW w:w="838"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技术培训</w:t>
            </w:r>
          </w:p>
        </w:tc>
        <w:tc>
          <w:tcPr>
            <w:tcW w:w="741" w:type="dxa"/>
            <w:vAlign w:val="center"/>
          </w:tcPr>
          <w:p>
            <w:pPr>
              <w:keepNext w:val="0"/>
              <w:keepLines w:val="0"/>
              <w:pageBreakBefore w:val="0"/>
              <w:kinsoku/>
              <w:wordWrap/>
              <w:overflowPunct/>
              <w:topLinePunct w:val="0"/>
              <w:bidi w:val="0"/>
              <w:spacing w:line="240" w:lineRule="auto"/>
              <w:jc w:val="center"/>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4</w:t>
            </w:r>
          </w:p>
        </w:tc>
        <w:tc>
          <w:tcPr>
            <w:tcW w:w="5490" w:type="dxa"/>
            <w:vAlign w:val="center"/>
          </w:tcPr>
          <w:p>
            <w:pPr>
              <w:keepNext w:val="0"/>
              <w:keepLines w:val="0"/>
              <w:pageBreakBefore w:val="0"/>
              <w:kinsoku/>
              <w:wordWrap/>
              <w:overflowPunct/>
              <w:topLinePunct w:val="0"/>
              <w:bidi w:val="0"/>
              <w:spacing w:line="240" w:lineRule="auto"/>
              <w:textAlignment w:val="auto"/>
              <w:rPr>
                <w:rFonts w:ascii="宋体" w:hAnsi="宋体" w:eastAsia="宋体" w:cs="宋体"/>
                <w:snapToGrid/>
                <w:color w:val="auto"/>
                <w:kern w:val="2"/>
                <w:sz w:val="21"/>
                <w:szCs w:val="24"/>
              </w:rPr>
            </w:pPr>
            <w:r>
              <w:rPr>
                <w:rFonts w:hint="eastAsia" w:ascii="宋体" w:hAnsi="宋体" w:eastAsia="宋体" w:cs="宋体"/>
                <w:snapToGrid/>
                <w:color w:val="auto"/>
                <w:kern w:val="2"/>
                <w:sz w:val="21"/>
                <w:szCs w:val="24"/>
              </w:rPr>
              <w:t>根据供应商提供的培训服务方案进行打分，内容包括培训方案的针对性和时效性、培训师资水平、培训课程设置及培训讲义内容、本地化培训设施等。</w:t>
            </w:r>
            <w:r>
              <w:rPr>
                <w:rFonts w:hint="eastAsia" w:ascii="宋体" w:hAnsi="宋体" w:eastAsia="宋体" w:cs="宋体"/>
                <w:snapToGrid/>
                <w:kern w:val="2"/>
                <w:sz w:val="21"/>
                <w:szCs w:val="24"/>
                <w:lang w:eastAsia="zh-CN"/>
              </w:rPr>
              <w:t>以上内容每具备一项且无缺陷的</w:t>
            </w:r>
            <w:r>
              <w:rPr>
                <w:rFonts w:hint="eastAsia" w:ascii="宋体" w:hAnsi="宋体" w:eastAsia="宋体" w:cs="宋体"/>
                <w:snapToGrid/>
                <w:color w:val="auto"/>
                <w:kern w:val="2"/>
                <w:sz w:val="21"/>
                <w:szCs w:val="24"/>
              </w:rPr>
              <w:t>得1分，最多得4分。</w:t>
            </w:r>
          </w:p>
        </w:tc>
      </w:tr>
    </w:tbl>
    <w:p/>
    <w:bookmarkEnd w:id="170"/>
    <w:p>
      <w:pPr>
        <w:rPr>
          <w:rFonts w:hint="eastAsia" w:ascii="宋体" w:hAnsi="宋体" w:eastAsia="宋体" w:cs="宋体"/>
          <w:color w:val="auto"/>
          <w:highlight w:val="none"/>
          <w:lang w:eastAsia="zh-CN"/>
        </w:rPr>
      </w:pPr>
      <w:r>
        <w:rPr>
          <w:rFonts w:hint="eastAsia" w:ascii="宋体" w:hAnsi="宋体" w:eastAsia="宋体" w:cs="宋体"/>
          <w:color w:val="auto"/>
          <w:highlight w:val="none"/>
          <w:lang w:eastAsia="zh-CN"/>
        </w:rPr>
        <w:t>注</w:t>
      </w:r>
      <w:r>
        <w:rPr>
          <w:rFonts w:hint="eastAsia" w:ascii="宋体" w:hAnsi="宋体" w:cs="宋体"/>
          <w:color w:val="auto"/>
          <w:highlight w:val="none"/>
          <w:lang w:eastAsia="zh-CN"/>
        </w:rPr>
        <w:t>：评分细则中所说</w:t>
      </w:r>
      <w:r>
        <w:rPr>
          <w:rFonts w:hint="eastAsia" w:ascii="宋体" w:hAnsi="宋体" w:eastAsia="宋体" w:cs="宋体"/>
          <w:kern w:val="2"/>
          <w:sz w:val="21"/>
          <w:szCs w:val="21"/>
          <w:lang w:val="en-US" w:eastAsia="zh-CN" w:bidi="ar-SA"/>
        </w:rPr>
        <w:t>缺陷是指：与本项目无关、不满足项目需求、内容前后不一致、前后逻辑错误、涉及的规范及标准错误、地点区域错误、内容缺失</w:t>
      </w:r>
      <w:r>
        <w:rPr>
          <w:rFonts w:hint="eastAsia" w:ascii="宋体" w:hAnsi="宋体" w:cs="宋体"/>
          <w:kern w:val="2"/>
          <w:sz w:val="21"/>
          <w:szCs w:val="21"/>
          <w:lang w:val="en-US" w:eastAsia="zh-CN" w:bidi="ar-SA"/>
        </w:rPr>
        <w:t>。</w:t>
      </w:r>
    </w:p>
    <w:p>
      <w:pPr>
        <w:pStyle w:val="31"/>
        <w:rPr>
          <w:rFonts w:hint="eastAsia" w:ascii="宋体" w:hAnsi="宋体" w:eastAsia="宋体" w:cs="宋体"/>
          <w:color w:val="auto"/>
          <w:highlight w:val="none"/>
          <w:lang w:eastAsia="zh-CN"/>
        </w:rPr>
      </w:pPr>
    </w:p>
    <w:p>
      <w:pPr>
        <w:pStyle w:val="31"/>
        <w:rPr>
          <w:rFonts w:hint="eastAsia" w:ascii="宋体" w:hAnsi="宋体" w:eastAsia="宋体" w:cs="宋体"/>
          <w:color w:val="auto"/>
          <w:highlight w:val="none"/>
          <w:lang w:eastAsia="zh-CN"/>
        </w:rPr>
      </w:pPr>
    </w:p>
    <w:p>
      <w:pPr>
        <w:pStyle w:val="31"/>
        <w:rPr>
          <w:rFonts w:hint="eastAsia" w:ascii="宋体" w:hAnsi="宋体" w:eastAsia="宋体" w:cs="宋体"/>
          <w:color w:val="auto"/>
          <w:highlight w:val="none"/>
          <w:lang w:eastAsia="zh-CN"/>
        </w:rPr>
      </w:pPr>
    </w:p>
    <w:p>
      <w:pPr>
        <w:pStyle w:val="29"/>
        <w:ind w:firstLine="420"/>
        <w:rPr>
          <w:rFonts w:hint="eastAsia" w:ascii="宋体" w:hAnsi="宋体" w:eastAsia="宋体" w:cs="宋体"/>
          <w:color w:val="auto"/>
          <w:highlight w:val="none"/>
        </w:rPr>
      </w:pPr>
    </w:p>
    <w:p>
      <w:pPr>
        <w:wordWrap w:val="0"/>
        <w:adjustRightInd w:val="0"/>
        <w:snapToGrid w:val="0"/>
        <w:jc w:val="right"/>
        <w:rPr>
          <w:rFonts w:hint="eastAsia" w:ascii="宋体" w:hAnsi="宋体" w:eastAsia="宋体" w:cs="宋体"/>
          <w:color w:val="auto"/>
          <w:highlight w:val="none"/>
        </w:rPr>
      </w:pPr>
      <w:r>
        <w:rPr>
          <w:rFonts w:hint="eastAsia" w:ascii="宋体" w:hAnsi="宋体" w:eastAsia="宋体" w:cs="宋体"/>
          <w:color w:val="auto"/>
          <w:highlight w:val="none"/>
        </w:rPr>
        <w:br w:type="page"/>
      </w:r>
    </w:p>
    <w:p>
      <w:pPr>
        <w:rPr>
          <w:rFonts w:hint="eastAsia" w:ascii="宋体" w:hAnsi="宋体" w:eastAsia="宋体" w:cs="宋体"/>
          <w:color w:val="auto"/>
          <w:highlight w:val="none"/>
        </w:rPr>
      </w:pPr>
      <w:bookmarkStart w:id="171" w:name="_Toc25922_WPSOffice_Level1"/>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rPr>
          <w:rFonts w:hint="eastAsia" w:ascii="宋体" w:hAnsi="宋体" w:eastAsia="宋体" w:cs="宋体"/>
          <w:color w:val="auto"/>
          <w:highlight w:val="none"/>
        </w:rPr>
      </w:pPr>
    </w:p>
    <w:p>
      <w:pPr>
        <w:pStyle w:val="5"/>
        <w:rPr>
          <w:rFonts w:hint="eastAsia" w:ascii="宋体" w:hAnsi="宋体" w:eastAsia="宋体" w:cs="宋体"/>
          <w:color w:val="auto"/>
          <w:highlight w:val="none"/>
        </w:rPr>
      </w:pPr>
      <w:bookmarkStart w:id="172" w:name="_Toc25807"/>
      <w:bookmarkStart w:id="173" w:name="_Toc78902195"/>
      <w:r>
        <w:rPr>
          <w:rFonts w:hint="eastAsia" w:ascii="宋体" w:hAnsi="宋体" w:eastAsia="宋体" w:cs="宋体"/>
          <w:color w:val="auto"/>
          <w:highlight w:val="none"/>
        </w:rPr>
        <w:t>第五章 政府采购合同条款</w:t>
      </w:r>
      <w:bookmarkEnd w:id="171"/>
      <w:r>
        <w:rPr>
          <w:rFonts w:hint="eastAsia" w:ascii="宋体" w:hAnsi="宋体" w:eastAsia="宋体" w:cs="宋体"/>
          <w:color w:val="auto"/>
          <w:highlight w:val="none"/>
        </w:rPr>
        <w:t>及格式</w:t>
      </w:r>
      <w:bookmarkEnd w:id="172"/>
      <w:bookmarkEnd w:id="173"/>
    </w:p>
    <w:p>
      <w:pPr>
        <w:rPr>
          <w:rFonts w:hint="eastAsia" w:ascii="宋体" w:hAnsi="宋体" w:eastAsia="宋体" w:cs="宋体"/>
          <w:b/>
          <w:color w:val="auto"/>
          <w:sz w:val="36"/>
          <w:highlight w:val="none"/>
        </w:rPr>
      </w:pPr>
      <w:r>
        <w:rPr>
          <w:rFonts w:hint="eastAsia" w:ascii="宋体" w:hAnsi="宋体" w:eastAsia="宋体" w:cs="宋体"/>
          <w:color w:val="auto"/>
          <w:highlight w:val="none"/>
        </w:rPr>
        <w:br w:type="page"/>
      </w:r>
    </w:p>
    <w:p>
      <w:pPr>
        <w:spacing w:line="600" w:lineRule="auto"/>
        <w:jc w:val="center"/>
        <w:rPr>
          <w:rFonts w:hint="eastAsia"/>
          <w:b/>
          <w:sz w:val="48"/>
        </w:rPr>
      </w:pPr>
    </w:p>
    <w:p>
      <w:pPr>
        <w:spacing w:line="600" w:lineRule="auto"/>
        <w:jc w:val="center"/>
        <w:rPr>
          <w:rFonts w:hint="eastAsia"/>
          <w:b/>
          <w:sz w:val="48"/>
        </w:rPr>
      </w:pPr>
      <w:r>
        <w:rPr>
          <w:rFonts w:hint="eastAsia"/>
          <w:b/>
          <w:sz w:val="48"/>
        </w:rPr>
        <w:t>国家税务总局黑龙江省税务局内外网站群驻场运维服务政府采购合同</w:t>
      </w: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center"/>
        <w:rPr>
          <w:rFonts w:hint="eastAsia"/>
          <w:b/>
          <w:sz w:val="48"/>
        </w:rPr>
      </w:pPr>
    </w:p>
    <w:p>
      <w:pPr>
        <w:jc w:val="both"/>
        <w:rPr>
          <w:rFonts w:hint="eastAsia"/>
          <w:b/>
          <w:sz w:val="48"/>
        </w:rPr>
      </w:pPr>
    </w:p>
    <w:p>
      <w:pPr>
        <w:jc w:val="center"/>
        <w:rPr>
          <w:rFonts w:hint="eastAsia"/>
          <w:b/>
          <w:sz w:val="48"/>
        </w:rPr>
      </w:pPr>
    </w:p>
    <w:p>
      <w:pPr>
        <w:jc w:val="center"/>
        <w:rPr>
          <w:b/>
          <w:sz w:val="48"/>
        </w:rPr>
      </w:pPr>
    </w:p>
    <w:p>
      <w:pPr>
        <w:ind w:firstLine="1405" w:firstLineChars="500"/>
        <w:rPr>
          <w:rFonts w:hint="eastAsia" w:ascii="宋体" w:hAnsi="宋体"/>
          <w:b/>
          <w:bCs/>
          <w:sz w:val="28"/>
          <w:szCs w:val="28"/>
          <w:u w:val="single"/>
        </w:rPr>
      </w:pPr>
      <w:r>
        <w:rPr>
          <w:rFonts w:hint="eastAsia" w:ascii="宋体" w:hAnsi="宋体"/>
          <w:b/>
          <w:bCs/>
          <w:sz w:val="28"/>
          <w:szCs w:val="28"/>
        </w:rPr>
        <w:t>合同编号：</w:t>
      </w:r>
      <w:r>
        <w:rPr>
          <w:rFonts w:hint="eastAsia" w:ascii="宋体" w:hAnsi="宋体"/>
          <w:b/>
          <w:bCs/>
          <w:sz w:val="28"/>
          <w:szCs w:val="28"/>
          <w:u w:val="single"/>
        </w:rPr>
        <w:t>（招标编号）</w:t>
      </w:r>
    </w:p>
    <w:p>
      <w:pPr>
        <w:ind w:firstLine="1405" w:firstLineChars="500"/>
        <w:rPr>
          <w:rFonts w:hint="eastAsia" w:ascii="宋体" w:hAnsi="宋体"/>
          <w:b/>
          <w:bCs/>
          <w:sz w:val="28"/>
          <w:szCs w:val="28"/>
        </w:rPr>
      </w:pPr>
      <w:r>
        <w:rPr>
          <w:rFonts w:hint="eastAsia" w:ascii="宋体" w:hAnsi="宋体"/>
          <w:b/>
          <w:bCs/>
          <w:sz w:val="28"/>
          <w:szCs w:val="28"/>
        </w:rPr>
        <w:t>甲</w:t>
      </w:r>
      <w:r>
        <w:rPr>
          <w:rFonts w:ascii="宋体" w:hAnsi="宋体"/>
          <w:b/>
          <w:bCs/>
          <w:sz w:val="28"/>
          <w:szCs w:val="28"/>
        </w:rPr>
        <w:t xml:space="preserve">    </w:t>
      </w:r>
      <w:r>
        <w:rPr>
          <w:rFonts w:hint="eastAsia" w:ascii="宋体" w:hAnsi="宋体"/>
          <w:b/>
          <w:bCs/>
          <w:sz w:val="28"/>
          <w:szCs w:val="28"/>
        </w:rPr>
        <w:t>方：</w:t>
      </w:r>
      <w:r>
        <w:rPr>
          <w:rFonts w:hint="eastAsia"/>
          <w:b/>
          <w:sz w:val="28"/>
        </w:rPr>
        <w:t>【</w:t>
      </w:r>
      <w:r>
        <w:rPr>
          <w:rFonts w:hint="eastAsia" w:ascii="宋体" w:hAnsi="宋体"/>
          <w:b/>
          <w:bCs/>
          <w:sz w:val="28"/>
          <w:szCs w:val="28"/>
        </w:rPr>
        <w:t>国家税务总局黑龙江省税务局</w:t>
      </w:r>
      <w:r>
        <w:rPr>
          <w:rFonts w:hint="eastAsia"/>
          <w:b/>
          <w:sz w:val="28"/>
        </w:rPr>
        <w:t>】</w:t>
      </w:r>
      <w:r>
        <w:rPr>
          <w:rFonts w:hint="eastAsia" w:ascii="宋体" w:hAnsi="宋体"/>
          <w:b/>
          <w:bCs/>
          <w:sz w:val="28"/>
          <w:szCs w:val="28"/>
        </w:rPr>
        <w:t xml:space="preserve">                        </w:t>
      </w:r>
    </w:p>
    <w:p>
      <w:pPr>
        <w:ind w:firstLine="1405" w:firstLineChars="500"/>
        <w:rPr>
          <w:rFonts w:hint="eastAsia"/>
          <w:b/>
          <w:sz w:val="28"/>
        </w:rPr>
      </w:pPr>
      <w:r>
        <w:rPr>
          <w:rFonts w:hint="eastAsia" w:ascii="宋体" w:hAnsi="宋体"/>
          <w:b/>
          <w:bCs/>
          <w:sz w:val="28"/>
          <w:szCs w:val="28"/>
        </w:rPr>
        <w:t>乙</w:t>
      </w:r>
      <w:r>
        <w:rPr>
          <w:rFonts w:ascii="宋体" w:hAnsi="宋体"/>
          <w:b/>
          <w:bCs/>
          <w:sz w:val="28"/>
          <w:szCs w:val="28"/>
        </w:rPr>
        <w:t xml:space="preserve">    </w:t>
      </w:r>
      <w:r>
        <w:rPr>
          <w:rFonts w:hint="eastAsia" w:ascii="宋体" w:hAnsi="宋体"/>
          <w:b/>
          <w:bCs/>
          <w:sz w:val="28"/>
          <w:szCs w:val="28"/>
        </w:rPr>
        <w:t>方：</w:t>
      </w:r>
      <w:r>
        <w:rPr>
          <w:rFonts w:hint="eastAsia"/>
          <w:b/>
          <w:sz w:val="28"/>
        </w:rPr>
        <w:t>【                    】</w:t>
      </w:r>
    </w:p>
    <w:p>
      <w:pPr>
        <w:ind w:firstLine="1405" w:firstLineChars="500"/>
        <w:rPr>
          <w:rFonts w:hint="eastAsia" w:ascii="宋体" w:hAnsi="宋体"/>
          <w:b/>
          <w:bCs/>
          <w:sz w:val="28"/>
          <w:szCs w:val="28"/>
        </w:rPr>
      </w:pPr>
      <w:r>
        <w:rPr>
          <w:rFonts w:hint="eastAsia" w:ascii="宋体" w:hAnsi="宋体"/>
          <w:b/>
          <w:bCs/>
          <w:sz w:val="28"/>
          <w:szCs w:val="28"/>
        </w:rPr>
        <w:t>签订日期：20  年   月   日</w:t>
      </w:r>
    </w:p>
    <w:p>
      <w:pPr>
        <w:pStyle w:val="29"/>
        <w:ind w:left="0" w:leftChars="0" w:firstLine="0" w:firstLineChars="0"/>
        <w:rPr>
          <w:rFonts w:hint="eastAsia"/>
        </w:rPr>
      </w:pPr>
    </w:p>
    <w:p>
      <w:pPr>
        <w:pStyle w:val="29"/>
        <w:ind w:firstLine="420"/>
      </w:pPr>
    </w:p>
    <w:p>
      <w:pPr>
        <w:rPr>
          <w:rFonts w:ascii="宋体" w:hAnsi="宋体"/>
          <w:i/>
          <w:sz w:val="24"/>
        </w:rPr>
      </w:pPr>
      <w:r>
        <w:rPr>
          <w:rFonts w:hint="eastAsia" w:ascii="宋体" w:hAnsi="宋体"/>
          <w:sz w:val="24"/>
        </w:rPr>
        <w:t>甲方：【国家税务总局黑龙江省税务局】</w:t>
      </w:r>
    </w:p>
    <w:p>
      <w:pPr>
        <w:rPr>
          <w:rFonts w:ascii="宋体" w:hAnsi="宋体"/>
          <w:sz w:val="24"/>
        </w:rPr>
      </w:pPr>
    </w:p>
    <w:p>
      <w:pPr>
        <w:rPr>
          <w:rFonts w:ascii="宋体" w:hAnsi="宋体"/>
          <w:sz w:val="24"/>
        </w:rPr>
      </w:pPr>
      <w:r>
        <w:rPr>
          <w:rFonts w:hint="eastAsia" w:ascii="宋体" w:hAnsi="宋体"/>
          <w:sz w:val="24"/>
        </w:rPr>
        <w:t>乙方：【                】</w:t>
      </w:r>
    </w:p>
    <w:p>
      <w:pPr>
        <w:rPr>
          <w:rFonts w:ascii="宋体" w:hAnsi="宋体"/>
          <w:sz w:val="24"/>
        </w:rPr>
      </w:pPr>
    </w:p>
    <w:p>
      <w:pPr>
        <w:pStyle w:val="29"/>
        <w:ind w:firstLine="480"/>
        <w:rPr>
          <w:rFonts w:hint="eastAsia" w:ascii="宋体" w:hAnsi="宋体"/>
          <w:sz w:val="24"/>
        </w:rPr>
      </w:pPr>
      <w:r>
        <w:rPr>
          <w:rFonts w:hint="eastAsia" w:ascii="宋体" w:hAnsi="宋体"/>
          <w:sz w:val="24"/>
        </w:rPr>
        <w:t>国家税务总局黑龙江省税务局（以下简称“甲方”）通过公开招标方式采购，确定_____公司（以下简称“乙方”）为《国家税务总局黑龙江省税务局内外网站群驻场运维服务项目》中标供应商。甲乙双方同意按照该项目招标（采购）文件约定的内容，签署《国家税务总局黑龙江省税务局内外网站群驻场运维服务项目合同书》（合同编号：      ，以下简称“合同”)。</w:t>
      </w:r>
    </w:p>
    <w:p>
      <w:pPr>
        <w:pStyle w:val="6"/>
        <w:rPr>
          <w:rFonts w:hint="eastAsia" w:ascii="宋体" w:hAnsi="宋体"/>
          <w:sz w:val="24"/>
          <w:szCs w:val="24"/>
        </w:rPr>
      </w:pPr>
      <w:r>
        <w:rPr>
          <w:rFonts w:hint="eastAsia" w:ascii="宋体" w:hAnsi="宋体"/>
          <w:sz w:val="24"/>
          <w:szCs w:val="24"/>
        </w:rPr>
        <w:t>第一条  总则</w:t>
      </w:r>
    </w:p>
    <w:p>
      <w:pPr>
        <w:rPr>
          <w:rFonts w:hint="eastAsia" w:ascii="宋体" w:hAnsi="宋体"/>
          <w:sz w:val="24"/>
        </w:rPr>
      </w:pPr>
      <w:r>
        <w:rPr>
          <w:rFonts w:hint="eastAsia" w:ascii="宋体" w:hAnsi="宋体"/>
          <w:sz w:val="24"/>
        </w:rPr>
        <w:t>1．定义</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合同：除非特别说明，“合同”一词均指本合同。</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项目：本合同是乙方对甲方信息系统技术服务的维护，对系统运行中发生的故障进行软件升级、系统巡检等服务。</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不可抗力：是指不能预见、不能避免并不能克服的客观情况。不可抗力不包括由于一方的疏忽或故意不遵守良好的项目惯例所发生的事故。</w:t>
      </w:r>
    </w:p>
    <w:p>
      <w:pPr>
        <w:rPr>
          <w:rFonts w:hint="eastAsia" w:ascii="宋体" w:hAnsi="宋体"/>
          <w:sz w:val="24"/>
        </w:rPr>
      </w:pPr>
      <w:r>
        <w:rPr>
          <w:rFonts w:hint="eastAsia" w:ascii="宋体" w:hAnsi="宋体"/>
          <w:sz w:val="24"/>
        </w:rPr>
        <w:t>2．合同生效</w:t>
      </w:r>
    </w:p>
    <w:p>
      <w:pPr>
        <w:rPr>
          <w:rFonts w:hint="eastAsia" w:ascii="宋体" w:hAnsi="宋体"/>
          <w:sz w:val="24"/>
        </w:rPr>
      </w:pPr>
      <w:r>
        <w:rPr>
          <w:rFonts w:hint="eastAsia" w:ascii="宋体" w:hAnsi="宋体"/>
          <w:sz w:val="24"/>
        </w:rPr>
        <w:t>本合同经甲、乙双方签字盖章后生效。本合同壹式肆份，甲、乙双方各持贰份，具有同等法律效力。</w:t>
      </w:r>
    </w:p>
    <w:p>
      <w:pPr>
        <w:rPr>
          <w:rFonts w:hint="eastAsia" w:ascii="宋体" w:hAnsi="宋体"/>
          <w:sz w:val="24"/>
        </w:rPr>
      </w:pPr>
      <w:r>
        <w:rPr>
          <w:rFonts w:hint="eastAsia" w:ascii="宋体" w:hAnsi="宋体"/>
          <w:sz w:val="24"/>
        </w:rPr>
        <w:t>3．合同修改</w:t>
      </w:r>
    </w:p>
    <w:p>
      <w:pPr>
        <w:rPr>
          <w:rFonts w:hint="eastAsia" w:ascii="宋体" w:hAnsi="宋体"/>
          <w:sz w:val="24"/>
        </w:rPr>
      </w:pPr>
      <w:r>
        <w:rPr>
          <w:rFonts w:hint="eastAsia" w:ascii="宋体" w:hAnsi="宋体"/>
          <w:sz w:val="24"/>
        </w:rPr>
        <w:t>除非由双方签订书面修改文件，否则合同不得修改。符合这一程序的修改将构成合同的一部分，并将与合同具有同等的法律效力。</w:t>
      </w:r>
    </w:p>
    <w:p>
      <w:pPr>
        <w:rPr>
          <w:rFonts w:hint="eastAsia" w:ascii="宋体" w:hAnsi="宋体"/>
          <w:sz w:val="24"/>
        </w:rPr>
      </w:pPr>
      <w:r>
        <w:rPr>
          <w:rFonts w:hint="eastAsia" w:ascii="宋体" w:hAnsi="宋体"/>
          <w:sz w:val="24"/>
        </w:rPr>
        <w:t>4．补充条款</w:t>
      </w:r>
    </w:p>
    <w:p>
      <w:pPr>
        <w:rPr>
          <w:rFonts w:hint="eastAsia" w:ascii="宋体" w:hAnsi="宋体"/>
          <w:sz w:val="24"/>
        </w:rPr>
      </w:pPr>
      <w:r>
        <w:rPr>
          <w:rFonts w:hint="eastAsia" w:ascii="宋体" w:hAnsi="宋体"/>
          <w:sz w:val="24"/>
        </w:rPr>
        <w:t>本合同生效后，经双方共同协商，可以达成书面补充协议，补充协议与本合同具有同等效力。</w:t>
      </w:r>
    </w:p>
    <w:p>
      <w:pPr>
        <w:rPr>
          <w:rFonts w:hint="eastAsia" w:ascii="宋体" w:hAnsi="宋体"/>
          <w:sz w:val="24"/>
        </w:rPr>
      </w:pPr>
      <w:r>
        <w:rPr>
          <w:rFonts w:hint="eastAsia" w:ascii="宋体" w:hAnsi="宋体"/>
          <w:sz w:val="24"/>
        </w:rPr>
        <w:t>5．告知</w:t>
      </w:r>
    </w:p>
    <w:p>
      <w:pPr>
        <w:rPr>
          <w:rFonts w:hint="eastAsia" w:ascii="宋体" w:hAnsi="宋体"/>
          <w:sz w:val="24"/>
        </w:rPr>
      </w:pPr>
      <w:r>
        <w:rPr>
          <w:rFonts w:hint="eastAsia" w:ascii="宋体" w:hAnsi="宋体"/>
          <w:sz w:val="24"/>
        </w:rPr>
        <w:t xml:space="preserve">涉及本合同的一切事宜均以书面形式提交，对方应及时响应。 </w:t>
      </w:r>
    </w:p>
    <w:p>
      <w:pPr>
        <w:rPr>
          <w:rFonts w:hint="eastAsia" w:ascii="宋体" w:hAnsi="宋体"/>
          <w:sz w:val="24"/>
        </w:rPr>
      </w:pPr>
      <w:r>
        <w:rPr>
          <w:rFonts w:hint="eastAsia" w:ascii="宋体" w:hAnsi="宋体"/>
          <w:sz w:val="24"/>
        </w:rPr>
        <w:t>6．保密责任</w:t>
      </w:r>
    </w:p>
    <w:p>
      <w:pPr>
        <w:rPr>
          <w:rFonts w:hint="eastAsia" w:ascii="宋体" w:hAnsi="宋体"/>
          <w:sz w:val="24"/>
        </w:rPr>
      </w:pPr>
      <w:r>
        <w:rPr>
          <w:rFonts w:hint="eastAsia" w:ascii="宋体" w:hAnsi="宋体"/>
          <w:sz w:val="24"/>
        </w:rPr>
        <w:t>双方共同恪守对技术及对项目的保密责任。</w:t>
      </w:r>
    </w:p>
    <w:p>
      <w:pPr>
        <w:rPr>
          <w:rFonts w:hint="eastAsia" w:ascii="宋体" w:hAnsi="宋体"/>
          <w:sz w:val="24"/>
        </w:rPr>
      </w:pPr>
      <w:r>
        <w:rPr>
          <w:rFonts w:hint="eastAsia" w:ascii="宋体" w:hAnsi="宋体"/>
          <w:sz w:val="24"/>
        </w:rPr>
        <w:t>(1)</w:t>
      </w:r>
      <w:r>
        <w:rPr>
          <w:rFonts w:hint="eastAsia" w:ascii="宋体" w:hAnsi="宋体"/>
          <w:sz w:val="24"/>
        </w:rPr>
        <w:tab/>
      </w:r>
      <w:r>
        <w:rPr>
          <w:rFonts w:hint="eastAsia" w:ascii="宋体" w:hAnsi="宋体"/>
          <w:sz w:val="24"/>
        </w:rPr>
        <w:t>所有项目相关人员不得以任何形式向第三方泄露项目合作计划和内容。</w:t>
      </w:r>
    </w:p>
    <w:p>
      <w:pPr>
        <w:rPr>
          <w:rFonts w:hint="eastAsia" w:ascii="宋体" w:hAnsi="宋体"/>
          <w:sz w:val="24"/>
        </w:rPr>
      </w:pPr>
      <w:r>
        <w:rPr>
          <w:rFonts w:hint="eastAsia" w:ascii="宋体" w:hAnsi="宋体"/>
          <w:sz w:val="24"/>
        </w:rPr>
        <w:t>(2)</w:t>
      </w:r>
      <w:r>
        <w:rPr>
          <w:rFonts w:hint="eastAsia" w:ascii="宋体" w:hAnsi="宋体"/>
          <w:sz w:val="24"/>
        </w:rPr>
        <w:tab/>
      </w:r>
      <w:r>
        <w:rPr>
          <w:rFonts w:hint="eastAsia" w:ascii="宋体" w:hAnsi="宋体"/>
          <w:sz w:val="24"/>
        </w:rPr>
        <w:t>所有项目相关人员，不得以任何方式向第三方泄露有关项目的技术资料。</w:t>
      </w:r>
    </w:p>
    <w:p>
      <w:pPr>
        <w:rPr>
          <w:rFonts w:hint="eastAsia" w:ascii="宋体" w:hAnsi="宋体"/>
          <w:sz w:val="24"/>
        </w:rPr>
      </w:pPr>
      <w:r>
        <w:rPr>
          <w:rFonts w:hint="eastAsia" w:ascii="宋体" w:hAnsi="宋体"/>
          <w:sz w:val="24"/>
        </w:rPr>
        <w:t>(3)</w:t>
      </w:r>
      <w:r>
        <w:rPr>
          <w:rFonts w:hint="eastAsia" w:ascii="宋体" w:hAnsi="宋体"/>
          <w:sz w:val="24"/>
        </w:rPr>
        <w:tab/>
      </w:r>
      <w:r>
        <w:rPr>
          <w:rFonts w:hint="eastAsia" w:ascii="宋体" w:hAnsi="宋体"/>
          <w:sz w:val="24"/>
        </w:rPr>
        <w:t>乙方对甲方提供给乙方的注明保密的信息系统数据、信息系统实务及相关信息，不得外泄。</w:t>
      </w:r>
    </w:p>
    <w:p>
      <w:pPr>
        <w:rPr>
          <w:rFonts w:hint="eastAsia" w:ascii="宋体" w:hAnsi="宋体"/>
          <w:sz w:val="24"/>
        </w:rPr>
      </w:pPr>
    </w:p>
    <w:p>
      <w:pPr>
        <w:pStyle w:val="6"/>
        <w:rPr>
          <w:rFonts w:hint="eastAsia" w:ascii="宋体" w:hAnsi="宋体"/>
          <w:sz w:val="24"/>
          <w:szCs w:val="24"/>
        </w:rPr>
      </w:pPr>
      <w:r>
        <w:rPr>
          <w:rFonts w:hint="eastAsia" w:ascii="宋体" w:hAnsi="宋体"/>
          <w:sz w:val="24"/>
          <w:szCs w:val="24"/>
        </w:rPr>
        <w:t>第二条服务内容及相关事项</w:t>
      </w:r>
    </w:p>
    <w:tbl>
      <w:tblPr>
        <w:tblStyle w:val="23"/>
        <w:tblW w:w="849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9"/>
        <w:gridCol w:w="2131"/>
        <w:gridCol w:w="48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9" w:type="dxa"/>
            <w:vAlign w:val="center"/>
          </w:tcPr>
          <w:p>
            <w:pPr>
              <w:jc w:val="center"/>
              <w:rPr>
                <w:rFonts w:ascii="宋体" w:hAnsi="宋体"/>
                <w:b/>
                <w:sz w:val="24"/>
              </w:rPr>
            </w:pPr>
            <w:r>
              <w:rPr>
                <w:rFonts w:ascii="宋体" w:hAnsi="宋体"/>
                <w:b/>
                <w:sz w:val="24"/>
              </w:rPr>
              <w:t>项目</w:t>
            </w:r>
            <w:r>
              <w:rPr>
                <w:rFonts w:hint="eastAsia" w:ascii="宋体" w:hAnsi="宋体"/>
                <w:b/>
                <w:sz w:val="24"/>
              </w:rPr>
              <w:t>名称</w:t>
            </w:r>
          </w:p>
        </w:tc>
        <w:tc>
          <w:tcPr>
            <w:tcW w:w="2131" w:type="dxa"/>
            <w:vAlign w:val="center"/>
          </w:tcPr>
          <w:p>
            <w:pPr>
              <w:jc w:val="center"/>
              <w:rPr>
                <w:rFonts w:ascii="宋体" w:hAnsi="宋体"/>
                <w:b/>
                <w:sz w:val="24"/>
              </w:rPr>
            </w:pPr>
            <w:r>
              <w:rPr>
                <w:rFonts w:hint="eastAsia" w:ascii="宋体" w:hAnsi="宋体"/>
                <w:b/>
                <w:sz w:val="24"/>
              </w:rPr>
              <w:t>服务</w:t>
            </w:r>
            <w:r>
              <w:rPr>
                <w:rFonts w:ascii="宋体" w:hAnsi="宋体"/>
                <w:b/>
                <w:sz w:val="24"/>
              </w:rPr>
              <w:t>内容</w:t>
            </w:r>
          </w:p>
        </w:tc>
        <w:tc>
          <w:tcPr>
            <w:tcW w:w="4818" w:type="dxa"/>
            <w:vAlign w:val="center"/>
          </w:tcPr>
          <w:p>
            <w:pPr>
              <w:jc w:val="center"/>
              <w:rPr>
                <w:rFonts w:ascii="宋体" w:hAnsi="宋体"/>
                <w:b/>
                <w:sz w:val="24"/>
              </w:rPr>
            </w:pPr>
            <w:r>
              <w:rPr>
                <w:rFonts w:hint="eastAsia" w:ascii="宋体" w:hAnsi="宋体"/>
                <w:b/>
                <w:sz w:val="24"/>
              </w:rPr>
              <w:t>服务条款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restart"/>
            <w:vAlign w:val="center"/>
          </w:tcPr>
          <w:p>
            <w:pPr>
              <w:rPr>
                <w:rFonts w:hint="eastAsia" w:ascii="宋体" w:hAnsi="宋体"/>
                <w:sz w:val="24"/>
              </w:rPr>
            </w:pPr>
            <w:r>
              <w:rPr>
                <w:rFonts w:hint="eastAsia" w:ascii="宋体" w:hAnsi="宋体"/>
                <w:sz w:val="24"/>
              </w:rPr>
              <w:t>国家税务总局黑龙江省</w:t>
            </w:r>
          </w:p>
          <w:p>
            <w:pPr>
              <w:rPr>
                <w:rFonts w:ascii="宋体" w:hAnsi="宋体"/>
                <w:sz w:val="24"/>
              </w:rPr>
            </w:pPr>
            <w:r>
              <w:rPr>
                <w:rFonts w:hint="eastAsia" w:ascii="宋体" w:hAnsi="宋体"/>
                <w:sz w:val="24"/>
              </w:rPr>
              <w:t>税务局</w:t>
            </w:r>
            <w:r>
              <w:rPr>
                <w:rFonts w:ascii="宋体" w:hAnsi="宋体"/>
                <w:sz w:val="24"/>
              </w:rPr>
              <w:t>(</w:t>
            </w:r>
            <w:r>
              <w:rPr>
                <w:rFonts w:ascii="宋体" w:hAnsi="宋体"/>
                <w:sz w:val="24"/>
                <w:u w:val="single"/>
              </w:rPr>
              <w:t>*</w:t>
            </w:r>
            <w:r>
              <w:rPr>
                <w:rFonts w:hint="eastAsia" w:ascii="宋体" w:hAnsi="宋体"/>
                <w:sz w:val="24"/>
              </w:rPr>
              <w:t>内外网站群驻场运维服务项目</w:t>
            </w:r>
            <w:r>
              <w:rPr>
                <w:rFonts w:ascii="宋体" w:hAnsi="宋体"/>
                <w:sz w:val="24"/>
              </w:rPr>
              <w:t>)</w:t>
            </w:r>
          </w:p>
        </w:tc>
        <w:tc>
          <w:tcPr>
            <w:tcW w:w="2131" w:type="dxa"/>
            <w:tcBorders>
              <w:top w:val="single" w:color="auto" w:sz="4" w:space="0"/>
              <w:left w:val="single" w:color="auto" w:sz="4" w:space="0"/>
              <w:bottom w:val="single" w:color="auto" w:sz="4" w:space="0"/>
              <w:right w:val="single" w:color="auto" w:sz="4" w:space="0"/>
            </w:tcBorders>
          </w:tcPr>
          <w:p>
            <w:pPr>
              <w:jc w:val="left"/>
              <w:rPr>
                <w:rFonts w:hint="default" w:ascii="宋体" w:hAnsi="宋体" w:eastAsia="宋体"/>
                <w:sz w:val="24"/>
                <w:lang w:val="en-US" w:eastAsia="zh-CN"/>
              </w:rPr>
            </w:pPr>
            <w:r>
              <w:rPr>
                <w:rFonts w:hint="eastAsia" w:ascii="宋体" w:hAnsi="宋体"/>
                <w:sz w:val="24"/>
                <w:lang w:val="en-US" w:eastAsia="zh-CN"/>
              </w:rPr>
              <w:t>见服务需求</w:t>
            </w:r>
          </w:p>
        </w:tc>
        <w:tc>
          <w:tcPr>
            <w:tcW w:w="4818"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tcPr>
          <w:p>
            <w:pPr>
              <w:jc w:val="center"/>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hint="eastAsia" w:ascii="宋体" w:hAnsi="宋体"/>
                <w:sz w:val="24"/>
              </w:rPr>
            </w:pPr>
          </w:p>
        </w:tc>
        <w:tc>
          <w:tcPr>
            <w:tcW w:w="2131" w:type="dxa"/>
            <w:tcBorders>
              <w:top w:val="single" w:color="auto" w:sz="4" w:space="0"/>
              <w:left w:val="single" w:color="auto" w:sz="4" w:space="0"/>
              <w:bottom w:val="single" w:color="auto" w:sz="4" w:space="0"/>
              <w:right w:val="single" w:color="auto" w:sz="4" w:space="0"/>
            </w:tcBorders>
          </w:tcPr>
          <w:p>
            <w:pPr>
              <w:ind w:firstLine="480" w:firstLineChars="200"/>
              <w:jc w:val="left"/>
              <w:rPr>
                <w:rFonts w:hint="eastAsia" w:ascii="宋体" w:hAnsi="宋体"/>
                <w:sz w:val="24"/>
              </w:rPr>
            </w:pPr>
          </w:p>
        </w:tc>
        <w:tc>
          <w:tcPr>
            <w:tcW w:w="4818" w:type="dxa"/>
            <w:tcBorders>
              <w:top w:val="single" w:color="auto" w:sz="4" w:space="0"/>
              <w:left w:val="single" w:color="auto" w:sz="4" w:space="0"/>
              <w:bottom w:val="single" w:color="auto" w:sz="4" w:space="0"/>
              <w:right w:val="single" w:color="auto" w:sz="4" w:space="0"/>
            </w:tcBorders>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14" w:hRule="atLeast"/>
          <w:jc w:val="center"/>
        </w:trPr>
        <w:tc>
          <w:tcPr>
            <w:tcW w:w="1549" w:type="dxa"/>
            <w:vMerge w:val="continue"/>
            <w:vAlign w:val="center"/>
          </w:tcPr>
          <w:p>
            <w:pPr>
              <w:jc w:val="center"/>
              <w:rPr>
                <w:rFonts w:hint="eastAsia" w:ascii="宋体" w:hAnsi="宋体"/>
                <w:sz w:val="24"/>
              </w:rPr>
            </w:pPr>
          </w:p>
        </w:tc>
        <w:tc>
          <w:tcPr>
            <w:tcW w:w="2131" w:type="dxa"/>
            <w:tcBorders>
              <w:top w:val="single" w:color="auto" w:sz="4" w:space="0"/>
              <w:left w:val="single" w:color="auto" w:sz="4" w:space="0"/>
              <w:right w:val="single" w:color="auto" w:sz="4" w:space="0"/>
            </w:tcBorders>
          </w:tcPr>
          <w:p>
            <w:pPr>
              <w:ind w:firstLine="482" w:firstLineChars="200"/>
              <w:jc w:val="left"/>
              <w:rPr>
                <w:rFonts w:hint="eastAsia" w:ascii="宋体" w:hAnsi="宋体"/>
                <w:b/>
                <w:sz w:val="24"/>
              </w:rPr>
            </w:pPr>
          </w:p>
        </w:tc>
        <w:tc>
          <w:tcPr>
            <w:tcW w:w="4818" w:type="dxa"/>
            <w:tcBorders>
              <w:top w:val="single" w:color="auto" w:sz="4" w:space="0"/>
              <w:left w:val="single" w:color="auto" w:sz="4" w:space="0"/>
              <w:right w:val="single" w:color="auto" w:sz="4" w:space="0"/>
            </w:tcBorders>
            <w:vAlign w:val="center"/>
          </w:tcPr>
          <w:p>
            <w:pPr>
              <w:rPr>
                <w:rFonts w:ascii="宋体" w:hAnsi="宋体"/>
                <w:sz w:val="24"/>
              </w:rPr>
            </w:pPr>
          </w:p>
        </w:tc>
      </w:tr>
    </w:tbl>
    <w:p>
      <w:pPr>
        <w:rPr>
          <w:rFonts w:hint="eastAsia" w:ascii="宋体" w:hAnsi="宋体"/>
          <w:sz w:val="24"/>
        </w:rPr>
      </w:pPr>
    </w:p>
    <w:p>
      <w:pPr>
        <w:pStyle w:val="5"/>
        <w:spacing w:line="240" w:lineRule="auto"/>
        <w:rPr>
          <w:rFonts w:hint="eastAsia" w:ascii="宋体" w:hAnsi="宋体"/>
          <w:kern w:val="2"/>
          <w:sz w:val="24"/>
          <w:szCs w:val="24"/>
        </w:rPr>
      </w:pPr>
      <w:r>
        <w:rPr>
          <w:rFonts w:hint="eastAsia" w:ascii="宋体" w:hAnsi="宋体"/>
          <w:kern w:val="2"/>
          <w:sz w:val="24"/>
          <w:szCs w:val="24"/>
        </w:rPr>
        <w:t>第三条  服务内容</w:t>
      </w:r>
    </w:p>
    <w:p>
      <w:pPr>
        <w:numPr>
          <w:ilvl w:val="0"/>
          <w:numId w:val="8"/>
        </w:numPr>
        <w:rPr>
          <w:rFonts w:hint="eastAsia" w:ascii="宋体" w:hAnsi="宋体"/>
          <w:sz w:val="24"/>
        </w:rPr>
      </w:pPr>
      <w:r>
        <w:rPr>
          <w:rFonts w:hint="eastAsia" w:ascii="宋体" w:hAnsi="宋体"/>
          <w:sz w:val="24"/>
        </w:rPr>
        <w:t>在一年服务期内，乙方为完成“</w:t>
      </w:r>
      <w:r>
        <w:rPr>
          <w:rFonts w:hint="eastAsia" w:ascii="宋体" w:hAnsi="宋体"/>
          <w:sz w:val="24"/>
          <w:u w:val="single"/>
        </w:rPr>
        <w:t>（国家税务总局黑龙江省税务局内外网站群驻场运维服务）</w:t>
      </w:r>
      <w:r>
        <w:rPr>
          <w:rFonts w:hint="eastAsia" w:ascii="宋体" w:hAnsi="宋体"/>
          <w:sz w:val="24"/>
        </w:rPr>
        <w:t>”招标文件所列全部服务内容,</w:t>
      </w:r>
      <w:r>
        <w:rPr>
          <w:rFonts w:ascii="宋体" w:hAnsi="宋体"/>
          <w:sz w:val="24"/>
        </w:rPr>
        <w:t>范围内的</w:t>
      </w:r>
      <w:r>
        <w:rPr>
          <w:rFonts w:hint="eastAsia" w:ascii="宋体" w:hAnsi="宋体"/>
          <w:sz w:val="24"/>
        </w:rPr>
        <w:t>乙方自行使用的</w:t>
      </w:r>
      <w:r>
        <w:rPr>
          <w:rFonts w:ascii="宋体" w:hAnsi="宋体"/>
          <w:sz w:val="24"/>
        </w:rPr>
        <w:t>所有设备、耗材</w:t>
      </w:r>
      <w:r>
        <w:rPr>
          <w:rFonts w:hint="eastAsia" w:ascii="宋体" w:hAnsi="宋体"/>
          <w:sz w:val="24"/>
        </w:rPr>
        <w:t>等</w:t>
      </w:r>
      <w:r>
        <w:rPr>
          <w:rFonts w:ascii="宋体" w:hAnsi="宋体"/>
          <w:sz w:val="24"/>
        </w:rPr>
        <w:t>由乙方</w:t>
      </w:r>
      <w:r>
        <w:rPr>
          <w:rFonts w:hint="eastAsia" w:ascii="宋体" w:hAnsi="宋体"/>
          <w:sz w:val="24"/>
        </w:rPr>
        <w:t>自行</w:t>
      </w:r>
      <w:r>
        <w:rPr>
          <w:rFonts w:ascii="宋体" w:hAnsi="宋体"/>
          <w:sz w:val="24"/>
        </w:rPr>
        <w:t>承担</w:t>
      </w:r>
      <w:r>
        <w:rPr>
          <w:rFonts w:hint="eastAsia" w:ascii="宋体" w:hAnsi="宋体"/>
          <w:sz w:val="24"/>
        </w:rPr>
        <w:t>。</w:t>
      </w:r>
    </w:p>
    <w:p>
      <w:pPr>
        <w:numPr>
          <w:ilvl w:val="0"/>
          <w:numId w:val="8"/>
        </w:numPr>
        <w:rPr>
          <w:rFonts w:hint="eastAsia" w:ascii="宋体" w:hAnsi="宋体"/>
          <w:sz w:val="24"/>
        </w:rPr>
      </w:pPr>
      <w:r>
        <w:rPr>
          <w:rFonts w:hint="eastAsia" w:ascii="宋体" w:hAnsi="宋体"/>
          <w:sz w:val="24"/>
        </w:rPr>
        <w:t>乙方委派。</w:t>
      </w:r>
    </w:p>
    <w:p>
      <w:pPr>
        <w:pStyle w:val="29"/>
        <w:ind w:firstLine="420"/>
        <w:rPr>
          <w:rFonts w:hint="eastAsia"/>
        </w:rPr>
      </w:pPr>
      <w:r>
        <w:rPr>
          <w:rFonts w:hint="eastAsia"/>
        </w:rPr>
        <w:t>（同“附件2”人员）</w:t>
      </w:r>
    </w:p>
    <w:p>
      <w:pPr>
        <w:numPr>
          <w:ilvl w:val="0"/>
          <w:numId w:val="8"/>
        </w:numPr>
        <w:rPr>
          <w:rFonts w:hint="eastAsia" w:ascii="宋体" w:hAnsi="宋体"/>
          <w:sz w:val="24"/>
        </w:rPr>
      </w:pPr>
      <w:r>
        <w:rPr>
          <w:rFonts w:hint="eastAsia" w:ascii="宋体" w:hAnsi="宋体"/>
          <w:sz w:val="24"/>
        </w:rPr>
        <w:t>服务电话。</w:t>
      </w:r>
    </w:p>
    <w:p>
      <w:pPr>
        <w:pStyle w:val="29"/>
        <w:ind w:firstLine="480"/>
        <w:rPr>
          <w:rFonts w:hint="eastAsia" w:ascii="宋体" w:hAnsi="宋体"/>
          <w:sz w:val="24"/>
        </w:rPr>
      </w:pPr>
      <w:r>
        <w:rPr>
          <w:rFonts w:hint="eastAsia" w:ascii="宋体" w:hAnsi="宋体"/>
          <w:sz w:val="24"/>
        </w:rPr>
        <w:t>（售后电话，必填项）</w:t>
      </w:r>
    </w:p>
    <w:p>
      <w:pPr>
        <w:pStyle w:val="5"/>
        <w:spacing w:line="240" w:lineRule="auto"/>
        <w:rPr>
          <w:rFonts w:ascii="宋体" w:hAnsi="宋体"/>
          <w:kern w:val="2"/>
          <w:sz w:val="24"/>
          <w:szCs w:val="24"/>
        </w:rPr>
      </w:pPr>
      <w:r>
        <w:rPr>
          <w:rFonts w:hint="eastAsia" w:ascii="宋体" w:hAnsi="宋体"/>
          <w:kern w:val="2"/>
          <w:sz w:val="24"/>
          <w:szCs w:val="24"/>
        </w:rPr>
        <w:t>第四条  服务期限及服务生效时间</w:t>
      </w:r>
    </w:p>
    <w:p>
      <w:pPr>
        <w:ind w:firstLine="240" w:firstLineChars="100"/>
        <w:rPr>
          <w:rFonts w:ascii="宋体" w:hAnsi="宋体"/>
          <w:sz w:val="24"/>
        </w:rPr>
      </w:pPr>
      <w:r>
        <w:rPr>
          <w:rFonts w:hint="eastAsia" w:ascii="宋体" w:hAnsi="宋体"/>
          <w:color w:val="000000"/>
          <w:sz w:val="24"/>
        </w:rPr>
        <w:t>1、本合同有效期一年，自＿年  ＿月＿日起至＿年＿月＿日止。</w:t>
      </w:r>
    </w:p>
    <w:p>
      <w:pPr>
        <w:pStyle w:val="5"/>
        <w:spacing w:line="240" w:lineRule="auto"/>
        <w:rPr>
          <w:rFonts w:hint="eastAsia" w:ascii="宋体" w:hAnsi="宋体"/>
          <w:kern w:val="2"/>
          <w:sz w:val="24"/>
          <w:szCs w:val="24"/>
        </w:rPr>
      </w:pPr>
      <w:r>
        <w:rPr>
          <w:rFonts w:hint="eastAsia" w:ascii="宋体" w:hAnsi="宋体"/>
          <w:kern w:val="2"/>
          <w:sz w:val="24"/>
          <w:szCs w:val="24"/>
        </w:rPr>
        <w:t>第五条 具体服务项目计费标准</w:t>
      </w:r>
    </w:p>
    <w:tbl>
      <w:tblPr>
        <w:tblStyle w:val="23"/>
        <w:tblpPr w:leftFromText="180" w:rightFromText="180" w:vertAnchor="text" w:horzAnchor="page" w:tblpX="1402" w:tblpY="50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701"/>
        <w:gridCol w:w="1843"/>
        <w:gridCol w:w="1275"/>
        <w:gridCol w:w="1701"/>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7" w:hRule="atLeast"/>
        </w:trPr>
        <w:tc>
          <w:tcPr>
            <w:tcW w:w="959"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r>
              <w:rPr>
                <w:rFonts w:hint="eastAsia" w:ascii="宋体" w:hAnsi="宋体"/>
                <w:spacing w:val="4"/>
                <w:sz w:val="24"/>
              </w:rPr>
              <w:t>序号</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r>
              <w:rPr>
                <w:rFonts w:hint="eastAsia" w:ascii="宋体" w:hAnsi="宋体"/>
                <w:spacing w:val="4"/>
                <w:sz w:val="24"/>
              </w:rPr>
              <w:t>服务名称</w:t>
            </w:r>
          </w:p>
        </w:tc>
        <w:tc>
          <w:tcPr>
            <w:tcW w:w="1843" w:type="dxa"/>
            <w:tcBorders>
              <w:top w:val="single" w:color="auto" w:sz="4" w:space="0"/>
              <w:left w:val="single" w:color="auto" w:sz="4" w:space="0"/>
              <w:bottom w:val="single" w:color="auto" w:sz="4" w:space="0"/>
              <w:right w:val="single" w:color="auto" w:sz="4" w:space="0"/>
            </w:tcBorders>
            <w:vAlign w:val="center"/>
          </w:tcPr>
          <w:p>
            <w:pPr>
              <w:spacing w:line="440" w:lineRule="exact"/>
              <w:ind w:left="250" w:right="71" w:hanging="250" w:hangingChars="101"/>
              <w:jc w:val="center"/>
              <w:rPr>
                <w:rFonts w:ascii="宋体" w:hAnsi="宋体"/>
                <w:spacing w:val="4"/>
                <w:sz w:val="24"/>
              </w:rPr>
            </w:pPr>
            <w:r>
              <w:rPr>
                <w:rFonts w:hint="eastAsia" w:ascii="宋体" w:hAnsi="宋体"/>
                <w:spacing w:val="4"/>
                <w:sz w:val="24"/>
              </w:rPr>
              <w:t>服务主要内容</w:t>
            </w:r>
          </w:p>
        </w:tc>
        <w:tc>
          <w:tcPr>
            <w:tcW w:w="1275"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r>
              <w:rPr>
                <w:rFonts w:hint="eastAsia" w:ascii="宋体" w:hAnsi="宋体"/>
                <w:spacing w:val="4"/>
                <w:sz w:val="24"/>
              </w:rPr>
              <w:t>服务周期</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r>
              <w:rPr>
                <w:rFonts w:hint="eastAsia" w:ascii="宋体" w:hAnsi="宋体"/>
                <w:spacing w:val="4"/>
                <w:sz w:val="24"/>
              </w:rPr>
              <w:t>单价</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r>
              <w:rPr>
                <w:rFonts w:hint="eastAsia" w:ascii="宋体" w:hAnsi="宋体"/>
                <w:spacing w:val="4"/>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68" w:hRule="atLeast"/>
        </w:trPr>
        <w:tc>
          <w:tcPr>
            <w:tcW w:w="959"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hint="eastAsia" w:ascii="宋体" w:hAnsi="宋体"/>
                <w:spacing w:val="4"/>
                <w:sz w:val="24"/>
              </w:rPr>
            </w:pPr>
            <w:r>
              <w:rPr>
                <w:rFonts w:hint="eastAsia" w:ascii="宋体" w:hAnsi="宋体"/>
                <w:spacing w:val="4"/>
                <w:sz w:val="24"/>
              </w:rPr>
              <w:t>1</w:t>
            </w: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left"/>
              <w:rPr>
                <w:rFonts w:hint="default" w:ascii="宋体" w:hAnsi="宋体" w:eastAsia="宋体"/>
                <w:spacing w:val="4"/>
                <w:sz w:val="24"/>
                <w:lang w:val="en-US" w:eastAsia="zh-CN"/>
              </w:rPr>
            </w:pPr>
            <w:r>
              <w:rPr>
                <w:rFonts w:hint="eastAsia" w:ascii="宋体" w:hAnsi="宋体"/>
                <w:spacing w:val="4"/>
                <w:sz w:val="24"/>
                <w:lang w:val="en-US" w:eastAsia="zh-CN"/>
              </w:rPr>
              <w:t>见服务需求</w:t>
            </w:r>
          </w:p>
        </w:tc>
        <w:tc>
          <w:tcPr>
            <w:tcW w:w="1275"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hint="eastAsia"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440" w:lineRule="exact"/>
              <w:ind w:right="71"/>
              <w:jc w:val="center"/>
              <w:rPr>
                <w:rFonts w:ascii="宋体" w:hAnsi="宋体"/>
                <w:spacing w:val="4"/>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74" w:hRule="atLeast"/>
        </w:trPr>
        <w:tc>
          <w:tcPr>
            <w:tcW w:w="9180" w:type="dxa"/>
            <w:gridSpan w:val="6"/>
            <w:tcBorders>
              <w:top w:val="single" w:color="auto" w:sz="4" w:space="0"/>
              <w:left w:val="single" w:color="auto" w:sz="4" w:space="0"/>
              <w:bottom w:val="single" w:color="auto" w:sz="4" w:space="0"/>
              <w:right w:val="single" w:color="auto" w:sz="4" w:space="0"/>
            </w:tcBorders>
          </w:tcPr>
          <w:p>
            <w:pPr>
              <w:spacing w:line="440" w:lineRule="exact"/>
              <w:ind w:right="71"/>
              <w:rPr>
                <w:rFonts w:ascii="宋体" w:hAnsi="宋体"/>
                <w:spacing w:val="4"/>
                <w:sz w:val="24"/>
              </w:rPr>
            </w:pPr>
            <w:r>
              <w:rPr>
                <w:rFonts w:hint="eastAsia" w:ascii="宋体" w:hAnsi="宋体"/>
                <w:spacing w:val="4"/>
                <w:sz w:val="24"/>
              </w:rPr>
              <w:t>金额合计：人民币</w:t>
            </w:r>
            <w:r>
              <w:rPr>
                <w:rFonts w:hint="eastAsia" w:ascii="宋体" w:hAnsi="宋体"/>
                <w:spacing w:val="4"/>
                <w:sz w:val="24"/>
                <w:u w:val="single"/>
              </w:rPr>
              <w:t>￥</w:t>
            </w:r>
            <w:r>
              <w:rPr>
                <w:rFonts w:ascii="宋体" w:hAnsi="宋体"/>
                <w:spacing w:val="4"/>
                <w:sz w:val="24"/>
                <w:u w:val="single"/>
              </w:rPr>
              <w:t xml:space="preserve"> </w:t>
            </w:r>
            <w:r>
              <w:rPr>
                <w:rFonts w:hint="eastAsia" w:ascii="宋体" w:hAnsi="宋体"/>
                <w:spacing w:val="4"/>
                <w:sz w:val="24"/>
                <w:u w:val="single"/>
              </w:rPr>
              <w:t xml:space="preserve">           ，（大写） </w:t>
            </w:r>
            <w:r>
              <w:rPr>
                <w:rFonts w:ascii="宋体" w:hAnsi="宋体"/>
                <w:spacing w:val="4"/>
                <w:sz w:val="24"/>
                <w:u w:val="single"/>
              </w:rPr>
              <w:t xml:space="preserve"> </w:t>
            </w:r>
          </w:p>
        </w:tc>
      </w:tr>
    </w:tbl>
    <w:p>
      <w:pPr>
        <w:pStyle w:val="5"/>
        <w:spacing w:line="240" w:lineRule="auto"/>
        <w:rPr>
          <w:rFonts w:hint="eastAsia" w:ascii="宋体" w:hAnsi="宋体"/>
          <w:kern w:val="2"/>
          <w:sz w:val="24"/>
          <w:szCs w:val="24"/>
        </w:rPr>
      </w:pPr>
    </w:p>
    <w:p>
      <w:pPr>
        <w:pStyle w:val="5"/>
        <w:spacing w:line="240" w:lineRule="auto"/>
        <w:rPr>
          <w:rFonts w:hint="eastAsia" w:ascii="宋体" w:hAnsi="宋体"/>
          <w:kern w:val="2"/>
          <w:sz w:val="24"/>
          <w:szCs w:val="24"/>
        </w:rPr>
      </w:pPr>
      <w:r>
        <w:rPr>
          <w:rFonts w:hint="eastAsia" w:ascii="宋体" w:hAnsi="宋体"/>
          <w:kern w:val="2"/>
          <w:sz w:val="24"/>
          <w:szCs w:val="24"/>
        </w:rPr>
        <w:t>第六条 费用支付方式</w:t>
      </w:r>
    </w:p>
    <w:p>
      <w:pPr>
        <w:ind w:firstLine="480" w:firstLineChars="200"/>
        <w:rPr>
          <w:rFonts w:hint="eastAsia" w:ascii="宋体" w:hAnsi="宋体" w:cs="宋体"/>
          <w:color w:val="auto"/>
          <w:spacing w:val="4"/>
          <w:sz w:val="24"/>
          <w:lang w:val="en-US" w:eastAsia="zh-CN"/>
        </w:rPr>
      </w:pPr>
      <w:r>
        <w:rPr>
          <w:rFonts w:hint="eastAsia" w:ascii="宋体" w:hAnsi="宋体" w:eastAsia="宋体" w:cs="Times New Roman"/>
          <w:color w:val="auto"/>
          <w:sz w:val="24"/>
          <w:lang w:val="en-US" w:eastAsia="zh-CN"/>
        </w:rPr>
        <w:t>合同标的服务费金额为人民币   万元（大写：   ）。合同签订后10个工作日内，甲方支付给乙方合同价款的50%，人民币   万元（大写：   ）。服务期满10个工作日后，甲方对乙方的运维工作进行评价验收，验收通过后10个工作日内，甲方支付合同价款的50%，人民币   万元（大写：   ）。乙方需在甲方转账前提供符合甲方要求的等额票据。</w:t>
      </w:r>
    </w:p>
    <w:p>
      <w:pPr>
        <w:rPr>
          <w:rFonts w:ascii="宋体" w:hAnsi="宋体"/>
          <w:sz w:val="24"/>
        </w:rPr>
      </w:pPr>
      <w:r>
        <w:rPr>
          <w:rFonts w:hint="eastAsia" w:ascii="宋体" w:hAnsi="宋体"/>
          <w:sz w:val="24"/>
        </w:rPr>
        <w:t>乙方指定收款账户如下：</w:t>
      </w:r>
    </w:p>
    <w:p>
      <w:pPr>
        <w:rPr>
          <w:rFonts w:hint="eastAsia" w:ascii="宋体" w:hAnsi="宋体"/>
          <w:sz w:val="24"/>
        </w:rPr>
      </w:pPr>
      <w:r>
        <w:rPr>
          <w:rFonts w:hint="eastAsia" w:ascii="宋体" w:hAnsi="宋体"/>
          <w:sz w:val="24"/>
        </w:rPr>
        <w:t xml:space="preserve">单位全称： </w:t>
      </w:r>
    </w:p>
    <w:p>
      <w:pPr>
        <w:rPr>
          <w:rFonts w:hint="eastAsia" w:ascii="宋体" w:hAnsi="宋体"/>
          <w:sz w:val="24"/>
        </w:rPr>
      </w:pPr>
      <w:r>
        <w:rPr>
          <w:rFonts w:hint="eastAsia" w:ascii="宋体" w:hAnsi="宋体"/>
          <w:sz w:val="24"/>
        </w:rPr>
        <w:t xml:space="preserve">开 户 行： </w:t>
      </w:r>
    </w:p>
    <w:p>
      <w:pPr>
        <w:rPr>
          <w:rFonts w:hint="eastAsia" w:ascii="宋体" w:hAnsi="宋体"/>
          <w:sz w:val="24"/>
        </w:rPr>
      </w:pPr>
      <w:r>
        <w:rPr>
          <w:rFonts w:hint="eastAsia" w:ascii="宋体" w:hAnsi="宋体"/>
          <w:sz w:val="24"/>
        </w:rPr>
        <w:t xml:space="preserve">帐    号： </w:t>
      </w:r>
    </w:p>
    <w:p>
      <w:pPr>
        <w:pStyle w:val="5"/>
        <w:spacing w:line="240" w:lineRule="auto"/>
        <w:rPr>
          <w:rFonts w:ascii="宋体" w:hAnsi="宋体"/>
          <w:kern w:val="2"/>
          <w:sz w:val="24"/>
          <w:szCs w:val="24"/>
        </w:rPr>
      </w:pPr>
      <w:r>
        <w:rPr>
          <w:rFonts w:hint="eastAsia" w:ascii="宋体" w:hAnsi="宋体"/>
          <w:kern w:val="2"/>
          <w:sz w:val="24"/>
          <w:szCs w:val="24"/>
        </w:rPr>
        <w:t>第七条 甲乙双方责任与义务</w:t>
      </w:r>
    </w:p>
    <w:p>
      <w:pPr>
        <w:rPr>
          <w:rFonts w:hint="eastAsia" w:ascii="宋体" w:hAnsi="宋体"/>
          <w:color w:val="000000"/>
          <w:sz w:val="24"/>
        </w:rPr>
      </w:pPr>
      <w:r>
        <w:rPr>
          <w:rFonts w:hint="eastAsia" w:ascii="宋体" w:hAnsi="宋体"/>
          <w:color w:val="000000"/>
          <w:sz w:val="24"/>
        </w:rPr>
        <w:t>甲方责任：</w:t>
      </w:r>
    </w:p>
    <w:p>
      <w:pPr>
        <w:rPr>
          <w:rFonts w:ascii="宋体" w:hAnsi="宋体"/>
          <w:color w:val="000000"/>
          <w:sz w:val="24"/>
        </w:rPr>
      </w:pPr>
      <w:r>
        <w:rPr>
          <w:rFonts w:hint="eastAsia" w:ascii="宋体" w:hAnsi="宋体"/>
          <w:color w:val="000000"/>
          <w:sz w:val="24"/>
        </w:rPr>
        <w:t>1、在乙方进行支持服务时，根据乙方要求，指定配合工作的人员，提供必要的设备。</w:t>
      </w:r>
    </w:p>
    <w:p>
      <w:pPr>
        <w:rPr>
          <w:rFonts w:hint="eastAsia" w:ascii="宋体" w:hAnsi="宋体"/>
          <w:color w:val="000000"/>
          <w:sz w:val="24"/>
        </w:rPr>
      </w:pPr>
      <w:r>
        <w:rPr>
          <w:rFonts w:hint="eastAsia" w:ascii="宋体" w:hAnsi="宋体"/>
          <w:color w:val="000000"/>
          <w:sz w:val="24"/>
        </w:rPr>
        <w:t>2、在乙方服务人员支持服务完成时，配合检查设备、系统运行是否正常。</w:t>
      </w:r>
    </w:p>
    <w:p>
      <w:pPr>
        <w:rPr>
          <w:rFonts w:ascii="宋体" w:hAnsi="宋体"/>
          <w:color w:val="000000"/>
          <w:sz w:val="24"/>
        </w:rPr>
      </w:pPr>
      <w:r>
        <w:rPr>
          <w:rFonts w:hint="eastAsia" w:ascii="宋体" w:hAnsi="宋体"/>
          <w:color w:val="000000"/>
          <w:sz w:val="24"/>
        </w:rPr>
        <w:t>3、甲方如果要求乙方超出本合同及其附件约定的范围提供支持服务，甲方应与乙方另行协商签署相关合同，并向乙方支付相应的服务费用。</w:t>
      </w: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乙方责任：</w:t>
      </w:r>
    </w:p>
    <w:p>
      <w:pPr>
        <w:rPr>
          <w:rFonts w:hint="eastAsia" w:ascii="宋体" w:hAnsi="宋体"/>
          <w:color w:val="000000"/>
          <w:sz w:val="24"/>
        </w:rPr>
      </w:pPr>
      <w:r>
        <w:rPr>
          <w:rFonts w:hint="eastAsia" w:ascii="宋体" w:hAnsi="宋体"/>
          <w:color w:val="000000"/>
          <w:sz w:val="24"/>
        </w:rPr>
        <w:t>1. 严格执行作息制度，按规定时间上下班并根据工作需要按甲方要求进行加班。当产生加班时由甲方为加班人员开具加班证明，乙方必须按照有关规定给予加班人员加班补助。</w:t>
      </w:r>
    </w:p>
    <w:p>
      <w:pPr>
        <w:rPr>
          <w:rFonts w:hint="eastAsia" w:ascii="宋体" w:hAnsi="宋体"/>
          <w:color w:val="000000"/>
          <w:sz w:val="24"/>
        </w:rPr>
      </w:pPr>
      <w:r>
        <w:rPr>
          <w:rFonts w:hint="eastAsia" w:ascii="宋体" w:hAnsi="宋体"/>
          <w:color w:val="000000"/>
          <w:sz w:val="24"/>
        </w:rPr>
        <w:t>2. 严格遵守甲方安全保密制度和规定，签署保密协议。</w:t>
      </w:r>
    </w:p>
    <w:p>
      <w:pPr>
        <w:rPr>
          <w:rFonts w:hint="eastAsia" w:ascii="宋体" w:hAnsi="宋体"/>
          <w:color w:val="000000"/>
          <w:sz w:val="24"/>
        </w:rPr>
      </w:pPr>
      <w:r>
        <w:rPr>
          <w:rFonts w:hint="eastAsia" w:ascii="宋体" w:hAnsi="宋体"/>
          <w:color w:val="000000"/>
          <w:sz w:val="24"/>
        </w:rPr>
        <w:t>3. 严格按照甲方的管理维护制度要求进行相关工作。</w:t>
      </w:r>
    </w:p>
    <w:p>
      <w:pPr>
        <w:rPr>
          <w:rFonts w:hint="eastAsia" w:ascii="宋体" w:hAnsi="宋体"/>
          <w:color w:val="000000"/>
          <w:sz w:val="24"/>
        </w:rPr>
      </w:pPr>
      <w:r>
        <w:rPr>
          <w:rFonts w:hint="eastAsia" w:ascii="宋体" w:hAnsi="宋体"/>
          <w:color w:val="000000"/>
          <w:sz w:val="24"/>
        </w:rPr>
        <w:t>4.发生重大故障立即报告并进行故障排查，故障解决后立即形成书面材料进行上报，说明故障原因、排查过程、解决方法及预防故障发生的措施或建议等。</w:t>
      </w:r>
    </w:p>
    <w:p>
      <w:pPr>
        <w:rPr>
          <w:rFonts w:hint="eastAsia" w:ascii="宋体" w:hAnsi="宋体"/>
          <w:color w:val="000000"/>
          <w:sz w:val="24"/>
        </w:rPr>
      </w:pPr>
      <w:r>
        <w:rPr>
          <w:rFonts w:hint="eastAsia" w:ascii="宋体" w:hAnsi="宋体"/>
          <w:color w:val="000000"/>
          <w:sz w:val="24"/>
        </w:rPr>
        <w:t>5. 及时填写各类维护记录，保证每次维护工作可进行有效追踪和核查。</w:t>
      </w:r>
    </w:p>
    <w:p>
      <w:pPr>
        <w:rPr>
          <w:rFonts w:hint="eastAsia" w:ascii="宋体" w:hAnsi="宋体"/>
          <w:color w:val="000000"/>
          <w:sz w:val="24"/>
        </w:rPr>
      </w:pPr>
      <w:r>
        <w:rPr>
          <w:rFonts w:hint="eastAsia" w:ascii="宋体" w:hAnsi="宋体"/>
          <w:color w:val="000000"/>
          <w:sz w:val="24"/>
        </w:rPr>
        <w:t>6. 甲方对聘用人员进行工作考核，对不符合要求的人员随时进行撤换。</w:t>
      </w:r>
    </w:p>
    <w:p>
      <w:pPr>
        <w:rPr>
          <w:rFonts w:hint="eastAsia" w:ascii="宋体" w:hAnsi="宋体"/>
          <w:color w:val="000000"/>
          <w:sz w:val="24"/>
        </w:rPr>
      </w:pPr>
      <w:r>
        <w:rPr>
          <w:rFonts w:hint="eastAsia" w:ascii="宋体" w:hAnsi="宋体"/>
          <w:color w:val="000000"/>
          <w:sz w:val="24"/>
        </w:rPr>
        <w:t>7. 甲方只负责按照合同约定的金额向乙方支付人员聘用费用，维护人员的工资、社会保险及其它待遇或相关费用等均由乙方负责。</w:t>
      </w:r>
    </w:p>
    <w:p>
      <w:pPr>
        <w:rPr>
          <w:rFonts w:hint="eastAsia" w:ascii="宋体" w:hAnsi="宋体"/>
          <w:color w:val="000000"/>
          <w:sz w:val="24"/>
        </w:rPr>
      </w:pPr>
      <w:r>
        <w:rPr>
          <w:rFonts w:hint="eastAsia" w:ascii="宋体" w:hAnsi="宋体"/>
          <w:color w:val="000000"/>
          <w:sz w:val="24"/>
        </w:rPr>
        <w:t>8. 未经甲方批准，获聘单位不准随意更换聘用人员。</w:t>
      </w:r>
    </w:p>
    <w:p>
      <w:pPr>
        <w:rPr>
          <w:rFonts w:hint="eastAsia" w:ascii="宋体" w:hAnsi="宋体"/>
          <w:color w:val="000000"/>
          <w:sz w:val="24"/>
        </w:rPr>
      </w:pPr>
      <w:r>
        <w:rPr>
          <w:rFonts w:hint="eastAsia" w:ascii="宋体" w:hAnsi="宋体"/>
          <w:color w:val="000000"/>
          <w:sz w:val="24"/>
        </w:rPr>
        <w:t>9. 聘用人员在聘用期间必须完全遵守甲方的有关规定和服从管理。</w:t>
      </w:r>
    </w:p>
    <w:p>
      <w:pPr>
        <w:rPr>
          <w:rFonts w:hint="eastAsia" w:ascii="宋体" w:hAnsi="宋体"/>
          <w:color w:val="000000"/>
          <w:sz w:val="24"/>
        </w:rPr>
      </w:pPr>
      <w:r>
        <w:rPr>
          <w:rFonts w:hint="eastAsia" w:ascii="宋体" w:hAnsi="宋体"/>
          <w:color w:val="000000"/>
          <w:sz w:val="24"/>
        </w:rPr>
        <w:t>10. 所有获聘人员均有三个月试用期，期间不满足甲方要求，需无条件更换获聘人员，若整个试用期间一直无法满足甲方的要求，甲方有权解除聘用合同，不承担任何违约责任。</w:t>
      </w:r>
    </w:p>
    <w:p>
      <w:pPr>
        <w:rPr>
          <w:rFonts w:ascii="宋体" w:hAnsi="宋体"/>
          <w:color w:val="000000"/>
          <w:sz w:val="24"/>
        </w:rPr>
      </w:pPr>
    </w:p>
    <w:p>
      <w:pPr>
        <w:pStyle w:val="6"/>
        <w:rPr>
          <w:rFonts w:hint="eastAsia" w:ascii="宋体" w:hAnsi="宋体"/>
          <w:sz w:val="24"/>
          <w:szCs w:val="24"/>
        </w:rPr>
      </w:pPr>
      <w:r>
        <w:rPr>
          <w:rFonts w:hint="eastAsia" w:ascii="宋体" w:hAnsi="宋体"/>
          <w:sz w:val="24"/>
          <w:szCs w:val="24"/>
        </w:rPr>
        <w:t>第八条 违约责任</w:t>
      </w:r>
    </w:p>
    <w:p>
      <w:pPr>
        <w:rPr>
          <w:rFonts w:hint="eastAsia" w:ascii="宋体" w:hAnsi="宋体"/>
          <w:sz w:val="24"/>
        </w:rPr>
      </w:pPr>
      <w:r>
        <w:rPr>
          <w:rFonts w:hint="eastAsia" w:ascii="宋体" w:hAnsi="宋体"/>
          <w:sz w:val="24"/>
        </w:rPr>
        <w:t>1、由于一方违约，造成本合同及其附件不能履行或不能完全履行时，由违约方承担违约责任；如属双方违约，根据实际情况，由双方分别承担各自应负的违约责任。</w:t>
      </w:r>
    </w:p>
    <w:p>
      <w:pPr>
        <w:rPr>
          <w:rFonts w:hint="eastAsia" w:ascii="宋体" w:hAnsi="宋体"/>
          <w:sz w:val="24"/>
        </w:rPr>
      </w:pPr>
      <w:r>
        <w:rPr>
          <w:rFonts w:hint="eastAsia" w:ascii="宋体" w:hAnsi="宋体"/>
          <w:sz w:val="24"/>
        </w:rPr>
        <w:t>2、如甲方未按合同约定的时间和金额向乙方支付应付款项，则自本合同约定的付款之日起，每延迟一天，甲方应向乙方支付本合同应付而未付金额的万分之一的违约金。</w:t>
      </w:r>
    </w:p>
    <w:p>
      <w:pPr>
        <w:rPr>
          <w:rFonts w:hint="eastAsia" w:ascii="宋体" w:hAnsi="宋体"/>
          <w:sz w:val="24"/>
        </w:rPr>
      </w:pPr>
      <w:r>
        <w:rPr>
          <w:rFonts w:hint="eastAsia" w:ascii="宋体" w:hAnsi="宋体"/>
          <w:sz w:val="24"/>
        </w:rPr>
        <w:t>3、如因乙方责任造成项目延期，则自项目应完成之日起，每延迟一天，乙方应向甲方支付未完成部分的合同金额，违约金最高限额为本合同标的总金额的百分之五。</w:t>
      </w:r>
    </w:p>
    <w:p>
      <w:pPr>
        <w:rPr>
          <w:rFonts w:hint="eastAsia" w:ascii="宋体" w:hAnsi="宋体"/>
          <w:sz w:val="24"/>
        </w:rPr>
      </w:pPr>
      <w:r>
        <w:rPr>
          <w:rFonts w:hint="eastAsia" w:ascii="宋体" w:hAnsi="宋体"/>
          <w:sz w:val="24"/>
        </w:rPr>
        <w:t>4、在本合同履行过程中，任何一方的行为违背了本合同的规定，致使本合同不能继续履行，受损害一方可立即以书面形式通知违约方终止本合同，并由违约方支付违约金给守约方。而且违约方还应赔偿因此给守约方造成的直接经济损失。</w:t>
      </w:r>
    </w:p>
    <w:p>
      <w:pPr>
        <w:rPr>
          <w:rFonts w:hint="eastAsia" w:ascii="宋体" w:hAnsi="宋体"/>
          <w:sz w:val="24"/>
        </w:rPr>
      </w:pPr>
      <w:r>
        <w:rPr>
          <w:rFonts w:hint="eastAsia" w:ascii="宋体" w:hAnsi="宋体"/>
          <w:sz w:val="24"/>
        </w:rPr>
        <w:t>5、对本合同项下某一条款的争议，不应影响合同双方对其他条款的履行。</w:t>
      </w:r>
    </w:p>
    <w:p>
      <w:pPr>
        <w:rPr>
          <w:rFonts w:hint="eastAsia" w:ascii="宋体" w:hAnsi="宋体"/>
          <w:color w:val="FF0000"/>
          <w:sz w:val="30"/>
          <w:szCs w:val="30"/>
        </w:rPr>
      </w:pPr>
      <w:r>
        <w:rPr>
          <w:rFonts w:hint="eastAsia" w:ascii="宋体" w:hAnsi="宋体"/>
          <w:sz w:val="24"/>
        </w:rPr>
        <w:t>6、乙方的服务人员不履行或不按本合同约定履行服务，并给甲方造成了实际损失，乙方应该对甲方实际损失给予赔偿。</w:t>
      </w:r>
      <w:r>
        <w:rPr>
          <w:rFonts w:hint="eastAsia" w:ascii="宋体" w:hAnsi="宋体"/>
          <w:color w:val="FF0000"/>
          <w:sz w:val="30"/>
          <w:szCs w:val="30"/>
        </w:rPr>
        <w:t xml:space="preserve">   </w:t>
      </w:r>
    </w:p>
    <w:p>
      <w:pPr>
        <w:rPr>
          <w:rFonts w:hint="eastAsia" w:ascii="宋体" w:hAnsi="宋体"/>
          <w:sz w:val="24"/>
        </w:rPr>
      </w:pPr>
      <w:r>
        <w:rPr>
          <w:rFonts w:hint="eastAsia" w:ascii="宋体" w:hAnsi="宋体"/>
          <w:sz w:val="24"/>
        </w:rPr>
        <w:t>7、对于因乙方运维人员责任造成业务系统中断业务达半小时以上、或造成系统数据错误的，发生一次即扣除乙方年服务费用的1%；对于因乙方运维人员责任造成业务系统中断业务二小时以上，发生一次即扣除乙方年服务费用的3%；对于因乙方运维人员责任造成业务系统中断业务四小时以上,发生一次即扣除乙方年服务费用的5%。</w:t>
      </w:r>
    </w:p>
    <w:p>
      <w:pPr>
        <w:rPr>
          <w:rFonts w:hint="eastAsia" w:ascii="宋体" w:hAnsi="宋体"/>
          <w:sz w:val="24"/>
        </w:rPr>
      </w:pPr>
      <w:r>
        <w:rPr>
          <w:rFonts w:hint="eastAsia" w:ascii="宋体" w:hAnsi="宋体"/>
          <w:sz w:val="24"/>
        </w:rPr>
        <w:t>8、乙方运维人员的日常工作管理和工作纪律管理由甲方统一负责，乙方须协助做好运维人员的工作纪律管理和工作质量监督，对不合格的运维人员须按照甲方的要求在一个月内调整到位，否则按照超期每天即扣除乙方人月运维费用的5%。</w:t>
      </w:r>
    </w:p>
    <w:p>
      <w:pPr>
        <w:rPr>
          <w:rFonts w:hint="eastAsia" w:ascii="宋体" w:hAnsi="宋体"/>
          <w:sz w:val="24"/>
        </w:rPr>
      </w:pPr>
      <w:r>
        <w:rPr>
          <w:rFonts w:hint="eastAsia" w:ascii="宋体" w:hAnsi="宋体"/>
          <w:sz w:val="24"/>
        </w:rPr>
        <w:t>9、乙方运维人员工作时间，严格遵守局方工作制度和工作纪律要求，包括节假日在内的各类加班和值班。否则，按照每天5%人月费用从运维费用中扣除。</w:t>
      </w:r>
    </w:p>
    <w:p>
      <w:pPr>
        <w:rPr>
          <w:rFonts w:hint="eastAsia" w:ascii="宋体" w:hAnsi="宋体"/>
          <w:sz w:val="24"/>
        </w:rPr>
      </w:pPr>
      <w:r>
        <w:rPr>
          <w:rFonts w:hint="eastAsia" w:ascii="宋体" w:hAnsi="宋体"/>
          <w:sz w:val="24"/>
        </w:rPr>
        <w:t>10、乙方运维人员根据运维合同和项目责任人的工作要求，做好所负责系统的日常运维工作，保障系统的正常运行。如因乙方运维人员的原因，造成甲方被税务总局批评、考核扣分、纳税人投诉、业务人员投诉等，视情节严重程度按项、次扣除年度总运维费用的1%至5%，扣完为止。</w:t>
      </w:r>
    </w:p>
    <w:p>
      <w:pPr>
        <w:rPr>
          <w:rFonts w:hint="eastAsia" w:ascii="宋体" w:hAnsi="宋体"/>
          <w:sz w:val="24"/>
        </w:rPr>
      </w:pPr>
      <w:r>
        <w:rPr>
          <w:rFonts w:hint="eastAsia" w:ascii="宋体" w:hAnsi="宋体"/>
          <w:sz w:val="24"/>
        </w:rPr>
        <w:t>11、乙方在本项目实施过程中发生违反网络安全规定行为，造成数据失窃或丢失、敏感信息泄露、主要业务系统瘫痪等不良后果的，自甲方或甲方主管机关做出认定之日起三年内，税务系统各单位可以拒绝乙方参加税务系统政府采购活动。</w:t>
      </w:r>
    </w:p>
    <w:p>
      <w:pPr>
        <w:rPr>
          <w:rFonts w:ascii="宋体" w:hAnsi="宋体"/>
          <w:sz w:val="24"/>
        </w:rPr>
      </w:pPr>
      <w:r>
        <w:rPr>
          <w:rFonts w:hint="eastAsia" w:ascii="宋体" w:hAnsi="宋体"/>
          <w:sz w:val="24"/>
        </w:rPr>
        <w:t xml:space="preserve">12、禁止乙方另行开发合同业务需求范围内、供纳税人、缴费人使用的软件,对违反合约专门条款的，纳入失信名单；对于违反网络安全规定行为造成不良后果的服务商，3年内限制参加税务系统政府采购活动；乙方必须建立《防止违法违规聘用离职税务人员风险控制制度》，如有违反，将按照税务总局相关规定处罚，处罚包括但不限于要求限期改正、要求支付违约金、解除合同、3年内限制参加所聘人员原单位及下属单位信息化项目政府采购活动等；国家税务总局发票电子化改革（金税四期）领导小组办公室可以对本条款列举的失信行为进行认定，经其认定存在失信行为的服务商，3年内限制参加税收信息化项目政府采购活动。 </w:t>
      </w:r>
    </w:p>
    <w:p>
      <w:pPr>
        <w:pStyle w:val="29"/>
        <w:ind w:firstLine="0" w:firstLineChars="0"/>
        <w:rPr>
          <w:rFonts w:hint="eastAsia"/>
        </w:rPr>
      </w:pPr>
    </w:p>
    <w:p>
      <w:pPr>
        <w:pStyle w:val="6"/>
        <w:rPr>
          <w:rFonts w:ascii="宋体" w:hAnsi="宋体"/>
          <w:sz w:val="24"/>
          <w:szCs w:val="24"/>
        </w:rPr>
      </w:pPr>
      <w:r>
        <w:rPr>
          <w:rFonts w:hint="eastAsia" w:ascii="宋体" w:hAnsi="宋体"/>
          <w:sz w:val="24"/>
          <w:szCs w:val="24"/>
        </w:rPr>
        <w:t>第九条 合同终止</w:t>
      </w:r>
    </w:p>
    <w:p>
      <w:pPr>
        <w:rPr>
          <w:rFonts w:ascii="宋体" w:hAnsi="宋体"/>
          <w:color w:val="000000"/>
          <w:sz w:val="24"/>
        </w:rPr>
      </w:pPr>
      <w:r>
        <w:rPr>
          <w:rFonts w:hint="eastAsia" w:ascii="宋体" w:hAnsi="宋体"/>
          <w:color w:val="000000"/>
          <w:sz w:val="24"/>
        </w:rPr>
        <w:t>1、甲方逾期付款超过90日，乙方将有权利单方终止本合同。</w:t>
      </w:r>
    </w:p>
    <w:p>
      <w:pPr>
        <w:rPr>
          <w:rFonts w:hint="eastAsia" w:ascii="宋体" w:hAnsi="宋体"/>
          <w:sz w:val="24"/>
        </w:rPr>
      </w:pPr>
      <w:r>
        <w:rPr>
          <w:rFonts w:hint="eastAsia" w:ascii="宋体" w:hAnsi="宋体"/>
          <w:sz w:val="24"/>
        </w:rPr>
        <w:t>2、甲方在当年计费周期届满前30日内向乙方提出是否续签合同的书面通知，如未书面通知的合同期满后自然终止。</w:t>
      </w:r>
    </w:p>
    <w:p>
      <w:pPr>
        <w:pStyle w:val="29"/>
        <w:ind w:firstLine="480"/>
        <w:rPr>
          <w:rFonts w:hint="eastAsia" w:ascii="宋体" w:hAnsi="宋体"/>
          <w:sz w:val="24"/>
        </w:rPr>
      </w:pPr>
    </w:p>
    <w:p>
      <w:pPr>
        <w:pStyle w:val="6"/>
        <w:rPr>
          <w:rFonts w:hint="eastAsia" w:ascii="宋体" w:hAnsi="宋体"/>
          <w:sz w:val="24"/>
          <w:szCs w:val="24"/>
        </w:rPr>
      </w:pPr>
      <w:r>
        <w:rPr>
          <w:rFonts w:hint="eastAsia" w:ascii="宋体" w:hAnsi="宋体"/>
          <w:sz w:val="24"/>
          <w:szCs w:val="24"/>
        </w:rPr>
        <w:t>第十条 免责条款</w:t>
      </w:r>
    </w:p>
    <w:p>
      <w:pPr>
        <w:rPr>
          <w:rFonts w:hint="eastAsia" w:ascii="宋体" w:hAnsi="宋体"/>
          <w:color w:val="000000"/>
          <w:sz w:val="24"/>
        </w:rPr>
      </w:pPr>
      <w:r>
        <w:rPr>
          <w:rFonts w:hint="eastAsia" w:ascii="宋体" w:hAnsi="宋体"/>
          <w:color w:val="000000"/>
          <w:sz w:val="24"/>
        </w:rPr>
        <w:t>1、因自然灾害、战争、特别恶劣天气等原因造成乙方维修人员不能按承诺时限到达现场，甲方对乙方不予处罚。</w:t>
      </w:r>
    </w:p>
    <w:p>
      <w:pPr>
        <w:rPr>
          <w:rFonts w:hint="eastAsia" w:ascii="宋体" w:hAnsi="宋体"/>
          <w:color w:val="000000"/>
          <w:sz w:val="24"/>
        </w:rPr>
      </w:pPr>
      <w:r>
        <w:rPr>
          <w:rFonts w:hint="eastAsia" w:ascii="宋体" w:hAnsi="宋体"/>
          <w:color w:val="000000"/>
          <w:sz w:val="24"/>
        </w:rPr>
        <w:t>2、因雷击、火灾、供电事故、人为因素造成设备损坏，甲方另行按实支付维修费。</w:t>
      </w:r>
    </w:p>
    <w:p>
      <w:pPr>
        <w:pStyle w:val="6"/>
        <w:rPr>
          <w:rFonts w:ascii="宋体" w:hAnsi="宋体"/>
          <w:sz w:val="24"/>
          <w:szCs w:val="24"/>
        </w:rPr>
      </w:pPr>
      <w:r>
        <w:rPr>
          <w:rFonts w:hint="eastAsia" w:ascii="宋体" w:hAnsi="宋体"/>
          <w:sz w:val="24"/>
          <w:szCs w:val="24"/>
        </w:rPr>
        <w:t>第十一条 其他</w:t>
      </w:r>
    </w:p>
    <w:p>
      <w:pPr>
        <w:rPr>
          <w:rFonts w:hint="eastAsia" w:ascii="宋体" w:hAnsi="宋体"/>
          <w:color w:val="000000"/>
          <w:sz w:val="24"/>
        </w:rPr>
      </w:pPr>
      <w:r>
        <w:rPr>
          <w:rFonts w:hint="eastAsia" w:ascii="宋体" w:hAnsi="宋体"/>
          <w:color w:val="000000"/>
          <w:sz w:val="24"/>
        </w:rPr>
        <w:t>1、争议解决。甲方的招标文件及乙方的投标文件作为合同的要件，与本合同具有同等法律效力，与本合同不符的以本合同为准。凡由本合同引起的或与解释或执行本合同有关的任何争议，解决途径为甲乙双方可以向本地法院提起诉讼。</w:t>
      </w:r>
      <w:r>
        <w:rPr>
          <w:rFonts w:hint="eastAsia" w:ascii="宋体" w:hAnsi="宋体"/>
          <w:sz w:val="24"/>
        </w:rPr>
        <w:t>本合同的履行地为甲方所在地。</w:t>
      </w:r>
    </w:p>
    <w:p>
      <w:pPr>
        <w:rPr>
          <w:rFonts w:hint="eastAsia" w:ascii="宋体" w:hAnsi="宋体"/>
          <w:color w:val="000000"/>
          <w:sz w:val="24"/>
        </w:rPr>
      </w:pPr>
      <w:r>
        <w:rPr>
          <w:rFonts w:hint="eastAsia" w:ascii="宋体" w:hAnsi="宋体"/>
          <w:color w:val="000000"/>
          <w:sz w:val="24"/>
        </w:rPr>
        <w:t>2、适用法律。本合同的成立、有效性、解释、履行及由此产生的争议的解决，均应适用中华人民共和国法律。</w:t>
      </w:r>
    </w:p>
    <w:p>
      <w:pPr>
        <w:rPr>
          <w:rFonts w:hint="eastAsia" w:ascii="宋体" w:hAnsi="宋体"/>
          <w:color w:val="000000"/>
          <w:sz w:val="24"/>
        </w:rPr>
      </w:pPr>
      <w:r>
        <w:rPr>
          <w:rFonts w:hint="eastAsia" w:ascii="宋体" w:hAnsi="宋体"/>
          <w:color w:val="000000"/>
          <w:sz w:val="24"/>
        </w:rPr>
        <w:t>3、文本。本合同自双方授权代表签字并加盖公章之日起生效。本合同一式肆份，甲方贰份，乙方贰份，具有同等法律效力，本合同附件为本合同不可分割的部分，与本合同具有同等法律效力。</w:t>
      </w:r>
    </w:p>
    <w:tbl>
      <w:tblPr>
        <w:tblStyle w:val="23"/>
        <w:tblW w:w="8752" w:type="dxa"/>
        <w:jc w:val="center"/>
        <w:tblInd w:w="0" w:type="dxa"/>
        <w:tblLayout w:type="fixed"/>
        <w:tblCellMar>
          <w:top w:w="567" w:type="dxa"/>
          <w:left w:w="105" w:type="dxa"/>
          <w:bottom w:w="567" w:type="dxa"/>
          <w:right w:w="105" w:type="dxa"/>
        </w:tblCellMar>
      </w:tblPr>
      <w:tblGrid>
        <w:gridCol w:w="4074"/>
        <w:gridCol w:w="4678"/>
      </w:tblGrid>
      <w:tr>
        <w:tblPrEx>
          <w:tblLayout w:type="fixed"/>
          <w:tblCellMar>
            <w:top w:w="567" w:type="dxa"/>
            <w:left w:w="105" w:type="dxa"/>
            <w:bottom w:w="567" w:type="dxa"/>
            <w:right w:w="105" w:type="dxa"/>
          </w:tblCellMar>
        </w:tblPrEx>
        <w:trPr>
          <w:trHeight w:val="2736" w:hRule="atLeast"/>
          <w:jc w:val="center"/>
        </w:trPr>
        <w:tc>
          <w:tcPr>
            <w:tcW w:w="4074" w:type="dxa"/>
            <w:tcBorders>
              <w:top w:val="outset" w:color="000000"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ascii="方正宋黑简体" w:eastAsia="方正宋黑简体"/>
                <w:color w:val="000000"/>
                <w:kern w:val="0"/>
                <w:sz w:val="24"/>
              </w:rPr>
              <w:br w:type="page"/>
            </w:r>
            <w:r>
              <w:rPr>
                <w:rFonts w:hint="eastAsia" w:ascii="方正宋黑简体" w:hAnsi="微软雅黑" w:eastAsia="方正宋黑简体" w:cs="宋体"/>
                <w:color w:val="000000"/>
                <w:kern w:val="0"/>
                <w:sz w:val="24"/>
              </w:rPr>
              <w:t>甲方（章）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ind w:firstLine="1080"/>
              <w:jc w:val="righ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年</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月</w:t>
            </w:r>
            <w:r>
              <w:rPr>
                <w:rFonts w:eastAsia="方正宋黑简体"/>
                <w:color w:val="000000"/>
                <w:kern w:val="0"/>
                <w:sz w:val="24"/>
              </w:rPr>
              <w:t> </w:t>
            </w:r>
            <w:r>
              <w:rPr>
                <w:rFonts w:ascii="方正宋黑简体" w:eastAsia="方正宋黑简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c>
          <w:tcPr>
            <w:tcW w:w="4678" w:type="dxa"/>
            <w:tcBorders>
              <w:top w:val="outset" w:color="000000"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乙方（章）</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jc w:val="left"/>
              <w:rPr>
                <w:rFonts w:ascii="方正宋黑简体" w:hAnsi="微软雅黑" w:eastAsia="方正宋黑简体" w:cs="宋体"/>
                <w:color w:val="000000"/>
                <w:kern w:val="0"/>
                <w:sz w:val="18"/>
                <w:szCs w:val="18"/>
              </w:rPr>
            </w:pPr>
            <w:r>
              <w:rPr>
                <w:rFonts w:eastAsia="方正宋黑简体"/>
                <w:color w:val="000000"/>
                <w:kern w:val="0"/>
                <w:sz w:val="24"/>
              </w:rPr>
              <w:t> </w:t>
            </w:r>
          </w:p>
          <w:p>
            <w:pPr>
              <w:widowControl/>
              <w:wordWrap w:val="0"/>
              <w:jc w:val="right"/>
              <w:rPr>
                <w:rFonts w:ascii="方正宋黑简体" w:hAnsi="微软雅黑" w:eastAsia="方正宋黑简体" w:cs="宋体"/>
                <w:color w:val="000000"/>
                <w:kern w:val="0"/>
                <w:sz w:val="18"/>
                <w:szCs w:val="18"/>
              </w:rPr>
            </w:pP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年</w:t>
            </w:r>
            <w:r>
              <w:rPr>
                <w:rFonts w:eastAsia="方正宋黑简体"/>
                <w:color w:val="000000"/>
                <w:kern w:val="0"/>
                <w:sz w:val="24"/>
              </w:rPr>
              <w:t>  </w:t>
            </w:r>
            <w:r>
              <w:rPr>
                <w:rFonts w:ascii="方正宋黑简体" w:eastAsia="方正宋黑简体"/>
                <w:color w:val="000000"/>
                <w:kern w:val="0"/>
                <w:sz w:val="24"/>
              </w:rPr>
              <w:t xml:space="preserve">   </w:t>
            </w:r>
            <w:r>
              <w:rPr>
                <w:rFonts w:hint="eastAsia" w:ascii="方正宋黑简体" w:hAnsi="微软雅黑" w:eastAsia="方正宋黑简体" w:cs="宋体"/>
                <w:color w:val="000000"/>
                <w:kern w:val="0"/>
                <w:sz w:val="24"/>
              </w:rPr>
              <w:t>月</w:t>
            </w:r>
            <w:r>
              <w:rPr>
                <w:rFonts w:ascii="方正宋黑简体" w:hAnsi="微软雅黑" w:eastAsia="方正宋黑简体" w:cs="宋体"/>
                <w:color w:val="000000"/>
                <w:kern w:val="0"/>
                <w:sz w:val="24"/>
              </w:rPr>
              <w:t xml:space="preserve">  </w:t>
            </w:r>
            <w:r>
              <w:rPr>
                <w:rFonts w:eastAsia="方正宋黑简体"/>
                <w:color w:val="000000"/>
                <w:kern w:val="0"/>
                <w:sz w:val="24"/>
              </w:rPr>
              <w:t>  </w:t>
            </w:r>
            <w:r>
              <w:rPr>
                <w:rFonts w:hint="eastAsia" w:ascii="方正宋黑简体" w:hAnsi="微软雅黑" w:eastAsia="方正宋黑简体" w:cs="宋体"/>
                <w:color w:val="000000"/>
                <w:kern w:val="0"/>
                <w:sz w:val="24"/>
              </w:rPr>
              <w:t>日</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单位地址：哈尔滨市东大直街</w:t>
            </w:r>
            <w:r>
              <w:rPr>
                <w:rFonts w:ascii="方正宋黑简体" w:hAnsi="微软雅黑" w:eastAsia="方正宋黑简体" w:cs="宋体"/>
                <w:color w:val="000000"/>
                <w:kern w:val="0"/>
                <w:sz w:val="24"/>
              </w:rPr>
              <w:t>190</w:t>
            </w:r>
            <w:r>
              <w:rPr>
                <w:rFonts w:hint="eastAsia" w:ascii="方正宋黑简体" w:hAnsi="微软雅黑" w:eastAsia="方正宋黑简体" w:cs="宋体"/>
                <w:color w:val="000000"/>
                <w:kern w:val="0"/>
                <w:sz w:val="24"/>
              </w:rPr>
              <w:t>号</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单位地址：</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法定代表人：</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委托代理人：</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jc w:val="left"/>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电话：</w:t>
            </w:r>
          </w:p>
        </w:tc>
      </w:tr>
      <w:tr>
        <w:tblPrEx>
          <w:tblLayout w:type="fixed"/>
          <w:tblCellMar>
            <w:top w:w="567" w:type="dxa"/>
            <w:left w:w="105" w:type="dxa"/>
            <w:bottom w:w="567" w:type="dxa"/>
            <w:right w:w="105" w:type="dxa"/>
          </w:tblCellMar>
        </w:tblPrEx>
        <w:trPr>
          <w:trHeight w:val="1136"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开户银行：</w:t>
            </w:r>
            <w:r>
              <w:rPr>
                <w:rFonts w:ascii="方正宋黑简体" w:hAnsi="微软雅黑" w:eastAsia="方正宋黑简体" w:cs="宋体"/>
                <w:color w:val="000000"/>
                <w:kern w:val="0"/>
                <w:sz w:val="24"/>
              </w:rPr>
              <w:t xml:space="preserve"> </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000000"/>
                <w:kern w:val="0"/>
                <w:sz w:val="24"/>
              </w:rPr>
            </w:pPr>
            <w:r>
              <w:rPr>
                <w:rFonts w:hint="eastAsia" w:ascii="方正宋黑简体" w:hAnsi="微软雅黑" w:eastAsia="方正宋黑简体" w:cs="宋体"/>
                <w:color w:val="000000"/>
                <w:kern w:val="0"/>
                <w:sz w:val="24"/>
              </w:rPr>
              <w:t>账号：</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账号：</w:t>
            </w:r>
          </w:p>
        </w:tc>
      </w:tr>
      <w:tr>
        <w:tblPrEx>
          <w:tblLayout w:type="fixed"/>
          <w:tblCellMar>
            <w:top w:w="567" w:type="dxa"/>
            <w:left w:w="105" w:type="dxa"/>
            <w:bottom w:w="567" w:type="dxa"/>
            <w:right w:w="105" w:type="dxa"/>
          </w:tblCellMar>
        </w:tblPrEx>
        <w:trPr>
          <w:trHeight w:val="615" w:hRule="atLeast"/>
          <w:jc w:val="center"/>
        </w:trPr>
        <w:tc>
          <w:tcPr>
            <w:tcW w:w="4074" w:type="dxa"/>
            <w:tcBorders>
              <w:top w:val="outset" w:color="EBE9ED" w:sz="6" w:space="0"/>
              <w:left w:val="outset" w:color="000000"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r>
              <w:rPr>
                <w:rFonts w:ascii="方正宋黑简体" w:hAnsi="微软雅黑" w:eastAsia="方正宋黑简体" w:cs="宋体"/>
                <w:color w:val="000000"/>
                <w:kern w:val="0"/>
                <w:sz w:val="24"/>
              </w:rPr>
              <w:t>150001</w:t>
            </w:r>
          </w:p>
        </w:tc>
        <w:tc>
          <w:tcPr>
            <w:tcW w:w="4678" w:type="dxa"/>
            <w:tcBorders>
              <w:top w:val="outset" w:color="EBE9ED" w:sz="6" w:space="0"/>
              <w:left w:val="outset" w:color="EBE9ED" w:sz="6" w:space="0"/>
              <w:bottom w:val="outset" w:color="000000" w:sz="6" w:space="0"/>
              <w:right w:val="outset" w:color="000000" w:sz="6" w:space="0"/>
            </w:tcBorders>
            <w:tcMar>
              <w:top w:w="0" w:type="dxa"/>
              <w:left w:w="105" w:type="dxa"/>
              <w:bottom w:w="0" w:type="dxa"/>
              <w:right w:w="105" w:type="dxa"/>
            </w:tcMar>
            <w:vAlign w:val="center"/>
          </w:tcPr>
          <w:p>
            <w:pPr>
              <w:widowControl/>
              <w:rPr>
                <w:rFonts w:ascii="方正宋黑简体" w:hAnsi="微软雅黑" w:eastAsia="方正宋黑简体" w:cs="宋体"/>
                <w:color w:val="000000"/>
                <w:kern w:val="0"/>
                <w:sz w:val="18"/>
                <w:szCs w:val="18"/>
              </w:rPr>
            </w:pPr>
            <w:r>
              <w:rPr>
                <w:rFonts w:hint="eastAsia" w:ascii="方正宋黑简体" w:hAnsi="微软雅黑" w:eastAsia="方正宋黑简体" w:cs="宋体"/>
                <w:color w:val="000000"/>
                <w:kern w:val="0"/>
                <w:sz w:val="24"/>
              </w:rPr>
              <w:t>邮政编码：</w:t>
            </w:r>
          </w:p>
        </w:tc>
      </w:tr>
    </w:tbl>
    <w:p>
      <w:pPr>
        <w:rPr>
          <w:rFonts w:hint="eastAsia" w:ascii="宋体" w:hAnsi="宋体"/>
          <w:color w:val="000000"/>
          <w:sz w:val="24"/>
        </w:rPr>
      </w:pPr>
    </w:p>
    <w:p>
      <w:pPr>
        <w:rPr>
          <w:rFonts w:hint="eastAsia" w:ascii="宋体" w:hAnsi="宋体"/>
          <w:color w:val="000000"/>
          <w:sz w:val="24"/>
        </w:rPr>
      </w:pPr>
    </w:p>
    <w:p>
      <w:pPr>
        <w:rPr>
          <w:rFonts w:hint="eastAsia" w:ascii="宋体" w:hAnsi="宋体"/>
          <w:color w:val="000000"/>
          <w:sz w:val="24"/>
        </w:rPr>
      </w:pPr>
      <w:r>
        <w:rPr>
          <w:rFonts w:hint="eastAsia" w:ascii="宋体" w:hAnsi="宋体"/>
          <w:color w:val="000000"/>
          <w:sz w:val="24"/>
        </w:rPr>
        <w:t>附件:</w:t>
      </w:r>
    </w:p>
    <w:p>
      <w:pPr>
        <w:rPr>
          <w:rFonts w:hint="eastAsia" w:ascii="宋体" w:hAnsi="宋体"/>
          <w:color w:val="000000"/>
          <w:sz w:val="24"/>
        </w:rPr>
      </w:pPr>
      <w:r>
        <w:rPr>
          <w:rFonts w:hint="eastAsia" w:ascii="宋体" w:hAnsi="宋体"/>
          <w:color w:val="000000"/>
          <w:sz w:val="24"/>
        </w:rPr>
        <w:t>1、售后服务承诺</w:t>
      </w:r>
    </w:p>
    <w:p>
      <w:pPr>
        <w:rPr>
          <w:rFonts w:hint="eastAsia" w:ascii="宋体" w:hAnsi="宋体"/>
          <w:color w:val="000000"/>
          <w:sz w:val="24"/>
        </w:rPr>
      </w:pPr>
      <w:r>
        <w:rPr>
          <w:rFonts w:hint="eastAsia" w:ascii="宋体" w:hAnsi="宋体"/>
          <w:color w:val="000000"/>
          <w:sz w:val="24"/>
        </w:rPr>
        <w:t>2、服务队伍</w:t>
      </w:r>
    </w:p>
    <w:p>
      <w:pPr>
        <w:rPr>
          <w:rFonts w:hint="eastAsia" w:ascii="宋体" w:hAnsi="宋体"/>
          <w:color w:val="000000"/>
          <w:sz w:val="24"/>
        </w:rPr>
      </w:pPr>
      <w:r>
        <w:rPr>
          <w:rFonts w:hint="eastAsia" w:ascii="宋体" w:hAnsi="宋体"/>
          <w:color w:val="000000"/>
          <w:sz w:val="24"/>
        </w:rPr>
        <w:t>3、中标通知书</w:t>
      </w:r>
    </w:p>
    <w:p>
      <w:pPr>
        <w:keepNext w:val="0"/>
        <w:keepLines w:val="0"/>
        <w:pageBreakBefore w:val="0"/>
        <w:widowControl w:val="0"/>
        <w:kinsoku/>
        <w:wordWrap/>
        <w:overflowPunct/>
        <w:bidi w:val="0"/>
        <w:adjustRightInd/>
        <w:snapToGrid/>
        <w:spacing w:line="360" w:lineRule="auto"/>
        <w:ind w:firstLine="420" w:firstLineChars="200"/>
        <w:textAlignment w:val="auto"/>
        <w:rPr>
          <w:rFonts w:hint="eastAsia" w:ascii="宋体" w:hAnsi="宋体" w:eastAsia="宋体" w:cs="宋体"/>
          <w:color w:val="auto"/>
          <w:highlight w:val="none"/>
        </w:rPr>
      </w:pPr>
    </w:p>
    <w:sectPr>
      <w:pgSz w:w="11906" w:h="16838"/>
      <w:pgMar w:top="1440" w:right="1803" w:bottom="1440" w:left="1803" w:header="851" w:footer="992" w:gutter="0"/>
      <w:cols w:space="720" w:num="1"/>
      <w:docGrid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大标宋简体">
    <w:panose1 w:val="02010601030101010101"/>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方正宋黑简体">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5"/>
                            <w:jc w:val="center"/>
                          </w:pPr>
                          <w:r>
                            <w:fldChar w:fldCharType="begin"/>
                          </w:r>
                          <w:r>
                            <w:instrText xml:space="preserve"> PAGE  \* MERGEFORMAT </w:instrText>
                          </w:r>
                          <w:r>
                            <w:fldChar w:fldCharType="separate"/>
                          </w:r>
                          <w:r>
                            <w:t>I</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Zaoo7bIB&#10;AABZAwAADgAAAAAAAAABACAAAAAeAQAAZHJzL2Uyb0RvYy54bWxQSwUGAAAAAAYABgBZAQAAQgUA&#10;AAAA&#10;">
              <v:fill on="f" focussize="0,0"/>
              <v:stroke on="f"/>
              <v:imagedata o:title=""/>
              <o:lock v:ext="edit" aspectratio="f"/>
              <v:textbox inset="0mm,0mm,0mm,0mm" style="mso-fit-shape-to-text:t;">
                <w:txbxContent>
                  <w:p>
                    <w:pPr>
                      <w:pStyle w:val="15"/>
                      <w:jc w:val="center"/>
                    </w:pPr>
                    <w:r>
                      <w:fldChar w:fldCharType="begin"/>
                    </w:r>
                    <w:r>
                      <w:instrText xml:space="preserve"> PAGE  \* MERGEFORMAT </w:instrText>
                    </w:r>
                    <w:r>
                      <w:fldChar w:fldCharType="separate"/>
                    </w:r>
                    <w:r>
                      <w:t>I</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15"/>
                            <w:jc w:val="center"/>
                          </w:pPr>
                          <w:r>
                            <w:fldChar w:fldCharType="begin"/>
                          </w:r>
                          <w:r>
                            <w:instrText xml:space="preserve"> PAGE  \* MERGEFORMAT </w:instrText>
                          </w:r>
                          <w:r>
                            <w:fldChar w:fldCharType="separate"/>
                          </w:r>
                          <w:r>
                            <w:t>29</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zql5uc8AAAAFAQAA&#10;DwAAAAAAAAABACAAAAAiAAAAZHJzL2Rvd25yZXYueG1sUEsBAhQAFAAAAAgAh07iQEYQVhSwAQAA&#10;WQMAAA4AAAAAAAAAAQAgAAAAHgEAAGRycy9lMm9Eb2MueG1sUEsFBgAAAAAGAAYAWQEAAEAFAAAA&#10;AA==&#10;">
              <v:fill on="f" focussize="0,0"/>
              <v:stroke on="f"/>
              <v:imagedata o:title=""/>
              <o:lock v:ext="edit" aspectratio="f"/>
              <v:textbox inset="0mm,0mm,0mm,0mm" style="mso-fit-shape-to-text:t;">
                <w:txbxContent>
                  <w:p>
                    <w:pPr>
                      <w:pStyle w:val="15"/>
                      <w:jc w:val="center"/>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5" name="矩形 5"/>
              <wp:cNvGraphicFramePr/>
              <a:graphic xmlns:a="http://schemas.openxmlformats.org/drawingml/2006/main">
                <a:graphicData uri="http://schemas.microsoft.com/office/word/2010/wordprocessingShape">
                  <wps:wsp>
                    <wps:cNvSpPr/>
                    <wps:spPr>
                      <a:xfrm>
                        <a:off x="0" y="0"/>
                        <a:ext cx="116205" cy="139700"/>
                      </a:xfrm>
                      <a:prstGeom prst="rect">
                        <a:avLst/>
                      </a:prstGeom>
                      <a:noFill/>
                      <a:ln>
                        <a:noFill/>
                      </a:ln>
                      <a:effectLst/>
                    </wps:spPr>
                    <wps:txbx>
                      <w:txbxContent>
                        <w:p>
                          <w:pPr>
                            <w:pStyle w:val="15"/>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wps:txbx>
                    <wps:bodyPr wrap="none" lIns="0" tIns="0" rIns="0" bIns="0" upright="1">
                      <a:spAutoFit/>
                    </wps:bodyPr>
                  </wps:wsp>
                </a:graphicData>
              </a:graphic>
            </wp:anchor>
          </w:drawing>
        </mc:Choice>
        <mc:Fallback>
          <w:pict>
            <v:rect id="_x0000_s1026" o:spid="_x0000_s1026" o:spt="1" style="position:absolute;left:0pt;margin-top:0pt;height:11pt;width:9.15pt;mso-position-horizontal:center;mso-position-horizontal-relative:margin;mso-wrap-style:none;z-index:251659264;mso-width-relative:page;mso-height-relative:page;" filled="f" stroked="f" coordsize="21600,21600" o:gfxdata="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">
              <v:fill on="f" focussize="0,0"/>
              <v:stroke on="f"/>
              <v:imagedata o:title=""/>
              <o:lock v:ext="edit" aspectratio="f"/>
              <v:textbox inset="0mm,0mm,0mm,0mm" style="mso-fit-shape-to-text:t;">
                <w:txbxContent>
                  <w:p>
                    <w:pPr>
                      <w:pStyle w:val="15"/>
                    </w:pPr>
                    <w:r>
                      <w:rPr>
                        <w:rFonts w:hint="eastAsia"/>
                      </w:rPr>
                      <w:fldChar w:fldCharType="begin"/>
                    </w:r>
                    <w:r>
                      <w:rPr>
                        <w:rFonts w:hint="eastAsia"/>
                      </w:rPr>
                      <w:instrText xml:space="preserve"> PAGE  \* MERGEFORMAT </w:instrText>
                    </w:r>
                    <w:r>
                      <w:rPr>
                        <w:rFonts w:hint="eastAsia"/>
                      </w:rPr>
                      <w:fldChar w:fldCharType="separate"/>
                    </w:r>
                    <w:r>
                      <w:t>60</w:t>
                    </w:r>
                    <w:r>
                      <w:rPr>
                        <w:rFonts w:hint="eastAsia"/>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w:drawing>
        <wp:inline distT="0" distB="0" distL="114300" distR="114300">
          <wp:extent cx="1466215" cy="213360"/>
          <wp:effectExtent l="0" t="0" r="635"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66215" cy="2133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7800A4"/>
    <w:multiLevelType w:val="singleLevel"/>
    <w:tmpl w:val="8D7800A4"/>
    <w:lvl w:ilvl="0" w:tentative="0">
      <w:start w:val="1"/>
      <w:numFmt w:val="chineseCounting"/>
      <w:suff w:val="space"/>
      <w:lvlText w:val="第%1章"/>
      <w:lvlJc w:val="left"/>
      <w:pPr>
        <w:tabs>
          <w:tab w:val="left" w:pos="0"/>
        </w:tabs>
        <w:ind w:left="0" w:firstLine="0"/>
      </w:pPr>
      <w:rPr>
        <w:rFonts w:hint="eastAsia" w:ascii="宋体" w:hAnsi="宋体" w:eastAsia="宋体" w:cs="宋体"/>
        <w:sz w:val="21"/>
        <w:szCs w:val="21"/>
      </w:rPr>
    </w:lvl>
  </w:abstractNum>
  <w:abstractNum w:abstractNumId="1">
    <w:nsid w:val="B9A1E8D1"/>
    <w:multiLevelType w:val="singleLevel"/>
    <w:tmpl w:val="B9A1E8D1"/>
    <w:lvl w:ilvl="0" w:tentative="0">
      <w:start w:val="1"/>
      <w:numFmt w:val="decimal"/>
      <w:suff w:val="nothing"/>
      <w:lvlText w:val="（%1）"/>
      <w:lvlJc w:val="left"/>
      <w:pPr>
        <w:tabs>
          <w:tab w:val="left" w:pos="0"/>
        </w:tabs>
        <w:ind w:left="0" w:firstLine="0"/>
      </w:pPr>
    </w:lvl>
  </w:abstractNum>
  <w:abstractNum w:abstractNumId="2">
    <w:nsid w:val="1C575F32"/>
    <w:multiLevelType w:val="multilevel"/>
    <w:tmpl w:val="1C575F32"/>
    <w:lvl w:ilvl="0" w:tentative="0">
      <w:start w:val="1"/>
      <w:numFmt w:val="decimal"/>
      <w:lvlText w:val="第%1章"/>
      <w:lvlJc w:val="left"/>
      <w:pPr>
        <w:tabs>
          <w:tab w:val="left" w:pos="1440"/>
        </w:tabs>
        <w:ind w:left="432" w:hanging="432"/>
      </w:pPr>
      <w:rPr>
        <w:rFonts w:hint="eastAsia"/>
        <w:b/>
        <w:i w:val="0"/>
        <w:caps w:val="0"/>
        <w:strike w:val="0"/>
        <w:dstrike w:val="0"/>
        <w:vanish w:val="0"/>
        <w:color w:val="000000"/>
        <w:sz w:val="32"/>
        <w:szCs w:val="32"/>
        <w:vertAlign w:val="baseline"/>
      </w:rPr>
    </w:lvl>
    <w:lvl w:ilvl="1" w:tentative="0">
      <w:start w:val="1"/>
      <w:numFmt w:val="decimal"/>
      <w:lvlText w:val="%1.%2"/>
      <w:lvlJc w:val="left"/>
      <w:pPr>
        <w:tabs>
          <w:tab w:val="left" w:pos="720"/>
        </w:tabs>
        <w:ind w:left="0" w:firstLine="0"/>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pStyle w:val="47"/>
      <w:lvlText w:val="%1.%2.%3.%4"/>
      <w:lvlJc w:val="left"/>
      <w:pPr>
        <w:tabs>
          <w:tab w:val="left" w:pos="864"/>
        </w:tabs>
        <w:ind w:left="864" w:hanging="864"/>
      </w:pPr>
      <w:rPr>
        <w:rFonts w:hint="eastAsia"/>
      </w:rPr>
    </w:lvl>
    <w:lvl w:ilvl="4" w:tentative="0">
      <w:start w:val="1"/>
      <w:numFmt w:val="decimal"/>
      <w:lvlText w:val="%1.%2.%3.%4.%5"/>
      <w:lvlJc w:val="left"/>
      <w:pPr>
        <w:tabs>
          <w:tab w:val="left" w:pos="1548"/>
        </w:tabs>
        <w:ind w:left="154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3">
    <w:nsid w:val="21B37B9A"/>
    <w:multiLevelType w:val="multilevel"/>
    <w:tmpl w:val="21B37B9A"/>
    <w:lvl w:ilvl="0" w:tentative="0">
      <w:start w:val="1"/>
      <w:numFmt w:val="decimal"/>
      <w:lvlText w:val="%1、"/>
      <w:lvlJc w:val="left"/>
      <w:pPr>
        <w:ind w:left="360" w:hanging="360"/>
      </w:pPr>
      <w:rPr>
        <w:rFonts w:hint="default" w:hAnsi="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7E8E525"/>
    <w:multiLevelType w:val="singleLevel"/>
    <w:tmpl w:val="27E8E525"/>
    <w:lvl w:ilvl="0" w:tentative="0">
      <w:start w:val="1"/>
      <w:numFmt w:val="decimal"/>
      <w:suff w:val="nothing"/>
      <w:lvlText w:val="（%1）"/>
      <w:lvlJc w:val="left"/>
      <w:pPr>
        <w:tabs>
          <w:tab w:val="left" w:pos="0"/>
        </w:tabs>
        <w:ind w:left="0" w:firstLine="0"/>
      </w:pPr>
    </w:lvl>
  </w:abstractNum>
  <w:abstractNum w:abstractNumId="5">
    <w:nsid w:val="4ECE7442"/>
    <w:multiLevelType w:val="singleLevel"/>
    <w:tmpl w:val="4ECE7442"/>
    <w:lvl w:ilvl="0" w:tentative="0">
      <w:start w:val="1"/>
      <w:numFmt w:val="decimal"/>
      <w:pStyle w:val="3"/>
      <w:lvlText w:val="%1."/>
      <w:lvlJc w:val="left"/>
      <w:pPr>
        <w:tabs>
          <w:tab w:val="left" w:pos="780"/>
        </w:tabs>
        <w:ind w:left="780" w:hanging="360"/>
      </w:pPr>
    </w:lvl>
  </w:abstractNum>
  <w:abstractNum w:abstractNumId="6">
    <w:nsid w:val="76778866"/>
    <w:multiLevelType w:val="multilevel"/>
    <w:tmpl w:val="76778866"/>
    <w:lvl w:ilvl="0" w:tentative="0">
      <w:start w:val="8"/>
      <w:numFmt w:val="decimal"/>
      <w:lvlText w:val="%1."/>
      <w:lvlJc w:val="left"/>
      <w:pPr>
        <w:tabs>
          <w:tab w:val="left" w:pos="0"/>
        </w:tabs>
        <w:ind w:left="0" w:firstLine="0"/>
      </w:pPr>
      <w:rPr>
        <w:rFonts w:hint="default"/>
        <w:sz w:val="32"/>
        <w:szCs w:val="32"/>
      </w:rPr>
    </w:lvl>
    <w:lvl w:ilvl="1" w:tentative="0">
      <w:start w:val="1"/>
      <w:numFmt w:val="decimal"/>
      <w:suff w:val="space"/>
      <w:lvlText w:val="%1.%2"/>
      <w:lvlJc w:val="left"/>
      <w:pPr>
        <w:tabs>
          <w:tab w:val="left" w:pos="0"/>
        </w:tabs>
        <w:ind w:left="0" w:firstLine="0"/>
      </w:pPr>
      <w:rPr>
        <w:rFonts w:hint="default"/>
        <w:sz w:val="21"/>
        <w:szCs w:val="21"/>
      </w:rPr>
    </w:lvl>
    <w:lvl w:ilvl="2" w:tentative="0">
      <w:start w:val="1"/>
      <w:numFmt w:val="decimal"/>
      <w:suff w:val="space"/>
      <w:lvlText w:val="%1.%2.%3"/>
      <w:lvlJc w:val="left"/>
      <w:pPr>
        <w:tabs>
          <w:tab w:val="left" w:pos="0"/>
        </w:tabs>
        <w:ind w:left="0" w:firstLine="0"/>
      </w:pPr>
      <w:rPr>
        <w:rFonts w:hint="default"/>
      </w:rPr>
    </w:lvl>
    <w:lvl w:ilvl="3" w:tentative="0">
      <w:start w:val="1"/>
      <w:numFmt w:val="decimal"/>
      <w:suff w:val="space"/>
      <w:lvlText w:val="%1.%2.%3.%4"/>
      <w:lvlJc w:val="left"/>
      <w:pPr>
        <w:tabs>
          <w:tab w:val="left" w:pos="0"/>
        </w:tabs>
        <w:ind w:left="0" w:firstLine="0"/>
      </w:pPr>
      <w:rPr>
        <w:rFonts w:hint="default"/>
      </w:rPr>
    </w:lvl>
    <w:lvl w:ilvl="4" w:tentative="0">
      <w:start w:val="1"/>
      <w:numFmt w:val="decimal"/>
      <w:suff w:val="space"/>
      <w:lvlText w:val="%1.%2.%3.%4.%5"/>
      <w:lvlJc w:val="left"/>
      <w:pPr>
        <w:tabs>
          <w:tab w:val="left" w:pos="0"/>
        </w:tabs>
        <w:ind w:left="0" w:firstLine="0"/>
      </w:pPr>
      <w:rPr>
        <w:rFonts w:hint="default"/>
      </w:rPr>
    </w:lvl>
    <w:lvl w:ilvl="5" w:tentative="0">
      <w:start w:val="1"/>
      <w:numFmt w:val="decimal"/>
      <w:suff w:val="space"/>
      <w:lvlText w:val="%1.%2.%3.%4.%5.%6"/>
      <w:lvlJc w:val="left"/>
      <w:pPr>
        <w:tabs>
          <w:tab w:val="left" w:pos="0"/>
        </w:tabs>
        <w:ind w:left="0" w:firstLine="0"/>
      </w:pPr>
      <w:rPr>
        <w:rFonts w:hint="default"/>
      </w:rPr>
    </w:lvl>
    <w:lvl w:ilvl="6" w:tentative="0">
      <w:start w:val="1"/>
      <w:numFmt w:val="decimal"/>
      <w:suff w:val="space"/>
      <w:lvlText w:val="%1.%2.%3.%4.%5.%6.%7"/>
      <w:lvlJc w:val="left"/>
      <w:pPr>
        <w:tabs>
          <w:tab w:val="left" w:pos="0"/>
        </w:tabs>
        <w:ind w:left="0" w:firstLine="0"/>
      </w:pPr>
      <w:rPr>
        <w:rFonts w:hint="default"/>
      </w:rPr>
    </w:lvl>
    <w:lvl w:ilvl="7" w:tentative="0">
      <w:start w:val="1"/>
      <w:numFmt w:val="decimal"/>
      <w:suff w:val="space"/>
      <w:lvlText w:val="%1.%2.%3.%4.%5.%6.%7.%8"/>
      <w:lvlJc w:val="left"/>
      <w:pPr>
        <w:tabs>
          <w:tab w:val="left" w:pos="0"/>
        </w:tabs>
        <w:ind w:left="0" w:firstLine="0"/>
      </w:pPr>
      <w:rPr>
        <w:rFonts w:hint="default"/>
      </w:rPr>
    </w:lvl>
    <w:lvl w:ilvl="8" w:tentative="0">
      <w:start w:val="1"/>
      <w:numFmt w:val="decimal"/>
      <w:suff w:val="space"/>
      <w:lvlText w:val="%1.%2.%3.%4.%5.%6.%7.%8.%9"/>
      <w:lvlJc w:val="left"/>
      <w:pPr>
        <w:tabs>
          <w:tab w:val="left" w:pos="0"/>
        </w:tabs>
        <w:ind w:left="0" w:firstLine="0"/>
      </w:pPr>
      <w:rPr>
        <w:rFonts w:hint="default"/>
      </w:rPr>
    </w:lvl>
  </w:abstractNum>
  <w:abstractNum w:abstractNumId="7">
    <w:nsid w:val="7B4156D0"/>
    <w:multiLevelType w:val="singleLevel"/>
    <w:tmpl w:val="7B4156D0"/>
    <w:lvl w:ilvl="0" w:tentative="0">
      <w:start w:val="1"/>
      <w:numFmt w:val="decimal"/>
      <w:suff w:val="nothing"/>
      <w:lvlText w:val="（%1）"/>
      <w:lvlJc w:val="left"/>
      <w:pPr>
        <w:tabs>
          <w:tab w:val="left" w:pos="0"/>
        </w:tabs>
        <w:ind w:left="0" w:firstLine="0"/>
      </w:pPr>
    </w:lvl>
  </w:abstractNum>
  <w:num w:numId="1">
    <w:abstractNumId w:val="5"/>
  </w:num>
  <w:num w:numId="2">
    <w:abstractNumId w:val="2"/>
  </w:num>
  <w:num w:numId="3">
    <w:abstractNumId w:val="6"/>
  </w:num>
  <w:num w:numId="4">
    <w:abstractNumId w:val="0"/>
  </w:num>
  <w:num w:numId="5">
    <w:abstractNumId w:val="1"/>
  </w:num>
  <w:num w:numId="6">
    <w:abstractNumId w:val="4"/>
  </w:num>
  <w:num w:numId="7">
    <w:abstractNumId w:val="7"/>
  </w:num>
  <w:num w:numId="8">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OGRjYzA3MzQ3ZTRjZmU3YTkyNGZmMGQ2YjFhYjgifQ=="/>
  </w:docVars>
  <w:rsids>
    <w:rsidRoot w:val="4B262FC3"/>
    <w:rsid w:val="00062A80"/>
    <w:rsid w:val="003867C7"/>
    <w:rsid w:val="00912B81"/>
    <w:rsid w:val="00B601DD"/>
    <w:rsid w:val="00BE6023"/>
    <w:rsid w:val="00CA098B"/>
    <w:rsid w:val="00D356EE"/>
    <w:rsid w:val="01D51EF1"/>
    <w:rsid w:val="02994E80"/>
    <w:rsid w:val="038C7237"/>
    <w:rsid w:val="03B24C65"/>
    <w:rsid w:val="055174C8"/>
    <w:rsid w:val="05594FD2"/>
    <w:rsid w:val="07861826"/>
    <w:rsid w:val="07E6312F"/>
    <w:rsid w:val="08B573AC"/>
    <w:rsid w:val="0B8701A8"/>
    <w:rsid w:val="0C6B37C3"/>
    <w:rsid w:val="0D1A4228"/>
    <w:rsid w:val="0E7D42BB"/>
    <w:rsid w:val="0EE71081"/>
    <w:rsid w:val="103F356B"/>
    <w:rsid w:val="115F1A85"/>
    <w:rsid w:val="13533D6F"/>
    <w:rsid w:val="13593647"/>
    <w:rsid w:val="14FE49FC"/>
    <w:rsid w:val="15132098"/>
    <w:rsid w:val="18807C4B"/>
    <w:rsid w:val="18BC6A4A"/>
    <w:rsid w:val="18E45975"/>
    <w:rsid w:val="19D626B5"/>
    <w:rsid w:val="1BE64FC7"/>
    <w:rsid w:val="1D16234E"/>
    <w:rsid w:val="1F2930F3"/>
    <w:rsid w:val="1FBC673A"/>
    <w:rsid w:val="22633C43"/>
    <w:rsid w:val="22D1169E"/>
    <w:rsid w:val="23F07DC3"/>
    <w:rsid w:val="25EB7520"/>
    <w:rsid w:val="26170342"/>
    <w:rsid w:val="27C13B82"/>
    <w:rsid w:val="28DA283E"/>
    <w:rsid w:val="2AEB3A8A"/>
    <w:rsid w:val="2B821B32"/>
    <w:rsid w:val="2D0C1028"/>
    <w:rsid w:val="2D837614"/>
    <w:rsid w:val="2F611A30"/>
    <w:rsid w:val="30BD213F"/>
    <w:rsid w:val="33F60296"/>
    <w:rsid w:val="3533276E"/>
    <w:rsid w:val="35980CA9"/>
    <w:rsid w:val="36B31F5F"/>
    <w:rsid w:val="38B16276"/>
    <w:rsid w:val="39271607"/>
    <w:rsid w:val="392F341B"/>
    <w:rsid w:val="398D59F8"/>
    <w:rsid w:val="3A197CA5"/>
    <w:rsid w:val="3F7C50D9"/>
    <w:rsid w:val="40137CA8"/>
    <w:rsid w:val="40A73D35"/>
    <w:rsid w:val="423A6C9B"/>
    <w:rsid w:val="42A62ACD"/>
    <w:rsid w:val="446723D4"/>
    <w:rsid w:val="459314F7"/>
    <w:rsid w:val="4B262FC3"/>
    <w:rsid w:val="4B6F4E42"/>
    <w:rsid w:val="4C242C23"/>
    <w:rsid w:val="4EFF6BD2"/>
    <w:rsid w:val="50B415EA"/>
    <w:rsid w:val="53C92CD5"/>
    <w:rsid w:val="54AF23FC"/>
    <w:rsid w:val="55AD06AF"/>
    <w:rsid w:val="55BA4E06"/>
    <w:rsid w:val="57182A2A"/>
    <w:rsid w:val="581A4428"/>
    <w:rsid w:val="59DF6221"/>
    <w:rsid w:val="5A6E105D"/>
    <w:rsid w:val="5DA7155A"/>
    <w:rsid w:val="5DC53457"/>
    <w:rsid w:val="5F4468FD"/>
    <w:rsid w:val="610B60EE"/>
    <w:rsid w:val="61CD6F76"/>
    <w:rsid w:val="627333FC"/>
    <w:rsid w:val="643C0708"/>
    <w:rsid w:val="672C1A82"/>
    <w:rsid w:val="696D37AB"/>
    <w:rsid w:val="6A144077"/>
    <w:rsid w:val="6CC60283"/>
    <w:rsid w:val="6D301BA0"/>
    <w:rsid w:val="6EB34837"/>
    <w:rsid w:val="6FF006A6"/>
    <w:rsid w:val="70B1597A"/>
    <w:rsid w:val="71815530"/>
    <w:rsid w:val="71F118FE"/>
    <w:rsid w:val="72BD75D3"/>
    <w:rsid w:val="74FD35B0"/>
    <w:rsid w:val="77E73431"/>
    <w:rsid w:val="78916B04"/>
    <w:rsid w:val="7AA83FCF"/>
    <w:rsid w:val="7AAF66A3"/>
    <w:rsid w:val="7D974A70"/>
    <w:rsid w:val="7E431733"/>
    <w:rsid w:val="7E8E4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1"/>
      <w:lang w:val="en-US" w:eastAsia="zh-CN" w:bidi="ar-SA"/>
    </w:rPr>
  </w:style>
  <w:style w:type="paragraph" w:styleId="5">
    <w:name w:val="heading 1"/>
    <w:basedOn w:val="1"/>
    <w:next w:val="1"/>
    <w:link w:val="34"/>
    <w:qFormat/>
    <w:uiPriority w:val="0"/>
    <w:pPr>
      <w:keepNext/>
      <w:keepLines/>
      <w:spacing w:before="200" w:after="200"/>
      <w:jc w:val="center"/>
      <w:outlineLvl w:val="0"/>
    </w:pPr>
    <w:rPr>
      <w:rFonts w:eastAsia="黑体"/>
      <w:kern w:val="44"/>
      <w:sz w:val="44"/>
      <w:szCs w:val="44"/>
    </w:rPr>
  </w:style>
  <w:style w:type="paragraph" w:styleId="6">
    <w:name w:val="heading 2"/>
    <w:basedOn w:val="1"/>
    <w:next w:val="1"/>
    <w:link w:val="35"/>
    <w:qFormat/>
    <w:uiPriority w:val="0"/>
    <w:pPr>
      <w:keepNext/>
      <w:keepLines/>
      <w:spacing w:before="200" w:after="200"/>
      <w:jc w:val="center"/>
      <w:outlineLvl w:val="1"/>
    </w:pPr>
    <w:rPr>
      <w:rFonts w:eastAsia="黑体"/>
      <w:sz w:val="32"/>
      <w:szCs w:val="32"/>
    </w:rPr>
  </w:style>
  <w:style w:type="paragraph" w:styleId="7">
    <w:name w:val="heading 3"/>
    <w:basedOn w:val="1"/>
    <w:next w:val="1"/>
    <w:link w:val="36"/>
    <w:qFormat/>
    <w:uiPriority w:val="0"/>
    <w:pPr>
      <w:keepNext/>
      <w:keepLines/>
      <w:spacing w:before="200" w:after="200"/>
      <w:outlineLvl w:val="2"/>
    </w:pPr>
    <w:rPr>
      <w:rFonts w:eastAsia="黑体"/>
      <w:sz w:val="28"/>
      <w:szCs w:val="28"/>
    </w:rPr>
  </w:style>
  <w:style w:type="paragraph" w:styleId="2">
    <w:name w:val="heading 5"/>
    <w:basedOn w:val="3"/>
    <w:next w:val="4"/>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Layout w:type="fixed"/>
      <w:tblCellMar>
        <w:top w:w="0" w:type="dxa"/>
        <w:left w:w="108" w:type="dxa"/>
        <w:bottom w:w="0" w:type="dxa"/>
        <w:right w:w="108" w:type="dxa"/>
      </w:tblCellMar>
    </w:tblPr>
  </w:style>
  <w:style w:type="paragraph" w:styleId="3">
    <w:name w:val="List Number 2"/>
    <w:basedOn w:val="1"/>
    <w:qFormat/>
    <w:uiPriority w:val="0"/>
    <w:pPr>
      <w:numPr>
        <w:ilvl w:val="0"/>
        <w:numId w:val="1"/>
      </w:numPr>
    </w:pPr>
  </w:style>
  <w:style w:type="paragraph" w:styleId="4">
    <w:name w:val="Normal (Web)"/>
    <w:basedOn w:val="1"/>
    <w:qFormat/>
    <w:uiPriority w:val="0"/>
    <w:pPr>
      <w:widowControl/>
      <w:spacing w:before="100" w:beforeAutospacing="1" w:after="100" w:afterAutospacing="1"/>
      <w:jc w:val="left"/>
    </w:pPr>
    <w:rPr>
      <w:rFonts w:ascii="宋体" w:cs="宋体"/>
      <w:kern w:val="0"/>
      <w:sz w:val="24"/>
    </w:rPr>
  </w:style>
  <w:style w:type="paragraph" w:styleId="8">
    <w:name w:val="Normal Indent"/>
    <w:basedOn w:val="1"/>
    <w:qFormat/>
    <w:uiPriority w:val="0"/>
    <w:pPr>
      <w:ind w:firstLine="420" w:firstLineChars="200"/>
    </w:pPr>
  </w:style>
  <w:style w:type="paragraph" w:styleId="9">
    <w:name w:val="annotation text"/>
    <w:basedOn w:val="1"/>
    <w:qFormat/>
    <w:uiPriority w:val="0"/>
    <w:pPr>
      <w:jc w:val="left"/>
    </w:pPr>
  </w:style>
  <w:style w:type="paragraph" w:styleId="10">
    <w:name w:val="Body Text"/>
    <w:basedOn w:val="1"/>
    <w:qFormat/>
    <w:uiPriority w:val="0"/>
    <w:pPr>
      <w:adjustRightInd w:val="0"/>
      <w:spacing w:line="360" w:lineRule="atLeast"/>
      <w:jc w:val="center"/>
      <w:textAlignment w:val="baseline"/>
    </w:pPr>
    <w:rPr>
      <w:kern w:val="0"/>
      <w:sz w:val="24"/>
      <w:szCs w:val="20"/>
    </w:rPr>
  </w:style>
  <w:style w:type="paragraph" w:styleId="11">
    <w:name w:val="Body Text Indent"/>
    <w:basedOn w:val="1"/>
    <w:qFormat/>
    <w:uiPriority w:val="0"/>
    <w:pPr>
      <w:spacing w:after="120"/>
      <w:ind w:left="420" w:leftChars="200"/>
    </w:pPr>
  </w:style>
  <w:style w:type="paragraph" w:styleId="12">
    <w:name w:val="index 4"/>
    <w:basedOn w:val="1"/>
    <w:next w:val="1"/>
    <w:unhideWhenUsed/>
    <w:qFormat/>
    <w:uiPriority w:val="99"/>
    <w:pPr>
      <w:ind w:left="600" w:leftChars="600"/>
    </w:pPr>
  </w:style>
  <w:style w:type="paragraph" w:styleId="13">
    <w:name w:val="Plain Text"/>
    <w:basedOn w:val="1"/>
    <w:qFormat/>
    <w:uiPriority w:val="0"/>
    <w:rPr>
      <w:rFonts w:ascii="宋体" w:hAnsi="宋体" w:cs="Courier New"/>
    </w:rPr>
  </w:style>
  <w:style w:type="paragraph" w:styleId="14">
    <w:name w:val="Balloon Text"/>
    <w:basedOn w:val="1"/>
    <w:link w:val="45"/>
    <w:qFormat/>
    <w:uiPriority w:val="0"/>
    <w:pPr>
      <w:spacing w:line="240" w:lineRule="auto"/>
    </w:pPr>
    <w:rPr>
      <w:sz w:val="18"/>
      <w:szCs w:val="18"/>
    </w:rPr>
  </w:style>
  <w:style w:type="paragraph" w:styleId="15">
    <w:name w:val="footer"/>
    <w:basedOn w:val="1"/>
    <w:qFormat/>
    <w:uiPriority w:val="0"/>
    <w:pPr>
      <w:tabs>
        <w:tab w:val="center" w:pos="4153"/>
        <w:tab w:val="right" w:pos="8306"/>
      </w:tabs>
      <w:snapToGrid w:val="0"/>
      <w:jc w:val="left"/>
    </w:pPr>
    <w:rPr>
      <w:sz w:val="18"/>
    </w:rPr>
  </w:style>
  <w:style w:type="paragraph" w:styleId="16">
    <w:name w:val="header"/>
    <w:basedOn w:val="1"/>
    <w:qFormat/>
    <w:uiPriority w:val="0"/>
    <w:pPr>
      <w:pBdr>
        <w:bottom w:val="single" w:color="auto" w:sz="4" w:space="1"/>
      </w:pBdr>
      <w:tabs>
        <w:tab w:val="center" w:pos="4153"/>
        <w:tab w:val="right" w:pos="8306"/>
      </w:tabs>
      <w:snapToGrid w:val="0"/>
    </w:pPr>
    <w:rPr>
      <w:sz w:val="18"/>
    </w:rPr>
  </w:style>
  <w:style w:type="paragraph" w:styleId="17">
    <w:name w:val="toc 1"/>
    <w:basedOn w:val="1"/>
    <w:next w:val="1"/>
    <w:qFormat/>
    <w:uiPriority w:val="0"/>
    <w:pPr>
      <w:spacing w:before="120" w:after="120"/>
      <w:jc w:val="left"/>
    </w:pPr>
    <w:rPr>
      <w:rFonts w:ascii="等线" w:eastAsia="等线"/>
      <w:b/>
      <w:bCs/>
      <w:caps/>
      <w:sz w:val="20"/>
      <w:szCs w:val="20"/>
    </w:rPr>
  </w:style>
  <w:style w:type="paragraph" w:styleId="18">
    <w:name w:val="footnote text"/>
    <w:basedOn w:val="1"/>
    <w:qFormat/>
    <w:uiPriority w:val="0"/>
    <w:pPr>
      <w:snapToGrid w:val="0"/>
      <w:jc w:val="left"/>
    </w:pPr>
    <w:rPr>
      <w:sz w:val="18"/>
    </w:rPr>
  </w:style>
  <w:style w:type="paragraph" w:styleId="19">
    <w:name w:val="index 9"/>
    <w:basedOn w:val="1"/>
    <w:next w:val="1"/>
    <w:qFormat/>
    <w:uiPriority w:val="0"/>
    <w:pPr>
      <w:ind w:left="3360"/>
    </w:pPr>
  </w:style>
  <w:style w:type="paragraph" w:styleId="20">
    <w:name w:val="Body Text 2"/>
    <w:basedOn w:val="1"/>
    <w:qFormat/>
    <w:uiPriority w:val="0"/>
    <w:pPr>
      <w:spacing w:after="120" w:line="480" w:lineRule="auto"/>
    </w:pPr>
  </w:style>
  <w:style w:type="paragraph" w:styleId="21">
    <w:name w:val="Body Text First Indent"/>
    <w:basedOn w:val="10"/>
    <w:unhideWhenUsed/>
    <w:qFormat/>
    <w:uiPriority w:val="99"/>
    <w:pPr>
      <w:adjustRightInd/>
      <w:spacing w:after="120" w:line="240" w:lineRule="auto"/>
      <w:ind w:firstLine="420" w:firstLineChars="100"/>
      <w:jc w:val="both"/>
      <w:textAlignment w:val="auto"/>
    </w:pPr>
    <w:rPr>
      <w:kern w:val="2"/>
      <w:sz w:val="21"/>
      <w:szCs w:val="24"/>
    </w:rPr>
  </w:style>
  <w:style w:type="paragraph" w:styleId="22">
    <w:name w:val="Body Text First Indent 2"/>
    <w:basedOn w:val="11"/>
    <w:qFormat/>
    <w:uiPriority w:val="0"/>
    <w:pPr>
      <w:ind w:firstLine="420" w:firstLineChars="200"/>
    </w:pPr>
  </w:style>
  <w:style w:type="table" w:styleId="24">
    <w:name w:val="Table Grid"/>
    <w:basedOn w:val="2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6">
    <w:name w:val="page number"/>
    <w:basedOn w:val="25"/>
    <w:qFormat/>
    <w:uiPriority w:val="0"/>
  </w:style>
  <w:style w:type="character" w:styleId="27">
    <w:name w:val="Hyperlink"/>
    <w:qFormat/>
    <w:uiPriority w:val="0"/>
    <w:rPr>
      <w:color w:val="0000FF"/>
      <w:u w:val="single"/>
    </w:rPr>
  </w:style>
  <w:style w:type="character" w:styleId="28">
    <w:name w:val="annotation reference"/>
    <w:basedOn w:val="25"/>
    <w:qFormat/>
    <w:uiPriority w:val="0"/>
    <w:rPr>
      <w:sz w:val="21"/>
      <w:szCs w:val="21"/>
    </w:rPr>
  </w:style>
  <w:style w:type="paragraph" w:customStyle="1" w:styleId="29">
    <w:name w:val="正文（缩进）"/>
    <w:basedOn w:val="1"/>
    <w:qFormat/>
    <w:uiPriority w:val="0"/>
    <w:pPr>
      <w:spacing w:before="156" w:after="156"/>
      <w:ind w:firstLine="480" w:firstLineChars="200"/>
    </w:pPr>
  </w:style>
  <w:style w:type="paragraph" w:customStyle="1" w:styleId="30">
    <w:name w:val="样式 10 磅31114"/>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1">
    <w:name w:val="样式 10 磅"/>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2">
    <w:name w:val="列出段落1"/>
    <w:basedOn w:val="1"/>
    <w:qFormat/>
    <w:uiPriority w:val="0"/>
    <w:pPr>
      <w:ind w:firstLine="200" w:firstLineChars="200"/>
    </w:pPr>
    <w:rPr>
      <w:rFonts w:cs="Calibri"/>
    </w:rPr>
  </w:style>
  <w:style w:type="paragraph" w:customStyle="1" w:styleId="33">
    <w:name w:val="WPSOffice手动目录 1"/>
    <w:qFormat/>
    <w:uiPriority w:val="0"/>
    <w:rPr>
      <w:rFonts w:ascii="Times New Roman" w:hAnsi="Times New Roman" w:eastAsia="宋体" w:cs="Times New Roman"/>
      <w:lang w:val="en-US" w:eastAsia="zh-CN" w:bidi="ar-SA"/>
    </w:rPr>
  </w:style>
  <w:style w:type="character" w:customStyle="1" w:styleId="34">
    <w:name w:val="标题 1 Char"/>
    <w:link w:val="5"/>
    <w:qFormat/>
    <w:uiPriority w:val="0"/>
    <w:rPr>
      <w:rFonts w:ascii="Times New Roman" w:hAnsi="Times New Roman" w:eastAsia="黑体" w:cs="Times New Roman"/>
      <w:kern w:val="44"/>
      <w:sz w:val="44"/>
      <w:szCs w:val="44"/>
    </w:rPr>
  </w:style>
  <w:style w:type="character" w:customStyle="1" w:styleId="35">
    <w:name w:val="标题 2 Char"/>
    <w:link w:val="6"/>
    <w:qFormat/>
    <w:uiPriority w:val="0"/>
    <w:rPr>
      <w:rFonts w:eastAsia="黑体"/>
      <w:sz w:val="32"/>
      <w:szCs w:val="32"/>
    </w:rPr>
  </w:style>
  <w:style w:type="character" w:customStyle="1" w:styleId="36">
    <w:name w:val="标题 3 Char"/>
    <w:link w:val="7"/>
    <w:qFormat/>
    <w:uiPriority w:val="0"/>
    <w:rPr>
      <w:rFonts w:eastAsia="黑体"/>
      <w:sz w:val="28"/>
      <w:szCs w:val="28"/>
    </w:rPr>
  </w:style>
  <w:style w:type="paragraph" w:customStyle="1" w:styleId="37">
    <w:name w:val="_Style 1"/>
    <w:basedOn w:val="1"/>
    <w:qFormat/>
    <w:uiPriority w:val="0"/>
    <w:pPr>
      <w:ind w:firstLine="200" w:firstLineChars="200"/>
    </w:pPr>
    <w:rPr>
      <w:sz w:val="32"/>
    </w:rPr>
  </w:style>
  <w:style w:type="paragraph" w:customStyle="1" w:styleId="38">
    <w:name w:val="无间隔1"/>
    <w:basedOn w:val="1"/>
    <w:qFormat/>
    <w:uiPriority w:val="0"/>
    <w:pPr>
      <w:widowControl/>
      <w:spacing w:line="240" w:lineRule="auto"/>
      <w:jc w:val="left"/>
    </w:pPr>
    <w:rPr>
      <w:rFonts w:ascii="Calibri" w:hAnsi="Calibri"/>
      <w:kern w:val="0"/>
      <w:sz w:val="22"/>
      <w:szCs w:val="20"/>
    </w:rPr>
  </w:style>
  <w:style w:type="paragraph" w:styleId="39">
    <w:name w:val="List Paragraph"/>
    <w:basedOn w:val="1"/>
    <w:next w:val="1"/>
    <w:qFormat/>
    <w:uiPriority w:val="34"/>
    <w:pPr>
      <w:ind w:firstLine="420"/>
    </w:pPr>
  </w:style>
  <w:style w:type="paragraph" w:customStyle="1" w:styleId="40">
    <w:name w:val="文档正文"/>
    <w:basedOn w:val="1"/>
    <w:qFormat/>
    <w:uiPriority w:val="0"/>
    <w:pPr>
      <w:adjustRightInd w:val="0"/>
      <w:spacing w:line="480" w:lineRule="atLeast"/>
      <w:ind w:firstLine="567"/>
      <w:textAlignment w:val="baseline"/>
    </w:pPr>
    <w:rPr>
      <w:rFonts w:eastAsia="楷体_GB2312"/>
      <w:kern w:val="0"/>
      <w:sz w:val="28"/>
      <w:szCs w:val="20"/>
    </w:rPr>
  </w:style>
  <w:style w:type="paragraph" w:customStyle="1" w:styleId="41">
    <w:name w:val="无间隔2"/>
    <w:qFormat/>
    <w:uiPriority w:val="0"/>
    <w:rPr>
      <w:rFonts w:ascii="Calibri" w:hAnsi="Calibri" w:eastAsia="宋体" w:cs="Times New Roman"/>
      <w:sz w:val="22"/>
      <w:lang w:val="en-US" w:eastAsia="zh-CN" w:bidi="ar-SA"/>
    </w:rPr>
  </w:style>
  <w:style w:type="paragraph" w:customStyle="1" w:styleId="42">
    <w:name w:val="表"/>
    <w:next w:val="8"/>
    <w:qFormat/>
    <w:uiPriority w:val="0"/>
    <w:pPr>
      <w:jc w:val="center"/>
      <w:textAlignment w:val="center"/>
    </w:pPr>
    <w:rPr>
      <w:rFonts w:ascii="Times New Roman" w:hAnsi="Times New Roman" w:eastAsia="宋体" w:cs="Times New Roman"/>
      <w:bCs/>
      <w:color w:val="000000"/>
      <w:sz w:val="24"/>
      <w:szCs w:val="22"/>
      <w:lang w:val="en-US" w:eastAsia="zh-CN" w:bidi="ar-SA"/>
    </w:rPr>
  </w:style>
  <w:style w:type="paragraph" w:customStyle="1" w:styleId="43">
    <w:name w:val="评分"/>
    <w:qFormat/>
    <w:uiPriority w:val="0"/>
    <w:rPr>
      <w:rFonts w:ascii="宋体" w:hAnsi="宋体" w:eastAsia="宋体" w:cs="Times New Roman"/>
      <w:snapToGrid w:val="0"/>
      <w:sz w:val="21"/>
      <w:szCs w:val="22"/>
      <w:lang w:val="en-US" w:eastAsia="zh-CN" w:bidi="ar-SA"/>
    </w:rPr>
  </w:style>
  <w:style w:type="paragraph" w:customStyle="1" w:styleId="44">
    <w:name w:val="表1"/>
    <w:qFormat/>
    <w:uiPriority w:val="0"/>
    <w:pPr>
      <w:jc w:val="center"/>
    </w:pPr>
    <w:rPr>
      <w:rFonts w:ascii="宋体" w:hAnsi="宋体" w:eastAsia="仿宋" w:cs="仿宋_GB2312"/>
      <w:bCs/>
      <w:color w:val="000000"/>
      <w:kern w:val="2"/>
      <w:sz w:val="24"/>
      <w:szCs w:val="24"/>
      <w:lang w:val="en-US" w:eastAsia="zh-CN" w:bidi="ar-SA"/>
    </w:rPr>
  </w:style>
  <w:style w:type="character" w:customStyle="1" w:styleId="45">
    <w:name w:val="批注框文本 Char"/>
    <w:basedOn w:val="25"/>
    <w:link w:val="14"/>
    <w:qFormat/>
    <w:uiPriority w:val="0"/>
    <w:rPr>
      <w:rFonts w:ascii="Times New Roman" w:hAnsi="Times New Roman" w:eastAsia="宋体" w:cs="Times New Roman"/>
      <w:kern w:val="2"/>
      <w:sz w:val="18"/>
      <w:szCs w:val="18"/>
    </w:rPr>
  </w:style>
  <w:style w:type="paragraph" w:customStyle="1" w:styleId="46">
    <w:name w:val="Normal_25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7">
    <w:name w:val="缺省文本"/>
    <w:basedOn w:val="1"/>
    <w:qFormat/>
    <w:uiPriority w:val="0"/>
    <w:pPr>
      <w:numPr>
        <w:ilvl w:val="3"/>
        <w:numId w:val="2"/>
      </w:numPr>
      <w:suppressAutoHyphens/>
      <w:autoSpaceDE w:val="0"/>
      <w:spacing w:line="360" w:lineRule="auto"/>
      <w:jc w:val="left"/>
    </w:pPr>
    <w:rPr>
      <w:rFonts w:ascii="Times New Roman" w:hAnsi="Times New Roman"/>
      <w:kern w:val="1"/>
      <w:sz w:val="24"/>
      <w:szCs w:val="24"/>
      <w:lang w:eastAsia="ar-SA"/>
    </w:rPr>
  </w:style>
  <w:style w:type="paragraph" w:customStyle="1" w:styleId="48">
    <w:name w:val="Normal_29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49">
    <w:name w:val="Normal_36_0"/>
    <w:qFormat/>
    <w:uiPriority w:val="0"/>
    <w:pPr>
      <w:spacing w:before="120" w:after="240"/>
      <w:jc w:val="both"/>
    </w:pPr>
    <w:rPr>
      <w:rFonts w:ascii="Calibri" w:hAnsi="Calibri" w:eastAsia="Times New Roman" w:cs="Times New Roman"/>
      <w:sz w:val="22"/>
      <w:szCs w:val="22"/>
      <w:lang w:val="ru-RU" w:eastAsia="en-US" w:bidi="ar-SA"/>
    </w:rPr>
  </w:style>
  <w:style w:type="paragraph" w:customStyle="1" w:styleId="50">
    <w:name w:val="No Spacing"/>
    <w:qFormat/>
    <w:uiPriority w:val="0"/>
    <w:rPr>
      <w:rFonts w:ascii="Calibri" w:hAnsi="Calibri" w:eastAsia="宋体" w:cs="Times New Roman"/>
      <w:sz w:val="22"/>
      <w:lang w:val="en-US" w:eastAsia="zh-CN" w:bidi="ar-SA"/>
    </w:rPr>
  </w:style>
  <w:style w:type="paragraph" w:customStyle="1" w:styleId="51">
    <w:name w:val="我的正文"/>
    <w:basedOn w:val="1"/>
    <w:qFormat/>
    <w:uiPriority w:val="0"/>
    <w:pPr>
      <w:ind w:firstLine="528"/>
    </w:pPr>
  </w:style>
  <w:style w:type="paragraph" w:customStyle="1" w:styleId="52">
    <w:name w:val="章标题"/>
    <w:next w:val="53"/>
    <w:qFormat/>
    <w:uiPriority w:val="0"/>
    <w:pPr>
      <w:spacing w:beforeLines="50" w:afterLines="50"/>
      <w:ind w:left="105"/>
      <w:jc w:val="both"/>
      <w:outlineLvl w:val="1"/>
    </w:pPr>
    <w:rPr>
      <w:rFonts w:ascii="黑体" w:hAnsi="Times New Roman" w:eastAsia="黑体" w:cs="Times New Roman"/>
      <w:sz w:val="21"/>
      <w:lang w:val="en-US" w:eastAsia="zh-CN" w:bidi="ar-SA"/>
    </w:rPr>
  </w:style>
  <w:style w:type="paragraph" w:customStyle="1" w:styleId="53">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4">
    <w:name w:val="样式1"/>
    <w:basedOn w:val="1"/>
    <w:qFormat/>
    <w:uiPriority w:val="0"/>
    <w:pPr>
      <w:jc w:val="center"/>
    </w:pPr>
    <w:rPr>
      <w:rFonts w:eastAsia="方正大标宋简体"/>
      <w:sz w:val="52"/>
    </w:rPr>
  </w:style>
  <w:style w:type="paragraph" w:customStyle="1" w:styleId="55">
    <w:name w:val="正常"/>
    <w:basedOn w:val="56"/>
    <w:qFormat/>
    <w:uiPriority w:val="0"/>
    <w:rPr>
      <w:sz w:val="24"/>
    </w:rPr>
  </w:style>
  <w:style w:type="paragraph" w:customStyle="1" w:styleId="56">
    <w:name w:val="小正常"/>
    <w:basedOn w:val="1"/>
    <w:qFormat/>
    <w:uiPriority w:val="0"/>
    <w:rPr>
      <w:rFonts w:cs="Times New Roman"/>
      <w:sz w:val="20"/>
      <w:szCs w:val="20"/>
    </w:rPr>
  </w:style>
  <w:style w:type="paragraph" w:customStyle="1" w:styleId="57">
    <w:name w:val="图片"/>
    <w:basedOn w:val="1"/>
    <w:qFormat/>
    <w:uiPriority w:val="0"/>
    <w:pPr>
      <w:spacing w:line="360" w:lineRule="auto"/>
      <w:jc w:val="center"/>
    </w:pPr>
    <w:rPr>
      <w:rFonts w:ascii="宋体" w:hAnsi="Times New Roman" w:eastAsia="宋体" w:cs="Times New Roman"/>
      <w:snapToGrid/>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microsoft.com/office/2011/relationships/people" Target="people.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73</Pages>
  <Words>37493</Words>
  <Characters>39480</Characters>
  <Lines>302</Lines>
  <Paragraphs>85</Paragraphs>
  <TotalTime>52</TotalTime>
  <ScaleCrop>false</ScaleCrop>
  <LinksUpToDate>false</LinksUpToDate>
  <CharactersWithSpaces>41584</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2022-07-12T12:44:00Z</dcterms:created>
  <dc:creator>QIQI</dc:creator>
  <cp:lastModifiedBy>haochunyang</cp:lastModifiedBy>
  <dcterms:modified xsi:type="dcterms:W3CDTF">2025-02-13T07:56:28Z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0069D6ECDA904FC5954B87A5601F4346_13</vt:lpwstr>
  </property>
</Properties>
</file>