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31CF8">
      <w:pPr>
        <w:rPr>
          <w:rFonts w:ascii="黑体" w:eastAsia="黑体" w:hint="eastAsia"/>
          <w:sz w:val="32"/>
        </w:rPr>
      </w:pPr>
      <w:bookmarkStart w:id="0" w:name="MJ"/>
      <w:bookmarkEnd w:id="0"/>
      <w:r>
        <w:rPr>
          <w:rFonts w:ascii="黑体" w:eastAsia="黑体" w:hint="eastAsia"/>
          <w:sz w:val="32"/>
        </w:rPr>
        <w:t>特</w:t>
      </w:r>
      <w:r>
        <w:rPr>
          <w:rFonts w:ascii="黑体" w:eastAsia="黑体" w:hint="eastAsia"/>
          <w:sz w:val="32"/>
        </w:rPr>
        <w:t xml:space="preserve"> </w:t>
      </w:r>
      <w:r>
        <w:rPr>
          <w:rFonts w:ascii="黑体" w:eastAsia="黑体" w:hint="eastAsia"/>
          <w:sz w:val="32"/>
        </w:rPr>
        <w:t>急</w:t>
      </w:r>
    </w:p>
    <w:p w:rsidR="00000000" w:rsidRDefault="00731CF8">
      <w:pPr>
        <w:spacing w:line="360" w:lineRule="auto"/>
        <w:jc w:val="right"/>
        <w:rPr>
          <w:rFonts w:ascii="黑体" w:eastAsia="黑体" w:hint="eastAsia"/>
          <w:sz w:val="32"/>
        </w:rPr>
      </w:pPr>
    </w:p>
    <w:p w:rsidR="00000000" w:rsidRDefault="00731CF8">
      <w:pPr>
        <w:spacing w:line="384" w:lineRule="auto"/>
        <w:jc w:val="right"/>
        <w:rPr>
          <w:rFonts w:ascii="黑体" w:eastAsia="黑体" w:hint="eastAsia"/>
          <w:spacing w:val="20"/>
          <w:w w:val="90"/>
          <w:sz w:val="32"/>
          <w:szCs w:val="32"/>
        </w:rPr>
      </w:pPr>
    </w:p>
    <w:p w:rsidR="00000000" w:rsidRDefault="00731CF8">
      <w:pPr>
        <w:spacing w:line="520" w:lineRule="atLeast"/>
        <w:jc w:val="center"/>
        <w:rPr>
          <w:rFonts w:ascii="方正小标宋简体" w:eastAsia="方正小标宋简体" w:hAnsi="华文中宋" w:hint="eastAsia"/>
          <w:color w:val="FF0000"/>
          <w:spacing w:val="80"/>
          <w:w w:val="80"/>
          <w:sz w:val="110"/>
          <w:szCs w:val="110"/>
        </w:rPr>
      </w:pPr>
      <w:r>
        <w:rPr>
          <w:rFonts w:ascii="方正小标宋简体" w:eastAsia="方正小标宋简体" w:hAnsi="华文中宋" w:hint="eastAsia"/>
          <w:color w:val="FF0000"/>
          <w:spacing w:val="80"/>
          <w:w w:val="80"/>
          <w:sz w:val="110"/>
          <w:szCs w:val="110"/>
        </w:rPr>
        <w:t>国家税务总局文</w:t>
      </w:r>
      <w:r>
        <w:rPr>
          <w:rFonts w:ascii="方正小标宋简体" w:eastAsia="方正小标宋简体" w:hAnsi="华文中宋" w:hint="eastAsia"/>
          <w:color w:val="FF0000"/>
          <w:w w:val="80"/>
          <w:sz w:val="110"/>
          <w:szCs w:val="110"/>
        </w:rPr>
        <w:t>件</w:t>
      </w:r>
    </w:p>
    <w:p w:rsidR="00000000" w:rsidRDefault="00731CF8">
      <w:pPr>
        <w:spacing w:line="280" w:lineRule="exact"/>
        <w:rPr>
          <w:rFonts w:ascii="仿宋_GB2312" w:eastAsia="仿宋_GB2312" w:hint="eastAsia"/>
          <w:spacing w:val="20"/>
          <w:w w:val="90"/>
          <w:sz w:val="32"/>
          <w:szCs w:val="32"/>
        </w:rPr>
      </w:pPr>
    </w:p>
    <w:p w:rsidR="00000000" w:rsidRDefault="00731CF8">
      <w:pPr>
        <w:spacing w:line="280" w:lineRule="exact"/>
        <w:rPr>
          <w:rFonts w:ascii="仿宋_GB2312" w:eastAsia="仿宋_GB2312" w:hint="eastAsia"/>
          <w:spacing w:val="20"/>
          <w:w w:val="90"/>
          <w:sz w:val="32"/>
          <w:szCs w:val="32"/>
        </w:rPr>
      </w:pPr>
    </w:p>
    <w:p w:rsidR="00000000" w:rsidRDefault="00731CF8">
      <w:pPr>
        <w:jc w:val="center"/>
        <w:rPr>
          <w:rFonts w:ascii="仿宋_GB2312" w:eastAsia="仿宋_GB2312" w:hint="eastAsia"/>
          <w:sz w:val="32"/>
        </w:rPr>
      </w:pPr>
      <w:r>
        <w:rPr>
          <w:rFonts w:ascii="仿宋_GB2312" w:eastAsia="仿宋_GB2312" w:hint="eastAsia"/>
          <w:sz w:val="32"/>
        </w:rPr>
        <w:t>税总发〔</w:t>
      </w:r>
      <w:r>
        <w:rPr>
          <w:rFonts w:ascii="仿宋_GB2312" w:eastAsia="仿宋_GB2312" w:hint="eastAsia"/>
          <w:sz w:val="32"/>
        </w:rPr>
        <w:t>2015</w:t>
      </w:r>
      <w:r>
        <w:rPr>
          <w:rFonts w:ascii="仿宋_GB2312" w:eastAsia="仿宋_GB2312" w:hint="eastAsia"/>
          <w:sz w:val="32"/>
        </w:rPr>
        <w:t>〕</w:t>
      </w:r>
      <w:r>
        <w:rPr>
          <w:rFonts w:ascii="仿宋_GB2312" w:eastAsia="仿宋_GB2312" w:hint="eastAsia"/>
          <w:sz w:val="32"/>
        </w:rPr>
        <w:t>104</w:t>
      </w:r>
      <w:r>
        <w:rPr>
          <w:rFonts w:ascii="仿宋_GB2312" w:eastAsia="仿宋_GB2312" w:hint="eastAsia"/>
          <w:sz w:val="32"/>
        </w:rPr>
        <w:t>号</w:t>
      </w:r>
    </w:p>
    <w:p w:rsidR="00000000" w:rsidRDefault="00731CF8">
      <w:pPr>
        <w:tabs>
          <w:tab w:val="left" w:pos="420"/>
          <w:tab w:val="left" w:pos="9240"/>
        </w:tabs>
        <w:rPr>
          <w:rFonts w:ascii="宋体" w:hint="eastAsia"/>
          <w:b/>
          <w:sz w:val="32"/>
        </w:rPr>
      </w:pPr>
    </w:p>
    <w:p w:rsidR="00000000" w:rsidRDefault="00731CF8">
      <w:pPr>
        <w:tabs>
          <w:tab w:val="left" w:pos="420"/>
          <w:tab w:val="left" w:pos="9240"/>
        </w:tabs>
        <w:spacing w:line="360" w:lineRule="auto"/>
        <w:rPr>
          <w:rFonts w:ascii="宋体"/>
          <w:b/>
          <w:sz w:val="32"/>
        </w:rPr>
      </w:pPr>
      <w:r>
        <w:rPr>
          <w:rFonts w:ascii="宋体"/>
          <w:b/>
          <w:sz w:val="32"/>
        </w:rPr>
        <w:pict>
          <v:line id="Line 2" o:spid="_x0000_s1026" style="position:absolute;left:0;text-align:left;flip:y;z-index:251657728;mso-position-horizontal-relative:page" from="79.7pt,-15.05pt" to="521.9pt,-15.05pt" strokecolor="red" strokeweight="2.25pt">
            <w10:wrap anchorx="page"/>
            <w10:anchorlock/>
          </v:line>
        </w:pict>
      </w:r>
    </w:p>
    <w:p w:rsidR="00000000" w:rsidRDefault="00731CF8">
      <w:pPr>
        <w:tabs>
          <w:tab w:val="left" w:pos="420"/>
          <w:tab w:val="left" w:pos="9240"/>
        </w:tabs>
        <w:spacing w:line="640" w:lineRule="atLeast"/>
        <w:jc w:val="center"/>
        <w:rPr>
          <w:rFonts w:ascii="方正小标宋简体" w:eastAsia="方正小标宋简体" w:hAnsi="华文中宋" w:hint="eastAsia"/>
          <w:sz w:val="44"/>
          <w:szCs w:val="44"/>
        </w:rPr>
      </w:pPr>
      <w:r>
        <w:rPr>
          <w:rFonts w:ascii="方正小标宋简体" w:eastAsia="方正小标宋简体" w:hAnsi="华文中宋" w:hint="eastAsia"/>
          <w:sz w:val="44"/>
          <w:szCs w:val="44"/>
        </w:rPr>
        <w:t>国家税务总局关于印发《推进税务稽查</w:t>
      </w:r>
    </w:p>
    <w:p w:rsidR="00000000" w:rsidRDefault="00731CF8">
      <w:pPr>
        <w:tabs>
          <w:tab w:val="left" w:pos="420"/>
          <w:tab w:val="left" w:pos="9240"/>
        </w:tabs>
        <w:spacing w:line="640" w:lineRule="atLeast"/>
        <w:jc w:val="center"/>
        <w:rPr>
          <w:rFonts w:ascii="方正小标宋简体" w:eastAsia="方正小标宋简体" w:hAnsi="华文中宋" w:hint="eastAsia"/>
          <w:sz w:val="44"/>
          <w:szCs w:val="44"/>
        </w:rPr>
      </w:pPr>
      <w:r>
        <w:rPr>
          <w:rFonts w:ascii="方正小标宋简体" w:eastAsia="方正小标宋简体" w:hAnsi="华文中宋" w:hint="eastAsia"/>
          <w:sz w:val="44"/>
          <w:szCs w:val="44"/>
        </w:rPr>
        <w:t>随机抽查实施方案》的通知</w:t>
      </w:r>
    </w:p>
    <w:p w:rsidR="00000000" w:rsidRDefault="00731CF8">
      <w:pPr>
        <w:spacing w:line="288" w:lineRule="auto"/>
        <w:rPr>
          <w:rFonts w:ascii="仿宋_GB2312" w:eastAsia="仿宋_GB2312" w:hint="eastAsia"/>
          <w:sz w:val="32"/>
          <w:szCs w:val="32"/>
        </w:rPr>
      </w:pPr>
    </w:p>
    <w:p w:rsidR="00000000" w:rsidRDefault="00731CF8">
      <w:pPr>
        <w:spacing w:line="720" w:lineRule="auto"/>
        <w:rPr>
          <w:rFonts w:ascii="仿宋_GB2312" w:eastAsia="仿宋_GB2312" w:hint="eastAsia"/>
          <w:sz w:val="32"/>
          <w:szCs w:val="32"/>
        </w:rPr>
      </w:pPr>
      <w:r>
        <w:rPr>
          <w:rFonts w:ascii="仿宋_GB2312" w:eastAsia="仿宋_GB2312" w:hint="eastAsia"/>
          <w:sz w:val="32"/>
          <w:szCs w:val="32"/>
        </w:rPr>
        <w:t>各省、自治区、直辖市和计划单列市国家税务局、地方税务局</w:t>
      </w:r>
      <w:r>
        <w:rPr>
          <w:rFonts w:ascii="仿宋_GB2312" w:eastAsia="仿宋_GB2312" w:hint="eastAsia"/>
          <w:sz w:val="32"/>
          <w:szCs w:val="32"/>
        </w:rPr>
        <w:t>:</w:t>
      </w:r>
    </w:p>
    <w:p w:rsidR="00000000" w:rsidRDefault="00731CF8">
      <w:pPr>
        <w:snapToGrid w:val="0"/>
        <w:spacing w:line="72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为贯彻落实《国务院办公厅关于推广随机抽查规范事中事后监管的通知》（国办发〔</w:t>
      </w:r>
      <w:r>
        <w:rPr>
          <w:rFonts w:ascii="仿宋_GB2312" w:eastAsia="仿宋_GB2312" w:hint="eastAsia"/>
          <w:snapToGrid w:val="0"/>
          <w:sz w:val="32"/>
          <w:szCs w:val="32"/>
        </w:rPr>
        <w:t>2015</w:t>
      </w:r>
      <w:r>
        <w:rPr>
          <w:rFonts w:ascii="仿宋_GB2312" w:eastAsia="仿宋_GB2312" w:hint="eastAsia"/>
          <w:snapToGrid w:val="0"/>
          <w:sz w:val="32"/>
          <w:szCs w:val="32"/>
        </w:rPr>
        <w:t>〕</w:t>
      </w:r>
      <w:r>
        <w:rPr>
          <w:rFonts w:ascii="仿宋_GB2312" w:eastAsia="仿宋_GB2312" w:hint="eastAsia"/>
          <w:snapToGrid w:val="0"/>
          <w:sz w:val="32"/>
          <w:szCs w:val="32"/>
        </w:rPr>
        <w:t>58</w:t>
      </w:r>
      <w:r>
        <w:rPr>
          <w:rFonts w:ascii="仿宋_GB2312" w:eastAsia="仿宋_GB2312" w:hint="eastAsia"/>
          <w:snapToGrid w:val="0"/>
          <w:sz w:val="32"/>
          <w:szCs w:val="32"/>
        </w:rPr>
        <w:t>号）要求，国家税务总局制定了《推进税务稽查随机抽查实施方案》，现印发给你们，请认真</w:t>
      </w:r>
      <w:r>
        <w:rPr>
          <w:rFonts w:ascii="仿宋_GB2312" w:eastAsia="仿宋_GB2312" w:hint="eastAsia"/>
          <w:snapToGrid w:val="0"/>
          <w:sz w:val="32"/>
          <w:szCs w:val="32"/>
        </w:rPr>
        <w:lastRenderedPageBreak/>
        <w:t>贯彻执行。执行中遇到的问题，请及时报告国家税务总局（稽查局）。</w:t>
      </w: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snapToGrid w:val="0"/>
          <w:sz w:val="32"/>
          <w:szCs w:val="32"/>
        </w:rPr>
      </w:pPr>
      <w:r>
        <w:rPr>
          <w:rFonts w:ascii="仿宋_GB2312" w:eastAsia="仿宋_GB2312" w:hint="eastAsia"/>
          <w:snapToGrid w:val="0"/>
          <w:sz w:val="32"/>
          <w:szCs w:val="32"/>
        </w:rPr>
        <w:t xml:space="preserve">                            </w:t>
      </w:r>
    </w:p>
    <w:tbl>
      <w:tblPr>
        <w:tblW w:w="0" w:type="auto"/>
        <w:tblInd w:w="4462" w:type="dxa"/>
        <w:tblLayout w:type="fixed"/>
        <w:tblLook w:val="0000"/>
      </w:tblPr>
      <w:tblGrid>
        <w:gridCol w:w="4465"/>
      </w:tblGrid>
      <w:tr w:rsidR="00000000">
        <w:trPr>
          <w:trHeight w:val="567"/>
        </w:trPr>
        <w:tc>
          <w:tcPr>
            <w:tcW w:w="4465" w:type="dxa"/>
            <w:vAlign w:val="center"/>
          </w:tcPr>
          <w:p w:rsidR="00000000" w:rsidRDefault="00731CF8" w:rsidP="00C21A10">
            <w:pPr>
              <w:tabs>
                <w:tab w:val="left" w:pos="4752"/>
              </w:tabs>
              <w:spacing w:beforeLines="50" w:afterLines="50"/>
              <w:ind w:leftChars="-45" w:left="-94" w:rightChars="-51" w:right="-107" w:firstLineChars="4" w:firstLine="13"/>
              <w:jc w:val="center"/>
              <w:rPr>
                <w:rFonts w:ascii="仿宋_GB2312" w:eastAsia="仿宋_GB2312" w:hAnsi="宋体" w:cs="宋体" w:hint="eastAsia"/>
                <w:spacing w:val="-20"/>
                <w:sz w:val="28"/>
                <w:szCs w:val="28"/>
              </w:rPr>
            </w:pPr>
            <w:r>
              <w:rPr>
                <w:rFonts w:ascii="仿宋_GB2312" w:eastAsia="仿宋_GB2312" w:hAnsi="宋体" w:cs="宋体" w:hint="eastAsia"/>
                <w:sz w:val="32"/>
                <w:szCs w:val="32"/>
              </w:rPr>
              <w:t>国家税务总局</w:t>
            </w:r>
          </w:p>
        </w:tc>
      </w:tr>
      <w:tr w:rsidR="00000000">
        <w:trPr>
          <w:trHeight w:val="567"/>
        </w:trPr>
        <w:tc>
          <w:tcPr>
            <w:tcW w:w="4465" w:type="dxa"/>
            <w:vAlign w:val="center"/>
          </w:tcPr>
          <w:p w:rsidR="00000000" w:rsidRDefault="00731CF8" w:rsidP="00C21A10">
            <w:pPr>
              <w:tabs>
                <w:tab w:val="left" w:pos="8588"/>
              </w:tabs>
              <w:spacing w:beforeLines="100"/>
              <w:ind w:leftChars="-52" w:left="-108" w:rightChars="-44" w:right="-92" w:hanging="1"/>
              <w:jc w:val="center"/>
              <w:rPr>
                <w:rFonts w:ascii="仿宋_GB2312" w:eastAsia="仿宋_GB2312" w:hAnsi="宋体" w:cs="宋体" w:hint="eastAsia"/>
                <w:spacing w:val="-20"/>
                <w:sz w:val="28"/>
                <w:szCs w:val="28"/>
              </w:rPr>
            </w:pPr>
            <w:r>
              <w:rPr>
                <w:rFonts w:ascii="仿宋_GB2312" w:eastAsia="仿宋_GB2312" w:hAnsi="宋体" w:cs="宋体" w:hint="eastAsia"/>
                <w:sz w:val="32"/>
                <w:szCs w:val="32"/>
              </w:rPr>
              <w:t>2015</w:t>
            </w:r>
            <w:r>
              <w:rPr>
                <w:rFonts w:ascii="仿宋_GB2312" w:eastAsia="仿宋_GB2312" w:hAnsi="宋体" w:cs="宋体" w:hint="eastAsia"/>
                <w:sz w:val="32"/>
                <w:szCs w:val="32"/>
              </w:rPr>
              <w:t>年</w:t>
            </w:r>
            <w:r>
              <w:rPr>
                <w:rFonts w:ascii="仿宋_GB2312" w:eastAsia="仿宋_GB2312" w:hAnsi="宋体" w:cs="宋体" w:hint="eastAsia"/>
                <w:sz w:val="32"/>
                <w:szCs w:val="32"/>
              </w:rPr>
              <w:t>8</w:t>
            </w:r>
            <w:r>
              <w:rPr>
                <w:rFonts w:ascii="仿宋_GB2312" w:eastAsia="仿宋_GB2312" w:hAnsi="宋体" w:cs="宋体" w:hint="eastAsia"/>
                <w:sz w:val="32"/>
                <w:szCs w:val="32"/>
              </w:rPr>
              <w:t>月</w:t>
            </w:r>
            <w:r>
              <w:rPr>
                <w:rFonts w:ascii="仿宋_GB2312" w:eastAsia="仿宋_GB2312" w:hAnsi="宋体" w:cs="宋体" w:hint="eastAsia"/>
                <w:sz w:val="32"/>
                <w:szCs w:val="32"/>
              </w:rPr>
              <w:t>25</w:t>
            </w:r>
            <w:r>
              <w:rPr>
                <w:rFonts w:ascii="仿宋_GB2312" w:eastAsia="仿宋_GB2312" w:hAnsi="宋体" w:cs="宋体" w:hint="eastAsia"/>
                <w:sz w:val="32"/>
                <w:szCs w:val="32"/>
              </w:rPr>
              <w:t>日</w:t>
            </w:r>
          </w:p>
        </w:tc>
      </w:tr>
    </w:tbl>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（对税务系统内只发电子文件）</w:t>
      </w: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p>
    <w:p w:rsidR="00000000" w:rsidRDefault="00731CF8">
      <w:pPr>
        <w:snapToGrid w:val="0"/>
        <w:spacing w:line="360" w:lineRule="auto"/>
        <w:rPr>
          <w:rFonts w:ascii="仿宋_GB2312" w:eastAsia="仿宋_GB2312" w:hint="eastAsia"/>
          <w:snapToGrid w:val="0"/>
          <w:sz w:val="32"/>
          <w:szCs w:val="32"/>
        </w:rPr>
      </w:pPr>
    </w:p>
    <w:p w:rsidR="00000000" w:rsidRDefault="00731CF8">
      <w:pPr>
        <w:snapToGrid w:val="0"/>
        <w:spacing w:line="360" w:lineRule="auto"/>
        <w:jc w:val="center"/>
        <w:rPr>
          <w:rFonts w:ascii="方正小标宋简体" w:eastAsia="方正小标宋简体" w:hint="eastAsia"/>
          <w:snapToGrid w:val="0"/>
          <w:sz w:val="44"/>
          <w:szCs w:val="44"/>
        </w:rPr>
      </w:pPr>
      <w:r>
        <w:rPr>
          <w:rFonts w:ascii="方正小标宋简体" w:eastAsia="方正小标宋简体" w:hint="eastAsia"/>
          <w:snapToGrid w:val="0"/>
          <w:sz w:val="44"/>
          <w:szCs w:val="44"/>
        </w:rPr>
        <w:lastRenderedPageBreak/>
        <w:t>推进税务稽查随机抽查实施方案</w:t>
      </w:r>
    </w:p>
    <w:p w:rsidR="00000000" w:rsidRDefault="00731CF8">
      <w:pPr>
        <w:snapToGrid w:val="0"/>
        <w:spacing w:line="360" w:lineRule="auto"/>
        <w:rPr>
          <w:rFonts w:ascii="仿宋_GB2312" w:eastAsia="仿宋_GB2312" w:hint="eastAsia"/>
          <w:snapToGrid w:val="0"/>
          <w:sz w:val="32"/>
          <w:szCs w:val="32"/>
        </w:rPr>
      </w:pP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为深入贯彻落实《国务院办公厅关于推广随机抽查规范事中事后监管的通知》（国办发〔</w:t>
      </w:r>
      <w:r>
        <w:rPr>
          <w:rFonts w:ascii="仿宋_GB2312" w:eastAsia="仿宋_GB2312" w:hint="eastAsia"/>
          <w:snapToGrid w:val="0"/>
          <w:sz w:val="32"/>
          <w:szCs w:val="32"/>
        </w:rPr>
        <w:t>2015</w:t>
      </w:r>
      <w:r>
        <w:rPr>
          <w:rFonts w:ascii="仿宋_GB2312" w:eastAsia="仿宋_GB2312" w:hint="eastAsia"/>
          <w:snapToGrid w:val="0"/>
          <w:sz w:val="32"/>
          <w:szCs w:val="32"/>
        </w:rPr>
        <w:t>〕</w:t>
      </w:r>
      <w:r>
        <w:rPr>
          <w:rFonts w:ascii="仿宋_GB2312" w:eastAsia="仿宋_GB2312" w:hint="eastAsia"/>
          <w:snapToGrid w:val="0"/>
          <w:sz w:val="32"/>
          <w:szCs w:val="32"/>
        </w:rPr>
        <w:t>58</w:t>
      </w:r>
      <w:r>
        <w:rPr>
          <w:rFonts w:ascii="仿宋_GB2312" w:eastAsia="仿宋_GB2312" w:hint="eastAsia"/>
          <w:snapToGrid w:val="0"/>
          <w:sz w:val="32"/>
          <w:szCs w:val="32"/>
        </w:rPr>
        <w:t>号）要求，推进税务稽查随机抽查，增强执法效能，特制定本实施方案。</w:t>
      </w:r>
    </w:p>
    <w:p w:rsidR="00000000" w:rsidRDefault="00731CF8">
      <w:pPr>
        <w:snapToGrid w:val="0"/>
        <w:spacing w:line="360" w:lineRule="auto"/>
        <w:ind w:firstLineChars="205" w:firstLine="656"/>
        <w:rPr>
          <w:rFonts w:ascii="黑体" w:eastAsia="黑体" w:hint="eastAsia"/>
          <w:snapToGrid w:val="0"/>
          <w:sz w:val="32"/>
          <w:szCs w:val="32"/>
        </w:rPr>
      </w:pPr>
      <w:r>
        <w:rPr>
          <w:rFonts w:ascii="黑体" w:eastAsia="黑体" w:hint="eastAsia"/>
          <w:snapToGrid w:val="0"/>
          <w:sz w:val="32"/>
          <w:szCs w:val="32"/>
        </w:rPr>
        <w:t>一、总体要求</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（一）指导思想</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贯彻党中央、国务院的决策部署，落实简政放权、放管结合、优化服务要求，坚持执法公正，提高执法效率，以风险管理为导向，建立健全科学的随机抽查机制，规范税务稽查，创新方式方法，加强专业化和集约化，努力实现执法成本最小化和执法效能最大</w:t>
      </w:r>
      <w:r>
        <w:rPr>
          <w:rFonts w:ascii="仿宋_GB2312" w:eastAsia="仿宋_GB2312" w:hint="eastAsia"/>
          <w:snapToGrid w:val="0"/>
          <w:sz w:val="32"/>
          <w:szCs w:val="32"/>
        </w:rPr>
        <w:t>化，促进税法遵从和公平竞争。</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（二）基本原则</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黑体" w:eastAsia="黑体" w:hint="eastAsia"/>
          <w:snapToGrid w:val="0"/>
          <w:sz w:val="32"/>
          <w:szCs w:val="32"/>
        </w:rPr>
        <w:t>——</w:t>
      </w:r>
      <w:r>
        <w:rPr>
          <w:rFonts w:ascii="仿宋_GB2312" w:eastAsia="仿宋_GB2312" w:hint="eastAsia"/>
          <w:snapToGrid w:val="0"/>
          <w:sz w:val="32"/>
          <w:szCs w:val="32"/>
        </w:rPr>
        <w:t>依法实施。严格执行相关法律、行政法规和规章，规范执法行为，确保税务稽查随机抽查工作依法顺利进行。</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黑体" w:eastAsia="黑体" w:hint="eastAsia"/>
          <w:snapToGrid w:val="0"/>
          <w:sz w:val="32"/>
          <w:szCs w:val="32"/>
        </w:rPr>
        <w:t>——</w:t>
      </w:r>
      <w:r>
        <w:rPr>
          <w:rFonts w:ascii="仿宋_GB2312" w:eastAsia="仿宋_GB2312" w:hint="eastAsia"/>
          <w:snapToGrid w:val="0"/>
          <w:sz w:val="32"/>
          <w:szCs w:val="32"/>
        </w:rPr>
        <w:t>公正高效。坚持规范公正文明执法，对不同类型税务稽查对象分别采取适当的随机抽查方法，注重公平，兼顾效率，减轻纳税人负担，优化市场环境。</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黑体" w:eastAsia="黑体" w:hint="eastAsia"/>
          <w:snapToGrid w:val="0"/>
          <w:sz w:val="32"/>
          <w:szCs w:val="32"/>
        </w:rPr>
        <w:lastRenderedPageBreak/>
        <w:t>——</w:t>
      </w:r>
      <w:r>
        <w:rPr>
          <w:rFonts w:ascii="仿宋_GB2312" w:eastAsia="仿宋_GB2312" w:hint="eastAsia"/>
          <w:snapToGrid w:val="0"/>
          <w:sz w:val="32"/>
          <w:szCs w:val="32"/>
        </w:rPr>
        <w:t>公开透明。在阳光下运行执法权力，公开税务稽查随机抽查职责、程序、事项、结果等，强化社会监督，切实做到确职限权，尽责担当。</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黑体" w:eastAsia="黑体" w:hint="eastAsia"/>
          <w:snapToGrid w:val="0"/>
          <w:sz w:val="32"/>
          <w:szCs w:val="32"/>
        </w:rPr>
        <w:t>——</w:t>
      </w:r>
      <w:r>
        <w:rPr>
          <w:rFonts w:ascii="仿宋_GB2312" w:eastAsia="仿宋_GB2312" w:hint="eastAsia"/>
          <w:snapToGrid w:val="0"/>
          <w:sz w:val="32"/>
          <w:szCs w:val="32"/>
        </w:rPr>
        <w:t>稳步推进。充分利用相关信息数据，立足税源分布结构、稽查资源配置等实际情况，分步实施，有序推进，务</w:t>
      </w:r>
      <w:r>
        <w:rPr>
          <w:rFonts w:ascii="仿宋_GB2312" w:eastAsia="仿宋_GB2312" w:hint="eastAsia"/>
          <w:snapToGrid w:val="0"/>
          <w:sz w:val="32"/>
          <w:szCs w:val="32"/>
        </w:rPr>
        <w:t>求实效。</w:t>
      </w:r>
    </w:p>
    <w:p w:rsidR="00000000" w:rsidRDefault="00731CF8">
      <w:pPr>
        <w:snapToGrid w:val="0"/>
        <w:spacing w:line="360" w:lineRule="auto"/>
        <w:ind w:firstLineChars="205" w:firstLine="656"/>
        <w:rPr>
          <w:rFonts w:ascii="黑体" w:eastAsia="黑体" w:hint="eastAsia"/>
          <w:snapToGrid w:val="0"/>
          <w:sz w:val="32"/>
          <w:szCs w:val="32"/>
        </w:rPr>
      </w:pPr>
      <w:r>
        <w:rPr>
          <w:rFonts w:ascii="黑体" w:eastAsia="黑体" w:hint="eastAsia"/>
          <w:snapToGrid w:val="0"/>
          <w:sz w:val="32"/>
          <w:szCs w:val="32"/>
        </w:rPr>
        <w:t>二、完善税务稽查随机抽查机制</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（一）随机抽查依据</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《中华人民共和国税收征收管理法》第四章及其实施细则第六章等法律、行政法规和税务部门规章相关规定。</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（二）随机抽查主体</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税务稽查随机抽查主体是各级税务稽查部门。国家税务总局稽查局负责组织、协调全国税务稽查随机抽查工作，根据工作需要从</w:t>
      </w:r>
      <w:r w:rsidRPr="004E02A3">
        <w:rPr>
          <w:rFonts w:ascii="仿宋_GB2312" w:eastAsia="仿宋_GB2312" w:hint="eastAsia"/>
          <w:snapToGrid w:val="0"/>
          <w:color w:val="000000" w:themeColor="text1"/>
          <w:sz w:val="32"/>
          <w:szCs w:val="32"/>
        </w:rPr>
        <w:t>全国重点税源企业</w:t>
      </w:r>
      <w:r>
        <w:rPr>
          <w:rFonts w:ascii="仿宋_GB2312" w:eastAsia="仿宋_GB2312" w:hint="eastAsia"/>
          <w:snapToGrid w:val="0"/>
          <w:sz w:val="32"/>
          <w:szCs w:val="32"/>
        </w:rPr>
        <w:t>中</w:t>
      </w:r>
      <w:r w:rsidRPr="004E02A3">
        <w:rPr>
          <w:rFonts w:ascii="仿宋_GB2312" w:eastAsia="仿宋_GB2312" w:hint="eastAsia"/>
          <w:snapToGrid w:val="0"/>
          <w:color w:val="FF0000"/>
          <w:sz w:val="32"/>
          <w:szCs w:val="32"/>
        </w:rPr>
        <w:t>随机抽取待查对象</w:t>
      </w:r>
      <w:r>
        <w:rPr>
          <w:rFonts w:ascii="仿宋_GB2312" w:eastAsia="仿宋_GB2312" w:hint="eastAsia"/>
          <w:snapToGrid w:val="0"/>
          <w:sz w:val="32"/>
          <w:szCs w:val="32"/>
        </w:rPr>
        <w:t>，组织或督促相关地区税务稽查部门实施稽查。省、市税务局稽查局负责组织、协调、实施辖区内税务稽查随机抽查工作。县税务局稽查局负责实施辖区内税务稽查随机抽查工作。</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省税务局可以根据本地实际情况</w:t>
      </w:r>
      <w:r>
        <w:rPr>
          <w:rFonts w:ascii="仿宋_GB2312" w:eastAsia="仿宋_GB2312" w:hint="eastAsia"/>
          <w:snapToGrid w:val="0"/>
          <w:sz w:val="32"/>
          <w:szCs w:val="32"/>
        </w:rPr>
        <w:t>，适当调整税务稽查选案层级，对辖区内的全国、省、市重点税源企业由省税务局稽查局集中确定随机抽查对象。上级税务稽查部门随机抽取的待查对象，可以自行稽查，也可以交由下级税务稽查部门稽查。下级税务稽</w:t>
      </w:r>
      <w:r>
        <w:rPr>
          <w:rFonts w:ascii="仿宋_GB2312" w:eastAsia="仿宋_GB2312" w:hint="eastAsia"/>
          <w:snapToGrid w:val="0"/>
          <w:sz w:val="32"/>
          <w:szCs w:val="32"/>
        </w:rPr>
        <w:lastRenderedPageBreak/>
        <w:t>查部门因力量不足实施稽查确有困难的，可以报请上级税务稽查部门从其他地区选调人员参与稽查。</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上级税务稽查部门可以对下级税务稽查部门随机抽查情况进行复查，以检验抽查绩效。复查以案卷审核为主，必要时可以实地核查。</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（三）随机抽查对象和内容</w:t>
      </w:r>
    </w:p>
    <w:p w:rsidR="00000000" w:rsidRPr="004E02A3"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依法检查</w:t>
      </w:r>
      <w:r w:rsidRPr="004E02A3">
        <w:rPr>
          <w:rFonts w:ascii="仿宋_GB2312" w:eastAsia="仿宋_GB2312" w:hint="eastAsia"/>
          <w:snapToGrid w:val="0"/>
          <w:sz w:val="32"/>
          <w:szCs w:val="32"/>
        </w:rPr>
        <w:t>纳税人、扣缴义务人和其他涉税当事人（以下统称为税务稽查对象）</w:t>
      </w:r>
      <w:r w:rsidRPr="004E02A3">
        <w:rPr>
          <w:rFonts w:ascii="仿宋_GB2312" w:eastAsia="仿宋_GB2312" w:hint="eastAsia"/>
          <w:snapToGrid w:val="0"/>
          <w:sz w:val="32"/>
          <w:szCs w:val="32"/>
        </w:rPr>
        <w:t>履行纳税义务、扣缴</w:t>
      </w:r>
      <w:r w:rsidRPr="004E02A3">
        <w:rPr>
          <w:rFonts w:ascii="仿宋_GB2312" w:eastAsia="仿宋_GB2312" w:hint="eastAsia"/>
          <w:snapToGrid w:val="0"/>
          <w:sz w:val="32"/>
          <w:szCs w:val="32"/>
        </w:rPr>
        <w:t>税款义务情况及其他税法遵从情况</w:t>
      </w:r>
      <w:r w:rsidRPr="004E02A3">
        <w:rPr>
          <w:rFonts w:ascii="仿宋_GB2312" w:eastAsia="仿宋_GB2312" w:hint="eastAsia"/>
          <w:snapToGrid w:val="0"/>
          <w:sz w:val="32"/>
          <w:szCs w:val="32"/>
        </w:rPr>
        <w:t>。所有待查对象，除线索明显涉嫌偷逃骗抗税和虚开发票等税收违法行为直接立案查处的外，均须通过</w:t>
      </w:r>
      <w:r w:rsidRPr="004E02A3">
        <w:rPr>
          <w:rFonts w:ascii="仿宋_GB2312" w:eastAsia="仿宋_GB2312" w:hint="eastAsia"/>
          <w:snapToGrid w:val="0"/>
          <w:sz w:val="32"/>
          <w:szCs w:val="32"/>
        </w:rPr>
        <w:t>摇号</w:t>
      </w:r>
      <w:r w:rsidRPr="004E02A3">
        <w:rPr>
          <w:rFonts w:ascii="仿宋_GB2312" w:eastAsia="仿宋_GB2312" w:hint="eastAsia"/>
          <w:snapToGrid w:val="0"/>
          <w:sz w:val="32"/>
          <w:szCs w:val="32"/>
        </w:rPr>
        <w:t>等方式，从</w:t>
      </w:r>
      <w:r w:rsidRPr="004E02A3">
        <w:rPr>
          <w:rFonts w:ascii="仿宋_GB2312" w:eastAsia="仿宋_GB2312" w:hint="eastAsia"/>
          <w:snapToGrid w:val="0"/>
          <w:sz w:val="32"/>
          <w:szCs w:val="32"/>
        </w:rPr>
        <w:t>税务稽查对象分类名录库</w:t>
      </w:r>
      <w:r w:rsidRPr="004E02A3">
        <w:rPr>
          <w:rFonts w:ascii="仿宋_GB2312" w:eastAsia="仿宋_GB2312" w:hint="eastAsia"/>
          <w:snapToGrid w:val="0"/>
          <w:sz w:val="32"/>
          <w:szCs w:val="32"/>
        </w:rPr>
        <w:t>和</w:t>
      </w:r>
      <w:r w:rsidRPr="004E02A3">
        <w:rPr>
          <w:rFonts w:ascii="仿宋_GB2312" w:eastAsia="仿宋_GB2312" w:hint="eastAsia"/>
          <w:snapToGrid w:val="0"/>
          <w:sz w:val="32"/>
          <w:szCs w:val="32"/>
        </w:rPr>
        <w:t>税务稽查异常对象名录库</w:t>
      </w:r>
      <w:r w:rsidRPr="004E02A3">
        <w:rPr>
          <w:rFonts w:ascii="仿宋_GB2312" w:eastAsia="仿宋_GB2312" w:hint="eastAsia"/>
          <w:snapToGrid w:val="0"/>
          <w:sz w:val="32"/>
          <w:szCs w:val="32"/>
        </w:rPr>
        <w:t>中随机抽取。</w:t>
      </w:r>
    </w:p>
    <w:p w:rsidR="00000000" w:rsidRPr="004E02A3" w:rsidRDefault="00731CF8">
      <w:pPr>
        <w:snapToGrid w:val="0"/>
        <w:spacing w:line="360" w:lineRule="auto"/>
        <w:ind w:firstLineChars="205" w:firstLine="656"/>
        <w:rPr>
          <w:rFonts w:ascii="仿宋_GB2312" w:eastAsia="仿宋_GB2312" w:hint="eastAsia"/>
          <w:snapToGrid w:val="0"/>
          <w:sz w:val="32"/>
          <w:szCs w:val="32"/>
        </w:rPr>
      </w:pPr>
      <w:r w:rsidRPr="004E02A3">
        <w:rPr>
          <w:rFonts w:ascii="仿宋_GB2312" w:eastAsia="仿宋_GB2312" w:hint="eastAsia"/>
          <w:snapToGrid w:val="0"/>
          <w:sz w:val="32"/>
          <w:szCs w:val="32"/>
        </w:rPr>
        <w:t>各级税务局建立税务稽查对象分类名录库，实施动态管理。国家税务总局名录库包括全国重点税源企业，相关信息由税务稽查对象所在省税务局提供。省税务局名录库包括</w:t>
      </w:r>
      <w:r w:rsidRPr="004E02A3">
        <w:rPr>
          <w:rFonts w:ascii="仿宋_GB2312" w:eastAsia="仿宋_GB2312" w:hint="eastAsia"/>
          <w:snapToGrid w:val="0"/>
          <w:sz w:val="32"/>
          <w:szCs w:val="32"/>
        </w:rPr>
        <w:t>辖区内的全国、省、市重点税源企业</w:t>
      </w:r>
      <w:r w:rsidRPr="004E02A3">
        <w:rPr>
          <w:rFonts w:ascii="仿宋_GB2312" w:eastAsia="仿宋_GB2312" w:hint="eastAsia"/>
          <w:snapToGrid w:val="0"/>
          <w:sz w:val="32"/>
          <w:szCs w:val="32"/>
        </w:rPr>
        <w:t>。</w:t>
      </w:r>
      <w:r w:rsidRPr="004E02A3">
        <w:rPr>
          <w:rFonts w:ascii="仿宋_GB2312" w:eastAsia="仿宋_GB2312" w:hint="eastAsia"/>
          <w:snapToGrid w:val="0"/>
          <w:sz w:val="32"/>
          <w:szCs w:val="32"/>
        </w:rPr>
        <w:t>市、县税务局名录库包括辖区内的所有税务稽查对象</w:t>
      </w:r>
      <w:r w:rsidRPr="004E02A3">
        <w:rPr>
          <w:rFonts w:ascii="仿宋_GB2312" w:eastAsia="仿宋_GB2312" w:hint="eastAsia"/>
          <w:snapToGrid w:val="0"/>
          <w:sz w:val="32"/>
          <w:szCs w:val="32"/>
        </w:rPr>
        <w:t>。</w:t>
      </w:r>
      <w:r w:rsidRPr="004E02A3">
        <w:rPr>
          <w:rFonts w:ascii="仿宋_GB2312" w:eastAsia="仿宋_GB2312" w:hint="eastAsia"/>
          <w:snapToGrid w:val="0"/>
          <w:sz w:val="32"/>
          <w:szCs w:val="32"/>
        </w:rPr>
        <w:t>名录库应录入</w:t>
      </w:r>
      <w:r w:rsidRPr="004E02A3">
        <w:rPr>
          <w:rFonts w:ascii="仿宋_GB2312" w:eastAsia="仿宋_GB2312" w:hAnsi="宋体" w:hint="eastAsia"/>
          <w:snapToGrid w:val="0"/>
          <w:sz w:val="32"/>
          <w:szCs w:val="32"/>
        </w:rPr>
        <w:t>税务稽查对象</w:t>
      </w:r>
      <w:r w:rsidRPr="004E02A3">
        <w:rPr>
          <w:rFonts w:ascii="仿宋_GB2312" w:eastAsia="仿宋_GB2312" w:hint="eastAsia"/>
          <w:snapToGrid w:val="0"/>
          <w:sz w:val="32"/>
          <w:szCs w:val="32"/>
        </w:rPr>
        <w:t>税务登记基本信息和前三个年度经营规模、纳税数额以及税务检查、税</w:t>
      </w:r>
      <w:r w:rsidRPr="004E02A3">
        <w:rPr>
          <w:rFonts w:ascii="仿宋_GB2312" w:eastAsia="仿宋_GB2312" w:hint="eastAsia"/>
          <w:snapToGrid w:val="0"/>
          <w:sz w:val="32"/>
          <w:szCs w:val="32"/>
        </w:rPr>
        <w:t>务处理处罚、涉税刑事追究等情况</w:t>
      </w:r>
      <w:r w:rsidRPr="004E02A3">
        <w:rPr>
          <w:rFonts w:ascii="仿宋_GB2312" w:eastAsia="仿宋_GB2312" w:hint="eastAsia"/>
          <w:snapToGrid w:val="0"/>
          <w:sz w:val="32"/>
          <w:szCs w:val="32"/>
        </w:rPr>
        <w:t>。该项工作应于</w:t>
      </w:r>
      <w:r w:rsidRPr="004E02A3">
        <w:rPr>
          <w:rFonts w:ascii="仿宋_GB2312" w:eastAsia="仿宋_GB2312" w:hint="eastAsia"/>
          <w:snapToGrid w:val="0"/>
          <w:sz w:val="32"/>
          <w:szCs w:val="32"/>
        </w:rPr>
        <w:t>2015</w:t>
      </w:r>
      <w:r w:rsidRPr="004E02A3">
        <w:rPr>
          <w:rFonts w:ascii="仿宋_GB2312" w:eastAsia="仿宋_GB2312" w:hint="eastAsia"/>
          <w:snapToGrid w:val="0"/>
          <w:sz w:val="32"/>
          <w:szCs w:val="32"/>
        </w:rPr>
        <w:t>年</w:t>
      </w:r>
      <w:r w:rsidRPr="004E02A3">
        <w:rPr>
          <w:rFonts w:ascii="仿宋_GB2312" w:eastAsia="仿宋_GB2312" w:hint="eastAsia"/>
          <w:snapToGrid w:val="0"/>
          <w:sz w:val="32"/>
          <w:szCs w:val="32"/>
        </w:rPr>
        <w:t>12</w:t>
      </w:r>
      <w:r w:rsidRPr="004E02A3">
        <w:rPr>
          <w:rFonts w:ascii="仿宋_GB2312" w:eastAsia="仿宋_GB2312" w:hint="eastAsia"/>
          <w:snapToGrid w:val="0"/>
          <w:sz w:val="32"/>
          <w:szCs w:val="32"/>
        </w:rPr>
        <w:t>月</w:t>
      </w:r>
      <w:r w:rsidRPr="004E02A3">
        <w:rPr>
          <w:rFonts w:ascii="仿宋_GB2312" w:eastAsia="仿宋_GB2312" w:hint="eastAsia"/>
          <w:snapToGrid w:val="0"/>
          <w:sz w:val="32"/>
          <w:szCs w:val="32"/>
        </w:rPr>
        <w:t>31</w:t>
      </w:r>
      <w:r w:rsidRPr="004E02A3">
        <w:rPr>
          <w:rFonts w:ascii="仿宋_GB2312" w:eastAsia="仿宋_GB2312" w:hint="eastAsia"/>
          <w:snapToGrid w:val="0"/>
          <w:sz w:val="32"/>
          <w:szCs w:val="32"/>
        </w:rPr>
        <w:t>日前完成。</w:t>
      </w:r>
    </w:p>
    <w:p w:rsidR="00000000" w:rsidRPr="004E02A3" w:rsidRDefault="00731CF8">
      <w:pPr>
        <w:snapToGrid w:val="0"/>
        <w:spacing w:line="360" w:lineRule="auto"/>
        <w:ind w:firstLineChars="205" w:firstLine="656"/>
        <w:rPr>
          <w:rFonts w:ascii="楷体_GB2312" w:eastAsia="楷体_GB2312" w:hint="eastAsia"/>
          <w:snapToGrid w:val="0"/>
          <w:sz w:val="32"/>
          <w:szCs w:val="32"/>
        </w:rPr>
      </w:pPr>
      <w:r w:rsidRPr="004E02A3">
        <w:rPr>
          <w:rFonts w:ascii="仿宋_GB2312" w:eastAsia="仿宋_GB2312" w:hint="eastAsia"/>
          <w:snapToGrid w:val="0"/>
          <w:sz w:val="32"/>
          <w:szCs w:val="32"/>
        </w:rPr>
        <w:t>省、市、县税务局在收集各类税务稽查案源信息的基础上，</w:t>
      </w:r>
      <w:r w:rsidRPr="004E02A3">
        <w:rPr>
          <w:rFonts w:ascii="仿宋_GB2312" w:eastAsia="仿宋_GB2312" w:hint="eastAsia"/>
          <w:snapToGrid w:val="0"/>
          <w:sz w:val="32"/>
          <w:szCs w:val="32"/>
        </w:rPr>
        <w:t>建立税务稽查异常对象名录库，实施动态管理</w:t>
      </w:r>
      <w:r w:rsidRPr="004E02A3">
        <w:rPr>
          <w:rFonts w:ascii="仿宋_GB2312" w:eastAsia="仿宋_GB2312" w:hint="eastAsia"/>
          <w:snapToGrid w:val="0"/>
          <w:sz w:val="32"/>
          <w:szCs w:val="32"/>
        </w:rPr>
        <w:t>。名录库应包括</w:t>
      </w:r>
      <w:r w:rsidRPr="004E02A3">
        <w:rPr>
          <w:rFonts w:ascii="仿宋_GB2312" w:eastAsia="仿宋_GB2312" w:hint="eastAsia"/>
          <w:snapToGrid w:val="0"/>
          <w:sz w:val="32"/>
          <w:szCs w:val="32"/>
        </w:rPr>
        <w:t>长</w:t>
      </w:r>
      <w:r w:rsidRPr="004E02A3">
        <w:rPr>
          <w:rFonts w:ascii="仿宋_GB2312" w:eastAsia="仿宋_GB2312" w:hint="eastAsia"/>
          <w:snapToGrid w:val="0"/>
          <w:sz w:val="32"/>
          <w:szCs w:val="32"/>
        </w:rPr>
        <w:lastRenderedPageBreak/>
        <w:t>期纳税申报异常企业、税收高风险企业、纳税信用</w:t>
      </w:r>
      <w:r w:rsidRPr="004E02A3">
        <w:rPr>
          <w:rFonts w:ascii="仿宋_GB2312" w:eastAsia="仿宋_GB2312" w:hAnsi="宋体" w:hint="eastAsia"/>
          <w:snapToGrid w:val="0"/>
          <w:sz w:val="32"/>
          <w:szCs w:val="32"/>
        </w:rPr>
        <w:t>级别低的</w:t>
      </w:r>
      <w:r w:rsidRPr="004E02A3">
        <w:rPr>
          <w:rFonts w:ascii="仿宋_GB2312" w:eastAsia="仿宋_GB2312" w:hint="eastAsia"/>
          <w:snapToGrid w:val="0"/>
          <w:sz w:val="32"/>
          <w:szCs w:val="32"/>
        </w:rPr>
        <w:t>企业、多次被检举有税收违法行为的企业、相关部门列明违法失信联合惩戒企业等，并录入税务登记基本信息以及涉嫌税收违法等异常线索情况</w:t>
      </w:r>
      <w:r w:rsidRPr="004E02A3">
        <w:rPr>
          <w:rFonts w:ascii="仿宋_GB2312" w:eastAsia="仿宋_GB2312" w:hint="eastAsia"/>
          <w:snapToGrid w:val="0"/>
          <w:sz w:val="32"/>
          <w:szCs w:val="32"/>
        </w:rPr>
        <w:t>。该项工作应于</w:t>
      </w:r>
      <w:r w:rsidRPr="004E02A3">
        <w:rPr>
          <w:rFonts w:ascii="仿宋_GB2312" w:eastAsia="仿宋_GB2312" w:hint="eastAsia"/>
          <w:snapToGrid w:val="0"/>
          <w:sz w:val="32"/>
          <w:szCs w:val="32"/>
        </w:rPr>
        <w:t>2016</w:t>
      </w:r>
      <w:r w:rsidRPr="004E02A3">
        <w:rPr>
          <w:rFonts w:ascii="仿宋_GB2312" w:eastAsia="仿宋_GB2312" w:hint="eastAsia"/>
          <w:snapToGrid w:val="0"/>
          <w:sz w:val="32"/>
          <w:szCs w:val="32"/>
        </w:rPr>
        <w:t>年</w:t>
      </w:r>
      <w:r w:rsidRPr="004E02A3">
        <w:rPr>
          <w:rFonts w:ascii="仿宋_GB2312" w:eastAsia="仿宋_GB2312" w:hint="eastAsia"/>
          <w:snapToGrid w:val="0"/>
          <w:sz w:val="32"/>
          <w:szCs w:val="32"/>
        </w:rPr>
        <w:t>3</w:t>
      </w:r>
      <w:r w:rsidRPr="004E02A3">
        <w:rPr>
          <w:rFonts w:ascii="仿宋_GB2312" w:eastAsia="仿宋_GB2312" w:hint="eastAsia"/>
          <w:snapToGrid w:val="0"/>
          <w:sz w:val="32"/>
          <w:szCs w:val="32"/>
        </w:rPr>
        <w:t>月</w:t>
      </w:r>
      <w:r w:rsidRPr="004E02A3">
        <w:rPr>
          <w:rFonts w:ascii="仿宋_GB2312" w:eastAsia="仿宋_GB2312" w:hint="eastAsia"/>
          <w:snapToGrid w:val="0"/>
          <w:sz w:val="32"/>
          <w:szCs w:val="32"/>
        </w:rPr>
        <w:t>31</w:t>
      </w:r>
      <w:r w:rsidRPr="004E02A3">
        <w:rPr>
          <w:rFonts w:ascii="仿宋_GB2312" w:eastAsia="仿宋_GB2312" w:hint="eastAsia"/>
          <w:snapToGrid w:val="0"/>
          <w:sz w:val="32"/>
          <w:szCs w:val="32"/>
        </w:rPr>
        <w:t>日前完成。</w:t>
      </w:r>
    </w:p>
    <w:p w:rsidR="00000000" w:rsidRDefault="00731CF8">
      <w:pPr>
        <w:snapToGrid w:val="0"/>
        <w:spacing w:line="360" w:lineRule="auto"/>
        <w:ind w:firstLineChars="205" w:firstLine="656"/>
        <w:rPr>
          <w:rFonts w:ascii="楷体_GB2312" w:eastAsia="楷体_GB2312" w:hint="eastAsia"/>
          <w:snapToGrid w:val="0"/>
          <w:sz w:val="32"/>
          <w:szCs w:val="32"/>
        </w:rPr>
      </w:pPr>
      <w:r w:rsidRPr="004E02A3">
        <w:rPr>
          <w:rFonts w:ascii="仿宋_GB2312" w:eastAsia="仿宋_GB2312" w:hint="eastAsia"/>
          <w:snapToGrid w:val="0"/>
          <w:sz w:val="32"/>
          <w:szCs w:val="32"/>
        </w:rPr>
        <w:t>税务稽查对象分类名录库和税务稽查异常对象名录库相关信息应从税收信息管理系统获取。</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（四）随机抽查方式</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仿宋_GB2312" w:eastAsia="仿宋_GB2312" w:hint="eastAsia"/>
          <w:snapToGrid w:val="0"/>
          <w:sz w:val="32"/>
          <w:szCs w:val="32"/>
        </w:rPr>
        <w:t>随机</w:t>
      </w:r>
      <w:r>
        <w:rPr>
          <w:rFonts w:ascii="仿宋_GB2312" w:eastAsia="仿宋_GB2312" w:hint="eastAsia"/>
          <w:snapToGrid w:val="0"/>
          <w:sz w:val="32"/>
          <w:szCs w:val="32"/>
        </w:rPr>
        <w:t>抽查分为定向抽查和不定向抽查。定向抽查是指按照税务稽查对象类型、行业、性质、隶属关系、组织架构、经营规模、收入规模、纳税数额、成本利润率、税负率、地理区域、税收风险等级、纳税信用级别等特定条件，通过摇号等方式，随机抽取确定待查对象名单，对其纳税等情况进行稽查。不定向抽查是指不设定条件，通过摇号等方式，随机抽取确定待查对象名单，对其纳税等情况进行稽查。定向抽查与不定向抽查要结合应用，兼施并举，确保稽查执法效能。</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对随机抽查对象，税务稽查部门可以直接检查，也可以要求其先行自查，再实施重点检查，或自查与重点检查同</w:t>
      </w:r>
      <w:r>
        <w:rPr>
          <w:rFonts w:ascii="仿宋_GB2312" w:eastAsia="仿宋_GB2312" w:hint="eastAsia"/>
          <w:snapToGrid w:val="0"/>
          <w:sz w:val="32"/>
          <w:szCs w:val="32"/>
        </w:rPr>
        <w:t>时进行。对自查如实报告税收违法行为，主动配合税务稽查部门检查，主动补缴税款和缴纳滞纳金的，依法从轻、减轻或不予行政处罚；税务稽查部门重点检查发现存在重大税收违法行为或故意隐瞒税</w:t>
      </w:r>
      <w:r>
        <w:rPr>
          <w:rFonts w:ascii="仿宋_GB2312" w:eastAsia="仿宋_GB2312" w:hint="eastAsia"/>
          <w:snapToGrid w:val="0"/>
          <w:sz w:val="32"/>
          <w:szCs w:val="32"/>
        </w:rPr>
        <w:lastRenderedPageBreak/>
        <w:t>收违法行为的，应依法从严处罚；涉嫌犯罪的，应依法移送公安机关处理。</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（五）分类确定随机抽查比例和频次</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随机抽查比例和频次要合理适度，切合实际，以不影响公正与效率为前提，既要保证必要的抽查覆盖面和工作力度，又要防止检查过多和执法扰民。</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对全国、省、市重点税源企业，采取定向抽查与不定向抽查相结合的方式，</w:t>
      </w:r>
      <w:r w:rsidRPr="004E02A3">
        <w:rPr>
          <w:rFonts w:ascii="仿宋_GB2312" w:eastAsia="仿宋_GB2312" w:hint="eastAsia"/>
          <w:snapToGrid w:val="0"/>
          <w:sz w:val="32"/>
          <w:szCs w:val="32"/>
        </w:rPr>
        <w:t>每年抽查比例</w:t>
      </w:r>
      <w:r w:rsidRPr="004E02A3">
        <w:rPr>
          <w:rFonts w:ascii="仿宋_GB2312" w:eastAsia="仿宋_GB2312" w:hint="eastAsia"/>
          <w:snapToGrid w:val="0"/>
          <w:sz w:val="32"/>
          <w:szCs w:val="32"/>
        </w:rPr>
        <w:t>20%</w:t>
      </w:r>
      <w:r w:rsidRPr="004E02A3">
        <w:rPr>
          <w:rFonts w:ascii="仿宋_GB2312" w:eastAsia="仿宋_GB2312" w:hint="eastAsia"/>
          <w:snapToGrid w:val="0"/>
          <w:sz w:val="32"/>
          <w:szCs w:val="32"/>
        </w:rPr>
        <w:t>左右，原则上每</w:t>
      </w:r>
      <w:r w:rsidRPr="004E02A3">
        <w:rPr>
          <w:rFonts w:ascii="仿宋_GB2312" w:eastAsia="仿宋_GB2312" w:hint="eastAsia"/>
          <w:snapToGrid w:val="0"/>
          <w:sz w:val="32"/>
          <w:szCs w:val="32"/>
        </w:rPr>
        <w:t>5</w:t>
      </w:r>
      <w:r w:rsidRPr="004E02A3">
        <w:rPr>
          <w:rFonts w:ascii="仿宋_GB2312" w:eastAsia="仿宋_GB2312" w:hint="eastAsia"/>
          <w:snapToGrid w:val="0"/>
          <w:sz w:val="32"/>
          <w:szCs w:val="32"/>
        </w:rPr>
        <w:t>年</w:t>
      </w:r>
      <w:r w:rsidRPr="004E02A3">
        <w:rPr>
          <w:rFonts w:ascii="仿宋_GB2312" w:eastAsia="仿宋_GB2312" w:hint="eastAsia"/>
          <w:snapToGrid w:val="0"/>
          <w:sz w:val="32"/>
          <w:szCs w:val="32"/>
        </w:rPr>
        <w:t>检查一轮</w:t>
      </w:r>
      <w:r w:rsidRPr="004E02A3">
        <w:rPr>
          <w:rFonts w:ascii="仿宋_GB2312" w:eastAsia="仿宋_GB2312" w:hint="eastAsia"/>
          <w:snapToGrid w:val="0"/>
          <w:sz w:val="32"/>
          <w:szCs w:val="32"/>
        </w:rPr>
        <w:t>。</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对非重点税源企业，采取以定向抽查为主、辅以不定向抽查的方式，每年抽查比例不超过</w:t>
      </w:r>
      <w:r>
        <w:rPr>
          <w:rFonts w:ascii="仿宋_GB2312" w:eastAsia="仿宋_GB2312" w:hint="eastAsia"/>
          <w:snapToGrid w:val="0"/>
          <w:sz w:val="32"/>
          <w:szCs w:val="32"/>
        </w:rPr>
        <w:t>3%</w:t>
      </w:r>
      <w:r>
        <w:rPr>
          <w:rFonts w:ascii="仿宋_GB2312" w:eastAsia="仿宋_GB2312" w:hint="eastAsia"/>
          <w:snapToGrid w:val="0"/>
          <w:sz w:val="32"/>
          <w:szCs w:val="32"/>
        </w:rPr>
        <w:t>。</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对非企业纳税人，主要采取不定向抽查方式，每年抽查比例不超过</w:t>
      </w:r>
      <w:r>
        <w:rPr>
          <w:rFonts w:ascii="仿宋_GB2312" w:eastAsia="仿宋_GB2312" w:hint="eastAsia"/>
          <w:snapToGrid w:val="0"/>
          <w:sz w:val="32"/>
          <w:szCs w:val="32"/>
        </w:rPr>
        <w:t>1%</w:t>
      </w:r>
      <w:r>
        <w:rPr>
          <w:rFonts w:ascii="仿宋_GB2312" w:eastAsia="仿宋_GB2312" w:hint="eastAsia"/>
          <w:snapToGrid w:val="0"/>
          <w:sz w:val="32"/>
          <w:szCs w:val="32"/>
        </w:rPr>
        <w:t>。</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对列入税务稽查异常对象名录库的企业，要加大抽查力度，提高抽查比例和频次。</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3</w:t>
      </w:r>
      <w:r>
        <w:rPr>
          <w:rFonts w:ascii="仿宋_GB2312" w:eastAsia="仿宋_GB2312" w:hint="eastAsia"/>
          <w:snapToGrid w:val="0"/>
          <w:sz w:val="32"/>
          <w:szCs w:val="32"/>
        </w:rPr>
        <w:t>年内已被随机抽查的税务稽查对象，不列入随机抽查范围。</w:t>
      </w:r>
    </w:p>
    <w:p w:rsidR="00000000" w:rsidRPr="004E02A3" w:rsidRDefault="00731CF8">
      <w:pPr>
        <w:snapToGrid w:val="0"/>
        <w:spacing w:line="360" w:lineRule="auto"/>
        <w:ind w:firstLineChars="205" w:firstLine="656"/>
        <w:rPr>
          <w:rFonts w:ascii="楷体_GB2312" w:eastAsia="楷体_GB2312" w:hint="eastAsia"/>
          <w:snapToGrid w:val="0"/>
          <w:color w:val="FF0000"/>
          <w:sz w:val="32"/>
          <w:szCs w:val="32"/>
        </w:rPr>
      </w:pPr>
      <w:r>
        <w:rPr>
          <w:rFonts w:ascii="楷体_GB2312" w:eastAsia="楷体_GB2312" w:hint="eastAsia"/>
          <w:snapToGrid w:val="0"/>
          <w:sz w:val="32"/>
          <w:szCs w:val="32"/>
        </w:rPr>
        <w:t>（六）</w:t>
      </w:r>
      <w:r w:rsidRPr="004E02A3">
        <w:rPr>
          <w:rFonts w:ascii="楷体_GB2312" w:eastAsia="楷体_GB2312" w:hint="eastAsia"/>
          <w:snapToGrid w:val="0"/>
          <w:color w:val="FF0000"/>
          <w:sz w:val="32"/>
          <w:szCs w:val="32"/>
        </w:rPr>
        <w:t>随机和竞标选派执法检查人员</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各级税务局建立税务稽查执法检查人员分类名录库，实施动态管理。国家税务总局名录库人员由各省税务局推荐，国家税务总局稽查局审核确定。省</w:t>
      </w:r>
      <w:r w:rsidRPr="004E02A3">
        <w:rPr>
          <w:rFonts w:ascii="仿宋_GB2312" w:eastAsia="仿宋_GB2312" w:hint="eastAsia"/>
          <w:snapToGrid w:val="0"/>
          <w:sz w:val="32"/>
          <w:szCs w:val="32"/>
        </w:rPr>
        <w:t>、市、县税务局名录库应包括辖区内所有税务稽查执法检查人</w:t>
      </w:r>
      <w:r w:rsidRPr="004E02A3">
        <w:rPr>
          <w:rFonts w:ascii="仿宋_GB2312" w:eastAsia="仿宋_GB2312" w:hint="eastAsia"/>
          <w:snapToGrid w:val="0"/>
          <w:sz w:val="32"/>
          <w:szCs w:val="32"/>
        </w:rPr>
        <w:t>员。</w:t>
      </w:r>
      <w:r w:rsidRPr="004E02A3">
        <w:rPr>
          <w:rFonts w:ascii="仿宋_GB2312" w:eastAsia="仿宋_GB2312" w:hint="eastAsia"/>
          <w:snapToGrid w:val="0"/>
          <w:sz w:val="32"/>
          <w:szCs w:val="32"/>
        </w:rPr>
        <w:t>名录库应录入执法检查人员基本信息及其专长、业绩等情况，并按照执法检查人员擅长检查的行业、</w:t>
      </w:r>
      <w:r w:rsidRPr="004E02A3">
        <w:rPr>
          <w:rFonts w:ascii="仿宋_GB2312" w:eastAsia="仿宋_GB2312" w:hint="eastAsia"/>
          <w:snapToGrid w:val="0"/>
          <w:sz w:val="32"/>
          <w:szCs w:val="32"/>
        </w:rPr>
        <w:lastRenderedPageBreak/>
        <w:t>领域、税种、案件等进行分类。</w:t>
      </w:r>
      <w:r w:rsidRPr="004E02A3">
        <w:rPr>
          <w:rFonts w:ascii="仿宋_GB2312" w:eastAsia="仿宋_GB2312" w:hint="eastAsia"/>
          <w:snapToGrid w:val="0"/>
          <w:sz w:val="32"/>
          <w:szCs w:val="32"/>
        </w:rPr>
        <w:t>该项工作应</w:t>
      </w:r>
      <w:r>
        <w:rPr>
          <w:rFonts w:ascii="仿宋_GB2312" w:eastAsia="仿宋_GB2312" w:hint="eastAsia"/>
          <w:snapToGrid w:val="0"/>
          <w:sz w:val="32"/>
          <w:szCs w:val="32"/>
        </w:rPr>
        <w:t>于</w:t>
      </w:r>
      <w:r>
        <w:rPr>
          <w:rFonts w:ascii="仿宋_GB2312" w:eastAsia="仿宋_GB2312" w:hint="eastAsia"/>
          <w:snapToGrid w:val="0"/>
          <w:sz w:val="32"/>
          <w:szCs w:val="32"/>
        </w:rPr>
        <w:t>2015</w:t>
      </w:r>
      <w:r>
        <w:rPr>
          <w:rFonts w:ascii="仿宋_GB2312" w:eastAsia="仿宋_GB2312" w:hint="eastAsia"/>
          <w:snapToGrid w:val="0"/>
          <w:sz w:val="32"/>
          <w:szCs w:val="32"/>
        </w:rPr>
        <w:t>年</w:t>
      </w:r>
      <w:r>
        <w:rPr>
          <w:rFonts w:ascii="仿宋_GB2312" w:eastAsia="仿宋_GB2312" w:hint="eastAsia"/>
          <w:snapToGrid w:val="0"/>
          <w:sz w:val="32"/>
          <w:szCs w:val="32"/>
        </w:rPr>
        <w:t>12</w:t>
      </w:r>
      <w:r>
        <w:rPr>
          <w:rFonts w:ascii="仿宋_GB2312" w:eastAsia="仿宋_GB2312" w:hint="eastAsia"/>
          <w:snapToGrid w:val="0"/>
          <w:sz w:val="32"/>
          <w:szCs w:val="32"/>
        </w:rPr>
        <w:t>月</w:t>
      </w:r>
      <w:r>
        <w:rPr>
          <w:rFonts w:ascii="仿宋_GB2312" w:eastAsia="仿宋_GB2312" w:hint="eastAsia"/>
          <w:snapToGrid w:val="0"/>
          <w:sz w:val="32"/>
          <w:szCs w:val="32"/>
        </w:rPr>
        <w:t>31</w:t>
      </w:r>
      <w:r>
        <w:rPr>
          <w:rFonts w:ascii="仿宋_GB2312" w:eastAsia="仿宋_GB2312" w:hint="eastAsia"/>
          <w:snapToGrid w:val="0"/>
          <w:sz w:val="32"/>
          <w:szCs w:val="32"/>
        </w:rPr>
        <w:t>日前完成。</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实施抽查的执法检查人员，通过摇号方式，从税务稽查执法检查人员分类名录库中随机选派，也可以采取竞标等方式选派。执法检查人员应根据抽查内容，结合其专长进行选派。在一定周期内对同一抽查对象不得由同一执法检查人员实施检查。对同一抽查对象实施检查，选派执法检查人员不得少于</w:t>
      </w:r>
      <w:r>
        <w:rPr>
          <w:rFonts w:ascii="仿宋_GB2312" w:eastAsia="仿宋_GB2312" w:hint="eastAsia"/>
          <w:snapToGrid w:val="0"/>
          <w:sz w:val="32"/>
          <w:szCs w:val="32"/>
        </w:rPr>
        <w:t>2</w:t>
      </w:r>
      <w:r>
        <w:rPr>
          <w:rFonts w:ascii="仿宋_GB2312" w:eastAsia="仿宋_GB2312" w:hint="eastAsia"/>
          <w:snapToGrid w:val="0"/>
          <w:sz w:val="32"/>
          <w:szCs w:val="32"/>
        </w:rPr>
        <w:t>人。执法检查人员与抽查对象有利害关系的，应依法回避。</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（七）国税、地税开展联合抽查</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国税、地税机关建立税务稽查联合随机抽查机制，共同制订并实施联合抽查计划，确定重点抽查对象，实施联合稽查，同步入户执法，及时互通查获的情况，商讨解决疑难问题，准确定性处理。</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（八）实现抽查成果增值运用</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对随机抽查发现税收违法行为的税务稽查对象，综合运用经济惩戒、信用惩戒、联合惩戒和从严监管等措施，加大税收违法代价，加强抽查威慑力，引导纳税人自觉遵从税法，提高税收征管整体效能。抽查中发现的税收征管薄弱环节和税收政策缺陷，及时向相关部门反馈，强化工作成果增值运用。</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黑体" w:eastAsia="黑体" w:hint="eastAsia"/>
          <w:snapToGrid w:val="0"/>
          <w:sz w:val="32"/>
          <w:szCs w:val="32"/>
        </w:rPr>
        <w:t>三、保障措施</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（一）实行计划统筹管理</w:t>
      </w:r>
    </w:p>
    <w:p w:rsidR="00000000" w:rsidRDefault="00731CF8">
      <w:pPr>
        <w:snapToGrid w:val="0"/>
        <w:spacing w:line="360" w:lineRule="auto"/>
        <w:ind w:firstLineChars="205" w:firstLine="656"/>
        <w:rPr>
          <w:rFonts w:ascii="仿宋_GB2312" w:eastAsia="仿宋_GB2312" w:hAnsi="宋体" w:cs="宋体" w:hint="eastAsia"/>
          <w:sz w:val="32"/>
          <w:szCs w:val="32"/>
        </w:rPr>
      </w:pPr>
      <w:r>
        <w:rPr>
          <w:rFonts w:ascii="仿宋_GB2312" w:eastAsia="仿宋_GB2312" w:hint="eastAsia"/>
          <w:snapToGrid w:val="0"/>
          <w:sz w:val="32"/>
          <w:szCs w:val="32"/>
        </w:rPr>
        <w:lastRenderedPageBreak/>
        <w:t>科学安排年</w:t>
      </w:r>
      <w:r>
        <w:rPr>
          <w:rFonts w:ascii="仿宋_GB2312" w:eastAsia="仿宋_GB2312" w:hint="eastAsia"/>
          <w:snapToGrid w:val="0"/>
          <w:sz w:val="32"/>
          <w:szCs w:val="32"/>
        </w:rPr>
        <w:t>度税务稽查随机抽查工作计划，制订严密的具体实施方案，统筹考虑辖区内税务稽查对象数量、稽查资源配置、税收违法案件数量、工作任务计划及企业、行业分布结构等因素，合理确定年度定向抽查、不定向抽查的比例，保持各类税务稽查对象相对均衡。税务稽查部门的检查与税收征管部门的检查要相互协调，</w:t>
      </w:r>
      <w:r>
        <w:rPr>
          <w:rFonts w:ascii="仿宋_GB2312" w:eastAsia="仿宋_GB2312" w:hAnsi="宋体" w:cs="宋体" w:hint="eastAsia"/>
          <w:sz w:val="32"/>
          <w:szCs w:val="32"/>
        </w:rPr>
        <w:t>统筹安排实地检查事项，统一规范进户执法，避免多头重复检查和交叉重叠执法，切实解决检查任性、执法扰民、效率低下、影响形象问题。</w:t>
      </w:r>
      <w:r>
        <w:rPr>
          <w:rFonts w:ascii="仿宋_GB2312" w:eastAsia="仿宋_GB2312" w:hint="eastAsia"/>
          <w:snapToGrid w:val="0"/>
          <w:sz w:val="32"/>
          <w:szCs w:val="32"/>
        </w:rPr>
        <w:t>税务稽查部门与税收征管、大企业税收管理等部门要充分沟通配合，统筹协同做好国家税务总局、省税务局定点联系企业（列名</w:t>
      </w:r>
      <w:r>
        <w:rPr>
          <w:rFonts w:ascii="仿宋_GB2312" w:eastAsia="仿宋_GB2312" w:hint="eastAsia"/>
          <w:snapToGrid w:val="0"/>
          <w:sz w:val="32"/>
          <w:szCs w:val="32"/>
        </w:rPr>
        <w:t>企业）等重点税源企业抽查工作。</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（二）强化信息技术支持</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将税务稽查随机抽查纳入税收信息管理系统，运用信息技术手段确保其落实到位，并实现全程跟踪记录，运行透明，痕迹可查，效果可评，责任可追。税务稽查对象分类名录库和税务稽查异常对象名录库相关信息，通过税收信息管理系统在税务系统共享。国家税务总局和省税务局应加强税务稽查选案指标体系建设，加快定向抽查分析模型设计，并不断修正完善。该项工作应于</w:t>
      </w:r>
      <w:r>
        <w:rPr>
          <w:rFonts w:ascii="仿宋_GB2312" w:eastAsia="仿宋_GB2312" w:hint="eastAsia"/>
          <w:snapToGrid w:val="0"/>
          <w:sz w:val="32"/>
          <w:szCs w:val="32"/>
        </w:rPr>
        <w:t>2016</w:t>
      </w:r>
      <w:r>
        <w:rPr>
          <w:rFonts w:ascii="仿宋_GB2312" w:eastAsia="仿宋_GB2312" w:hint="eastAsia"/>
          <w:snapToGrid w:val="0"/>
          <w:sz w:val="32"/>
          <w:szCs w:val="32"/>
        </w:rPr>
        <w:t>年</w:t>
      </w:r>
      <w:r>
        <w:rPr>
          <w:rFonts w:ascii="仿宋_GB2312" w:eastAsia="仿宋_GB2312" w:hint="eastAsia"/>
          <w:snapToGrid w:val="0"/>
          <w:sz w:val="32"/>
          <w:szCs w:val="32"/>
        </w:rPr>
        <w:t>6</w:t>
      </w:r>
      <w:r>
        <w:rPr>
          <w:rFonts w:ascii="仿宋_GB2312" w:eastAsia="仿宋_GB2312" w:hint="eastAsia"/>
          <w:snapToGrid w:val="0"/>
          <w:sz w:val="32"/>
          <w:szCs w:val="32"/>
        </w:rPr>
        <w:t>月</w:t>
      </w:r>
      <w:r>
        <w:rPr>
          <w:rFonts w:ascii="仿宋_GB2312" w:eastAsia="仿宋_GB2312" w:hint="eastAsia"/>
          <w:snapToGrid w:val="0"/>
          <w:sz w:val="32"/>
          <w:szCs w:val="32"/>
        </w:rPr>
        <w:t>30</w:t>
      </w:r>
      <w:r>
        <w:rPr>
          <w:rFonts w:ascii="仿宋_GB2312" w:eastAsia="仿宋_GB2312" w:hint="eastAsia"/>
          <w:snapToGrid w:val="0"/>
          <w:sz w:val="32"/>
          <w:szCs w:val="32"/>
        </w:rPr>
        <w:t>日前取得阶段性成果。</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（三）加强纵向横向联动</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上级税务机关布置、安排、督办随机抽查事项，要严密跟踪，督促、</w:t>
      </w:r>
      <w:r>
        <w:rPr>
          <w:rFonts w:ascii="仿宋_GB2312" w:eastAsia="仿宋_GB2312" w:hint="eastAsia"/>
          <w:snapToGrid w:val="0"/>
          <w:sz w:val="32"/>
          <w:szCs w:val="32"/>
        </w:rPr>
        <w:t>指导实施稽查的税务机关开展工作，防止敷衍塞责和消极</w:t>
      </w:r>
      <w:r>
        <w:rPr>
          <w:rFonts w:ascii="仿宋_GB2312" w:eastAsia="仿宋_GB2312" w:hint="eastAsia"/>
          <w:snapToGrid w:val="0"/>
          <w:sz w:val="32"/>
          <w:szCs w:val="32"/>
        </w:rPr>
        <w:lastRenderedPageBreak/>
        <w:t>懈怠。下级税务机关对上级税务机关布置、安排、督办的随机抽查事项，应严格按照规定的时限和要求办理。随机抽查事项涉及其他地区的，相关地区税务机关应积极协助主办地区税务机关调查取证，不得推诿抵制和包庇袒护。积极参与当地人民政府协调组织的联合抽查，进一步加强与公安、海关、工商等部门执法协作。</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（四）推进与社会信用体系相衔接</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将税务稽查随机抽查结果纳入纳税信用和社会信用记录，按规定推送至全国信用信息共享交换平台和全国企业信用信息公示系统平台，与相关部门实现信息共享；将</w:t>
      </w:r>
      <w:r>
        <w:rPr>
          <w:rFonts w:ascii="仿宋_GB2312" w:eastAsia="仿宋_GB2312" w:hint="eastAsia"/>
          <w:snapToGrid w:val="0"/>
          <w:sz w:val="32"/>
          <w:szCs w:val="32"/>
        </w:rPr>
        <w:t>严重税收违法行为列入税收违法“黑名单”，实施联合惩戒，让失信者一处违法、处处受限。</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（五）接受社会监督</w:t>
      </w:r>
    </w:p>
    <w:p w:rsidR="00000000" w:rsidRPr="004E02A3" w:rsidRDefault="00731CF8">
      <w:pPr>
        <w:snapToGrid w:val="0"/>
        <w:spacing w:line="360" w:lineRule="auto"/>
        <w:ind w:firstLineChars="205" w:firstLine="656"/>
        <w:rPr>
          <w:rFonts w:ascii="仿宋_GB2312" w:eastAsia="仿宋_GB2312" w:hint="eastAsia"/>
          <w:snapToGrid w:val="0"/>
          <w:color w:val="FF0000"/>
          <w:sz w:val="32"/>
          <w:szCs w:val="32"/>
        </w:rPr>
      </w:pPr>
      <w:r w:rsidRPr="004E02A3">
        <w:rPr>
          <w:rFonts w:ascii="仿宋_GB2312" w:eastAsia="仿宋_GB2312" w:hint="eastAsia"/>
          <w:snapToGrid w:val="0"/>
          <w:color w:val="FF0000"/>
          <w:sz w:val="32"/>
          <w:szCs w:val="32"/>
        </w:rPr>
        <w:t>向社会公布税务稽查随机抽查的依据、主体、内容、方式等事项清单，公布抽查情况和抽查结果，自觉接受社会监督，扩大执法社会影响。</w:t>
      </w:r>
    </w:p>
    <w:p w:rsidR="00000000" w:rsidRDefault="00731CF8">
      <w:pPr>
        <w:snapToGrid w:val="0"/>
        <w:spacing w:line="360" w:lineRule="auto"/>
        <w:ind w:firstLineChars="205" w:firstLine="656"/>
        <w:rPr>
          <w:rFonts w:ascii="黑体" w:eastAsia="黑体" w:hint="eastAsia"/>
          <w:snapToGrid w:val="0"/>
          <w:sz w:val="32"/>
          <w:szCs w:val="32"/>
        </w:rPr>
      </w:pPr>
      <w:r>
        <w:rPr>
          <w:rFonts w:ascii="黑体" w:eastAsia="黑体" w:hint="eastAsia"/>
          <w:snapToGrid w:val="0"/>
          <w:sz w:val="32"/>
          <w:szCs w:val="32"/>
        </w:rPr>
        <w:t>四、工作要求</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（一）统一思想认识</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推进税务稽查随机抽查，是税务系统贯彻落实党中央、国务院关于深化行政体制改革，加快转变政府职能，推进简政放权、</w:t>
      </w:r>
      <w:r>
        <w:rPr>
          <w:rFonts w:ascii="仿宋_GB2312" w:eastAsia="仿宋_GB2312" w:hint="eastAsia"/>
          <w:snapToGrid w:val="0"/>
          <w:sz w:val="32"/>
          <w:szCs w:val="32"/>
        </w:rPr>
        <w:lastRenderedPageBreak/>
        <w:t>放管结合、优化服务的决策部署的重要举措。各级税务机关务必高度认识此项工作的重要性和必要性，创造性地落实工作部署和要求，充分发挥税务稽查职能作用</w:t>
      </w:r>
      <w:r>
        <w:rPr>
          <w:rFonts w:ascii="仿宋_GB2312" w:eastAsia="仿宋_GB2312" w:hint="eastAsia"/>
          <w:snapToGrid w:val="0"/>
          <w:sz w:val="32"/>
          <w:szCs w:val="32"/>
        </w:rPr>
        <w:t>，打击税收违法活动，整顿规范税收秩序，促进市场公平竞争，服务经济社会发展。</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（二）加强组织领导</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各级税务机关主要领导对税务稽查随机抽查工作要亲自抓，分管领导具体抓，税务稽查部门牵头落实，相关部门协作配合。根据本实施方案确定的抽查工作任务和目标，相应调整充实一线执法检查力量。加强对抽查工作的组织部署、督促指导和业绩考评，确保抽查工作顺利开展，取得明显实效。</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（三）强化责任落实</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明确工作进度要求，落实责任任务，一级抓一级，一级督一级，强化对税务稽查随机抽查工作的过程监控和绩效评价。各省税务局要根据本实施方案要求</w:t>
      </w:r>
      <w:r>
        <w:rPr>
          <w:rFonts w:ascii="仿宋_GB2312" w:eastAsia="仿宋_GB2312" w:hint="eastAsia"/>
          <w:snapToGrid w:val="0"/>
          <w:sz w:val="32"/>
          <w:szCs w:val="32"/>
        </w:rPr>
        <w:t>，具体细化辖区内推进随机抽查的任务和步骤，确保此项工作落到实处，抓出成效。要激励先进，鞭策后进，通过纳入绩效考核，对落实到位、成绩突出的单位和个人，按有关规定给予激励；对落实不力、成绩较差的单位和个人，按有关规定处理。</w:t>
      </w:r>
    </w:p>
    <w:p w:rsidR="00000000" w:rsidRDefault="00731CF8">
      <w:pPr>
        <w:snapToGrid w:val="0"/>
        <w:spacing w:line="360" w:lineRule="auto"/>
        <w:ind w:firstLineChars="205" w:firstLine="656"/>
        <w:rPr>
          <w:rFonts w:ascii="楷体_GB2312" w:eastAsia="楷体_GB2312" w:hint="eastAsia"/>
          <w:snapToGrid w:val="0"/>
          <w:sz w:val="32"/>
          <w:szCs w:val="32"/>
        </w:rPr>
      </w:pPr>
      <w:r>
        <w:rPr>
          <w:rFonts w:ascii="楷体_GB2312" w:eastAsia="楷体_GB2312" w:hint="eastAsia"/>
          <w:snapToGrid w:val="0"/>
          <w:sz w:val="32"/>
          <w:szCs w:val="32"/>
        </w:rPr>
        <w:t>（四）注重培训宣传</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lastRenderedPageBreak/>
        <w:t>加强税务稽查随机抽查业务培训和交流，转变执法理念，增强执法能力，组建专业团队。充分利用广播、电视、报刊、网络等多种渠道，广泛开展宣传报道，积极争取各界支持。加大相关税收政策法规解读力度，及时回应纳税人关切，解疑释惑，增进理解，促进和谐，为随机抽查工作顺利开展营造良好的氛围</w:t>
      </w:r>
      <w:r>
        <w:rPr>
          <w:rFonts w:ascii="仿宋_GB2312" w:eastAsia="仿宋_GB2312" w:hint="eastAsia"/>
          <w:snapToGrid w:val="0"/>
          <w:sz w:val="32"/>
          <w:szCs w:val="32"/>
        </w:rPr>
        <w:t>。</w:t>
      </w:r>
    </w:p>
    <w:p w:rsidR="00000000" w:rsidRDefault="00731CF8">
      <w:pPr>
        <w:snapToGrid w:val="0"/>
        <w:spacing w:line="360" w:lineRule="auto"/>
        <w:ind w:firstLineChars="205" w:firstLine="656"/>
        <w:rPr>
          <w:rFonts w:ascii="仿宋_GB2312" w:eastAsia="仿宋_GB2312" w:hint="eastAsia"/>
          <w:snapToGrid w:val="0"/>
          <w:sz w:val="32"/>
          <w:szCs w:val="32"/>
        </w:rPr>
      </w:pPr>
      <w:r>
        <w:rPr>
          <w:rFonts w:ascii="仿宋_GB2312" w:eastAsia="仿宋_GB2312" w:hint="eastAsia"/>
          <w:snapToGrid w:val="0"/>
          <w:sz w:val="32"/>
          <w:szCs w:val="32"/>
        </w:rPr>
        <w:t>各省税务局要按照本实施方案的要求，作出贯彻落实国办发〔</w:t>
      </w:r>
      <w:r>
        <w:rPr>
          <w:rFonts w:ascii="仿宋_GB2312" w:eastAsia="仿宋_GB2312" w:hint="eastAsia"/>
          <w:snapToGrid w:val="0"/>
          <w:sz w:val="32"/>
          <w:szCs w:val="32"/>
        </w:rPr>
        <w:t>2015</w:t>
      </w:r>
      <w:r>
        <w:rPr>
          <w:rFonts w:ascii="仿宋_GB2312" w:eastAsia="仿宋_GB2312" w:hint="eastAsia"/>
          <w:snapToGrid w:val="0"/>
          <w:sz w:val="32"/>
          <w:szCs w:val="32"/>
        </w:rPr>
        <w:t>〕</w:t>
      </w:r>
      <w:r>
        <w:rPr>
          <w:rFonts w:ascii="仿宋_GB2312" w:eastAsia="仿宋_GB2312" w:hint="eastAsia"/>
          <w:snapToGrid w:val="0"/>
          <w:sz w:val="32"/>
          <w:szCs w:val="32"/>
        </w:rPr>
        <w:t>58</w:t>
      </w:r>
      <w:r>
        <w:rPr>
          <w:rFonts w:ascii="仿宋_GB2312" w:eastAsia="仿宋_GB2312" w:hint="eastAsia"/>
          <w:snapToGrid w:val="0"/>
          <w:sz w:val="32"/>
          <w:szCs w:val="32"/>
        </w:rPr>
        <w:t>号文件和本实施方案的具体工作安排，于</w:t>
      </w:r>
      <w:r>
        <w:rPr>
          <w:rFonts w:ascii="仿宋_GB2312" w:eastAsia="仿宋_GB2312" w:hint="eastAsia"/>
          <w:snapToGrid w:val="0"/>
          <w:sz w:val="32"/>
          <w:szCs w:val="32"/>
        </w:rPr>
        <w:t>2015</w:t>
      </w:r>
      <w:r>
        <w:rPr>
          <w:rFonts w:ascii="仿宋_GB2312" w:eastAsia="仿宋_GB2312" w:hint="eastAsia"/>
          <w:snapToGrid w:val="0"/>
          <w:sz w:val="32"/>
          <w:szCs w:val="32"/>
        </w:rPr>
        <w:t>年</w:t>
      </w:r>
      <w:r>
        <w:rPr>
          <w:rFonts w:ascii="仿宋_GB2312" w:eastAsia="仿宋_GB2312" w:hint="eastAsia"/>
          <w:snapToGrid w:val="0"/>
          <w:sz w:val="32"/>
          <w:szCs w:val="32"/>
        </w:rPr>
        <w:t>9</w:t>
      </w:r>
      <w:r>
        <w:rPr>
          <w:rFonts w:ascii="仿宋_GB2312" w:eastAsia="仿宋_GB2312" w:hint="eastAsia"/>
          <w:snapToGrid w:val="0"/>
          <w:sz w:val="32"/>
          <w:szCs w:val="32"/>
        </w:rPr>
        <w:t>月</w:t>
      </w:r>
      <w:r>
        <w:rPr>
          <w:rFonts w:ascii="仿宋_GB2312" w:eastAsia="仿宋_GB2312" w:hint="eastAsia"/>
          <w:snapToGrid w:val="0"/>
          <w:sz w:val="32"/>
          <w:szCs w:val="32"/>
        </w:rPr>
        <w:t>15</w:t>
      </w:r>
      <w:r>
        <w:rPr>
          <w:rFonts w:ascii="仿宋_GB2312" w:eastAsia="仿宋_GB2312" w:hint="eastAsia"/>
          <w:snapToGrid w:val="0"/>
          <w:sz w:val="32"/>
          <w:szCs w:val="32"/>
        </w:rPr>
        <w:t>日前报送国家税务总局（稽查局）；后续工作进展及主要成果等情况，于每年</w:t>
      </w:r>
      <w:r>
        <w:rPr>
          <w:rFonts w:ascii="仿宋_GB2312" w:eastAsia="仿宋_GB2312" w:hint="eastAsia"/>
          <w:snapToGrid w:val="0"/>
          <w:sz w:val="32"/>
          <w:szCs w:val="32"/>
        </w:rPr>
        <w:t>7</w:t>
      </w:r>
      <w:r>
        <w:rPr>
          <w:rFonts w:ascii="仿宋_GB2312" w:eastAsia="仿宋_GB2312" w:hint="eastAsia"/>
          <w:snapToGrid w:val="0"/>
          <w:sz w:val="32"/>
          <w:szCs w:val="32"/>
        </w:rPr>
        <w:t>月</w:t>
      </w:r>
      <w:r>
        <w:rPr>
          <w:rFonts w:ascii="仿宋_GB2312" w:eastAsia="仿宋_GB2312" w:hint="eastAsia"/>
          <w:snapToGrid w:val="0"/>
          <w:sz w:val="32"/>
          <w:szCs w:val="32"/>
        </w:rPr>
        <w:t>1</w:t>
      </w:r>
      <w:r>
        <w:rPr>
          <w:rFonts w:ascii="仿宋_GB2312" w:eastAsia="仿宋_GB2312" w:hint="eastAsia"/>
          <w:snapToGrid w:val="0"/>
          <w:sz w:val="32"/>
          <w:szCs w:val="32"/>
        </w:rPr>
        <w:t>日前和</w:t>
      </w:r>
      <w:r>
        <w:rPr>
          <w:rFonts w:ascii="仿宋_GB2312" w:eastAsia="仿宋_GB2312" w:hint="eastAsia"/>
          <w:snapToGrid w:val="0"/>
          <w:sz w:val="32"/>
          <w:szCs w:val="32"/>
        </w:rPr>
        <w:t>12</w:t>
      </w:r>
      <w:r>
        <w:rPr>
          <w:rFonts w:ascii="仿宋_GB2312" w:eastAsia="仿宋_GB2312" w:hint="eastAsia"/>
          <w:snapToGrid w:val="0"/>
          <w:sz w:val="32"/>
          <w:szCs w:val="32"/>
        </w:rPr>
        <w:t>月</w:t>
      </w:r>
      <w:r>
        <w:rPr>
          <w:rFonts w:ascii="仿宋_GB2312" w:eastAsia="仿宋_GB2312" w:hint="eastAsia"/>
          <w:snapToGrid w:val="0"/>
          <w:sz w:val="32"/>
          <w:szCs w:val="32"/>
        </w:rPr>
        <w:t>31</w:t>
      </w:r>
      <w:r>
        <w:rPr>
          <w:rFonts w:ascii="仿宋_GB2312" w:eastAsia="仿宋_GB2312" w:hint="eastAsia"/>
          <w:snapToGrid w:val="0"/>
          <w:sz w:val="32"/>
          <w:szCs w:val="32"/>
        </w:rPr>
        <w:t>日前各报送一次。</w:t>
      </w:r>
    </w:p>
    <w:p w:rsidR="00000000" w:rsidRDefault="00731CF8">
      <w:pPr>
        <w:snapToGrid w:val="0"/>
        <w:spacing w:line="360" w:lineRule="auto"/>
        <w:rPr>
          <w:rFonts w:ascii="仿宋_GB2312" w:eastAsia="仿宋_GB2312" w:hint="eastAsia"/>
          <w:snapToGrid w:val="0"/>
          <w:sz w:val="32"/>
          <w:szCs w:val="32"/>
        </w:rPr>
      </w:pPr>
    </w:p>
    <w:p w:rsidR="00000000" w:rsidRDefault="00731CF8"/>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p w:rsidR="00000000" w:rsidRDefault="00731CF8">
      <w:pPr>
        <w:spacing w:line="360" w:lineRule="auto"/>
        <w:ind w:firstLineChars="196" w:firstLine="627"/>
        <w:rPr>
          <w:rFonts w:ascii="仿宋_GB2312" w:eastAsia="仿宋_GB2312" w:hAnsi="宋体" w:cs="宋体" w:hint="eastAsia"/>
          <w:sz w:val="32"/>
          <w:szCs w:val="32"/>
        </w:rPr>
      </w:pPr>
    </w:p>
    <w:tbl>
      <w:tblPr>
        <w:tblW w:w="0" w:type="auto"/>
        <w:tblInd w:w="108" w:type="dxa"/>
        <w:tblBorders>
          <w:bottom w:val="single" w:sz="12" w:space="0" w:color="auto"/>
          <w:insideH w:val="single" w:sz="12" w:space="0" w:color="auto"/>
        </w:tblBorders>
        <w:tblLayout w:type="fixed"/>
        <w:tblLook w:val="0000"/>
      </w:tblPr>
      <w:tblGrid>
        <w:gridCol w:w="4956"/>
        <w:gridCol w:w="3864"/>
      </w:tblGrid>
      <w:tr w:rsidR="00000000">
        <w:trPr>
          <w:trHeight w:val="567"/>
        </w:trPr>
        <w:tc>
          <w:tcPr>
            <w:tcW w:w="8820" w:type="dxa"/>
            <w:gridSpan w:val="2"/>
            <w:vAlign w:val="center"/>
          </w:tcPr>
          <w:p w:rsidR="00000000" w:rsidRDefault="00731CF8">
            <w:pPr>
              <w:ind w:leftChars="60" w:left="126" w:firstLine="170"/>
              <w:rPr>
                <w:rFonts w:ascii="仿宋_GB2312" w:eastAsia="仿宋_GB2312" w:hAnsi="宋体" w:cs="宋体" w:hint="eastAsia"/>
                <w:spacing w:val="-20"/>
                <w:sz w:val="32"/>
                <w:szCs w:val="32"/>
              </w:rPr>
            </w:pPr>
            <w:r>
              <w:rPr>
                <w:rFonts w:ascii="黑体" w:eastAsia="黑体" w:hAnsi="宋体" w:cs="宋体" w:hint="eastAsia"/>
                <w:spacing w:val="-20"/>
                <w:sz w:val="32"/>
                <w:szCs w:val="32"/>
              </w:rPr>
              <w:t>信息公开选项：主动公开</w:t>
            </w:r>
          </w:p>
        </w:tc>
      </w:tr>
      <w:tr w:rsidR="00000000">
        <w:trPr>
          <w:trHeight w:val="567"/>
        </w:trPr>
        <w:tc>
          <w:tcPr>
            <w:tcW w:w="8820" w:type="dxa"/>
            <w:gridSpan w:val="2"/>
            <w:tcBorders>
              <w:bottom w:val="single" w:sz="8" w:space="0" w:color="auto"/>
            </w:tcBorders>
            <w:vAlign w:val="center"/>
          </w:tcPr>
          <w:p w:rsidR="00000000" w:rsidRDefault="00731CF8" w:rsidP="00C21A10">
            <w:pPr>
              <w:spacing w:beforeLines="50" w:afterLines="50"/>
              <w:ind w:leftChars="142" w:left="886" w:rightChars="127" w:right="267" w:hangingChars="245" w:hanging="588"/>
              <w:rPr>
                <w:rFonts w:ascii="仿宋_GB2312" w:eastAsia="仿宋_GB2312" w:hAnsi="宋体" w:cs="宋体" w:hint="eastAsia"/>
                <w:spacing w:val="-20"/>
                <w:sz w:val="28"/>
                <w:szCs w:val="28"/>
              </w:rPr>
            </w:pPr>
            <w:r>
              <w:rPr>
                <w:rFonts w:ascii="仿宋_GB2312" w:eastAsia="仿宋_GB2312" w:hAnsi="宋体" w:cs="宋体" w:hint="eastAsia"/>
                <w:spacing w:val="-20"/>
                <w:sz w:val="28"/>
                <w:szCs w:val="28"/>
              </w:rPr>
              <w:t>抄送：国务院办公厅，国务院推进职能转变协调小组办公室。</w:t>
            </w:r>
          </w:p>
        </w:tc>
      </w:tr>
      <w:tr w:rsidR="00000000">
        <w:trPr>
          <w:trHeight w:val="567"/>
        </w:trPr>
        <w:tc>
          <w:tcPr>
            <w:tcW w:w="4956" w:type="dxa"/>
            <w:tcBorders>
              <w:top w:val="single" w:sz="8" w:space="0" w:color="auto"/>
            </w:tcBorders>
            <w:vAlign w:val="center"/>
          </w:tcPr>
          <w:p w:rsidR="00000000" w:rsidRDefault="00731CF8">
            <w:pPr>
              <w:tabs>
                <w:tab w:val="left" w:pos="8588"/>
              </w:tabs>
              <w:ind w:leftChars="142" w:left="886" w:rightChars="-51" w:right="-107" w:hangingChars="245" w:hanging="588"/>
              <w:rPr>
                <w:rFonts w:ascii="仿宋_GB2312" w:eastAsia="仿宋_GB2312" w:hAnsi="宋体" w:cs="宋体" w:hint="eastAsia"/>
                <w:spacing w:val="-20"/>
                <w:sz w:val="28"/>
                <w:szCs w:val="28"/>
              </w:rPr>
            </w:pPr>
            <w:r>
              <w:rPr>
                <w:rFonts w:ascii="仿宋_GB2312" w:eastAsia="仿宋_GB2312" w:hAnsi="宋体" w:cs="宋体" w:hint="eastAsia"/>
                <w:spacing w:val="-20"/>
                <w:sz w:val="28"/>
                <w:szCs w:val="28"/>
              </w:rPr>
              <w:t>国家税务总局稽查局承办</w:t>
            </w:r>
          </w:p>
        </w:tc>
        <w:tc>
          <w:tcPr>
            <w:tcW w:w="3864" w:type="dxa"/>
            <w:tcBorders>
              <w:top w:val="single" w:sz="8" w:space="0" w:color="auto"/>
            </w:tcBorders>
            <w:vAlign w:val="center"/>
          </w:tcPr>
          <w:p w:rsidR="00000000" w:rsidRDefault="00731CF8">
            <w:pPr>
              <w:tabs>
                <w:tab w:val="left" w:pos="8588"/>
              </w:tabs>
              <w:ind w:leftChars="102" w:left="310" w:rightChars="95" w:right="199" w:hangingChars="40" w:hanging="96"/>
              <w:jc w:val="right"/>
              <w:rPr>
                <w:rFonts w:ascii="仿宋_GB2312" w:eastAsia="仿宋_GB2312" w:hAnsi="宋体" w:cs="宋体" w:hint="eastAsia"/>
                <w:spacing w:val="-20"/>
                <w:sz w:val="28"/>
                <w:szCs w:val="28"/>
              </w:rPr>
            </w:pPr>
            <w:r>
              <w:rPr>
                <w:rFonts w:ascii="仿宋_GB2312" w:eastAsia="仿宋_GB2312" w:hAnsi="宋体" w:cs="宋体" w:hint="eastAsia"/>
                <w:spacing w:val="-20"/>
                <w:sz w:val="28"/>
                <w:szCs w:val="28"/>
              </w:rPr>
              <w:t>办公厅</w:t>
            </w:r>
            <w:r>
              <w:rPr>
                <w:rFonts w:ascii="仿宋_GB2312" w:eastAsia="仿宋_GB2312" w:hAnsi="宋体" w:cs="宋体" w:hint="eastAsia"/>
                <w:spacing w:val="-20"/>
                <w:sz w:val="28"/>
                <w:szCs w:val="28"/>
              </w:rPr>
              <w:t>2015</w:t>
            </w:r>
            <w:r>
              <w:rPr>
                <w:rFonts w:ascii="仿宋_GB2312" w:eastAsia="仿宋_GB2312" w:hAnsi="宋体" w:cs="宋体" w:hint="eastAsia"/>
                <w:spacing w:val="-20"/>
                <w:sz w:val="28"/>
                <w:szCs w:val="28"/>
              </w:rPr>
              <w:t>年</w:t>
            </w:r>
            <w:r>
              <w:rPr>
                <w:rFonts w:ascii="仿宋_GB2312" w:eastAsia="仿宋_GB2312" w:hAnsi="宋体" w:cs="宋体" w:hint="eastAsia"/>
                <w:spacing w:val="-20"/>
                <w:sz w:val="28"/>
                <w:szCs w:val="28"/>
              </w:rPr>
              <w:t>8</w:t>
            </w:r>
            <w:r>
              <w:rPr>
                <w:rFonts w:ascii="仿宋_GB2312" w:eastAsia="仿宋_GB2312" w:hAnsi="宋体" w:cs="宋体" w:hint="eastAsia"/>
                <w:spacing w:val="-20"/>
                <w:sz w:val="28"/>
                <w:szCs w:val="28"/>
              </w:rPr>
              <w:t>月</w:t>
            </w:r>
            <w:r>
              <w:rPr>
                <w:rFonts w:ascii="仿宋_GB2312" w:eastAsia="仿宋_GB2312" w:hAnsi="宋体" w:cs="宋体" w:hint="eastAsia"/>
                <w:spacing w:val="-20"/>
                <w:sz w:val="28"/>
                <w:szCs w:val="28"/>
              </w:rPr>
              <w:t>26</w:t>
            </w:r>
            <w:r>
              <w:rPr>
                <w:rFonts w:ascii="仿宋_GB2312" w:eastAsia="仿宋_GB2312" w:hAnsi="宋体" w:cs="宋体" w:hint="eastAsia"/>
                <w:spacing w:val="-20"/>
                <w:sz w:val="28"/>
                <w:szCs w:val="28"/>
              </w:rPr>
              <w:t>日印发</w:t>
            </w:r>
          </w:p>
        </w:tc>
      </w:tr>
    </w:tbl>
    <w:p w:rsidR="00731CF8" w:rsidRDefault="00731CF8">
      <w:pPr>
        <w:rPr>
          <w:rFonts w:hint="eastAsia"/>
        </w:rPr>
      </w:pPr>
    </w:p>
    <w:sectPr w:rsidR="00731CF8">
      <w:footerReference w:type="even" r:id="rId6"/>
      <w:footerReference w:type="default" r:id="rId7"/>
      <w:type w:val="continuous"/>
      <w:pgSz w:w="11907" w:h="16840"/>
      <w:pgMar w:top="2098" w:right="1474" w:bottom="1247" w:left="1588" w:header="567" w:footer="907" w:gutter="0"/>
      <w:pgNumType w:start="1"/>
      <w:cols w:space="720"/>
      <w:docGrid w:linePitch="613" w:charSpace="-183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1CF8" w:rsidRDefault="00731CF8" w:rsidP="00814C3B">
      <w:r>
        <w:separator/>
      </w:r>
    </w:p>
  </w:endnote>
  <w:endnote w:type="continuationSeparator" w:id="0">
    <w:p w:rsidR="00731CF8" w:rsidRDefault="00731CF8" w:rsidP="00814C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楷体_GB2312">
    <w:altName w:val="Arial Unicode MS"/>
    <w:charset w:val="86"/>
    <w:family w:val="modern"/>
    <w:pitch w:val="default"/>
    <w:sig w:usb0="00000000"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731CF8">
    <w:pPr>
      <w:pStyle w:val="a4"/>
      <w:framePr w:h="0" w:wrap="around" w:vAnchor="text" w:hAnchor="page" w:x="1681" w:y="-72"/>
      <w:ind w:rightChars="16" w:right="34" w:firstLineChars="100" w:firstLine="280"/>
      <w:rPr>
        <w:rStyle w:val="a3"/>
        <w:rFonts w:ascii="宋体" w:hAnsi="宋体" w:hint="eastAsia"/>
        <w:sz w:val="28"/>
        <w:szCs w:val="28"/>
      </w:rPr>
    </w:pPr>
    <w:r>
      <w:rPr>
        <w:rFonts w:ascii="宋体" w:hAnsi="宋体" w:hint="eastAsia"/>
        <w:sz w:val="28"/>
        <w:szCs w:val="28"/>
      </w:rPr>
      <w:t>—</w:t>
    </w:r>
    <w:r>
      <w:rPr>
        <w:rFonts w:ascii="宋体" w:hAnsi="宋体" w:hint="eastAsia"/>
        <w:sz w:val="28"/>
        <w:szCs w:val="28"/>
      </w:rPr>
      <w:t xml:space="preserve"> </w:t>
    </w:r>
    <w:r>
      <w:rPr>
        <w:rFonts w:ascii="宋体" w:hAnsi="宋体"/>
        <w:sz w:val="28"/>
        <w:szCs w:val="28"/>
      </w:rPr>
      <w:fldChar w:fldCharType="begin"/>
    </w:r>
    <w:r>
      <w:rPr>
        <w:rStyle w:val="a3"/>
        <w:rFonts w:ascii="宋体" w:hAnsi="宋体"/>
        <w:sz w:val="28"/>
        <w:szCs w:val="28"/>
      </w:rPr>
      <w:instrText xml:space="preserve">PAGE  </w:instrText>
    </w:r>
    <w:r>
      <w:rPr>
        <w:rFonts w:ascii="宋体" w:hAnsi="宋体"/>
        <w:sz w:val="28"/>
        <w:szCs w:val="28"/>
      </w:rPr>
      <w:fldChar w:fldCharType="separate"/>
    </w:r>
    <w:r w:rsidR="004E02A3">
      <w:rPr>
        <w:rStyle w:val="a3"/>
        <w:rFonts w:ascii="宋体" w:hAnsi="宋体"/>
        <w:noProof/>
        <w:sz w:val="28"/>
        <w:szCs w:val="28"/>
      </w:rPr>
      <w:t>10</w:t>
    </w:r>
    <w:r>
      <w:rPr>
        <w:rFonts w:ascii="宋体" w:hAnsi="宋体"/>
        <w:sz w:val="28"/>
        <w:szCs w:val="28"/>
      </w:rPr>
      <w:fldChar w:fldCharType="end"/>
    </w:r>
    <w:r>
      <w:rPr>
        <w:rStyle w:val="a3"/>
        <w:rFonts w:ascii="宋体" w:hAnsi="宋体" w:hint="eastAsia"/>
        <w:sz w:val="28"/>
        <w:szCs w:val="28"/>
      </w:rPr>
      <w:t xml:space="preserve"> </w:t>
    </w:r>
    <w:r>
      <w:rPr>
        <w:rStyle w:val="a3"/>
        <w:rFonts w:ascii="宋体" w:hAnsi="宋体" w:hint="eastAsia"/>
        <w:sz w:val="28"/>
        <w:szCs w:val="28"/>
      </w:rPr>
      <w:t>—</w:t>
    </w:r>
  </w:p>
  <w:p w:rsidR="00000000" w:rsidRDefault="00731CF8">
    <w:pPr>
      <w:pStyle w:val="a4"/>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731CF8">
    <w:pPr>
      <w:pStyle w:val="a4"/>
      <w:framePr w:h="0" w:wrap="around" w:vAnchor="text" w:hAnchor="page" w:x="8791" w:y="-26"/>
      <w:tabs>
        <w:tab w:val="left" w:pos="1206"/>
      </w:tabs>
      <w:ind w:rightChars="16" w:right="34" w:firstLineChars="121" w:firstLine="339"/>
      <w:rPr>
        <w:rStyle w:val="a3"/>
        <w:rFonts w:ascii="宋体" w:hAnsi="宋体" w:hint="eastAsia"/>
        <w:sz w:val="28"/>
        <w:szCs w:val="28"/>
      </w:rPr>
    </w:pPr>
    <w:r>
      <w:rPr>
        <w:rFonts w:ascii="宋体" w:hAnsi="宋体" w:hint="eastAsia"/>
        <w:sz w:val="28"/>
        <w:szCs w:val="28"/>
      </w:rPr>
      <w:t>—</w:t>
    </w:r>
    <w:r>
      <w:rPr>
        <w:rFonts w:ascii="宋体" w:hAnsi="宋体" w:hint="eastAsia"/>
        <w:sz w:val="28"/>
        <w:szCs w:val="28"/>
      </w:rPr>
      <w:t xml:space="preserve"> </w:t>
    </w:r>
    <w:r>
      <w:rPr>
        <w:rFonts w:ascii="宋体" w:hAnsi="宋体"/>
        <w:sz w:val="28"/>
        <w:szCs w:val="28"/>
      </w:rPr>
      <w:fldChar w:fldCharType="begin"/>
    </w:r>
    <w:r>
      <w:rPr>
        <w:rStyle w:val="a3"/>
        <w:rFonts w:ascii="宋体" w:hAnsi="宋体"/>
        <w:sz w:val="28"/>
        <w:szCs w:val="28"/>
      </w:rPr>
      <w:instrText xml:space="preserve">PAGE  </w:instrText>
    </w:r>
    <w:r>
      <w:rPr>
        <w:rFonts w:ascii="宋体" w:hAnsi="宋体"/>
        <w:sz w:val="28"/>
        <w:szCs w:val="28"/>
      </w:rPr>
      <w:fldChar w:fldCharType="separate"/>
    </w:r>
    <w:r w:rsidR="004E02A3">
      <w:rPr>
        <w:rStyle w:val="a3"/>
        <w:rFonts w:ascii="宋体" w:hAnsi="宋体"/>
        <w:noProof/>
        <w:sz w:val="28"/>
        <w:szCs w:val="28"/>
      </w:rPr>
      <w:t>9</w:t>
    </w:r>
    <w:r>
      <w:rPr>
        <w:rFonts w:ascii="宋体" w:hAnsi="宋体"/>
        <w:sz w:val="28"/>
        <w:szCs w:val="28"/>
      </w:rPr>
      <w:fldChar w:fldCharType="end"/>
    </w:r>
    <w:r>
      <w:rPr>
        <w:rStyle w:val="a3"/>
        <w:rFonts w:ascii="宋体" w:hAnsi="宋体" w:hint="eastAsia"/>
        <w:sz w:val="28"/>
        <w:szCs w:val="28"/>
      </w:rPr>
      <w:t xml:space="preserve"> </w:t>
    </w:r>
    <w:r>
      <w:rPr>
        <w:rStyle w:val="a3"/>
        <w:rFonts w:ascii="宋体" w:hAnsi="宋体" w:hint="eastAsia"/>
        <w:sz w:val="28"/>
        <w:szCs w:val="28"/>
      </w:rPr>
      <w:t>—</w:t>
    </w:r>
  </w:p>
  <w:p w:rsidR="00000000" w:rsidRDefault="00731CF8">
    <w:pPr>
      <w:pStyle w:val="a4"/>
      <w:ind w:right="360" w:firstLine="360"/>
      <w:jc w:val="right"/>
      <w:rPr>
        <w:rFonts w:hint="eastAsia"/>
        <w:sz w:val="24"/>
      </w:rPr>
    </w:pPr>
    <w:r>
      <w:rPr>
        <w:rStyle w:val="a3"/>
        <w:rFonts w:hint="eastAsia"/>
      </w:rPr>
      <w:t xml:space="preserve">           </w:t>
    </w:r>
    <w:r>
      <w:rPr>
        <w:rStyle w:val="a3"/>
        <w:rFonts w:hint="eastAsia"/>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1CF8" w:rsidRDefault="00731CF8" w:rsidP="00814C3B">
      <w:r>
        <w:separator/>
      </w:r>
    </w:p>
  </w:footnote>
  <w:footnote w:type="continuationSeparator" w:id="0">
    <w:p w:rsidR="00731CF8" w:rsidRDefault="00731CF8" w:rsidP="00814C3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efaultTabStop w:val="420"/>
  <w:evenAndOddHeaders/>
  <w:drawingGridHorizontalSpacing w:val="0"/>
  <w:drawingGridVerticalSpacing w:val="156"/>
  <w:displayHorizontalDrawingGridEvery w:val="0"/>
  <w:displayVerticalDrawingGridEvery w:val="2"/>
  <w:characterSpacingControl w:val="compressPunctuation"/>
  <w:doNotValidateAgainstSchema/>
  <w:doNotDemarcateInvalidXml/>
  <w:hdrShapeDefaults>
    <o:shapedefaults v:ext="edit" spidmax="3074"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2A27"/>
    <w:rsid w:val="004E02A3"/>
    <w:rsid w:val="00731CF8"/>
    <w:rsid w:val="00C21A1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lsdException w:name="Table Grid"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overflowPunct w:val="0"/>
      <w:autoSpaceDE w:val="0"/>
      <w:autoSpaceDN w:val="0"/>
      <w:adjustRightInd w:val="0"/>
      <w:jc w:val="both"/>
      <w:textAlignment w:val="baseline"/>
    </w:pPr>
    <w:rPr>
      <w:sz w:val="21"/>
    </w:rPr>
  </w:style>
  <w:style w:type="paragraph" w:styleId="1">
    <w:name w:val="heading 1"/>
    <w:basedOn w:val="a"/>
    <w:next w:val="a"/>
    <w:qFormat/>
    <w:pPr>
      <w:keepNext/>
      <w:keepLines/>
      <w:pageBreakBefore/>
      <w:spacing w:line="600" w:lineRule="exact"/>
      <w:jc w:val="center"/>
      <w:outlineLvl w:val="0"/>
    </w:pPr>
    <w:rPr>
      <w:rFonts w:ascii="Helvetica" w:eastAsia="华文中宋" w:hAnsi="Helvetica"/>
      <w:b/>
      <w:bCs/>
      <w:kern w:val="44"/>
      <w:sz w:val="44"/>
      <w:szCs w:val="100"/>
      <w:lang w:val="en-GB"/>
    </w:rPr>
  </w:style>
  <w:style w:type="paragraph" w:styleId="2">
    <w:name w:val="heading 2"/>
    <w:basedOn w:val="a"/>
    <w:next w:val="a"/>
    <w:qFormat/>
    <w:pPr>
      <w:keepNext/>
      <w:keepLines/>
      <w:spacing w:line="600" w:lineRule="exact"/>
      <w:jc w:val="center"/>
      <w:outlineLvl w:val="1"/>
    </w:pPr>
    <w:rPr>
      <w:rFonts w:ascii="Arial" w:eastAsia="楷体_GB2312" w:hAnsi="Arial"/>
      <w:b/>
      <w:bCs/>
      <w:sz w:val="32"/>
      <w:szCs w:val="32"/>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style>
  <w:style w:type="paragraph" w:styleId="10">
    <w:name w:val="toc 1"/>
    <w:basedOn w:val="a"/>
    <w:next w:val="a"/>
    <w:qFormat/>
    <w:pPr>
      <w:tabs>
        <w:tab w:val="right" w:leader="dot" w:pos="8296"/>
      </w:tabs>
      <w:spacing w:line="360" w:lineRule="auto"/>
      <w:jc w:val="left"/>
    </w:pPr>
    <w:rPr>
      <w:rFonts w:ascii="仿宋_GB2312" w:hAnsi="华文中宋"/>
      <w:bCs/>
      <w:sz w:val="32"/>
      <w:szCs w:val="32"/>
    </w:rPr>
  </w:style>
  <w:style w:type="paragraph" w:styleId="a4">
    <w:name w:val="footer"/>
    <w:basedOn w:val="a"/>
    <w:pPr>
      <w:tabs>
        <w:tab w:val="center" w:pos="4153"/>
        <w:tab w:val="right" w:pos="8306"/>
      </w:tabs>
    </w:pPr>
    <w:rPr>
      <w:sz w:val="20"/>
    </w:rPr>
  </w:style>
  <w:style w:type="paragraph" w:styleId="a5">
    <w:name w:val="Balloon Text"/>
    <w:basedOn w:val="a"/>
    <w:semiHidden/>
    <w:rPr>
      <w:sz w:val="18"/>
      <w:szCs w:val="18"/>
    </w:rPr>
  </w:style>
  <w:style w:type="paragraph" w:styleId="a6">
    <w:name w:val="header"/>
    <w:basedOn w:val="a"/>
    <w:link w:val="Char"/>
    <w:rsid w:val="00C21A1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C21A10"/>
    <w:rPr>
      <w:sz w:val="18"/>
      <w:szCs w:val="18"/>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719</Words>
  <Characters>4101</Characters>
  <Application>Microsoft Office Word</Application>
  <DocSecurity>0</DocSecurity>
  <PresentationFormat/>
  <Lines>34</Lines>
  <Paragraphs>9</Paragraphs>
  <Slides>0</Slides>
  <Notes>0</Notes>
  <HiddenSlides>0</HiddenSlides>
  <MMClips>0</MMClips>
  <ScaleCrop>false</ScaleCrop>
  <Company>微软中国</Company>
  <LinksUpToDate>false</LinksUpToDate>
  <CharactersWithSpaces>4811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特 急</dc:title>
  <dc:creator>zh</dc:creator>
  <cp:lastModifiedBy> </cp:lastModifiedBy>
  <cp:revision>3</cp:revision>
  <dcterms:created xsi:type="dcterms:W3CDTF">2021-12-09T06:33:00Z</dcterms:created>
  <dcterms:modified xsi:type="dcterms:W3CDTF">2021-12-09T06:37:00Z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2052-9.1.0.4843</vt:lpwstr>
  </property>
</Properties>
</file>