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cs="宋体"/>
          <w:b/>
          <w:color w:val="auto"/>
          <w:sz w:val="100"/>
          <w:szCs w:val="100"/>
          <w:highlight w:val="none"/>
        </w:rPr>
      </w:pPr>
    </w:p>
    <w:p>
      <w:pPr>
        <w:jc w:val="center"/>
        <w:rPr>
          <w:rFonts w:ascii="黑体" w:hAnsi="黑体" w:eastAsia="黑体" w:cs="黑体"/>
          <w:bCs/>
          <w:color w:val="auto"/>
          <w:sz w:val="100"/>
          <w:szCs w:val="100"/>
          <w:highlight w:val="none"/>
        </w:rPr>
      </w:pPr>
      <w:r>
        <w:rPr>
          <w:rFonts w:hint="eastAsia" w:ascii="黑体" w:hAnsi="黑体" w:eastAsia="黑体" w:cs="黑体"/>
          <w:bCs/>
          <w:color w:val="auto"/>
          <w:sz w:val="100"/>
          <w:szCs w:val="100"/>
          <w:highlight w:val="none"/>
        </w:rPr>
        <w:t>政府采购</w:t>
      </w:r>
    </w:p>
    <w:p>
      <w:pPr>
        <w:jc w:val="center"/>
        <w:rPr>
          <w:rFonts w:cs="宋体"/>
          <w:b/>
          <w:color w:val="auto"/>
          <w:szCs w:val="18"/>
          <w:highlight w:val="none"/>
        </w:rPr>
      </w:pPr>
      <w:r>
        <w:rPr>
          <w:rFonts w:hint="eastAsia" w:ascii="黑体" w:hAnsi="黑体" w:eastAsia="黑体" w:cs="黑体"/>
          <w:bCs/>
          <w:color w:val="auto"/>
          <w:sz w:val="72"/>
          <w:szCs w:val="72"/>
          <w:highlight w:val="none"/>
        </w:rPr>
        <w:t>公开招标文件</w:t>
      </w:r>
    </w:p>
    <w:p>
      <w:pPr>
        <w:snapToGrid w:val="0"/>
        <w:jc w:val="center"/>
        <w:rPr>
          <w:rFonts w:eastAsia="黑体"/>
          <w:b/>
          <w:bCs/>
          <w:color w:val="auto"/>
          <w:highlight w:val="none"/>
        </w:rPr>
      </w:pPr>
    </w:p>
    <w:p>
      <w:pPr>
        <w:snapToGrid w:val="0"/>
        <w:jc w:val="center"/>
        <w:rPr>
          <w:rFonts w:eastAsia="黑体"/>
          <w:b/>
          <w:bCs/>
          <w:color w:val="auto"/>
          <w:highlight w:val="none"/>
        </w:rPr>
      </w:pPr>
    </w:p>
    <w:p>
      <w:pPr>
        <w:pStyle w:val="7"/>
        <w:spacing w:line="360" w:lineRule="auto"/>
        <w:rPr>
          <w:rFonts w:eastAsia="仿宋_GB2312"/>
          <w:color w:val="auto"/>
          <w:sz w:val="28"/>
          <w:szCs w:val="28"/>
          <w:highlight w:val="none"/>
        </w:rPr>
      </w:pPr>
    </w:p>
    <w:p>
      <w:pPr>
        <w:pStyle w:val="7"/>
        <w:spacing w:line="360" w:lineRule="auto"/>
        <w:rPr>
          <w:rFonts w:eastAsia="仿宋_GB2312"/>
          <w:color w:val="auto"/>
          <w:sz w:val="28"/>
          <w:szCs w:val="28"/>
          <w:highlight w:val="none"/>
        </w:rPr>
      </w:pPr>
    </w:p>
    <w:p>
      <w:pPr>
        <w:snapToGrid w:val="0"/>
        <w:jc w:val="center"/>
        <w:rPr>
          <w:rFonts w:eastAsia="黑体"/>
          <w:b/>
          <w:bCs/>
          <w:color w:val="auto"/>
          <w:highlight w:val="none"/>
        </w:rPr>
      </w:pPr>
    </w:p>
    <w:p>
      <w:pPr>
        <w:tabs>
          <w:tab w:val="left" w:pos="424"/>
        </w:tabs>
        <w:adjustRightInd w:val="0"/>
        <w:snapToGrid w:val="0"/>
        <w:spacing w:line="480" w:lineRule="auto"/>
        <w:jc w:val="center"/>
        <w:rPr>
          <w:rFonts w:hint="eastAsia" w:eastAsia="黑体"/>
          <w:color w:val="auto"/>
          <w:sz w:val="32"/>
          <w:szCs w:val="32"/>
          <w:highlight w:val="none"/>
          <w:u w:val="single"/>
          <w:lang w:eastAsia="zh-CN"/>
        </w:rPr>
      </w:pPr>
      <w:r>
        <w:rPr>
          <w:rFonts w:eastAsia="黑体"/>
          <w:color w:val="auto"/>
          <w:sz w:val="32"/>
          <w:szCs w:val="32"/>
          <w:highlight w:val="none"/>
        </w:rPr>
        <w:t>项目名称：</w:t>
      </w:r>
      <w:r>
        <w:rPr>
          <w:rFonts w:hint="eastAsia" w:eastAsia="黑体"/>
          <w:color w:val="auto"/>
          <w:sz w:val="32"/>
          <w:szCs w:val="32"/>
          <w:highlight w:val="none"/>
          <w:lang w:eastAsia="zh-CN"/>
        </w:rPr>
        <w:t>国家税务总局黑龙江省税务局网络可信身份体系服务与应用系统数据安全服务项目</w:t>
      </w:r>
    </w:p>
    <w:p>
      <w:pPr>
        <w:adjustRightInd w:val="0"/>
        <w:snapToGrid w:val="0"/>
        <w:spacing w:line="480" w:lineRule="auto"/>
        <w:jc w:val="center"/>
        <w:rPr>
          <w:rFonts w:hint="eastAsia" w:eastAsia="黑体"/>
          <w:color w:val="auto"/>
          <w:sz w:val="32"/>
          <w:szCs w:val="32"/>
          <w:highlight w:val="none"/>
          <w:u w:val="single"/>
          <w:lang w:eastAsia="zh-CN"/>
        </w:rPr>
      </w:pPr>
      <w:r>
        <w:rPr>
          <w:rFonts w:eastAsia="黑体"/>
          <w:color w:val="auto"/>
          <w:sz w:val="32"/>
          <w:szCs w:val="32"/>
          <w:highlight w:val="none"/>
        </w:rPr>
        <w:t>项目编号：</w:t>
      </w:r>
      <w:r>
        <w:rPr>
          <w:rFonts w:hint="eastAsia" w:eastAsia="黑体"/>
          <w:color w:val="auto"/>
          <w:sz w:val="32"/>
          <w:szCs w:val="32"/>
          <w:highlight w:val="none"/>
          <w:lang w:eastAsia="zh-CN"/>
        </w:rPr>
        <w:t xml:space="preserve">HTCL-ZB-233159 </w:t>
      </w:r>
    </w:p>
    <w:p>
      <w:pPr>
        <w:snapToGrid w:val="0"/>
        <w:jc w:val="center"/>
        <w:rPr>
          <w:rFonts w:eastAsia="黑体"/>
          <w:b/>
          <w:bCs/>
          <w:color w:val="auto"/>
          <w:sz w:val="32"/>
          <w:szCs w:val="32"/>
          <w:highlight w:val="none"/>
        </w:rPr>
      </w:pPr>
    </w:p>
    <w:p>
      <w:pPr>
        <w:snapToGrid w:val="0"/>
        <w:jc w:val="center"/>
        <w:rPr>
          <w:rFonts w:eastAsia="黑体"/>
          <w:b/>
          <w:bCs/>
          <w:color w:val="auto"/>
          <w:highlight w:val="none"/>
        </w:rPr>
      </w:pPr>
    </w:p>
    <w:p>
      <w:pPr>
        <w:snapToGrid w:val="0"/>
        <w:jc w:val="center"/>
        <w:rPr>
          <w:rFonts w:eastAsia="黑体"/>
          <w:b/>
          <w:bCs/>
          <w:color w:val="auto"/>
          <w:highlight w:val="none"/>
        </w:rPr>
      </w:pPr>
    </w:p>
    <w:p>
      <w:pPr>
        <w:snapToGrid w:val="0"/>
        <w:jc w:val="center"/>
        <w:rPr>
          <w:rFonts w:eastAsia="黑体"/>
          <w:b/>
          <w:bCs/>
          <w:color w:val="auto"/>
          <w:highlight w:val="none"/>
        </w:rPr>
      </w:pPr>
    </w:p>
    <w:p>
      <w:pPr>
        <w:snapToGrid w:val="0"/>
        <w:jc w:val="center"/>
        <w:rPr>
          <w:rFonts w:eastAsia="黑体"/>
          <w:b/>
          <w:bCs/>
          <w:color w:val="auto"/>
          <w:highlight w:val="none"/>
        </w:rPr>
      </w:pPr>
    </w:p>
    <w:p>
      <w:pPr>
        <w:snapToGrid w:val="0"/>
        <w:jc w:val="center"/>
        <w:rPr>
          <w:rFonts w:eastAsia="黑体"/>
          <w:color w:val="auto"/>
          <w:sz w:val="28"/>
          <w:szCs w:val="28"/>
          <w:highlight w:val="none"/>
        </w:rPr>
      </w:pPr>
      <w:r>
        <w:rPr>
          <w:rFonts w:eastAsia="黑体"/>
          <w:color w:val="auto"/>
          <w:sz w:val="28"/>
          <w:szCs w:val="28"/>
          <w:highlight w:val="none"/>
        </w:rPr>
        <w:t>黑龙江省</w:t>
      </w:r>
      <w:r>
        <w:rPr>
          <w:rFonts w:hint="eastAsia" w:eastAsia="黑体"/>
          <w:color w:val="auto"/>
          <w:sz w:val="28"/>
          <w:szCs w:val="28"/>
          <w:highlight w:val="none"/>
        </w:rPr>
        <w:t>招标有限公司</w:t>
      </w:r>
    </w:p>
    <w:p>
      <w:pPr>
        <w:widowControl/>
        <w:snapToGrid w:val="0"/>
        <w:jc w:val="center"/>
        <w:rPr>
          <w:rFonts w:eastAsia="黑体"/>
          <w:color w:val="auto"/>
          <w:kern w:val="0"/>
          <w:sz w:val="28"/>
          <w:szCs w:val="28"/>
          <w:highlight w:val="none"/>
        </w:rPr>
      </w:pPr>
      <w:r>
        <w:rPr>
          <w:rFonts w:hint="eastAsia" w:eastAsia="黑体"/>
          <w:color w:val="auto"/>
          <w:sz w:val="32"/>
          <w:szCs w:val="32"/>
          <w:highlight w:val="none"/>
          <w:u w:val="single"/>
        </w:rPr>
        <w:t>202</w:t>
      </w:r>
      <w:r>
        <w:rPr>
          <w:rFonts w:hint="eastAsia" w:eastAsia="黑体"/>
          <w:color w:val="auto"/>
          <w:sz w:val="32"/>
          <w:szCs w:val="32"/>
          <w:highlight w:val="none"/>
          <w:u w:val="single"/>
          <w:lang w:val="en-US" w:eastAsia="zh-CN"/>
        </w:rPr>
        <w:t>3</w:t>
      </w:r>
      <w:r>
        <w:rPr>
          <w:rFonts w:hint="eastAsia" w:eastAsia="黑体"/>
          <w:color w:val="auto"/>
          <w:kern w:val="0"/>
          <w:sz w:val="28"/>
          <w:szCs w:val="28"/>
          <w:highlight w:val="none"/>
        </w:rPr>
        <w:t>年</w:t>
      </w:r>
      <w:r>
        <w:rPr>
          <w:rFonts w:hint="eastAsia" w:eastAsia="黑体"/>
          <w:color w:val="auto"/>
          <w:sz w:val="32"/>
          <w:szCs w:val="32"/>
          <w:highlight w:val="none"/>
          <w:u w:val="single"/>
          <w:lang w:val="en-US" w:eastAsia="zh-CN"/>
        </w:rPr>
        <w:t>8</w:t>
      </w:r>
      <w:r>
        <w:rPr>
          <w:rFonts w:hint="eastAsia" w:eastAsia="黑体"/>
          <w:color w:val="auto"/>
          <w:kern w:val="0"/>
          <w:sz w:val="28"/>
          <w:szCs w:val="28"/>
          <w:highlight w:val="none"/>
        </w:rPr>
        <w:t>月</w:t>
      </w:r>
    </w:p>
    <w:p>
      <w:pPr>
        <w:jc w:val="center"/>
        <w:rPr>
          <w:rFonts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15"/>
        <w:tabs>
          <w:tab w:val="right" w:leader="dot" w:pos="8300"/>
        </w:tabs>
        <w:spacing w:line="240" w:lineRule="auto"/>
        <w:jc w:val="center"/>
        <w:rPr>
          <w:rFonts w:ascii="黑体" w:hAnsi="黑体" w:eastAsia="黑体" w:cs="黑体"/>
          <w:b w:val="0"/>
          <w:bCs w:val="0"/>
          <w:color w:val="auto"/>
          <w:sz w:val="44"/>
          <w:szCs w:val="44"/>
          <w:highlight w:val="none"/>
        </w:rPr>
      </w:pPr>
      <w:r>
        <w:rPr>
          <w:rFonts w:hint="eastAsia" w:ascii="黑体" w:hAnsi="黑体" w:eastAsia="黑体" w:cs="黑体"/>
          <w:b w:val="0"/>
          <w:bCs w:val="0"/>
          <w:color w:val="auto"/>
          <w:sz w:val="44"/>
          <w:szCs w:val="44"/>
          <w:highlight w:val="none"/>
        </w:rPr>
        <w:t>目录</w:t>
      </w:r>
    </w:p>
    <w:p>
      <w:pPr>
        <w:pStyle w:val="15"/>
        <w:tabs>
          <w:tab w:val="right" w:leader="dot" w:pos="8296"/>
        </w:tabs>
        <w:rPr>
          <w:rFonts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color w:val="auto"/>
          <w:highlight w:val="none"/>
        </w:rPr>
        <w:fldChar w:fldCharType="begin"/>
      </w:r>
      <w:r>
        <w:rPr>
          <w:color w:val="auto"/>
          <w:highlight w:val="none"/>
        </w:rPr>
        <w:instrText xml:space="preserve"> HYPERLINK \l "_Toc78962470" </w:instrText>
      </w:r>
      <w:r>
        <w:rPr>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"_Toc78962471" </w:instrText>
      </w:r>
      <w:r>
        <w:rPr>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"_Toc78962472" </w:instrText>
      </w:r>
      <w:r>
        <w:rPr>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"_Toc78962473" </w:instrText>
      </w:r>
      <w:r>
        <w:rPr>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"_Toc78962474" </w:instrText>
      </w:r>
      <w:r>
        <w:rPr>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"_Toc78962475" </w:instrText>
      </w:r>
      <w:r>
        <w:rPr>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1"/>
        <w:tabs>
          <w:tab w:val="right" w:leader="dot" w:pos="8306"/>
        </w:tabs>
        <w:spacing w:line="600" w:lineRule="exact"/>
        <w:rPr>
          <w:rFonts w:eastAsia="仿宋_GB2312" w:cs="仿宋_GB2312"/>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cs="宋体"/>
          <w:color w:val="auto"/>
          <w:sz w:val="21"/>
          <w:szCs w:val="21"/>
          <w:highlight w:val="none"/>
        </w:rPr>
        <w:fldChar w:fldCharType="end"/>
      </w:r>
    </w:p>
    <w:p>
      <w:pPr>
        <w:pStyle w:val="2"/>
        <w:rPr>
          <w:color w:val="auto"/>
          <w:highlight w:val="none"/>
        </w:rPr>
      </w:pPr>
      <w:bookmarkStart w:id="0" w:name="_Toc15817"/>
      <w:bookmarkStart w:id="1" w:name="_Toc1124_WPSOffice_Level1"/>
      <w:bookmarkStart w:id="2" w:name="_Toc78902190"/>
      <w:r>
        <w:rPr>
          <w:rFonts w:hint="eastAsia"/>
          <w:color w:val="auto"/>
          <w:highlight w:val="none"/>
        </w:rPr>
        <w:t>招标公告</w:t>
      </w:r>
      <w:bookmarkEnd w:id="0"/>
      <w:bookmarkEnd w:id="1"/>
      <w:bookmarkEnd w:id="2"/>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5000" w:type="pct"/>
            <w:noWrap w:val="0"/>
            <w:vAlign w:val="top"/>
          </w:tcPr>
          <w:p>
            <w:pPr>
              <w:rPr>
                <w:color w:val="auto"/>
                <w:highlight w:val="none"/>
              </w:rPr>
            </w:pPr>
            <w:r>
              <w:rPr>
                <w:rFonts w:hint="eastAsia"/>
                <w:color w:val="auto"/>
                <w:highlight w:val="none"/>
              </w:rPr>
              <w:t>项目概况</w:t>
            </w:r>
          </w:p>
          <w:p>
            <w:pPr>
              <w:ind w:firstLine="420" w:firstLineChars="200"/>
              <w:rPr>
                <w:color w:val="auto"/>
                <w:highlight w:val="none"/>
              </w:rPr>
            </w:pPr>
            <w:r>
              <w:rPr>
                <w:rFonts w:hint="eastAsia"/>
                <w:color w:val="auto"/>
                <w:highlight w:val="none"/>
                <w:lang w:eastAsia="zh-CN"/>
              </w:rPr>
              <w:t>国家税务总局黑龙江省税务局网络可信身份体系服务与应用系统数据安全服务项目</w:t>
            </w:r>
            <w:r>
              <w:rPr>
                <w:rFonts w:hint="eastAsia"/>
                <w:color w:val="auto"/>
                <w:highlight w:val="none"/>
              </w:rPr>
              <w:t>的潜在供应商应在黑龙江省招标有限公司一楼获取招标文件，并于202</w:t>
            </w:r>
            <w:r>
              <w:rPr>
                <w:rFonts w:hint="eastAsia"/>
                <w:color w:val="auto"/>
                <w:highlight w:val="none"/>
                <w:lang w:val="en-US" w:eastAsia="zh-CN"/>
              </w:rPr>
              <w:t>3</w:t>
            </w:r>
            <w:r>
              <w:rPr>
                <w:rFonts w:hint="eastAsia"/>
                <w:color w:val="auto"/>
                <w:highlight w:val="none"/>
              </w:rPr>
              <w:t>年</w:t>
            </w:r>
            <w:r>
              <w:rPr>
                <w:rFonts w:hint="eastAsia"/>
                <w:color w:val="auto"/>
                <w:highlight w:val="none"/>
                <w:lang w:val="en-US" w:eastAsia="zh-CN"/>
              </w:rPr>
              <w:t>9</w:t>
            </w:r>
            <w:r>
              <w:rPr>
                <w:rFonts w:hint="eastAsia"/>
                <w:color w:val="auto"/>
                <w:highlight w:val="none"/>
              </w:rPr>
              <w:t>月</w:t>
            </w:r>
            <w:r>
              <w:rPr>
                <w:rFonts w:hint="eastAsia"/>
                <w:color w:val="auto"/>
                <w:highlight w:val="none"/>
                <w:lang w:val="en-US" w:eastAsia="zh-CN"/>
              </w:rPr>
              <w:t>19</w:t>
            </w:r>
            <w:r>
              <w:rPr>
                <w:rFonts w:hint="eastAsia"/>
                <w:color w:val="auto"/>
                <w:highlight w:val="none"/>
              </w:rPr>
              <w:t>日9点00分（北京时间）前递交投标文件。</w:t>
            </w:r>
          </w:p>
        </w:tc>
      </w:tr>
    </w:tbl>
    <w:p>
      <w:pPr>
        <w:rPr>
          <w:color w:val="auto"/>
          <w:highlight w:val="none"/>
        </w:rPr>
      </w:pPr>
      <w:bookmarkStart w:id="3" w:name="_Toc28359002"/>
      <w:bookmarkStart w:id="4" w:name="_Toc28359079"/>
      <w:bookmarkStart w:id="5" w:name="_Hlk24379207"/>
      <w:r>
        <w:rPr>
          <w:rFonts w:hint="eastAsia"/>
          <w:color w:val="auto"/>
          <w:highlight w:val="none"/>
        </w:rPr>
        <w:t>一、项目基本情况</w:t>
      </w:r>
      <w:bookmarkEnd w:id="3"/>
      <w:bookmarkEnd w:id="4"/>
    </w:p>
    <w:p>
      <w:pPr>
        <w:rPr>
          <w:rFonts w:hint="eastAsia" w:eastAsia="宋体"/>
          <w:color w:val="auto"/>
          <w:highlight w:val="none"/>
          <w:lang w:eastAsia="zh-CN"/>
        </w:rPr>
      </w:pPr>
      <w:r>
        <w:rPr>
          <w:rFonts w:hint="eastAsia"/>
          <w:color w:val="auto"/>
          <w:highlight w:val="none"/>
        </w:rPr>
        <w:t>招标编号：</w:t>
      </w:r>
      <w:r>
        <w:rPr>
          <w:rFonts w:hint="eastAsia"/>
          <w:color w:val="auto"/>
          <w:highlight w:val="none"/>
          <w:lang w:eastAsia="zh-CN"/>
        </w:rPr>
        <w:t xml:space="preserve">HTCL-ZB-233159 </w:t>
      </w:r>
    </w:p>
    <w:p>
      <w:pPr>
        <w:rPr>
          <w:rFonts w:hint="eastAsia" w:eastAsia="宋体"/>
          <w:color w:val="auto"/>
          <w:highlight w:val="none"/>
          <w:lang w:eastAsia="zh-CN"/>
        </w:rPr>
      </w:pPr>
      <w:r>
        <w:rPr>
          <w:rFonts w:hint="eastAsia"/>
          <w:color w:val="auto"/>
          <w:highlight w:val="none"/>
        </w:rPr>
        <w:t>项目名称：</w:t>
      </w:r>
      <w:bookmarkEnd w:id="5"/>
      <w:r>
        <w:rPr>
          <w:rFonts w:hint="eastAsia"/>
          <w:color w:val="auto"/>
          <w:highlight w:val="none"/>
          <w:lang w:eastAsia="zh-CN"/>
        </w:rPr>
        <w:t>国家税务总局黑龙江省税务局网络可信身份体系服务与应用系统数据安全服务项目</w:t>
      </w:r>
    </w:p>
    <w:p>
      <w:pPr>
        <w:rPr>
          <w:rFonts w:hint="default" w:eastAsia="宋体"/>
          <w:color w:val="auto"/>
          <w:highlight w:val="none"/>
          <w:u w:val="single"/>
          <w:lang w:val="en-US" w:eastAsia="zh-CN"/>
        </w:rPr>
      </w:pPr>
      <w:r>
        <w:rPr>
          <w:rFonts w:hint="eastAsia"/>
          <w:color w:val="auto"/>
          <w:highlight w:val="none"/>
        </w:rPr>
        <w:t>预算金额：</w:t>
      </w:r>
      <w:r>
        <w:rPr>
          <w:rFonts w:hint="eastAsia"/>
          <w:color w:val="auto"/>
          <w:highlight w:val="none"/>
          <w:lang w:val="en-US" w:eastAsia="zh-CN"/>
        </w:rPr>
        <w:t>196.41万</w:t>
      </w:r>
      <w:r>
        <w:rPr>
          <w:rFonts w:hint="eastAsia"/>
          <w:color w:val="auto"/>
          <w:highlight w:val="none"/>
        </w:rPr>
        <w:t>元</w:t>
      </w:r>
      <w:r>
        <w:rPr>
          <w:rFonts w:hint="eastAsia"/>
          <w:color w:val="auto"/>
          <w:highlight w:val="none"/>
          <w:lang w:val="en-US" w:eastAsia="zh-CN"/>
        </w:rPr>
        <w:t>/年</w:t>
      </w:r>
    </w:p>
    <w:p>
      <w:pPr>
        <w:rPr>
          <w:color w:val="auto"/>
          <w:highlight w:val="none"/>
        </w:rPr>
      </w:pPr>
      <w:r>
        <w:rPr>
          <w:rFonts w:hint="eastAsia"/>
          <w:color w:val="auto"/>
          <w:highlight w:val="none"/>
        </w:rPr>
        <w:t>最高限价：</w:t>
      </w:r>
      <w:r>
        <w:rPr>
          <w:rFonts w:hint="eastAsia"/>
          <w:color w:val="auto"/>
          <w:highlight w:val="none"/>
          <w:lang w:val="en-US" w:eastAsia="zh-CN"/>
        </w:rPr>
        <w:t>196.41万元/年</w:t>
      </w:r>
    </w:p>
    <w:p>
      <w:pPr>
        <w:pStyle w:val="29"/>
        <w:ind w:firstLine="0" w:firstLineChars="0"/>
        <w:rPr>
          <w:rFonts w:hint="eastAsia"/>
          <w:color w:val="auto"/>
          <w:highlight w:val="none"/>
        </w:rPr>
      </w:pPr>
      <w:r>
        <w:rPr>
          <w:rFonts w:hint="eastAsia"/>
          <w:color w:val="auto"/>
          <w:highlight w:val="none"/>
        </w:rPr>
        <w:t>采购需求：</w:t>
      </w:r>
    </w:p>
    <w:p>
      <w:pPr>
        <w:pStyle w:val="29"/>
        <w:ind w:firstLine="0" w:firstLineChars="0"/>
        <w:rPr>
          <w:rFonts w:hint="eastAsia" w:eastAsia="宋体"/>
          <w:color w:val="auto"/>
          <w:highlight w:val="none"/>
          <w:lang w:eastAsia="zh-CN"/>
        </w:rPr>
      </w:pPr>
      <w:r>
        <w:rPr>
          <w:rFonts w:hint="eastAsia"/>
          <w:color w:val="auto"/>
          <w:highlight w:val="none"/>
          <w:lang w:val="en-US" w:eastAsia="zh-CN"/>
        </w:rPr>
        <w:t>第一包</w:t>
      </w:r>
      <w:r>
        <w:rPr>
          <w:rFonts w:hint="eastAsia"/>
          <w:color w:val="auto"/>
          <w:highlight w:val="none"/>
        </w:rPr>
        <w:t>：网络可信身份体系服务</w:t>
      </w:r>
      <w:r>
        <w:rPr>
          <w:rFonts w:hint="eastAsia"/>
          <w:color w:val="auto"/>
          <w:highlight w:val="none"/>
          <w:lang w:eastAsia="zh-CN"/>
        </w:rPr>
        <w:t>。为进一步做好税务信息系统安全保障工作，整合现有密码服务组件、双向交互系统及税务数字证书系统，形成网络可信身份认证体系，实现统一的安全策略调度和安全管理标准。</w:t>
      </w:r>
      <w:r>
        <w:rPr>
          <w:rFonts w:hint="eastAsia"/>
          <w:color w:val="auto"/>
          <w:highlight w:val="none"/>
          <w:lang w:val="en-US" w:eastAsia="zh-CN"/>
        </w:rPr>
        <w:t>采购</w:t>
      </w:r>
      <w:r>
        <w:rPr>
          <w:rFonts w:hint="eastAsia"/>
          <w:color w:val="auto"/>
          <w:highlight w:val="none"/>
          <w:lang w:eastAsia="zh-CN"/>
        </w:rPr>
        <w:t>网络可信身份体系服务。预算55.05万元</w:t>
      </w:r>
      <w:r>
        <w:rPr>
          <w:rFonts w:hint="eastAsia"/>
          <w:color w:val="auto"/>
          <w:highlight w:val="none"/>
          <w:lang w:val="en-US" w:eastAsia="zh-CN"/>
        </w:rPr>
        <w:t>/年</w:t>
      </w:r>
      <w:r>
        <w:rPr>
          <w:rFonts w:hint="eastAsia"/>
          <w:color w:val="auto"/>
          <w:highlight w:val="none"/>
          <w:lang w:eastAsia="zh-CN"/>
        </w:rPr>
        <w:t>。</w:t>
      </w:r>
    </w:p>
    <w:p>
      <w:pPr>
        <w:pStyle w:val="29"/>
        <w:ind w:firstLine="0" w:firstLineChars="0"/>
        <w:rPr>
          <w:rFonts w:hint="eastAsia"/>
          <w:color w:val="auto"/>
          <w:highlight w:val="none"/>
          <w:lang w:val="en-US" w:eastAsia="zh-CN"/>
        </w:rPr>
      </w:pPr>
      <w:r>
        <w:rPr>
          <w:rFonts w:hint="eastAsia"/>
          <w:color w:val="auto"/>
          <w:highlight w:val="none"/>
        </w:rPr>
        <w:t>第二</w:t>
      </w:r>
      <w:r>
        <w:rPr>
          <w:rFonts w:hint="eastAsia"/>
          <w:color w:val="auto"/>
          <w:highlight w:val="none"/>
          <w:lang w:eastAsia="zh-CN"/>
        </w:rPr>
        <w:t>包：应用系统数据安全服务。为深入贯彻落实《全流程税费数据安全管理规范 （试行） 》和《税务电子数据安全保护总体技术框架》工作要求，进一步加强黑龙江省税务局涉税数据的安全管理，强化纳税人（缴费人）商业秘密和个人隐私数据保护，提升数据安全防护能力，针对黑龙江税务数据安全管控平台进行二期建设。预算141.36万元</w:t>
      </w:r>
      <w:r>
        <w:rPr>
          <w:rFonts w:hint="eastAsia"/>
          <w:color w:val="auto"/>
          <w:highlight w:val="none"/>
          <w:lang w:val="en-US" w:eastAsia="zh-CN"/>
        </w:rPr>
        <w:t>/年</w:t>
      </w:r>
    </w:p>
    <w:p>
      <w:pPr>
        <w:pStyle w:val="29"/>
        <w:ind w:left="0" w:leftChars="0" w:firstLine="0" w:firstLineChars="0"/>
        <w:rPr>
          <w:rFonts w:hint="eastAsia"/>
          <w:color w:val="auto"/>
          <w:highlight w:val="none"/>
          <w:lang w:val="en-US" w:eastAsia="zh-CN"/>
        </w:rPr>
      </w:pPr>
      <w:r>
        <w:rPr>
          <w:rFonts w:hint="eastAsia"/>
          <w:color w:val="auto"/>
          <w:highlight w:val="none"/>
          <w:lang w:eastAsia="zh-CN"/>
        </w:rPr>
        <w:t>合同履行期限：自合同签字起生效，服务期限为一年。一年服务期满，根据《财政部关于推和完善服务项目政府采购有关问题的通知》（财库【2014】37号)文件要求，采购结果最多3年沿用，合同一年一考核一续签，是否续签，由采购人视财政预算安排及供应商资质条件、服务质量、服务内容、服务满意度等绩效考核情况确定。</w:t>
      </w:r>
    </w:p>
    <w:p>
      <w:pPr>
        <w:rPr>
          <w:rFonts w:cs="宋体"/>
          <w:color w:val="auto"/>
          <w:highlight w:val="none"/>
        </w:rPr>
      </w:pPr>
      <w:r>
        <w:rPr>
          <w:rFonts w:hint="eastAsia" w:cs="宋体"/>
          <w:color w:val="auto"/>
          <w:highlight w:val="none"/>
        </w:rPr>
        <w:t>本项目不接受联合体投标。</w:t>
      </w:r>
    </w:p>
    <w:p>
      <w:pPr>
        <w:rPr>
          <w:color w:val="auto"/>
          <w:highlight w:val="none"/>
        </w:rPr>
      </w:pPr>
      <w:bookmarkStart w:id="6" w:name="_Toc28359080"/>
      <w:bookmarkStart w:id="7" w:name="_Toc28359003"/>
      <w:r>
        <w:rPr>
          <w:rFonts w:hint="eastAsia"/>
          <w:color w:val="auto"/>
          <w:highlight w:val="none"/>
        </w:rPr>
        <w:t>二、申请人的资格要求：</w:t>
      </w:r>
      <w:bookmarkEnd w:id="6"/>
      <w:bookmarkEnd w:id="7"/>
    </w:p>
    <w:p>
      <w:pPr>
        <w:rPr>
          <w:color w:val="auto"/>
          <w:highlight w:val="none"/>
        </w:rPr>
      </w:pPr>
      <w:r>
        <w:rPr>
          <w:color w:val="auto"/>
          <w:highlight w:val="none"/>
        </w:rPr>
        <w:t>1、供应商必须具备《政府采购法》第二十二条规定的条件。</w:t>
      </w:r>
    </w:p>
    <w:p>
      <w:pPr>
        <w:rPr>
          <w:color w:val="auto"/>
          <w:highlight w:val="none"/>
        </w:rPr>
      </w:pPr>
      <w:r>
        <w:rPr>
          <w:color w:val="auto"/>
          <w:highlight w:val="none"/>
        </w:rPr>
        <w:t>2、落实政府采购政策需满足的资格要求：</w:t>
      </w:r>
      <w:r>
        <w:rPr>
          <w:rFonts w:hint="eastAsia"/>
          <w:color w:val="auto"/>
          <w:highlight w:val="none"/>
          <w:lang w:val="en-US" w:eastAsia="zh-CN"/>
        </w:rPr>
        <w:t>本项目专门面向中小企业</w:t>
      </w:r>
      <w:r>
        <w:rPr>
          <w:color w:val="auto"/>
          <w:highlight w:val="none"/>
        </w:rPr>
        <w:t>。</w:t>
      </w:r>
    </w:p>
    <w:p>
      <w:pPr>
        <w:rPr>
          <w:color w:val="auto"/>
          <w:highlight w:val="none"/>
        </w:rPr>
      </w:pPr>
      <w:r>
        <w:rPr>
          <w:color w:val="auto"/>
          <w:highlight w:val="none"/>
        </w:rPr>
        <w:t>3、</w:t>
      </w:r>
      <w:r>
        <w:rPr>
          <w:rFonts w:hint="eastAsia"/>
          <w:color w:val="auto"/>
          <w:highlight w:val="none"/>
        </w:rPr>
        <w:t>本项目的特定资格要求</w:t>
      </w:r>
      <w:r>
        <w:rPr>
          <w:rFonts w:hint="eastAsia"/>
          <w:color w:val="auto"/>
          <w:highlight w:val="none"/>
          <w:lang w:eastAsia="zh-CN"/>
        </w:rPr>
        <w:t>：</w:t>
      </w:r>
      <w:r>
        <w:rPr>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rPr>
          <w:color w:val="auto"/>
          <w:highlight w:val="none"/>
        </w:rPr>
      </w:pPr>
      <w:r>
        <w:rPr>
          <w:color w:val="auto"/>
          <w:highlight w:val="none"/>
        </w:rPr>
        <w:t>4、同一供应商可以针对本项目的多个包递交投标文件，但只能在一个包中标，排名在前的供应商可以优先选择中标的包。</w:t>
      </w:r>
    </w:p>
    <w:p>
      <w:pPr>
        <w:rPr>
          <w:color w:val="auto"/>
          <w:highlight w:val="none"/>
        </w:rPr>
      </w:pPr>
      <w:bookmarkStart w:id="8" w:name="_Toc28359004"/>
      <w:bookmarkStart w:id="9" w:name="_Toc28359081"/>
      <w:r>
        <w:rPr>
          <w:rFonts w:hint="eastAsia"/>
          <w:color w:val="auto"/>
          <w:highlight w:val="none"/>
        </w:rPr>
        <w:t>三、获取招标文件</w:t>
      </w:r>
      <w:bookmarkEnd w:id="8"/>
      <w:bookmarkEnd w:id="9"/>
    </w:p>
    <w:p>
      <w:pPr>
        <w:rPr>
          <w:color w:val="auto"/>
          <w:highlight w:val="none"/>
        </w:rPr>
      </w:pPr>
      <w:r>
        <w:rPr>
          <w:color w:val="auto"/>
          <w:highlight w:val="none"/>
        </w:rPr>
        <w:t>时间：202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8</w:t>
      </w:r>
      <w:r>
        <w:rPr>
          <w:color w:val="auto"/>
          <w:highlight w:val="none"/>
        </w:rPr>
        <w:t>月</w:t>
      </w:r>
      <w:r>
        <w:rPr>
          <w:rFonts w:hint="eastAsia"/>
          <w:color w:val="auto"/>
          <w:highlight w:val="none"/>
          <w:lang w:val="en-US" w:eastAsia="zh-CN"/>
        </w:rPr>
        <w:t>29</w:t>
      </w:r>
      <w:r>
        <w:rPr>
          <w:color w:val="auto"/>
          <w:highlight w:val="none"/>
        </w:rPr>
        <w:t>日至202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9</w:t>
      </w:r>
      <w:r>
        <w:rPr>
          <w:color w:val="auto"/>
          <w:highlight w:val="none"/>
        </w:rPr>
        <w:t>月</w:t>
      </w:r>
      <w:r>
        <w:rPr>
          <w:rFonts w:hint="eastAsia"/>
          <w:color w:val="auto"/>
          <w:highlight w:val="none"/>
          <w:lang w:val="en-US" w:eastAsia="zh-CN"/>
        </w:rPr>
        <w:t>5</w:t>
      </w:r>
      <w:r>
        <w:rPr>
          <w:color w:val="auto"/>
          <w:highlight w:val="none"/>
        </w:rPr>
        <w:t>日，每天上午8点30分至11点30分，下午13点至16点（北京时间，法定节假日除外）</w:t>
      </w:r>
    </w:p>
    <w:p>
      <w:pPr>
        <w:rPr>
          <w:color w:val="auto"/>
          <w:highlight w:val="none"/>
        </w:rPr>
      </w:pPr>
      <w:r>
        <w:rPr>
          <w:color w:val="auto"/>
          <w:highlight w:val="none"/>
        </w:rPr>
        <w:t>地点：黑龙江省哈尔滨市南岗区汉水路180号</w:t>
      </w:r>
    </w:p>
    <w:p>
      <w:pPr>
        <w:rPr>
          <w:color w:val="auto"/>
          <w:highlight w:val="none"/>
        </w:rPr>
      </w:pPr>
      <w:r>
        <w:rPr>
          <w:color w:val="auto"/>
          <w:highlight w:val="none"/>
        </w:rPr>
        <w:t>方式：现场获取。</w:t>
      </w:r>
    </w:p>
    <w:p>
      <w:pPr>
        <w:rPr>
          <w:color w:val="auto"/>
          <w:highlight w:val="none"/>
        </w:rPr>
      </w:pPr>
      <w:r>
        <w:rPr>
          <w:color w:val="auto"/>
          <w:highlight w:val="none"/>
        </w:rPr>
        <w:t>售价：500元/包</w:t>
      </w:r>
    </w:p>
    <w:p>
      <w:pPr>
        <w:rPr>
          <w:color w:val="auto"/>
          <w:highlight w:val="none"/>
        </w:rPr>
      </w:pPr>
      <w:bookmarkStart w:id="10" w:name="_Toc28359005"/>
      <w:bookmarkStart w:id="11" w:name="_Toc28359082"/>
      <w:r>
        <w:rPr>
          <w:rFonts w:hint="eastAsia"/>
          <w:color w:val="auto"/>
          <w:highlight w:val="none"/>
        </w:rPr>
        <w:t>四、投标文件递交</w:t>
      </w:r>
      <w:bookmarkEnd w:id="10"/>
      <w:bookmarkEnd w:id="11"/>
    </w:p>
    <w:p>
      <w:pPr>
        <w:rPr>
          <w:color w:val="auto"/>
          <w:highlight w:val="none"/>
        </w:rPr>
      </w:pPr>
      <w:r>
        <w:rPr>
          <w:color w:val="auto"/>
          <w:highlight w:val="none"/>
        </w:rPr>
        <w:t>投标截止时间：202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9</w:t>
      </w:r>
      <w:r>
        <w:rPr>
          <w:rFonts w:hint="eastAsia"/>
          <w:color w:val="auto"/>
          <w:highlight w:val="none"/>
        </w:rPr>
        <w:t>月</w:t>
      </w:r>
      <w:r>
        <w:rPr>
          <w:rFonts w:hint="eastAsia"/>
          <w:color w:val="auto"/>
          <w:highlight w:val="none"/>
          <w:lang w:val="en-US" w:eastAsia="zh-CN"/>
        </w:rPr>
        <w:t>19</w:t>
      </w:r>
      <w:r>
        <w:rPr>
          <w:rFonts w:hint="eastAsia"/>
          <w:color w:val="auto"/>
          <w:highlight w:val="none"/>
        </w:rPr>
        <w:t>日</w:t>
      </w:r>
      <w:r>
        <w:rPr>
          <w:color w:val="auto"/>
          <w:highlight w:val="none"/>
        </w:rPr>
        <w:t>9点00分（北京时间）</w:t>
      </w:r>
    </w:p>
    <w:p>
      <w:pPr>
        <w:rPr>
          <w:color w:val="auto"/>
          <w:highlight w:val="none"/>
        </w:rPr>
      </w:pPr>
      <w:r>
        <w:rPr>
          <w:color w:val="auto"/>
          <w:highlight w:val="none"/>
        </w:rPr>
        <w:t>地点：黑龙江省招标有限公司一楼</w:t>
      </w:r>
    </w:p>
    <w:p>
      <w:pPr>
        <w:rPr>
          <w:color w:val="auto"/>
          <w:highlight w:val="none"/>
        </w:rPr>
      </w:pPr>
      <w:bookmarkStart w:id="12" w:name="_Toc28359006"/>
      <w:bookmarkStart w:id="13" w:name="_Toc28359083"/>
      <w:r>
        <w:rPr>
          <w:rFonts w:hint="eastAsia"/>
          <w:color w:val="auto"/>
          <w:highlight w:val="none"/>
        </w:rPr>
        <w:t>五、开标</w:t>
      </w:r>
      <w:bookmarkEnd w:id="12"/>
      <w:bookmarkEnd w:id="13"/>
    </w:p>
    <w:p>
      <w:pPr>
        <w:rPr>
          <w:color w:val="auto"/>
          <w:highlight w:val="none"/>
        </w:rPr>
      </w:pPr>
      <w:bookmarkStart w:id="14" w:name="_Toc28359007"/>
      <w:bookmarkStart w:id="15" w:name="_Toc28359084"/>
      <w:r>
        <w:rPr>
          <w:rFonts w:hint="eastAsia"/>
          <w:color w:val="auto"/>
          <w:highlight w:val="none"/>
        </w:rPr>
        <w:t>时间：202</w:t>
      </w:r>
      <w:r>
        <w:rPr>
          <w:rFonts w:hint="eastAsia"/>
          <w:color w:val="auto"/>
          <w:highlight w:val="none"/>
          <w:lang w:val="en-US" w:eastAsia="zh-CN"/>
        </w:rPr>
        <w:t>3</w:t>
      </w:r>
      <w:r>
        <w:rPr>
          <w:rFonts w:hint="eastAsia"/>
          <w:color w:val="auto"/>
          <w:highlight w:val="none"/>
        </w:rPr>
        <w:t>年</w:t>
      </w:r>
      <w:r>
        <w:rPr>
          <w:rFonts w:hint="eastAsia"/>
          <w:color w:val="auto"/>
          <w:highlight w:val="none"/>
          <w:lang w:val="en-US" w:eastAsia="zh-CN"/>
        </w:rPr>
        <w:t>9</w:t>
      </w:r>
      <w:r>
        <w:rPr>
          <w:rFonts w:hint="eastAsia"/>
          <w:color w:val="auto"/>
          <w:highlight w:val="none"/>
        </w:rPr>
        <w:t>月</w:t>
      </w:r>
      <w:r>
        <w:rPr>
          <w:rFonts w:hint="eastAsia"/>
          <w:color w:val="auto"/>
          <w:highlight w:val="none"/>
          <w:lang w:val="en-US" w:eastAsia="zh-CN"/>
        </w:rPr>
        <w:t>19</w:t>
      </w:r>
      <w:r>
        <w:rPr>
          <w:rFonts w:hint="eastAsia"/>
          <w:color w:val="auto"/>
          <w:highlight w:val="none"/>
        </w:rPr>
        <w:t>日9点00分（北京时间）</w:t>
      </w:r>
    </w:p>
    <w:p>
      <w:pPr>
        <w:rPr>
          <w:color w:val="auto"/>
          <w:highlight w:val="none"/>
        </w:rPr>
      </w:pPr>
      <w:r>
        <w:rPr>
          <w:rFonts w:hint="eastAsia"/>
          <w:color w:val="auto"/>
          <w:highlight w:val="none"/>
        </w:rPr>
        <w:t>地点：黑龙江省招标有限公司二楼会议室</w:t>
      </w:r>
    </w:p>
    <w:p>
      <w:pPr>
        <w:rPr>
          <w:color w:val="auto"/>
          <w:highlight w:val="none"/>
        </w:rPr>
      </w:pPr>
      <w:r>
        <w:rPr>
          <w:rFonts w:hint="eastAsia"/>
          <w:color w:val="auto"/>
          <w:highlight w:val="none"/>
        </w:rPr>
        <w:t>六、公告期限</w:t>
      </w:r>
      <w:bookmarkEnd w:id="14"/>
      <w:bookmarkEnd w:id="15"/>
    </w:p>
    <w:p>
      <w:pPr>
        <w:rPr>
          <w:color w:val="auto"/>
          <w:highlight w:val="none"/>
        </w:rPr>
      </w:pPr>
      <w:r>
        <w:rPr>
          <w:rFonts w:hint="eastAsia"/>
          <w:color w:val="auto"/>
          <w:highlight w:val="none"/>
        </w:rPr>
        <w:t>自本公告发布之日起5个工作日。</w:t>
      </w:r>
    </w:p>
    <w:p>
      <w:pPr>
        <w:rPr>
          <w:color w:val="auto"/>
          <w:highlight w:val="none"/>
        </w:rPr>
      </w:pPr>
      <w:bookmarkStart w:id="16" w:name="_Toc28359085"/>
      <w:bookmarkStart w:id="17" w:name="_Toc28359008"/>
      <w:r>
        <w:rPr>
          <w:rFonts w:hint="eastAsia"/>
          <w:color w:val="auto"/>
          <w:highlight w:val="none"/>
        </w:rPr>
        <w:t>七、对本次招标提出询问，请按以下方式联系。</w:t>
      </w:r>
      <w:bookmarkEnd w:id="16"/>
      <w:bookmarkEnd w:id="17"/>
    </w:p>
    <w:p>
      <w:pPr>
        <w:rPr>
          <w:color w:val="auto"/>
          <w:highlight w:val="none"/>
        </w:rPr>
      </w:pPr>
      <w:r>
        <w:rPr>
          <w:rFonts w:hint="eastAsia"/>
          <w:color w:val="auto"/>
          <w:highlight w:val="none"/>
        </w:rPr>
        <w:t>1.采购人信息</w:t>
      </w:r>
    </w:p>
    <w:p>
      <w:pPr>
        <w:rPr>
          <w:color w:val="auto"/>
          <w:highlight w:val="none"/>
        </w:rPr>
      </w:pPr>
      <w:r>
        <w:rPr>
          <w:rFonts w:hint="eastAsia"/>
          <w:color w:val="auto"/>
          <w:highlight w:val="none"/>
        </w:rPr>
        <w:t>名    称：国家税务总局黑龙江省税务局</w:t>
      </w:r>
    </w:p>
    <w:p>
      <w:pPr>
        <w:rPr>
          <w:color w:val="auto"/>
          <w:highlight w:val="none"/>
        </w:rPr>
      </w:pPr>
      <w:r>
        <w:rPr>
          <w:rFonts w:hint="eastAsia"/>
          <w:color w:val="auto"/>
          <w:highlight w:val="none"/>
        </w:rPr>
        <w:t>地    址：哈尔滨市南岗区东大直街190号</w:t>
      </w:r>
    </w:p>
    <w:p>
      <w:pPr>
        <w:rPr>
          <w:color w:val="auto"/>
          <w:highlight w:val="none"/>
        </w:rPr>
      </w:pPr>
      <w:r>
        <w:rPr>
          <w:rFonts w:hint="eastAsia"/>
          <w:color w:val="auto"/>
          <w:highlight w:val="none"/>
        </w:rPr>
        <w:t>联 系 人：赵先生</w:t>
      </w:r>
    </w:p>
    <w:p>
      <w:pPr>
        <w:rPr>
          <w:color w:val="auto"/>
          <w:highlight w:val="none"/>
        </w:rPr>
      </w:pPr>
      <w:r>
        <w:rPr>
          <w:rFonts w:hint="eastAsia"/>
          <w:color w:val="auto"/>
          <w:highlight w:val="none"/>
        </w:rPr>
        <w:t xml:space="preserve">联系方式：0451-53611198 </w:t>
      </w:r>
    </w:p>
    <w:p>
      <w:pPr>
        <w:rPr>
          <w:color w:val="auto"/>
          <w:highlight w:val="none"/>
        </w:rPr>
      </w:pPr>
      <w:r>
        <w:rPr>
          <w:rFonts w:hint="eastAsia"/>
          <w:color w:val="auto"/>
          <w:highlight w:val="none"/>
        </w:rPr>
        <w:t>2.采购代理机构信息</w:t>
      </w:r>
    </w:p>
    <w:p>
      <w:pPr>
        <w:rPr>
          <w:color w:val="auto"/>
          <w:highlight w:val="none"/>
        </w:rPr>
      </w:pPr>
      <w:r>
        <w:rPr>
          <w:rFonts w:hint="eastAsia"/>
          <w:color w:val="auto"/>
          <w:highlight w:val="none"/>
        </w:rPr>
        <w:t>名    称：黑龙江省招标有限公司</w:t>
      </w:r>
    </w:p>
    <w:p>
      <w:pPr>
        <w:rPr>
          <w:color w:val="auto"/>
          <w:highlight w:val="none"/>
        </w:rPr>
      </w:pPr>
      <w:r>
        <w:rPr>
          <w:rFonts w:hint="eastAsia"/>
          <w:color w:val="auto"/>
          <w:highlight w:val="none"/>
        </w:rPr>
        <w:t>地　  址：哈尔滨市南岗区汉水路180号</w:t>
      </w:r>
    </w:p>
    <w:p>
      <w:pPr>
        <w:rPr>
          <w:color w:val="auto"/>
          <w:highlight w:val="none"/>
        </w:rPr>
      </w:pPr>
      <w:r>
        <w:rPr>
          <w:rFonts w:hint="eastAsia"/>
          <w:color w:val="auto"/>
          <w:highlight w:val="none"/>
        </w:rPr>
        <w:t>联 系 人：韩宇奇、於佳</w:t>
      </w:r>
    </w:p>
    <w:p>
      <w:pPr>
        <w:rPr>
          <w:color w:val="auto"/>
          <w:highlight w:val="none"/>
        </w:rPr>
      </w:pPr>
      <w:r>
        <w:rPr>
          <w:rFonts w:hint="eastAsia"/>
          <w:color w:val="auto"/>
          <w:highlight w:val="none"/>
        </w:rPr>
        <w:t>联系方式：0451-82364703</w:t>
      </w:r>
    </w:p>
    <w:p>
      <w:pPr>
        <w:rPr>
          <w:color w:val="auto"/>
          <w:highlight w:val="none"/>
        </w:rPr>
      </w:pPr>
      <w:r>
        <w:rPr>
          <w:rFonts w:hint="eastAsia"/>
          <w:color w:val="auto"/>
          <w:highlight w:val="none"/>
        </w:rPr>
        <w:t>3.项目联系方式</w:t>
      </w:r>
    </w:p>
    <w:p>
      <w:pPr>
        <w:rPr>
          <w:color w:val="auto"/>
          <w:highlight w:val="none"/>
        </w:rPr>
      </w:pPr>
      <w:r>
        <w:rPr>
          <w:rFonts w:hint="eastAsia"/>
          <w:color w:val="auto"/>
          <w:highlight w:val="none"/>
        </w:rPr>
        <w:t>项目联系人：韩宇奇、於佳</w:t>
      </w:r>
    </w:p>
    <w:p>
      <w:pPr>
        <w:rPr>
          <w:color w:val="auto"/>
          <w:highlight w:val="none"/>
        </w:rPr>
      </w:pPr>
      <w:r>
        <w:rPr>
          <w:rFonts w:hint="eastAsia"/>
          <w:color w:val="auto"/>
          <w:highlight w:val="none"/>
        </w:rPr>
        <w:t>电    话：0451-82364703</w:t>
      </w:r>
    </w:p>
    <w:p>
      <w:pPr>
        <w:jc w:val="center"/>
        <w:rPr>
          <w:rFonts w:cs="宋体"/>
          <w:color w:val="auto"/>
          <w:highlight w:val="none"/>
        </w:rPr>
      </w:pPr>
      <w:r>
        <w:rPr>
          <w:rFonts w:hint="eastAsia"/>
          <w:color w:val="auto"/>
          <w:highlight w:val="none"/>
        </w:rPr>
        <w:br w:type="page"/>
      </w:r>
      <w:bookmarkStart w:id="18" w:name="_Toc78902191"/>
      <w:bookmarkStart w:id="19" w:name="_Toc26518_WPSOffice_Level1"/>
      <w:bookmarkStart w:id="20" w:name="_Toc27915"/>
      <w:r>
        <w:rPr>
          <w:rStyle w:val="32"/>
          <w:rFonts w:hint="eastAsia"/>
          <w:color w:val="auto"/>
          <w:highlight w:val="none"/>
        </w:rPr>
        <w:t>第一章 供应商须知</w:t>
      </w:r>
      <w:bookmarkEnd w:id="18"/>
      <w:bookmarkEnd w:id="19"/>
      <w:bookmarkEnd w:id="20"/>
    </w:p>
    <w:p>
      <w:pPr>
        <w:pStyle w:val="3"/>
        <w:rPr>
          <w:color w:val="auto"/>
          <w:highlight w:val="none"/>
        </w:rPr>
      </w:pPr>
      <w:bookmarkStart w:id="21" w:name="_Toc18613_WPSOffice_Level2"/>
      <w:r>
        <w:rPr>
          <w:rFonts w:hint="eastAsia"/>
          <w:color w:val="auto"/>
          <w:highlight w:val="none"/>
        </w:rPr>
        <w:t>一 供应商须知表</w:t>
      </w:r>
      <w:bookmarkEnd w:id="21"/>
    </w:p>
    <w:tbl>
      <w:tblPr>
        <w:tblStyle w:val="21"/>
        <w:tblW w:w="8656" w:type="dxa"/>
        <w:tblInd w:w="108" w:type="dxa"/>
        <w:tblLayout w:type="fixed"/>
        <w:tblCellMar>
          <w:top w:w="0" w:type="dxa"/>
          <w:left w:w="108" w:type="dxa"/>
          <w:bottom w:w="0" w:type="dxa"/>
          <w:right w:w="108" w:type="dxa"/>
        </w:tblCellMar>
      </w:tblPr>
      <w:tblGrid>
        <w:gridCol w:w="852"/>
        <w:gridCol w:w="1917"/>
        <w:gridCol w:w="5887"/>
      </w:tblGrid>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bookmarkStart w:id="22" w:name="招标项目基本内容及要求：Block"/>
            <w:bookmarkEnd w:id="22"/>
            <w:bookmarkStart w:id="23" w:name="sys_招标项目基本内容及要求其他：Block"/>
            <w:bookmarkEnd w:id="23"/>
            <w:bookmarkStart w:id="24" w:name="sys_招标项目基本内容及要求：Block"/>
            <w:bookmarkEnd w:id="24"/>
            <w:bookmarkStart w:id="25" w:name="招标项目基本内容及要求其他：Block"/>
            <w:bookmarkEnd w:id="25"/>
            <w:r>
              <w:rPr>
                <w:rFonts w:hint="eastAsia"/>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内     容</w:t>
            </w:r>
          </w:p>
        </w:tc>
      </w:tr>
      <w:tr>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t>名  称：</w:t>
            </w:r>
            <w:r>
              <w:rPr>
                <w:rFonts w:hint="eastAsia"/>
                <w:color w:val="auto"/>
                <w:highlight w:val="none"/>
              </w:rPr>
              <w:t>国家税务总局黑龙江省税务局</w:t>
            </w:r>
          </w:p>
          <w:p>
            <w:pPr>
              <w:spacing w:line="300" w:lineRule="exact"/>
              <w:rPr>
                <w:color w:val="auto"/>
                <w:highlight w:val="none"/>
              </w:rPr>
            </w:pPr>
            <w:r>
              <w:rPr>
                <w:color w:val="auto"/>
                <w:highlight w:val="none"/>
              </w:rPr>
              <w:t>地  址：</w:t>
            </w:r>
            <w:r>
              <w:rPr>
                <w:rFonts w:hint="eastAsia"/>
                <w:color w:val="auto"/>
                <w:highlight w:val="none"/>
              </w:rPr>
              <w:t>哈尔滨市南岗区东大直街190号</w:t>
            </w:r>
          </w:p>
          <w:p>
            <w:pPr>
              <w:spacing w:line="300" w:lineRule="exact"/>
              <w:rPr>
                <w:color w:val="auto"/>
                <w:highlight w:val="none"/>
              </w:rPr>
            </w:pPr>
            <w:r>
              <w:rPr>
                <w:color w:val="auto"/>
                <w:highlight w:val="none"/>
              </w:rPr>
              <w:t>联系人：</w:t>
            </w:r>
            <w:r>
              <w:rPr>
                <w:rFonts w:hint="eastAsia"/>
                <w:color w:val="auto"/>
                <w:highlight w:val="none"/>
              </w:rPr>
              <w:t>赵先生</w:t>
            </w:r>
          </w:p>
          <w:p>
            <w:pPr>
              <w:spacing w:line="300" w:lineRule="exact"/>
              <w:rPr>
                <w:rFonts w:cs="宋体"/>
                <w:color w:val="auto"/>
                <w:kern w:val="0"/>
                <w:highlight w:val="none"/>
              </w:rPr>
            </w:pPr>
            <w:r>
              <w:rPr>
                <w:color w:val="auto"/>
                <w:highlight w:val="none"/>
              </w:rPr>
              <w:t>电  话：</w:t>
            </w:r>
            <w:r>
              <w:rPr>
                <w:rFonts w:hint="eastAsia"/>
                <w:color w:val="auto"/>
                <w:highlight w:val="none"/>
              </w:rPr>
              <w:t>0451-53611198</w:t>
            </w:r>
          </w:p>
        </w:tc>
      </w:tr>
      <w:tr>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color w:val="auto"/>
                <w:kern w:val="0"/>
                <w:highlight w:val="none"/>
                <w:u w:val="single"/>
              </w:rPr>
            </w:pPr>
            <w:r>
              <w:rPr>
                <w:color w:val="auto"/>
                <w:kern w:val="0"/>
                <w:highlight w:val="none"/>
              </w:rPr>
              <w:t>名  称：</w:t>
            </w:r>
            <w:r>
              <w:rPr>
                <w:rFonts w:hint="eastAsia"/>
                <w:color w:val="auto"/>
                <w:kern w:val="0"/>
                <w:highlight w:val="none"/>
              </w:rPr>
              <w:t>黑龙江省招标有限公司</w:t>
            </w:r>
          </w:p>
          <w:p>
            <w:pPr>
              <w:widowControl/>
              <w:spacing w:line="300" w:lineRule="exact"/>
              <w:jc w:val="left"/>
              <w:rPr>
                <w:color w:val="auto"/>
                <w:kern w:val="0"/>
                <w:highlight w:val="none"/>
                <w:u w:val="single"/>
              </w:rPr>
            </w:pPr>
            <w:r>
              <w:rPr>
                <w:color w:val="auto"/>
                <w:kern w:val="0"/>
                <w:highlight w:val="none"/>
              </w:rPr>
              <w:t>地  址：</w:t>
            </w:r>
            <w:r>
              <w:rPr>
                <w:rFonts w:hint="eastAsia"/>
                <w:color w:val="auto"/>
                <w:kern w:val="0"/>
                <w:highlight w:val="none"/>
              </w:rPr>
              <w:t>黑龙江省哈尔滨市南岗区汉水路1</w:t>
            </w:r>
            <w:r>
              <w:rPr>
                <w:color w:val="auto"/>
                <w:kern w:val="0"/>
                <w:highlight w:val="none"/>
              </w:rPr>
              <w:t>80</w:t>
            </w:r>
            <w:r>
              <w:rPr>
                <w:rFonts w:hint="eastAsia"/>
                <w:color w:val="auto"/>
                <w:kern w:val="0"/>
                <w:highlight w:val="none"/>
              </w:rPr>
              <w:t>号</w:t>
            </w:r>
          </w:p>
          <w:p>
            <w:pPr>
              <w:widowControl/>
              <w:spacing w:line="300" w:lineRule="exact"/>
              <w:jc w:val="left"/>
              <w:rPr>
                <w:color w:val="auto"/>
                <w:kern w:val="0"/>
                <w:highlight w:val="none"/>
                <w:u w:val="single"/>
              </w:rPr>
            </w:pPr>
            <w:r>
              <w:rPr>
                <w:color w:val="auto"/>
                <w:kern w:val="0"/>
                <w:highlight w:val="none"/>
              </w:rPr>
              <w:t>联系人：</w:t>
            </w:r>
            <w:r>
              <w:rPr>
                <w:rFonts w:hint="eastAsia"/>
                <w:color w:val="auto"/>
                <w:kern w:val="0"/>
                <w:highlight w:val="none"/>
              </w:rPr>
              <w:t>韩宇奇、於佳</w:t>
            </w:r>
          </w:p>
          <w:p>
            <w:pPr>
              <w:widowControl/>
              <w:spacing w:line="300" w:lineRule="exact"/>
              <w:jc w:val="left"/>
              <w:rPr>
                <w:rFonts w:cs="宋体"/>
                <w:color w:val="auto"/>
                <w:kern w:val="0"/>
                <w:highlight w:val="none"/>
              </w:rPr>
            </w:pPr>
            <w:r>
              <w:rPr>
                <w:color w:val="auto"/>
                <w:kern w:val="0"/>
                <w:highlight w:val="none"/>
              </w:rPr>
              <w:t>电  话：</w:t>
            </w:r>
            <w:r>
              <w:rPr>
                <w:rFonts w:hint="eastAsia"/>
                <w:color w:val="auto"/>
                <w:kern w:val="0"/>
                <w:highlight w:val="none"/>
              </w:rPr>
              <w:t>0451-8236470</w:t>
            </w:r>
            <w:r>
              <w:rPr>
                <w:color w:val="auto"/>
                <w:kern w:val="0"/>
                <w:highlight w:val="none"/>
              </w:rPr>
              <w:t>3</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cs="宋体"/>
                <w:color w:val="auto"/>
                <w:kern w:val="0"/>
                <w:highlight w:val="none"/>
              </w:rPr>
            </w:pPr>
            <w:r>
              <w:rPr>
                <w:rFonts w:hint="eastAsia" w:ascii="宋体" w:cs="宋体"/>
                <w:color w:val="auto"/>
                <w:kern w:val="0"/>
                <w:highlight w:val="none"/>
              </w:rPr>
              <w:t>详见招标公告</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cs="宋体"/>
                <w:color w:val="auto"/>
                <w:kern w:val="0"/>
                <w:highlight w:val="none"/>
              </w:rPr>
            </w:pPr>
            <w:r>
              <w:rPr>
                <w:color w:val="auto"/>
                <w:highlight w:val="none"/>
              </w:rPr>
              <w:sym w:font="Wingdings 2" w:char="0052"/>
            </w:r>
            <w:r>
              <w:rPr>
                <w:rFonts w:hint="eastAsia"/>
                <w:color w:val="auto"/>
                <w:highlight w:val="none"/>
              </w:rPr>
              <w:t>否</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cs="宋体"/>
                <w:color w:val="auto"/>
                <w:kern w:val="0"/>
                <w:highlight w:val="none"/>
              </w:rPr>
            </w:pPr>
            <w:r>
              <w:rPr>
                <w:rFonts w:hint="eastAsia" w:cs="宋体"/>
                <w:color w:val="auto"/>
                <w:kern w:val="0"/>
                <w:highlight w:val="none"/>
              </w:rPr>
              <w:t>无</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cs="宋体"/>
                <w:color w:val="auto"/>
                <w:kern w:val="0"/>
                <w:highlight w:val="none"/>
              </w:rPr>
            </w:pPr>
            <w:r>
              <w:rPr>
                <w:rFonts w:hint="eastAsia" w:cs="宋体"/>
                <w:color w:val="auto"/>
                <w:kern w:val="0"/>
                <w:highlight w:val="none"/>
              </w:rPr>
              <w:t>第一包：55.05万元。</w:t>
            </w:r>
          </w:p>
          <w:p>
            <w:pPr>
              <w:spacing w:line="300" w:lineRule="exact"/>
              <w:rPr>
                <w:rFonts w:cs="宋体"/>
                <w:color w:val="auto"/>
                <w:kern w:val="0"/>
                <w:highlight w:val="none"/>
              </w:rPr>
            </w:pPr>
            <w:r>
              <w:rPr>
                <w:rFonts w:hint="eastAsia" w:cs="宋体"/>
                <w:color w:val="auto"/>
                <w:kern w:val="0"/>
                <w:highlight w:val="none"/>
              </w:rPr>
              <w:t>第</w:t>
            </w:r>
            <w:r>
              <w:rPr>
                <w:rFonts w:hint="eastAsia" w:cs="宋体"/>
                <w:color w:val="auto"/>
                <w:kern w:val="0"/>
                <w:highlight w:val="none"/>
                <w:lang w:val="en-US" w:eastAsia="zh-CN"/>
              </w:rPr>
              <w:t>二</w:t>
            </w:r>
            <w:r>
              <w:rPr>
                <w:rFonts w:hint="eastAsia" w:cs="宋体"/>
                <w:color w:val="auto"/>
                <w:kern w:val="0"/>
                <w:highlight w:val="none"/>
              </w:rPr>
              <w:t>包：141.36万元</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中华人民共和国法定计量单位</w:t>
            </w:r>
          </w:p>
          <w:p>
            <w:pPr>
              <w:spacing w:line="300" w:lineRule="exact"/>
              <w:rPr>
                <w:rFonts w:cs="宋体"/>
                <w:color w:val="auto"/>
                <w:kern w:val="0"/>
                <w:highlight w:val="none"/>
              </w:rPr>
            </w:pPr>
            <w:r>
              <w:rPr>
                <w:color w:val="auto"/>
                <w:highlight w:val="none"/>
              </w:rPr>
              <w:sym w:font="Wingdings 2" w:char="00A3"/>
            </w:r>
            <w:r>
              <w:rPr>
                <w:rFonts w:hint="eastAsia"/>
                <w:color w:val="auto"/>
                <w:highlight w:val="none"/>
              </w:rPr>
              <w:t>其他：</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不组织</w:t>
            </w:r>
          </w:p>
          <w:p>
            <w:pPr>
              <w:spacing w:line="300" w:lineRule="exact"/>
              <w:rPr>
                <w:color w:val="auto"/>
                <w:kern w:val="0"/>
                <w:highlight w:val="none"/>
              </w:rPr>
            </w:pPr>
            <w:r>
              <w:rPr>
                <w:color w:val="auto"/>
                <w:highlight w:val="none"/>
              </w:rPr>
              <w:sym w:font="Wingdings 2" w:char="00A3"/>
            </w:r>
            <w:r>
              <w:rPr>
                <w:rFonts w:hint="eastAsia"/>
                <w:color w:val="auto"/>
                <w:highlight w:val="none"/>
              </w:rPr>
              <w:t>组织，</w:t>
            </w:r>
            <w:r>
              <w:rPr>
                <w:color w:val="auto"/>
                <w:kern w:val="0"/>
                <w:highlight w:val="none"/>
              </w:rPr>
              <w:t>时  间：</w:t>
            </w:r>
          </w:p>
          <w:p>
            <w:pPr>
              <w:widowControl/>
              <w:spacing w:line="300" w:lineRule="exact"/>
              <w:ind w:left="-105" w:leftChars="-50" w:firstLine="949" w:firstLineChars="452"/>
              <w:rPr>
                <w:color w:val="auto"/>
                <w:kern w:val="0"/>
                <w:highlight w:val="none"/>
              </w:rPr>
            </w:pPr>
            <w:r>
              <w:rPr>
                <w:color w:val="auto"/>
                <w:kern w:val="0"/>
                <w:highlight w:val="none"/>
              </w:rPr>
              <w:t>地  点：</w:t>
            </w:r>
          </w:p>
          <w:p>
            <w:pPr>
              <w:spacing w:line="300" w:lineRule="exact"/>
              <w:ind w:left="-105" w:leftChars="-50" w:firstLine="949" w:firstLineChars="452"/>
              <w:rPr>
                <w:color w:val="auto"/>
                <w:kern w:val="0"/>
                <w:highlight w:val="none"/>
              </w:rPr>
            </w:pPr>
            <w:r>
              <w:rPr>
                <w:color w:val="auto"/>
                <w:kern w:val="0"/>
                <w:highlight w:val="none"/>
              </w:rPr>
              <w:t>联系人：</w:t>
            </w:r>
          </w:p>
          <w:p>
            <w:pPr>
              <w:spacing w:line="300" w:lineRule="exact"/>
              <w:ind w:firstLine="840" w:firstLineChars="400"/>
              <w:rPr>
                <w:color w:val="auto"/>
                <w:highlight w:val="none"/>
              </w:rPr>
            </w:pPr>
            <w:r>
              <w:rPr>
                <w:color w:val="auto"/>
                <w:kern w:val="0"/>
                <w:highlight w:val="none"/>
              </w:rPr>
              <w:t>电  话：</w:t>
            </w:r>
          </w:p>
          <w:p>
            <w:pPr>
              <w:spacing w:line="300" w:lineRule="exact"/>
              <w:rPr>
                <w:rFonts w:cs="宋体"/>
                <w:bCs/>
                <w:color w:val="auto"/>
                <w:kern w:val="0"/>
                <w:highlight w:val="none"/>
              </w:rPr>
            </w:pPr>
            <w:r>
              <w:rPr>
                <w:color w:val="auto"/>
                <w:highlight w:val="none"/>
              </w:rPr>
              <w:sym w:font="Wingdings 2" w:char="00A3"/>
            </w:r>
            <w:r>
              <w:rPr>
                <w:rFonts w:hint="eastAsia"/>
                <w:color w:val="auto"/>
                <w:highlight w:val="none"/>
              </w:rPr>
              <w:t>组织，招标文件提供期限截止后以书面形式通知。</w:t>
            </w:r>
          </w:p>
        </w:tc>
      </w:tr>
      <w:tr>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cs="宋体"/>
                <w:bCs/>
                <w:color w:val="auto"/>
                <w:kern w:val="0"/>
                <w:highlight w:val="none"/>
              </w:rPr>
            </w:pPr>
            <w:r>
              <w:rPr>
                <w:color w:val="auto"/>
                <w:highlight w:val="none"/>
              </w:rPr>
              <w:sym w:font="Wingdings 2" w:char="0052"/>
            </w:r>
            <w:r>
              <w:rPr>
                <w:rFonts w:hint="eastAsia"/>
                <w:color w:val="auto"/>
                <w:highlight w:val="none"/>
              </w:rPr>
              <w:t>否</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eastAsia="宋体" w:cs="宋体"/>
                <w:color w:val="auto"/>
                <w:kern w:val="0"/>
                <w:highlight w:val="none"/>
                <w:lang w:val="en-US" w:eastAsia="zh-CN"/>
              </w:rPr>
            </w:pPr>
            <w:r>
              <w:rPr>
                <w:rFonts w:hint="eastAsia" w:ascii="宋体" w:cs="宋体"/>
                <w:bCs/>
                <w:kern w:val="0"/>
              </w:rPr>
              <w:t>软件和信息技术服务业</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不需要提供演示</w:t>
            </w:r>
          </w:p>
          <w:p>
            <w:pPr>
              <w:spacing w:line="300" w:lineRule="exact"/>
              <w:rPr>
                <w:color w:val="auto"/>
                <w:highlight w:val="none"/>
              </w:rPr>
            </w:pPr>
            <w:r>
              <w:rPr>
                <w:color w:val="auto"/>
                <w:highlight w:val="none"/>
              </w:rPr>
              <w:sym w:font="Wingdings 2" w:char="00A3"/>
            </w:r>
            <w:r>
              <w:rPr>
                <w:rFonts w:hint="eastAsia"/>
                <w:color w:val="auto"/>
                <w:highlight w:val="none"/>
              </w:rPr>
              <w:t>需要提供演示</w:t>
            </w:r>
          </w:p>
          <w:p>
            <w:pPr>
              <w:spacing w:line="300" w:lineRule="exact"/>
              <w:rPr>
                <w:color w:val="auto"/>
                <w:highlight w:val="none"/>
              </w:rPr>
            </w:pPr>
            <w:r>
              <w:rPr>
                <w:rFonts w:hint="eastAsia"/>
                <w:color w:val="auto"/>
                <w:highlight w:val="none"/>
              </w:rPr>
              <w:t>1、演示时间：</w:t>
            </w:r>
          </w:p>
          <w:p>
            <w:pPr>
              <w:spacing w:line="300" w:lineRule="exact"/>
              <w:rPr>
                <w:color w:val="auto"/>
                <w:highlight w:val="none"/>
              </w:rPr>
            </w:pPr>
            <w:r>
              <w:rPr>
                <w:rFonts w:hint="eastAsia"/>
                <w:color w:val="auto"/>
                <w:highlight w:val="none"/>
              </w:rPr>
              <w:t xml:space="preserve">   演示地点：</w:t>
            </w:r>
          </w:p>
          <w:p>
            <w:pPr>
              <w:spacing w:line="300" w:lineRule="exact"/>
              <w:rPr>
                <w:color w:val="auto"/>
                <w:highlight w:val="none"/>
              </w:rPr>
            </w:pPr>
            <w:r>
              <w:rPr>
                <w:rFonts w:hint="eastAsia"/>
                <w:color w:val="auto"/>
                <w:highlight w:val="none"/>
              </w:rPr>
              <w:t xml:space="preserve">   演示顺序：</w:t>
            </w:r>
          </w:p>
          <w:p>
            <w:pPr>
              <w:spacing w:line="300" w:lineRule="exact"/>
              <w:rPr>
                <w:rFonts w:cs="宋体"/>
                <w:color w:val="auto"/>
                <w:kern w:val="0"/>
                <w:highlight w:val="none"/>
              </w:rPr>
            </w:pPr>
            <w:r>
              <w:rPr>
                <w:rFonts w:hint="eastAsia"/>
                <w:color w:val="auto"/>
                <w:highlight w:val="none"/>
              </w:rPr>
              <w:t>2、演示要求：（内容、设备等要求）</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所有投标均按</w:t>
            </w:r>
            <w:r>
              <w:rPr>
                <w:rFonts w:hint="eastAsia"/>
                <w:color w:val="auto"/>
                <w:highlight w:val="none"/>
                <w:u w:val="single"/>
              </w:rPr>
              <w:t>人民币</w:t>
            </w:r>
            <w:r>
              <w:rPr>
                <w:rFonts w:hint="eastAsia"/>
                <w:color w:val="auto"/>
                <w:highlight w:val="none"/>
              </w:rPr>
              <w:t>货币进行报价。</w:t>
            </w:r>
          </w:p>
          <w:p>
            <w:pPr>
              <w:spacing w:line="300" w:lineRule="exact"/>
              <w:rPr>
                <w:rFonts w:cs="宋体"/>
                <w:color w:val="auto"/>
                <w:kern w:val="0"/>
                <w:highlight w:val="none"/>
                <w:u w:val="single"/>
              </w:rPr>
            </w:pPr>
            <w:r>
              <w:rPr>
                <w:color w:val="auto"/>
                <w:highlight w:val="none"/>
              </w:rPr>
              <w:sym w:font="Wingdings 2" w:char="00A3"/>
            </w:r>
            <w:r>
              <w:rPr>
                <w:rFonts w:hint="eastAsia"/>
                <w:color w:val="auto"/>
                <w:highlight w:val="none"/>
              </w:rPr>
              <w:t>其它：</w:t>
            </w:r>
          </w:p>
        </w:tc>
      </w:tr>
      <w:tr>
        <w:tblPrEx>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color w:val="auto"/>
                <w:highlight w:val="none"/>
              </w:rPr>
            </w:pPr>
            <w:r>
              <w:rPr>
                <w:rFonts w:hint="eastAsia"/>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eastAsia="宋体" w:cs="宋体"/>
                <w:color w:val="auto"/>
                <w:highlight w:val="none"/>
                <w:lang w:val="en-US" w:eastAsia="zh-CN"/>
              </w:rPr>
            </w:pPr>
            <w:r>
              <w:rPr>
                <w:rFonts w:hint="eastAsia" w:cs="宋体"/>
                <w:color w:val="auto"/>
                <w:highlight w:val="none"/>
              </w:rPr>
              <w:t>1.投标保证金金额：</w:t>
            </w:r>
            <w:r>
              <w:rPr>
                <w:rFonts w:hint="eastAsia" w:cs="宋体"/>
                <w:color w:val="auto"/>
                <w:highlight w:val="none"/>
                <w:lang w:val="en-US" w:eastAsia="zh-CN"/>
              </w:rPr>
              <w:t>第一包：10000元，第二包20000元</w:t>
            </w:r>
          </w:p>
          <w:p>
            <w:pPr>
              <w:spacing w:line="300" w:lineRule="exact"/>
              <w:rPr>
                <w:rFonts w:cs="宋体"/>
                <w:color w:val="auto"/>
                <w:highlight w:val="none"/>
              </w:rPr>
            </w:pPr>
            <w:r>
              <w:rPr>
                <w:rFonts w:hint="eastAsia" w:cs="宋体"/>
                <w:color w:val="auto"/>
                <w:highlight w:val="none"/>
              </w:rPr>
              <w:t xml:space="preserve">2.投标保证金缴纳时间：同投标截止时间 </w:t>
            </w:r>
          </w:p>
          <w:p>
            <w:pPr>
              <w:spacing w:line="300" w:lineRule="exact"/>
              <w:rPr>
                <w:rFonts w:cs="宋体"/>
                <w:color w:val="auto"/>
                <w:highlight w:val="none"/>
              </w:rPr>
            </w:pPr>
            <w:r>
              <w:rPr>
                <w:rFonts w:hint="eastAsia" w:cs="宋体"/>
                <w:color w:val="auto"/>
                <w:highlight w:val="none"/>
              </w:rPr>
              <w:t>3.投标保证金缴纳方式：保函   支票  电汇 其他非现金形式</w:t>
            </w:r>
          </w:p>
          <w:p>
            <w:pPr>
              <w:spacing w:line="300" w:lineRule="exact"/>
              <w:rPr>
                <w:rFonts w:cs="宋体"/>
                <w:color w:val="auto"/>
                <w:highlight w:val="none"/>
              </w:rPr>
            </w:pPr>
            <w:r>
              <w:rPr>
                <w:rFonts w:hint="eastAsia" w:cs="宋体"/>
                <w:color w:val="auto"/>
                <w:highlight w:val="none"/>
              </w:rPr>
              <w:t>保证金收款人银行信息：</w:t>
            </w:r>
          </w:p>
          <w:p>
            <w:pPr>
              <w:spacing w:line="300" w:lineRule="exact"/>
              <w:rPr>
                <w:rFonts w:cs="宋体"/>
                <w:color w:val="auto"/>
                <w:highlight w:val="none"/>
              </w:rPr>
            </w:pPr>
            <w:r>
              <w:rPr>
                <w:rFonts w:hint="eastAsia" w:cs="宋体"/>
                <w:color w:val="auto"/>
                <w:highlight w:val="none"/>
              </w:rPr>
              <w:t>开户名称：黑龙江省招标有限公司</w:t>
            </w:r>
          </w:p>
          <w:p>
            <w:pPr>
              <w:spacing w:line="300" w:lineRule="exact"/>
              <w:rPr>
                <w:rFonts w:cs="宋体"/>
                <w:color w:val="auto"/>
                <w:highlight w:val="none"/>
              </w:rPr>
            </w:pPr>
            <w:r>
              <w:rPr>
                <w:rFonts w:hint="eastAsia" w:cs="宋体"/>
                <w:color w:val="auto"/>
                <w:highlight w:val="none"/>
              </w:rPr>
              <w:t>开户行：招商银行股份有限公司哈尔滨开发区支行</w:t>
            </w:r>
          </w:p>
          <w:p>
            <w:pPr>
              <w:spacing w:line="300" w:lineRule="exact"/>
              <w:rPr>
                <w:rFonts w:cs="宋体"/>
                <w:color w:val="auto"/>
                <w:highlight w:val="none"/>
              </w:rPr>
            </w:pPr>
            <w:r>
              <w:rPr>
                <w:rFonts w:hint="eastAsia" w:cs="宋体"/>
                <w:color w:val="auto"/>
                <w:highlight w:val="none"/>
              </w:rPr>
              <w:t>帐号： 451902390110302</w:t>
            </w:r>
          </w:p>
          <w:p>
            <w:pPr>
              <w:spacing w:line="300" w:lineRule="exact"/>
              <w:rPr>
                <w:rFonts w:cs="宋体"/>
                <w:color w:val="auto"/>
                <w:highlight w:val="none"/>
              </w:rPr>
            </w:pPr>
            <w:r>
              <w:rPr>
                <w:rFonts w:hint="eastAsia" w:cs="宋体"/>
                <w:color w:val="auto"/>
                <w:highlight w:val="none"/>
              </w:rPr>
              <w:t>4.保证金退还咨询电话：0451-82364703</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color w:val="auto"/>
                <w:highlight w:val="none"/>
              </w:rPr>
            </w:pPr>
            <w:r>
              <w:rPr>
                <w:rFonts w:hint="eastAsia"/>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cs="宋体"/>
                <w:color w:val="auto"/>
                <w:kern w:val="0"/>
                <w:highlight w:val="none"/>
              </w:rPr>
            </w:pPr>
            <w:r>
              <w:rPr>
                <w:rFonts w:hint="eastAsia"/>
                <w:color w:val="auto"/>
                <w:highlight w:val="none"/>
                <w:u w:val="single"/>
              </w:rPr>
              <w:t>180</w:t>
            </w:r>
            <w:r>
              <w:rPr>
                <w:rFonts w:hint="eastAsia"/>
                <w:color w:val="auto"/>
                <w:highlight w:val="none"/>
              </w:rPr>
              <w:t>日历日</w:t>
            </w:r>
          </w:p>
        </w:tc>
      </w:tr>
      <w:tr>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投标文件正本</w:t>
            </w:r>
            <w:r>
              <w:rPr>
                <w:rFonts w:hint="eastAsia"/>
                <w:color w:val="auto"/>
                <w:highlight w:val="none"/>
                <w:u w:val="single"/>
              </w:rPr>
              <w:t>1</w:t>
            </w:r>
            <w:r>
              <w:rPr>
                <w:rFonts w:hint="eastAsia"/>
                <w:color w:val="auto"/>
                <w:highlight w:val="none"/>
              </w:rPr>
              <w:t>份,副本</w:t>
            </w:r>
            <w:r>
              <w:rPr>
                <w:rFonts w:hint="eastAsia"/>
                <w:color w:val="auto"/>
                <w:highlight w:val="none"/>
                <w:u w:val="single"/>
              </w:rPr>
              <w:t>4</w:t>
            </w:r>
            <w:r>
              <w:rPr>
                <w:rFonts w:hint="eastAsia"/>
                <w:color w:val="auto"/>
                <w:highlight w:val="none"/>
              </w:rPr>
              <w:t>份；电子文档</w:t>
            </w:r>
            <w:r>
              <w:rPr>
                <w:rFonts w:hint="eastAsia"/>
                <w:color w:val="auto"/>
                <w:highlight w:val="none"/>
                <w:u w:val="single"/>
              </w:rPr>
              <w:t>1</w:t>
            </w:r>
            <w:r>
              <w:rPr>
                <w:rFonts w:hint="eastAsia"/>
                <w:color w:val="auto"/>
                <w:highlight w:val="none"/>
              </w:rPr>
              <w:t>份。</w:t>
            </w:r>
          </w:p>
        </w:tc>
      </w:tr>
      <w:tr>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详见招标公告，以招标公告规定时间、地点为准。</w:t>
            </w:r>
          </w:p>
        </w:tc>
      </w:tr>
      <w:tr>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详见招标公告，以招标公告规定时间、地点为准。</w:t>
            </w:r>
          </w:p>
        </w:tc>
      </w:tr>
      <w:tr>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评标委员会由采购人代表</w:t>
            </w:r>
            <w:r>
              <w:rPr>
                <w:rFonts w:hint="eastAsia"/>
                <w:color w:val="auto"/>
                <w:highlight w:val="none"/>
                <w:u w:val="single"/>
                <w:lang w:val="en-US" w:eastAsia="zh-CN"/>
              </w:rPr>
              <w:t>0-2</w:t>
            </w:r>
            <w:r>
              <w:rPr>
                <w:rFonts w:hint="eastAsia"/>
                <w:color w:val="auto"/>
                <w:highlight w:val="none"/>
              </w:rPr>
              <w:t>人，评审专家</w:t>
            </w:r>
            <w:r>
              <w:rPr>
                <w:rFonts w:hint="eastAsia"/>
                <w:color w:val="auto"/>
                <w:highlight w:val="none"/>
                <w:u w:val="single"/>
                <w:lang w:val="en-US" w:eastAsia="zh-CN"/>
              </w:rPr>
              <w:t>5-7</w:t>
            </w:r>
            <w:r>
              <w:rPr>
                <w:rFonts w:hint="eastAsia"/>
                <w:color w:val="auto"/>
                <w:highlight w:val="none"/>
              </w:rPr>
              <w:t>人组成，共</w:t>
            </w:r>
            <w:r>
              <w:rPr>
                <w:rFonts w:hint="eastAsia"/>
                <w:color w:val="auto"/>
                <w:highlight w:val="none"/>
                <w:u w:val="single"/>
                <w:lang w:val="en-US" w:eastAsia="zh-CN"/>
              </w:rPr>
              <w:t>7</w:t>
            </w:r>
            <w:r>
              <w:rPr>
                <w:rFonts w:hint="eastAsia"/>
                <w:color w:val="auto"/>
                <w:highlight w:val="none"/>
              </w:rPr>
              <w:t xml:space="preserve">人。 </w:t>
            </w:r>
          </w:p>
        </w:tc>
      </w:tr>
      <w:tr>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rFonts w:hint="eastAsia"/>
                <w:color w:val="auto"/>
                <w:highlight w:val="none"/>
              </w:rPr>
              <w:t>/</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综合评分法</w:t>
            </w:r>
          </w:p>
          <w:p>
            <w:pPr>
              <w:spacing w:line="300" w:lineRule="exact"/>
              <w:rPr>
                <w:rFonts w:cs="宋体"/>
                <w:color w:val="auto"/>
                <w:highlight w:val="none"/>
              </w:rPr>
            </w:pPr>
            <w:r>
              <w:rPr>
                <w:color w:val="auto"/>
                <w:highlight w:val="none"/>
              </w:rPr>
              <w:sym w:font="Wingdings 2" w:char="00A3"/>
            </w:r>
            <w:r>
              <w:rPr>
                <w:rFonts w:hint="eastAsia"/>
                <w:color w:val="auto"/>
                <w:highlight w:val="none"/>
              </w:rPr>
              <w:t>最低评标价法</w:t>
            </w:r>
          </w:p>
        </w:tc>
      </w:tr>
      <w:tr>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eastAsia="宋体"/>
                <w:color w:val="auto"/>
                <w:highlight w:val="none"/>
                <w:lang w:eastAsia="zh-CN"/>
              </w:rPr>
            </w:pPr>
            <w:r>
              <w:rPr>
                <w:rFonts w:hint="eastAsia"/>
                <w:color w:val="auto"/>
                <w:highlight w:val="none"/>
                <w:lang w:val="en-US" w:eastAsia="zh-CN"/>
              </w:rPr>
              <w:t>/</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cs="宋体"/>
                <w:color w:val="auto"/>
                <w:kern w:val="0"/>
                <w:highlight w:val="none"/>
              </w:rPr>
            </w:pPr>
            <w:r>
              <w:rPr>
                <w:rFonts w:hint="eastAsia" w:cs="宋体"/>
                <w:color w:val="auto"/>
                <w:kern w:val="0"/>
                <w:highlight w:val="none"/>
              </w:rPr>
              <w:t>每包不低于3名</w:t>
            </w:r>
          </w:p>
        </w:tc>
      </w:tr>
      <w:tr>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u w:val="single"/>
              </w:rPr>
            </w:pPr>
            <w:r>
              <w:rPr>
                <w:rFonts w:hint="eastAsia"/>
                <w:color w:val="auto"/>
                <w:highlight w:val="none"/>
              </w:rPr>
              <w:t>中标人数量：每包1名</w:t>
            </w:r>
          </w:p>
          <w:p>
            <w:pPr>
              <w:spacing w:line="300" w:lineRule="exact"/>
              <w:rPr>
                <w:color w:val="auto"/>
                <w:highlight w:val="none"/>
              </w:rPr>
            </w:pPr>
            <w:r>
              <w:rPr>
                <w:color w:val="auto"/>
                <w:highlight w:val="none"/>
              </w:rPr>
              <w:sym w:font="Wingdings 2" w:char="0052"/>
            </w:r>
            <w:r>
              <w:rPr>
                <w:rFonts w:hint="eastAsia"/>
                <w:color w:val="auto"/>
                <w:highlight w:val="none"/>
              </w:rPr>
              <w:t>采购人委托评标委员会直接确认中标人</w:t>
            </w:r>
          </w:p>
          <w:p>
            <w:pPr>
              <w:spacing w:line="300" w:lineRule="exact"/>
              <w:rPr>
                <w:color w:val="auto"/>
                <w:highlight w:val="none"/>
              </w:rPr>
            </w:pPr>
            <w:r>
              <w:rPr>
                <w:color w:val="auto"/>
                <w:highlight w:val="none"/>
              </w:rPr>
              <w:sym w:font="Wingdings 2" w:char="00A3"/>
            </w:r>
            <w:r>
              <w:rPr>
                <w:rFonts w:hint="eastAsia"/>
                <w:color w:val="auto"/>
                <w:highlight w:val="none"/>
              </w:rPr>
              <w:t>采购人确认中标人</w:t>
            </w:r>
          </w:p>
        </w:tc>
      </w:tr>
      <w:tr>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本项目不收取履约保证金</w:t>
            </w:r>
          </w:p>
          <w:p>
            <w:pPr>
              <w:spacing w:line="300" w:lineRule="exact"/>
              <w:rPr>
                <w:color w:val="auto"/>
                <w:highlight w:val="none"/>
              </w:rPr>
            </w:pPr>
            <w:r>
              <w:rPr>
                <w:color w:val="auto"/>
                <w:highlight w:val="none"/>
              </w:rPr>
              <w:sym w:font="Wingdings 2" w:char="00A3"/>
            </w:r>
            <w:r>
              <w:rPr>
                <w:rFonts w:hint="eastAsia"/>
                <w:color w:val="auto"/>
                <w:highlight w:val="none"/>
              </w:rPr>
              <w:t>本项目收取履约保证金</w:t>
            </w:r>
          </w:p>
          <w:p>
            <w:pPr>
              <w:spacing w:line="300" w:lineRule="exact"/>
              <w:rPr>
                <w:color w:val="auto"/>
                <w:highlight w:val="none"/>
              </w:rPr>
            </w:pPr>
            <w:r>
              <w:rPr>
                <w:rFonts w:hint="eastAsia"/>
                <w:color w:val="auto"/>
                <w:highlight w:val="none"/>
              </w:rPr>
              <w:t>履约保证金金额：</w:t>
            </w:r>
          </w:p>
          <w:p>
            <w:pPr>
              <w:spacing w:line="300" w:lineRule="exact"/>
              <w:rPr>
                <w:color w:val="auto"/>
                <w:highlight w:val="none"/>
              </w:rPr>
            </w:pPr>
            <w:r>
              <w:rPr>
                <w:rFonts w:hint="eastAsia"/>
                <w:color w:val="auto"/>
                <w:highlight w:val="none"/>
              </w:rPr>
              <w:t xml:space="preserve">履约保证金递交时间： </w:t>
            </w:r>
          </w:p>
          <w:p>
            <w:pPr>
              <w:spacing w:line="300" w:lineRule="exact"/>
              <w:rPr>
                <w:color w:val="auto"/>
                <w:highlight w:val="none"/>
              </w:rPr>
            </w:pPr>
            <w:r>
              <w:rPr>
                <w:rFonts w:hint="eastAsia"/>
                <w:color w:val="auto"/>
                <w:highlight w:val="none"/>
              </w:rPr>
              <w:t>履约保证金递交方式：□保函   □支票  □电汇 □其他非现金形式</w:t>
            </w:r>
          </w:p>
          <w:p>
            <w:pPr>
              <w:spacing w:line="300" w:lineRule="exact"/>
              <w:rPr>
                <w:color w:val="auto"/>
                <w:highlight w:val="none"/>
              </w:rPr>
            </w:pPr>
            <w:r>
              <w:rPr>
                <w:rFonts w:hint="eastAsia"/>
                <w:color w:val="auto"/>
                <w:highlight w:val="none"/>
              </w:rPr>
              <w:t>账户信息：</w:t>
            </w:r>
          </w:p>
          <w:p>
            <w:pPr>
              <w:spacing w:line="300" w:lineRule="exact"/>
              <w:rPr>
                <w:color w:val="auto"/>
                <w:highlight w:val="none"/>
              </w:rPr>
            </w:pPr>
            <w:r>
              <w:rPr>
                <w:rFonts w:hint="eastAsia"/>
                <w:color w:val="auto"/>
                <w:highlight w:val="none"/>
              </w:rPr>
              <w:t xml:space="preserve">开 户 名： </w:t>
            </w:r>
          </w:p>
          <w:p>
            <w:pPr>
              <w:spacing w:line="300" w:lineRule="exact"/>
              <w:rPr>
                <w:color w:val="auto"/>
                <w:highlight w:val="none"/>
              </w:rPr>
            </w:pPr>
            <w:r>
              <w:rPr>
                <w:rFonts w:hint="eastAsia"/>
                <w:color w:val="auto"/>
                <w:highlight w:val="none"/>
              </w:rPr>
              <w:t xml:space="preserve">开 户 行： </w:t>
            </w:r>
          </w:p>
          <w:p>
            <w:pPr>
              <w:spacing w:line="300" w:lineRule="exact"/>
              <w:rPr>
                <w:color w:val="auto"/>
                <w:highlight w:val="none"/>
              </w:rPr>
            </w:pPr>
            <w:r>
              <w:rPr>
                <w:rFonts w:hint="eastAsia"/>
                <w:color w:val="auto"/>
                <w:highlight w:val="none"/>
              </w:rPr>
              <w:t xml:space="preserve">账    号： </w:t>
            </w:r>
          </w:p>
          <w:p>
            <w:pPr>
              <w:spacing w:line="300" w:lineRule="exact"/>
              <w:rPr>
                <w:color w:val="auto"/>
                <w:highlight w:val="none"/>
              </w:rPr>
            </w:pPr>
            <w:r>
              <w:rPr>
                <w:rFonts w:hint="eastAsia"/>
                <w:color w:val="auto"/>
                <w:highlight w:val="none"/>
              </w:rPr>
              <w:t>履约保证金退还时间及规定：</w:t>
            </w:r>
          </w:p>
        </w:tc>
      </w:tr>
      <w:tr>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color w:val="auto"/>
                <w:highlight w:val="none"/>
              </w:rPr>
            </w:pPr>
            <w:r>
              <w:rPr>
                <w:rFonts w:hint="eastAsia"/>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本项目不收取采购代理服务费</w:t>
            </w:r>
          </w:p>
          <w:p>
            <w:pPr>
              <w:spacing w:line="300" w:lineRule="exact"/>
              <w:rPr>
                <w:color w:val="auto"/>
                <w:highlight w:val="none"/>
              </w:rPr>
            </w:pPr>
            <w:r>
              <w:rPr>
                <w:color w:val="auto"/>
                <w:highlight w:val="none"/>
              </w:rPr>
              <w:sym w:font="Wingdings 2" w:char="0052"/>
            </w:r>
            <w:r>
              <w:rPr>
                <w:rFonts w:hint="eastAsia"/>
                <w:color w:val="auto"/>
                <w:highlight w:val="none"/>
              </w:rPr>
              <w:t>本项目收取采购代理服务费</w:t>
            </w:r>
          </w:p>
          <w:p>
            <w:pPr>
              <w:spacing w:line="300" w:lineRule="exact"/>
              <w:rPr>
                <w:color w:val="auto"/>
                <w:highlight w:val="none"/>
              </w:rPr>
            </w:pPr>
            <w:r>
              <w:rPr>
                <w:rFonts w:hint="eastAsia"/>
                <w:color w:val="auto"/>
                <w:highlight w:val="none"/>
              </w:rPr>
              <w:t>中标人与采购人签订合同后，代理机构向每包中标人按下列标准收取采购代理服务费。</w:t>
            </w:r>
          </w:p>
          <w:p>
            <w:pPr>
              <w:spacing w:line="300" w:lineRule="exact"/>
              <w:rPr>
                <w:color w:val="auto"/>
                <w:highlight w:val="none"/>
              </w:rPr>
            </w:pPr>
            <w:r>
              <w:rPr>
                <w:rFonts w:hint="eastAsia"/>
                <w:color w:val="auto"/>
                <w:highlight w:val="none"/>
              </w:rPr>
              <w:t>（1）以《中标通知书》中确定的</w:t>
            </w:r>
            <w:r>
              <w:rPr>
                <w:rFonts w:hint="eastAsia"/>
                <w:color w:val="auto"/>
                <w:highlight w:val="none"/>
                <w:lang w:val="en-US" w:eastAsia="zh-CN"/>
              </w:rPr>
              <w:t>年</w:t>
            </w:r>
            <w:r>
              <w:rPr>
                <w:rFonts w:hint="eastAsia"/>
                <w:color w:val="auto"/>
                <w:highlight w:val="none"/>
              </w:rPr>
              <w:t>中标</w:t>
            </w:r>
            <w:r>
              <w:rPr>
                <w:rFonts w:hint="eastAsia"/>
                <w:color w:val="auto"/>
                <w:highlight w:val="none"/>
                <w:lang w:val="en-US" w:eastAsia="zh-CN"/>
              </w:rPr>
              <w:t>金额乘以三年</w:t>
            </w:r>
            <w:r>
              <w:rPr>
                <w:rFonts w:hint="eastAsia"/>
                <w:color w:val="auto"/>
                <w:highlight w:val="none"/>
              </w:rPr>
              <w:t>为收费的计算基数：</w:t>
            </w:r>
          </w:p>
          <w:p>
            <w:pPr>
              <w:spacing w:line="300" w:lineRule="exact"/>
              <w:rPr>
                <w:color w:val="auto"/>
                <w:highlight w:val="none"/>
              </w:rPr>
            </w:pPr>
            <w:r>
              <w:rPr>
                <w:rFonts w:hint="eastAsia"/>
                <w:color w:val="auto"/>
                <w:highlight w:val="none"/>
              </w:rPr>
              <w:t>（2）分段收取采购代理服务费即各中标金额区间乘相应费率后之和为采购代理服务费。</w:t>
            </w:r>
          </w:p>
          <w:p>
            <w:pPr>
              <w:spacing w:line="300" w:lineRule="exact"/>
              <w:rPr>
                <w:rFonts w:hint="eastAsia"/>
                <w:color w:val="auto"/>
                <w:highlight w:val="none"/>
              </w:rPr>
            </w:pPr>
            <w:r>
              <w:rPr>
                <w:rFonts w:hint="eastAsia"/>
                <w:color w:val="auto"/>
                <w:highlight w:val="none"/>
              </w:rPr>
              <w:t>100万元人民币以下（含 100万元）按1.5%费率收取；</w:t>
            </w:r>
          </w:p>
          <w:p>
            <w:pPr>
              <w:spacing w:line="300" w:lineRule="exact"/>
              <w:rPr>
                <w:rFonts w:hint="eastAsia"/>
                <w:color w:val="auto"/>
                <w:highlight w:val="none"/>
              </w:rPr>
            </w:pPr>
            <w:r>
              <w:rPr>
                <w:rFonts w:hint="eastAsia"/>
                <w:color w:val="auto"/>
                <w:highlight w:val="none"/>
              </w:rPr>
              <w:t>100~500万元人民币（含 500万元）按</w:t>
            </w:r>
            <w:r>
              <w:rPr>
                <w:rFonts w:hint="eastAsia"/>
                <w:color w:val="auto"/>
                <w:highlight w:val="none"/>
                <w:lang w:val="en-US" w:eastAsia="zh-CN"/>
              </w:rPr>
              <w:t>0.8</w:t>
            </w:r>
            <w:r>
              <w:rPr>
                <w:rFonts w:hint="eastAsia"/>
                <w:color w:val="auto"/>
                <w:highlight w:val="none"/>
              </w:rPr>
              <w:t>%费率收取；</w:t>
            </w:r>
          </w:p>
          <w:p>
            <w:pPr>
              <w:spacing w:line="300" w:lineRule="exact"/>
              <w:rPr>
                <w:rFonts w:hint="eastAsia"/>
                <w:color w:val="auto"/>
                <w:highlight w:val="none"/>
              </w:rPr>
            </w:pPr>
            <w:r>
              <w:rPr>
                <w:rFonts w:hint="eastAsia"/>
                <w:color w:val="auto"/>
                <w:highlight w:val="none"/>
              </w:rPr>
              <w:t>500~1000万元人民币（含 1000万元）按0.</w:t>
            </w:r>
            <w:r>
              <w:rPr>
                <w:rFonts w:hint="eastAsia"/>
                <w:color w:val="auto"/>
                <w:highlight w:val="none"/>
                <w:lang w:val="en-US" w:eastAsia="zh-CN"/>
              </w:rPr>
              <w:t>45</w:t>
            </w:r>
            <w:r>
              <w:rPr>
                <w:rFonts w:hint="eastAsia"/>
                <w:color w:val="auto"/>
                <w:highlight w:val="none"/>
              </w:rPr>
              <w:t>%费率收取；</w:t>
            </w:r>
          </w:p>
          <w:p>
            <w:pPr>
              <w:spacing w:line="300" w:lineRule="exact"/>
              <w:rPr>
                <w:rFonts w:hint="eastAsia"/>
                <w:color w:val="auto"/>
                <w:highlight w:val="none"/>
              </w:rPr>
            </w:pPr>
            <w:r>
              <w:rPr>
                <w:rFonts w:hint="eastAsia"/>
                <w:color w:val="auto"/>
                <w:highlight w:val="none"/>
                <w:lang w:val="en-US" w:eastAsia="zh-CN"/>
              </w:rPr>
              <w:t>10</w:t>
            </w:r>
            <w:r>
              <w:rPr>
                <w:rFonts w:hint="eastAsia"/>
                <w:color w:val="auto"/>
                <w:highlight w:val="none"/>
              </w:rPr>
              <w:t>00~</w:t>
            </w:r>
            <w:r>
              <w:rPr>
                <w:rFonts w:hint="eastAsia"/>
                <w:color w:val="auto"/>
                <w:highlight w:val="none"/>
                <w:lang w:val="en-US" w:eastAsia="zh-CN"/>
              </w:rPr>
              <w:t>5</w:t>
            </w:r>
            <w:r>
              <w:rPr>
                <w:rFonts w:hint="eastAsia"/>
                <w:color w:val="auto"/>
                <w:highlight w:val="none"/>
              </w:rPr>
              <w:t xml:space="preserve">000万元人民币（含 </w:t>
            </w:r>
            <w:r>
              <w:rPr>
                <w:rFonts w:hint="eastAsia"/>
                <w:color w:val="auto"/>
                <w:highlight w:val="none"/>
                <w:lang w:val="en-US" w:eastAsia="zh-CN"/>
              </w:rPr>
              <w:t>5</w:t>
            </w:r>
            <w:r>
              <w:rPr>
                <w:rFonts w:hint="eastAsia"/>
                <w:color w:val="auto"/>
                <w:highlight w:val="none"/>
              </w:rPr>
              <w:t>000万元）按0.</w:t>
            </w:r>
            <w:r>
              <w:rPr>
                <w:rFonts w:hint="eastAsia"/>
                <w:color w:val="auto"/>
                <w:highlight w:val="none"/>
                <w:lang w:val="en-US" w:eastAsia="zh-CN"/>
              </w:rPr>
              <w:t>25</w:t>
            </w:r>
            <w:r>
              <w:rPr>
                <w:rFonts w:hint="eastAsia"/>
                <w:color w:val="auto"/>
                <w:highlight w:val="none"/>
              </w:rPr>
              <w:t>%费率收取；</w:t>
            </w:r>
          </w:p>
          <w:p>
            <w:pPr>
              <w:spacing w:line="300" w:lineRule="exact"/>
              <w:rPr>
                <w:color w:val="auto"/>
                <w:highlight w:val="none"/>
              </w:rPr>
            </w:pPr>
            <w:r>
              <w:rPr>
                <w:rFonts w:hint="eastAsia"/>
                <w:color w:val="auto"/>
                <w:highlight w:val="none"/>
              </w:rPr>
              <w:t>2、采购代理服务费交纳方式：</w:t>
            </w:r>
          </w:p>
          <w:p>
            <w:pPr>
              <w:spacing w:line="300" w:lineRule="exact"/>
              <w:rPr>
                <w:color w:val="auto"/>
                <w:highlight w:val="none"/>
              </w:rPr>
            </w:pPr>
            <w:r>
              <w:rPr>
                <w:rFonts w:hint="eastAsia"/>
                <w:color w:val="auto"/>
                <w:highlight w:val="none"/>
              </w:rPr>
              <w:t>合同生效后30日内，卖方以支票、汇票、电汇、现金等付款方式按规定的标准向招标机构一次缴清采购代理服务费。</w:t>
            </w:r>
          </w:p>
          <w:p>
            <w:pPr>
              <w:spacing w:line="300" w:lineRule="exact"/>
              <w:rPr>
                <w:color w:val="auto"/>
                <w:highlight w:val="none"/>
              </w:rPr>
            </w:pPr>
            <w:r>
              <w:rPr>
                <w:rFonts w:hint="eastAsia"/>
                <w:color w:val="auto"/>
                <w:highlight w:val="none"/>
              </w:rPr>
              <w:t>开户名称：黑龙江省招标有限公司</w:t>
            </w:r>
          </w:p>
          <w:p>
            <w:pPr>
              <w:spacing w:line="300" w:lineRule="exact"/>
              <w:rPr>
                <w:color w:val="auto"/>
                <w:highlight w:val="none"/>
              </w:rPr>
            </w:pPr>
            <w:r>
              <w:rPr>
                <w:rFonts w:hint="eastAsia"/>
                <w:color w:val="auto"/>
                <w:highlight w:val="none"/>
              </w:rPr>
              <w:t>开户行：招商银行股份有限公司哈尔滨开发区支行</w:t>
            </w:r>
          </w:p>
          <w:p>
            <w:pPr>
              <w:spacing w:line="300" w:lineRule="exact"/>
              <w:rPr>
                <w:rFonts w:cs="宋体"/>
                <w:color w:val="auto"/>
                <w:kern w:val="0"/>
                <w:highlight w:val="none"/>
              </w:rPr>
            </w:pPr>
            <w:r>
              <w:rPr>
                <w:rFonts w:hint="eastAsia"/>
                <w:color w:val="auto"/>
                <w:highlight w:val="none"/>
              </w:rPr>
              <w:t>帐号： 451902390110302</w:t>
            </w:r>
          </w:p>
        </w:tc>
      </w:tr>
      <w:tr>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一、供应商认为自己的权益受到损害的，可以在知道或者应知其权益受到损害之日起七个工作日内，向采购代理机构提出质疑。</w:t>
            </w:r>
          </w:p>
          <w:p>
            <w:pPr>
              <w:spacing w:line="300" w:lineRule="exact"/>
              <w:rPr>
                <w:color w:val="auto"/>
                <w:highlight w:val="none"/>
              </w:rPr>
            </w:pPr>
            <w:r>
              <w:rPr>
                <w:rFonts w:hint="eastAsia"/>
                <w:color w:val="auto"/>
                <w:highlight w:val="none"/>
              </w:rPr>
              <w:t>1.接收质疑函的方式：接收加盖单位公章的书面纸质疑函</w:t>
            </w:r>
          </w:p>
          <w:p>
            <w:pPr>
              <w:spacing w:line="300" w:lineRule="exact"/>
              <w:rPr>
                <w:color w:val="auto"/>
                <w:highlight w:val="none"/>
              </w:rPr>
            </w:pPr>
            <w:r>
              <w:rPr>
                <w:rFonts w:hint="eastAsia"/>
                <w:color w:val="auto"/>
                <w:highlight w:val="none"/>
              </w:rPr>
              <w:t>联系单位：黑龙江省招标有限公司</w:t>
            </w:r>
          </w:p>
          <w:p>
            <w:pPr>
              <w:spacing w:line="300" w:lineRule="exact"/>
              <w:rPr>
                <w:color w:val="auto"/>
                <w:highlight w:val="none"/>
              </w:rPr>
            </w:pPr>
            <w:r>
              <w:rPr>
                <w:rFonts w:hint="eastAsia"/>
                <w:color w:val="auto"/>
                <w:highlight w:val="none"/>
              </w:rPr>
              <w:t>联系电话：0451-82364703</w:t>
            </w:r>
          </w:p>
          <w:p>
            <w:pPr>
              <w:spacing w:line="300" w:lineRule="exact"/>
              <w:rPr>
                <w:color w:val="auto"/>
                <w:highlight w:val="none"/>
              </w:rPr>
            </w:pPr>
            <w:r>
              <w:rPr>
                <w:rFonts w:hint="eastAsia"/>
                <w:color w:val="auto"/>
                <w:highlight w:val="none"/>
              </w:rPr>
              <w:t>通讯地址：哈尔滨市南岗区汉水路180号</w:t>
            </w:r>
          </w:p>
          <w:p>
            <w:pPr>
              <w:spacing w:line="300" w:lineRule="exact"/>
              <w:rPr>
                <w:color w:val="auto"/>
                <w:highlight w:val="none"/>
              </w:rPr>
            </w:pPr>
            <w:r>
              <w:rPr>
                <w:rFonts w:hint="eastAsia"/>
                <w:color w:val="auto"/>
                <w:highlight w:val="none"/>
              </w:rPr>
              <w:t>2.质疑函的内容、格式：应符合《政府采购质疑和投诉办法》相关规定和财政部门制定的《政府采购质疑函范本》格式。</w:t>
            </w:r>
          </w:p>
          <w:p>
            <w:pPr>
              <w:spacing w:line="300" w:lineRule="exact"/>
              <w:rPr>
                <w:rFonts w:cs="宋体"/>
                <w:color w:val="auto"/>
                <w:kern w:val="0"/>
                <w:highlight w:val="none"/>
              </w:rPr>
            </w:pPr>
            <w:r>
              <w:rPr>
                <w:rFonts w:hint="eastAsia"/>
                <w:color w:val="auto"/>
                <w:highlight w:val="none"/>
              </w:rPr>
              <w:t>二、供应商应在法定质疑期内一次性针对同一采购程序环节提出质疑，否则针对再次提出质疑将不予接收。（采购程序环节分为：采购公告、招标文件、招标过程、中标结果）</w:t>
            </w:r>
          </w:p>
        </w:tc>
      </w:tr>
      <w:tr>
        <w:tblPrEx>
          <w:tblCellMar>
            <w:top w:w="0" w:type="dxa"/>
            <w:left w:w="108" w:type="dxa"/>
            <w:bottom w:w="0" w:type="dxa"/>
            <w:right w:w="108" w:type="dxa"/>
          </w:tblCellMar>
        </w:tblPrEx>
        <w:trPr>
          <w:trHeight w:val="3139" w:hRule="atLeast"/>
        </w:trPr>
        <w:tc>
          <w:tcPr>
            <w:tcW w:w="2769" w:type="dxa"/>
            <w:gridSpan w:val="2"/>
            <w:tcBorders>
              <w:top w:val="single" w:color="auto" w:sz="4" w:space="0"/>
              <w:left w:val="single" w:color="auto" w:sz="8"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关于“兼投不兼中”的说明</w:t>
            </w:r>
          </w:p>
        </w:tc>
        <w:tc>
          <w:tcPr>
            <w:tcW w:w="5887" w:type="dxa"/>
            <w:tcBorders>
              <w:top w:val="single" w:color="auto" w:sz="4" w:space="0"/>
              <w:left w:val="nil"/>
              <w:bottom w:val="single" w:color="auto" w:sz="8" w:space="0"/>
              <w:right w:val="single" w:color="auto" w:sz="8" w:space="0"/>
            </w:tcBorders>
            <w:vAlign w:val="center"/>
          </w:tcPr>
          <w:p>
            <w:pPr>
              <w:spacing w:line="300" w:lineRule="exact"/>
              <w:rPr>
                <w:b/>
                <w:bCs/>
                <w:color w:val="auto"/>
                <w:highlight w:val="none"/>
              </w:rPr>
            </w:pPr>
            <w:r>
              <w:rPr>
                <w:rFonts w:hint="eastAsia"/>
                <w:b/>
                <w:bCs/>
                <w:color w:val="auto"/>
                <w:highlight w:val="none"/>
              </w:rPr>
              <w:t>本项目“兼投不兼中”，即同一供应商可以针对本项目的多个包递交投标文件，但只能在一个包中标，排名在前的供应商可以优先选择中标的包。</w:t>
            </w:r>
          </w:p>
          <w:p>
            <w:pPr>
              <w:pStyle w:val="28"/>
              <w:rPr>
                <w:b/>
                <w:bCs/>
                <w:color w:val="auto"/>
                <w:highlight w:val="none"/>
              </w:rPr>
            </w:pPr>
            <w:r>
              <w:rPr>
                <w:rFonts w:hint="eastAsia"/>
                <w:b/>
                <w:bCs/>
                <w:color w:val="auto"/>
                <w:highlight w:val="none"/>
              </w:rPr>
              <w:t>根据财政部国库司对“兼投不兼中”相关问题的答复：“如果一个项目分三个包组，且项目允许兼投不允许兼中。假设有三个供应商参加了这三个包的投标，则第一包可以确定一个中标人。其余两个包供应商不满足三家，根据87号令第四十四条，应该废标。”对本项目作出如下说明：</w:t>
            </w:r>
          </w:p>
          <w:p>
            <w:pPr>
              <w:pStyle w:val="28"/>
              <w:rPr>
                <w:b/>
                <w:bCs/>
                <w:color w:val="auto"/>
                <w:highlight w:val="none"/>
              </w:rPr>
            </w:pPr>
            <w:r>
              <w:rPr>
                <w:rFonts w:hint="eastAsia"/>
                <w:b/>
                <w:bCs/>
                <w:color w:val="auto"/>
                <w:highlight w:val="none"/>
              </w:rPr>
              <w:t>当供应商在某包被确定为预中标人后，该供应商将不被视为其余包的有效供应商。</w:t>
            </w:r>
          </w:p>
          <w:p>
            <w:pPr>
              <w:spacing w:line="300" w:lineRule="exact"/>
              <w:rPr>
                <w:color w:val="auto"/>
                <w:highlight w:val="none"/>
              </w:rPr>
            </w:pPr>
            <w:r>
              <w:rPr>
                <w:rFonts w:hint="eastAsia"/>
                <w:b/>
                <w:bCs/>
                <w:color w:val="auto"/>
                <w:highlight w:val="none"/>
              </w:rPr>
              <w:t>例如：A在所有包均排名第一，并选择第一包中标。B在第二包排名第二，当第二包除A外剩余的有效供应商仍满足三家时，B成为第二包的中标人，否则第二包流标。</w:t>
            </w:r>
          </w:p>
        </w:tc>
      </w:tr>
    </w:tbl>
    <w:p>
      <w:pPr>
        <w:rPr>
          <w:color w:val="auto"/>
          <w:highlight w:val="none"/>
        </w:rPr>
      </w:pPr>
      <w:r>
        <w:rPr>
          <w:rFonts w:hint="eastAsia"/>
          <w:color w:val="auto"/>
          <w:highlight w:val="none"/>
        </w:rPr>
        <w:t>注：表格中“</w:t>
      </w:r>
      <w:r>
        <w:rPr>
          <w:color w:val="auto"/>
          <w:highlight w:val="none"/>
        </w:rPr>
        <w:sym w:font="Wingdings 2" w:char="0052"/>
      </w:r>
      <w:r>
        <w:rPr>
          <w:rFonts w:hint="eastAsia"/>
          <w:color w:val="auto"/>
          <w:highlight w:val="none"/>
        </w:rPr>
        <w:t>”项或“■”项为被选中项。</w:t>
      </w:r>
    </w:p>
    <w:p>
      <w:pPr>
        <w:pStyle w:val="3"/>
        <w:adjustRightInd w:val="0"/>
        <w:snapToGrid w:val="0"/>
        <w:rPr>
          <w:rStyle w:val="33"/>
          <w:color w:val="auto"/>
          <w:highlight w:val="none"/>
        </w:rPr>
      </w:pPr>
      <w:r>
        <w:rPr>
          <w:rFonts w:hint="eastAsia" w:eastAsia="宋体" w:cs="宋体"/>
          <w:color w:val="auto"/>
          <w:sz w:val="21"/>
          <w:szCs w:val="21"/>
          <w:highlight w:val="none"/>
        </w:rPr>
        <w:br w:type="page"/>
      </w:r>
      <w:bookmarkStart w:id="26" w:name="_Toc30384_WPSOffice_Level2"/>
      <w:r>
        <w:rPr>
          <w:rStyle w:val="33"/>
          <w:rFonts w:hint="eastAsia"/>
          <w:color w:val="auto"/>
          <w:highlight w:val="none"/>
        </w:rPr>
        <w:t>二 总则</w:t>
      </w:r>
      <w:bookmarkEnd w:id="26"/>
    </w:p>
    <w:p>
      <w:pPr>
        <w:pStyle w:val="3"/>
        <w:jc w:val="left"/>
        <w:rPr>
          <w:color w:val="auto"/>
          <w:highlight w:val="none"/>
        </w:rPr>
      </w:pPr>
      <w:r>
        <w:rPr>
          <w:rFonts w:hint="eastAsia"/>
          <w:color w:val="auto"/>
          <w:highlight w:val="none"/>
        </w:rPr>
        <w:t>1.采购人、采购代理机构及供应商</w:t>
      </w:r>
    </w:p>
    <w:p>
      <w:pPr>
        <w:rPr>
          <w:color w:val="auto"/>
          <w:highlight w:val="none"/>
        </w:rPr>
      </w:pPr>
      <w:r>
        <w:rPr>
          <w:rFonts w:hint="eastAsia"/>
          <w:color w:val="auto"/>
          <w:highlight w:val="none"/>
        </w:rPr>
        <w:t>1.1采购人：是指依法进行政府采购的国家机关、事业单位、团体组织。本项目采购人见供应商须知表1.1款。</w:t>
      </w:r>
    </w:p>
    <w:p>
      <w:pPr>
        <w:rPr>
          <w:color w:val="auto"/>
          <w:highlight w:val="none"/>
        </w:rPr>
      </w:pPr>
      <w:r>
        <w:rPr>
          <w:rFonts w:hint="eastAsia"/>
          <w:color w:val="auto"/>
          <w:highlight w:val="none"/>
        </w:rPr>
        <w:t>1.2采购代理机构：是指集中采购机构或从事采购代理业务的社会中介机构，本项目的采购代理机构见供应商须知表1.2款。</w:t>
      </w:r>
    </w:p>
    <w:p>
      <w:pPr>
        <w:rPr>
          <w:color w:val="auto"/>
          <w:highlight w:val="none"/>
        </w:rPr>
      </w:pPr>
      <w:r>
        <w:rPr>
          <w:rFonts w:hint="eastAsia"/>
          <w:color w:val="auto"/>
          <w:highlight w:val="none"/>
        </w:rPr>
        <w:t>★1.3 供应商：是指向采购人提供货物、工程或者服务的法人、非法人组织或者自然人。本项目的供应商及其投标货物须满足以下条件：</w:t>
      </w:r>
    </w:p>
    <w:p>
      <w:pPr>
        <w:rPr>
          <w:color w:val="auto"/>
          <w:highlight w:val="none"/>
        </w:rPr>
      </w:pPr>
      <w:r>
        <w:rPr>
          <w:rFonts w:hint="eastAsia"/>
          <w:color w:val="auto"/>
          <w:highlight w:val="none"/>
        </w:rPr>
        <w:t>1.3.1 在中华人民共和国境内注册，能够独立承担民事责任，有生产或供应能力的本国供应商。</w:t>
      </w:r>
    </w:p>
    <w:p>
      <w:pPr>
        <w:rPr>
          <w:color w:val="auto"/>
          <w:highlight w:val="none"/>
        </w:rPr>
      </w:pPr>
      <w:r>
        <w:rPr>
          <w:rFonts w:hint="eastAsia"/>
          <w:color w:val="auto"/>
          <w:highlight w:val="none"/>
        </w:rPr>
        <w:t>1.3.2 具备《中华人民共和国政府采购法》第二十二条关于供应商条件的规定，遵守本项目采购人本级和上级财政部门政府采购的有关规定。</w:t>
      </w:r>
    </w:p>
    <w:p>
      <w:pPr>
        <w:rPr>
          <w:color w:val="auto"/>
          <w:highlight w:val="none"/>
        </w:rPr>
      </w:pPr>
      <w:r>
        <w:rPr>
          <w:rFonts w:hint="eastAsia"/>
          <w:color w:val="auto"/>
          <w:highlight w:val="none"/>
        </w:rPr>
        <w:t>1.3.3 以采购代理机构认可的方式获得了本项目的招标文件。</w:t>
      </w:r>
    </w:p>
    <w:p>
      <w:pPr>
        <w:rPr>
          <w:color w:val="auto"/>
          <w:highlight w:val="none"/>
        </w:rPr>
      </w:pPr>
      <w:r>
        <w:rPr>
          <w:rFonts w:hint="eastAsia"/>
          <w:color w:val="auto"/>
          <w:highlight w:val="none"/>
        </w:rPr>
        <w:t>1.3.4 符合供应商须知表1.3.4款中规定的资格条件。</w:t>
      </w:r>
    </w:p>
    <w:p>
      <w:pPr>
        <w:rPr>
          <w:color w:val="auto"/>
          <w:highlight w:val="none"/>
        </w:rPr>
      </w:pPr>
      <w:r>
        <w:rPr>
          <w:rFonts w:hint="eastAsia"/>
          <w:color w:val="auto"/>
          <w:highlight w:val="none"/>
        </w:rPr>
        <w:t>★1.4 如供应商须知表1.4款中允许联合体投标，对联合体规定如下：</w:t>
      </w:r>
    </w:p>
    <w:p>
      <w:pPr>
        <w:rPr>
          <w:color w:val="auto"/>
          <w:highlight w:val="none"/>
        </w:rPr>
      </w:pPr>
      <w:r>
        <w:rPr>
          <w:rFonts w:hint="eastAsia"/>
          <w:color w:val="auto"/>
          <w:highlight w:val="none"/>
        </w:rPr>
        <w:t>1.4.1 两个以上供应商可以组成一个投标联合体，以一个供应商的身份投标。</w:t>
      </w:r>
    </w:p>
    <w:p>
      <w:pPr>
        <w:rPr>
          <w:color w:val="auto"/>
          <w:highlight w:val="none"/>
        </w:rPr>
      </w:pPr>
      <w:r>
        <w:rPr>
          <w:rFonts w:hint="eastAsia"/>
          <w:color w:val="auto"/>
          <w:highlight w:val="none"/>
        </w:rPr>
        <w:t>1.4.2 联合体各方均应符合《中华人民共和国政府采购法》第二十二条规定的条件。</w:t>
      </w:r>
    </w:p>
    <w:p>
      <w:pPr>
        <w:rPr>
          <w:color w:val="auto"/>
          <w:highlight w:val="none"/>
        </w:rPr>
      </w:pPr>
      <w:r>
        <w:rPr>
          <w:rFonts w:hint="eastAsia"/>
          <w:color w:val="auto"/>
          <w:highlight w:val="none"/>
        </w:rPr>
        <w:t>1.4.3 采购人根据采购项目对供应商的特殊要求，联合体中至少应当有一方符合相关规定。</w:t>
      </w:r>
    </w:p>
    <w:p>
      <w:pPr>
        <w:rPr>
          <w:rFonts w:cs="宋体"/>
          <w:color w:val="auto"/>
          <w:highlight w:val="none"/>
        </w:rPr>
      </w:pPr>
      <w:r>
        <w:rPr>
          <w:rFonts w:hint="eastAsia"/>
          <w:color w:val="auto"/>
          <w:highlight w:val="none"/>
        </w:rPr>
        <w:t>1.4.4 联合体各方应签订共同投标协议，明确约定联合体各方承担的工作和相应</w:t>
      </w:r>
      <w:r>
        <w:rPr>
          <w:rFonts w:hint="eastAsia" w:cs="宋体"/>
          <w:color w:val="auto"/>
          <w:highlight w:val="none"/>
        </w:rPr>
        <w:t>的责任。</w:t>
      </w:r>
    </w:p>
    <w:p>
      <w:pPr>
        <w:adjustRightInd w:val="0"/>
        <w:snapToGrid w:val="0"/>
        <w:rPr>
          <w:rFonts w:cs="宋体"/>
          <w:color w:val="auto"/>
          <w:highlight w:val="none"/>
        </w:rPr>
      </w:pPr>
      <w:r>
        <w:rPr>
          <w:rFonts w:hint="eastAsia"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cs="宋体"/>
          <w:color w:val="auto"/>
          <w:highlight w:val="none"/>
        </w:rPr>
      </w:pPr>
      <w:r>
        <w:rPr>
          <w:rFonts w:hint="eastAsia" w:cs="宋体"/>
          <w:color w:val="auto"/>
          <w:highlight w:val="none"/>
        </w:rPr>
        <w:t>1.4.6 联合体中有同类资质的供应商按照联合体分工承担相同工作的，按照较低的资质等级确定联合体的资质等级。</w:t>
      </w:r>
    </w:p>
    <w:p>
      <w:pPr>
        <w:adjustRightInd w:val="0"/>
        <w:snapToGrid w:val="0"/>
        <w:rPr>
          <w:rFonts w:cs="宋体"/>
          <w:color w:val="auto"/>
          <w:highlight w:val="none"/>
        </w:rPr>
      </w:pPr>
      <w:r>
        <w:rPr>
          <w:rFonts w:hint="eastAsia" w:cs="宋体"/>
          <w:color w:val="auto"/>
          <w:highlight w:val="none"/>
        </w:rPr>
        <w:t>1.4.7 以联合体形式参加政府采购活动的，联合体各方不得再单独参加或者与其他供应商另外组成联合体参加本项目投标，否则相关投标将被认定为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（1）两个以上的自然人、法人或者其他组织可以组成一个联合体，以一个供应商的身份共同参加政府采购活动。</w:t>
      </w:r>
    </w:p>
    <w:p>
      <w:pPr>
        <w:adjustRightInd w:val="0"/>
        <w:snapToGrid w:val="0"/>
        <w:rPr>
          <w:rFonts w:cs="宋体"/>
          <w:color w:val="auto"/>
          <w:highlight w:val="none"/>
        </w:rPr>
      </w:pPr>
      <w:r>
        <w:rPr>
          <w:rFonts w:hint="eastAsia" w:cs="宋体"/>
          <w:color w:val="auto"/>
          <w:highlight w:val="none"/>
        </w:rPr>
        <w:t>（2）联合体中标的，联合体各方应共同与采购人签订采购合同，就采购合同约定的事项对采购人承担连带责任。</w:t>
      </w:r>
    </w:p>
    <w:p>
      <w:pPr>
        <w:adjustRightInd w:val="0"/>
        <w:snapToGrid w:val="0"/>
        <w:rPr>
          <w:rFonts w:cs="宋体"/>
          <w:color w:val="auto"/>
          <w:highlight w:val="none"/>
        </w:rPr>
      </w:pPr>
      <w:r>
        <w:rPr>
          <w:rFonts w:hint="eastAsia" w:cs="宋体"/>
          <w:color w:val="auto"/>
          <w:highlight w:val="none"/>
        </w:rPr>
        <w:t>1.4.8 对联合体投标的其他资格要求见供应商须知表1.4.8款。</w:t>
      </w:r>
    </w:p>
    <w:p>
      <w:pPr>
        <w:adjustRightInd w:val="0"/>
        <w:snapToGrid w:val="0"/>
        <w:rPr>
          <w:rFonts w:cs="宋体"/>
          <w:color w:val="auto"/>
          <w:highlight w:val="none"/>
        </w:rPr>
      </w:pPr>
      <w:r>
        <w:rPr>
          <w:rFonts w:hint="eastAsia" w:cs="宋体"/>
          <w:color w:val="auto"/>
          <w:highlight w:val="none"/>
        </w:rPr>
        <w:t>★1.5 单位负责人为同一人或者存在直接控股、管理关系的不同供应商，其相关投标将被认定为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1.7 供应商在投标过程中不得向采购人提供、给予任何有价值的物品，影响其正常决策行为。一经发现，其将被认定为</w:t>
      </w:r>
      <w:r>
        <w:rPr>
          <w:rFonts w:hint="eastAsia" w:cs="宋体"/>
          <w:b/>
          <w:bCs/>
          <w:color w:val="auto"/>
          <w:highlight w:val="none"/>
        </w:rPr>
        <w:t>投标无效</w:t>
      </w:r>
      <w:r>
        <w:rPr>
          <w:rFonts w:hint="eastAsia" w:cs="宋体"/>
          <w:color w:val="auto"/>
          <w:highlight w:val="none"/>
        </w:rPr>
        <w:t>。</w:t>
      </w:r>
    </w:p>
    <w:p>
      <w:pPr>
        <w:pStyle w:val="3"/>
        <w:jc w:val="left"/>
        <w:rPr>
          <w:color w:val="auto"/>
          <w:highlight w:val="none"/>
        </w:rPr>
      </w:pPr>
      <w:r>
        <w:rPr>
          <w:rFonts w:hint="eastAsia"/>
          <w:color w:val="auto"/>
          <w:highlight w:val="none"/>
        </w:rPr>
        <w:t>2.资金来源</w:t>
      </w:r>
    </w:p>
    <w:p>
      <w:pPr>
        <w:adjustRightInd w:val="0"/>
        <w:snapToGrid w:val="0"/>
        <w:rPr>
          <w:rFonts w:cs="宋体"/>
          <w:color w:val="auto"/>
          <w:highlight w:val="none"/>
        </w:rPr>
      </w:pPr>
      <w:r>
        <w:rPr>
          <w:rFonts w:hint="eastAsia"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cs="宋体"/>
          <w:color w:val="auto"/>
          <w:highlight w:val="none"/>
        </w:rPr>
      </w:pPr>
      <w:r>
        <w:rPr>
          <w:rFonts w:hint="eastAsia" w:cs="宋体"/>
          <w:b/>
          <w:bCs/>
          <w:color w:val="auto"/>
          <w:highlight w:val="none"/>
        </w:rPr>
        <w:t>★</w:t>
      </w:r>
      <w:r>
        <w:rPr>
          <w:rFonts w:hint="eastAsia" w:cs="宋体"/>
          <w:color w:val="auto"/>
          <w:highlight w:val="none"/>
        </w:rPr>
        <w:t>2.2项目预算金额和分项或分包最高限价见供应商须知表2.2款。</w:t>
      </w:r>
    </w:p>
    <w:p>
      <w:pPr>
        <w:adjustRightInd w:val="0"/>
        <w:snapToGrid w:val="0"/>
        <w:rPr>
          <w:rFonts w:cs="宋体"/>
          <w:color w:val="auto"/>
          <w:highlight w:val="none"/>
        </w:rPr>
      </w:pPr>
      <w:r>
        <w:rPr>
          <w:rFonts w:hint="eastAsia" w:cs="宋体"/>
          <w:b/>
          <w:bCs/>
          <w:color w:val="auto"/>
          <w:highlight w:val="none"/>
        </w:rPr>
        <w:t>★</w:t>
      </w:r>
      <w:r>
        <w:rPr>
          <w:rFonts w:hint="eastAsia" w:cs="宋体"/>
          <w:color w:val="auto"/>
          <w:highlight w:val="none"/>
        </w:rPr>
        <w:t>2.3供应商报价超过招标文件规定的预算金额或者分项、分包最高限价的，其投标将被认定为</w:t>
      </w:r>
      <w:r>
        <w:rPr>
          <w:rFonts w:hint="eastAsia" w:cs="宋体"/>
          <w:b/>
          <w:bCs/>
          <w:color w:val="auto"/>
          <w:highlight w:val="none"/>
        </w:rPr>
        <w:t>投标无效</w:t>
      </w:r>
      <w:r>
        <w:rPr>
          <w:rFonts w:hint="eastAsia" w:cs="宋体"/>
          <w:color w:val="auto"/>
          <w:highlight w:val="none"/>
        </w:rPr>
        <w:t>。</w:t>
      </w:r>
    </w:p>
    <w:p>
      <w:pPr>
        <w:pStyle w:val="3"/>
        <w:jc w:val="left"/>
        <w:rPr>
          <w:color w:val="auto"/>
          <w:highlight w:val="none"/>
        </w:rPr>
      </w:pPr>
      <w:bookmarkStart w:id="27" w:name="_Toc266951048"/>
      <w:r>
        <w:rPr>
          <w:rFonts w:hint="eastAsia"/>
          <w:color w:val="auto"/>
          <w:highlight w:val="none"/>
        </w:rPr>
        <w:t>3.语言文字</w:t>
      </w:r>
      <w:bookmarkEnd w:id="27"/>
    </w:p>
    <w:p>
      <w:pPr>
        <w:adjustRightInd w:val="0"/>
        <w:snapToGrid w:val="0"/>
        <w:ind w:firstLine="420" w:firstLineChars="200"/>
        <w:rPr>
          <w:rFonts w:cs="宋体"/>
          <w:color w:val="auto"/>
          <w:highlight w:val="none"/>
        </w:rPr>
      </w:pPr>
      <w:r>
        <w:rPr>
          <w:rFonts w:hint="eastAsia" w:cs="宋体"/>
          <w:color w:val="auto"/>
          <w:highlight w:val="none"/>
        </w:rPr>
        <w:t>除专用术语外，与投标有关的语言均使用中文。必要时专用术语应附有中文注释。对不同文字文本投标文件的解释发生异议的，以中文文本为准。</w:t>
      </w:r>
    </w:p>
    <w:p>
      <w:pPr>
        <w:pStyle w:val="3"/>
        <w:jc w:val="left"/>
        <w:rPr>
          <w:color w:val="auto"/>
          <w:highlight w:val="none"/>
        </w:rPr>
      </w:pPr>
      <w:bookmarkStart w:id="28" w:name="_1.8_计量单位"/>
      <w:bookmarkEnd w:id="28"/>
      <w:bookmarkStart w:id="29" w:name="_Toc266951049"/>
      <w:r>
        <w:rPr>
          <w:rFonts w:hint="eastAsia"/>
          <w:color w:val="auto"/>
          <w:highlight w:val="none"/>
        </w:rPr>
        <w:t>★4.</w:t>
      </w:r>
      <w:bookmarkEnd w:id="29"/>
      <w:r>
        <w:rPr>
          <w:rFonts w:hint="eastAsia"/>
          <w:color w:val="auto"/>
          <w:highlight w:val="none"/>
        </w:rPr>
        <w:t>计量单位</w:t>
      </w:r>
    </w:p>
    <w:p>
      <w:pPr>
        <w:adjustRightInd w:val="0"/>
        <w:snapToGrid w:val="0"/>
        <w:ind w:firstLine="420" w:firstLineChars="200"/>
        <w:rPr>
          <w:rFonts w:cs="宋体"/>
          <w:color w:val="auto"/>
          <w:highlight w:val="none"/>
        </w:rPr>
      </w:pPr>
      <w:r>
        <w:rPr>
          <w:rFonts w:hint="eastAsia" w:cs="宋体"/>
          <w:color w:val="auto"/>
          <w:highlight w:val="none"/>
        </w:rPr>
        <w:t>除供应商须知表4条中有特殊要求外，响应文件中所使用的计量单位，应采用中华人民共和国法定计量单位。</w:t>
      </w:r>
      <w:r>
        <w:rPr>
          <w:rFonts w:cs="宋体"/>
          <w:color w:val="auto"/>
          <w:highlight w:val="none"/>
        </w:rPr>
        <w:t xml:space="preserve"> </w:t>
      </w:r>
    </w:p>
    <w:p>
      <w:pPr>
        <w:pStyle w:val="3"/>
        <w:jc w:val="both"/>
        <w:rPr>
          <w:color w:val="auto"/>
          <w:highlight w:val="none"/>
        </w:rPr>
      </w:pPr>
      <w:r>
        <w:rPr>
          <w:rFonts w:hint="eastAsia"/>
          <w:color w:val="auto"/>
          <w:highlight w:val="none"/>
        </w:rPr>
        <w:t>5.现场考察、开标前答疑会</w:t>
      </w:r>
    </w:p>
    <w:p>
      <w:pPr>
        <w:rPr>
          <w:color w:val="auto"/>
          <w:highlight w:val="none"/>
        </w:rPr>
      </w:pPr>
      <w:r>
        <w:rPr>
          <w:rFonts w:hint="eastAsia"/>
          <w:color w:val="auto"/>
          <w:highlight w:val="none"/>
        </w:rPr>
        <w:t>5.1</w:t>
      </w:r>
      <w:r>
        <w:rPr>
          <w:color w:val="auto"/>
          <w:highlight w:val="none"/>
        </w:rPr>
        <w:fldChar w:fldCharType="begin"/>
      </w:r>
      <w:r>
        <w:rPr>
          <w:color w:val="auto"/>
          <w:highlight w:val="none"/>
        </w:rPr>
        <w:instrText xml:space="preserve"> HYPERLINK \l "_踏勘现场" </w:instrText>
      </w:r>
      <w:r>
        <w:rPr>
          <w:color w:val="auto"/>
          <w:highlight w:val="none"/>
        </w:rPr>
        <w:fldChar w:fldCharType="separate"/>
      </w:r>
      <w:r>
        <w:rPr>
          <w:rFonts w:hint="eastAsia"/>
          <w:color w:val="auto"/>
          <w:highlight w:val="none"/>
        </w:rPr>
        <w:t>供应商须知表</w:t>
      </w:r>
      <w:r>
        <w:rPr>
          <w:rFonts w:hint="eastAsia"/>
          <w:color w:val="auto"/>
          <w:highlight w:val="none"/>
        </w:rPr>
        <w:fldChar w:fldCharType="end"/>
      </w:r>
      <w:r>
        <w:rPr>
          <w:rFonts w:hint="eastAsia"/>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color w:val="auto"/>
          <w:highlight w:val="none"/>
        </w:rPr>
      </w:pPr>
      <w:bookmarkStart w:id="30" w:name="_1.10_投标预备会"/>
      <w:bookmarkEnd w:id="30"/>
      <w:r>
        <w:rPr>
          <w:rFonts w:hint="eastAsia"/>
          <w:color w:val="auto"/>
          <w:highlight w:val="none"/>
        </w:rPr>
        <w:t>5.2由于未参加现场踏勘或标前答疑而导致对项目实际情况不了解，影响技术文件编制、</w:t>
      </w:r>
      <w:r>
        <w:rPr>
          <w:color w:val="auto"/>
          <w:highlight w:val="none"/>
        </w:rPr>
        <w:fldChar w:fldCharType="begin"/>
      </w:r>
      <w:r>
        <w:rPr>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color w:val="auto"/>
          <w:highlight w:val="none"/>
        </w:rPr>
        <w:fldChar w:fldCharType="separate"/>
      </w:r>
      <w:r>
        <w:rPr>
          <w:rFonts w:hint="eastAsia"/>
          <w:color w:val="auto"/>
          <w:highlight w:val="none"/>
        </w:rPr>
        <w:t>投标报价</w:t>
      </w:r>
      <w:r>
        <w:rPr>
          <w:rFonts w:hint="eastAsia"/>
          <w:color w:val="auto"/>
          <w:highlight w:val="none"/>
        </w:rPr>
        <w:fldChar w:fldCharType="end"/>
      </w:r>
      <w:r>
        <w:rPr>
          <w:rFonts w:hint="eastAsia"/>
          <w:color w:val="auto"/>
          <w:highlight w:val="none"/>
        </w:rPr>
        <w:t>准确性、综合因素响应不全面等问题的，由供应商自行承担相应后果。</w:t>
      </w:r>
    </w:p>
    <w:p>
      <w:pPr>
        <w:rPr>
          <w:color w:val="auto"/>
          <w:highlight w:val="none"/>
        </w:rPr>
      </w:pPr>
      <w:r>
        <w:rPr>
          <w:rFonts w:hint="eastAsia"/>
          <w:color w:val="auto"/>
          <w:highlight w:val="none"/>
        </w:rPr>
        <w:t>5.3现场考察及参加标前答疑会所发生的费用及一切责任由供应商自行承担。</w:t>
      </w:r>
    </w:p>
    <w:p>
      <w:pPr>
        <w:tabs>
          <w:tab w:val="left" w:pos="360"/>
        </w:tabs>
        <w:snapToGrid w:val="0"/>
        <w:spacing w:before="200" w:after="200"/>
        <w:outlineLvl w:val="1"/>
        <w:rPr>
          <w:rFonts w:eastAsia="黑体"/>
          <w:color w:val="auto"/>
          <w:sz w:val="32"/>
          <w:szCs w:val="32"/>
          <w:highlight w:val="none"/>
        </w:rPr>
      </w:pPr>
      <w:r>
        <w:rPr>
          <w:rFonts w:hint="eastAsia" w:eastAsia="黑体"/>
          <w:color w:val="auto"/>
          <w:sz w:val="32"/>
          <w:szCs w:val="32"/>
          <w:highlight w:val="none"/>
        </w:rPr>
        <w:t>★6.政府采购政策（包括但不限于下列具体政策要求）</w:t>
      </w:r>
    </w:p>
    <w:p>
      <w:pPr>
        <w:rPr>
          <w:color w:val="auto"/>
          <w:highlight w:val="none"/>
        </w:rPr>
      </w:pPr>
      <w:r>
        <w:rPr>
          <w:rFonts w:hint="eastAsia"/>
          <w:color w:val="auto"/>
          <w:highlight w:val="none"/>
        </w:rPr>
        <w:t>6.1进口产品：进口产品是指通过中国海关报关验放进入中国境内且产自关境外的产品，</w:t>
      </w:r>
      <w:bookmarkStart w:id="31" w:name="_Hlk77074056"/>
      <w:r>
        <w:rPr>
          <w:rFonts w:hint="eastAsia"/>
          <w:color w:val="auto"/>
          <w:highlight w:val="none"/>
        </w:rPr>
        <w:t>供应商应保证所投进口产品可履行合法报通关手续进入中国关境内，但不限制满足招标文件要求的国内产品参与投标。</w:t>
      </w:r>
      <w:bookmarkEnd w:id="31"/>
      <w:r>
        <w:rPr>
          <w:rFonts w:hint="eastAsia"/>
          <w:color w:val="auto"/>
          <w:highlight w:val="none"/>
        </w:rPr>
        <w:t>若本项目不允许采购进口产品，如供应商响应产品为进口产品，其响应文件将被认定为</w:t>
      </w:r>
      <w:r>
        <w:rPr>
          <w:rFonts w:hint="eastAsia"/>
          <w:b/>
          <w:bCs/>
          <w:color w:val="auto"/>
          <w:highlight w:val="none"/>
        </w:rPr>
        <w:t>投标无效</w:t>
      </w:r>
      <w:r>
        <w:rPr>
          <w:rFonts w:hint="eastAsia"/>
          <w:color w:val="auto"/>
          <w:highlight w:val="none"/>
        </w:rPr>
        <w:t>。</w:t>
      </w:r>
    </w:p>
    <w:p>
      <w:pPr>
        <w:rPr>
          <w:color w:val="auto"/>
          <w:highlight w:val="none"/>
        </w:rPr>
      </w:pPr>
      <w:r>
        <w:rPr>
          <w:rFonts w:hint="eastAsia"/>
          <w:color w:val="auto"/>
          <w:highlight w:val="none"/>
        </w:rPr>
        <w:t>6.2中小企业、监狱企业及残疾人福利性单位：</w:t>
      </w:r>
    </w:p>
    <w:p>
      <w:pPr>
        <w:rPr>
          <w:color w:val="auto"/>
          <w:highlight w:val="none"/>
        </w:rPr>
      </w:pPr>
      <w:r>
        <w:rPr>
          <w:rFonts w:hint="eastAsia"/>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b/>
          <w:bCs/>
          <w:color w:val="auto"/>
          <w:highlight w:val="none"/>
        </w:rPr>
        <w:t>投标无效</w:t>
      </w:r>
      <w:r>
        <w:rPr>
          <w:rFonts w:hint="eastAsia"/>
          <w:color w:val="auto"/>
          <w:highlight w:val="none"/>
        </w:rPr>
        <w:t>。</w:t>
      </w:r>
    </w:p>
    <w:p>
      <w:pPr>
        <w:rPr>
          <w:color w:val="auto"/>
          <w:highlight w:val="none"/>
        </w:rPr>
      </w:pPr>
      <w:r>
        <w:rPr>
          <w:rFonts w:hint="eastAsia"/>
          <w:color w:val="auto"/>
          <w:highlight w:val="none"/>
        </w:rPr>
        <w:t>如为监狱企业或残疾人福利性单位的，视同为小型、微型企业。</w:t>
      </w:r>
    </w:p>
    <w:p>
      <w:pPr>
        <w:rPr>
          <w:color w:val="auto"/>
          <w:highlight w:val="none"/>
        </w:rPr>
      </w:pPr>
      <w:r>
        <w:rPr>
          <w:rFonts w:hint="eastAsia"/>
          <w:color w:val="auto"/>
          <w:highlight w:val="none"/>
        </w:rPr>
        <w:t>6.2.2供应商提供的货物、工程或者服务符合下列情形的，享受中小企业扶持政策：</w:t>
      </w:r>
    </w:p>
    <w:p>
      <w:pPr>
        <w:rPr>
          <w:color w:val="auto"/>
          <w:highlight w:val="none"/>
        </w:rPr>
      </w:pPr>
      <w:r>
        <w:rPr>
          <w:rFonts w:hint="eastAsia"/>
          <w:color w:val="auto"/>
          <w:highlight w:val="none"/>
        </w:rPr>
        <w:t>（1）在货物采购项目中，货物由中小企业制造，即货物由中小企业生产且使用该中小企业商号或者注册商标；</w:t>
      </w:r>
    </w:p>
    <w:p>
      <w:pPr>
        <w:rPr>
          <w:color w:val="auto"/>
          <w:highlight w:val="none"/>
        </w:rPr>
      </w:pPr>
      <w:r>
        <w:rPr>
          <w:rFonts w:hint="eastAsia"/>
          <w:color w:val="auto"/>
          <w:highlight w:val="none"/>
        </w:rPr>
        <w:t>（2）在工程采购项目中，工程由中小企业承建，即工程施工单位为中小企业；</w:t>
      </w:r>
    </w:p>
    <w:p>
      <w:pPr>
        <w:rPr>
          <w:color w:val="auto"/>
          <w:highlight w:val="none"/>
        </w:rPr>
      </w:pPr>
      <w:r>
        <w:rPr>
          <w:rFonts w:hint="eastAsia"/>
          <w:color w:val="auto"/>
          <w:highlight w:val="none"/>
        </w:rPr>
        <w:t>（3）在服务采购项目中，服务由中小企业承接，即提供服务的人员为中小企业依照《中华人民共和国劳动合同法》订立劳动合同的从业人员。</w:t>
      </w:r>
    </w:p>
    <w:p>
      <w:pPr>
        <w:pStyle w:val="30"/>
        <w:spacing w:line="360" w:lineRule="auto"/>
        <w:rPr>
          <w:color w:val="auto"/>
          <w:highlight w:val="none"/>
        </w:rPr>
      </w:pPr>
      <w:r>
        <w:rPr>
          <w:rFonts w:hint="eastAsia"/>
          <w:color w:val="auto"/>
          <w:highlight w:val="none"/>
        </w:rPr>
        <w:t>如为监狱企业或残疾人福利性单位的，视同为小型、微型企业。</w:t>
      </w:r>
    </w:p>
    <w:p>
      <w:pPr>
        <w:rPr>
          <w:color w:val="auto"/>
          <w:highlight w:val="none"/>
        </w:rPr>
      </w:pPr>
      <w:r>
        <w:rPr>
          <w:rFonts w:hint="eastAsia"/>
          <w:color w:val="auto"/>
          <w:highlight w:val="none"/>
        </w:rPr>
        <w:t>6.2.3</w:t>
      </w:r>
      <w:r>
        <w:rPr>
          <w:color w:val="auto"/>
          <w:highlight w:val="none"/>
        </w:rPr>
        <w:t xml:space="preserve"> </w:t>
      </w:r>
      <w:r>
        <w:rPr>
          <w:rFonts w:hint="eastAsia"/>
          <w:color w:val="auto"/>
          <w:highlight w:val="none"/>
        </w:rPr>
        <w:t>采购标的所属行业见供应商须知表。</w:t>
      </w:r>
    </w:p>
    <w:p>
      <w:pPr>
        <w:pStyle w:val="3"/>
        <w:spacing w:before="0" w:after="0"/>
        <w:jc w:val="both"/>
        <w:rPr>
          <w:rFonts w:eastAsia="宋体"/>
          <w:color w:val="auto"/>
          <w:sz w:val="21"/>
          <w:szCs w:val="21"/>
          <w:highlight w:val="none"/>
        </w:rPr>
      </w:pPr>
      <w:r>
        <w:rPr>
          <w:rFonts w:hint="eastAsia" w:eastAsia="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eastAsia="宋体"/>
          <w:b/>
          <w:bCs/>
          <w:color w:val="auto"/>
          <w:sz w:val="21"/>
          <w:szCs w:val="21"/>
          <w:highlight w:val="none"/>
        </w:rPr>
        <w:t>投标无效。</w:t>
      </w:r>
    </w:p>
    <w:p>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6.4正版软件</w:t>
      </w:r>
    </w:p>
    <w:p>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cs="宋体"/>
          <w:color w:val="auto"/>
          <w:kern w:val="0"/>
          <w:highlight w:val="none"/>
        </w:rPr>
        <w:t>否则</w:t>
      </w:r>
      <w:r>
        <w:rPr>
          <w:rFonts w:hint="eastAsia"/>
          <w:b/>
          <w:bCs/>
          <w:color w:val="auto"/>
          <w:highlight w:val="none"/>
        </w:rPr>
        <w:t>投标无效</w:t>
      </w:r>
      <w:r>
        <w:rPr>
          <w:rFonts w:hint="eastAsia" w:ascii="宋体" w:hAnsi="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ascii="宋体" w:hAnsi="宋体" w:cs="宋体"/>
          <w:color w:val="auto"/>
          <w:highlight w:val="none"/>
        </w:rPr>
      </w:pPr>
      <w:r>
        <w:rPr>
          <w:rFonts w:hint="eastAsia" w:ascii="宋体" w:hAnsi="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3"/>
        <w:jc w:val="both"/>
        <w:rPr>
          <w:color w:val="auto"/>
          <w:highlight w:val="none"/>
        </w:rPr>
      </w:pPr>
      <w:r>
        <w:rPr>
          <w:rFonts w:hint="eastAsia"/>
          <w:color w:val="auto"/>
          <w:highlight w:val="none"/>
        </w:rPr>
        <w:t>7.投标费用</w:t>
      </w:r>
    </w:p>
    <w:p>
      <w:pPr>
        <w:adjustRightInd w:val="0"/>
        <w:snapToGrid w:val="0"/>
        <w:ind w:firstLine="420" w:firstLineChars="200"/>
        <w:rPr>
          <w:rFonts w:cs="宋体"/>
          <w:color w:val="auto"/>
          <w:sz w:val="24"/>
          <w:highlight w:val="none"/>
        </w:rPr>
      </w:pPr>
      <w:r>
        <w:rPr>
          <w:rFonts w:hint="eastAsia" w:cs="宋体"/>
          <w:color w:val="auto"/>
          <w:highlight w:val="none"/>
        </w:rPr>
        <w:t>不论投标的结果如何，供应商应承担所有与准备和参加投标有关的费用。</w:t>
      </w:r>
    </w:p>
    <w:p>
      <w:pPr>
        <w:pStyle w:val="3"/>
        <w:rPr>
          <w:color w:val="auto"/>
          <w:highlight w:val="none"/>
        </w:rPr>
      </w:pPr>
      <w:bookmarkStart w:id="32" w:name="_Toc10106_WPSOffice_Level2"/>
    </w:p>
    <w:p>
      <w:pPr>
        <w:pStyle w:val="3"/>
        <w:rPr>
          <w:color w:val="auto"/>
          <w:highlight w:val="none"/>
        </w:rPr>
      </w:pPr>
      <w:r>
        <w:rPr>
          <w:rFonts w:hint="eastAsia"/>
          <w:color w:val="auto"/>
          <w:highlight w:val="none"/>
        </w:rPr>
        <w:t>三 招标文件</w:t>
      </w:r>
      <w:bookmarkEnd w:id="32"/>
    </w:p>
    <w:p>
      <w:pPr>
        <w:pStyle w:val="3"/>
        <w:numPr>
          <w:ilvl w:val="0"/>
          <w:numId w:val="2"/>
        </w:numPr>
        <w:jc w:val="left"/>
        <w:rPr>
          <w:color w:val="auto"/>
          <w:highlight w:val="none"/>
        </w:rPr>
      </w:pPr>
      <w:r>
        <w:rPr>
          <w:rFonts w:hint="eastAsia"/>
          <w:color w:val="auto"/>
          <w:highlight w:val="none"/>
        </w:rPr>
        <w:t>招标文件构成</w:t>
      </w:r>
    </w:p>
    <w:p>
      <w:pPr>
        <w:numPr>
          <w:ilvl w:val="1"/>
          <w:numId w:val="2"/>
        </w:numPr>
        <w:adjustRightInd w:val="0"/>
        <w:snapToGrid w:val="0"/>
        <w:rPr>
          <w:rFonts w:cs="宋体"/>
          <w:color w:val="auto"/>
          <w:highlight w:val="none"/>
        </w:rPr>
      </w:pPr>
      <w:r>
        <w:rPr>
          <w:rFonts w:hint="eastAsia" w:cs="宋体"/>
          <w:color w:val="auto"/>
          <w:highlight w:val="none"/>
        </w:rPr>
        <w:t>招标文件内容如下:</w:t>
      </w:r>
    </w:p>
    <w:p>
      <w:pPr>
        <w:adjustRightInd w:val="0"/>
        <w:snapToGrid w:val="0"/>
        <w:ind w:firstLine="420" w:firstLineChars="200"/>
        <w:rPr>
          <w:rFonts w:cs="宋体"/>
          <w:color w:val="auto"/>
          <w:highlight w:val="none"/>
        </w:rPr>
      </w:pPr>
      <w:r>
        <w:rPr>
          <w:rFonts w:hint="eastAsia" w:cs="宋体"/>
          <w:color w:val="auto"/>
          <w:highlight w:val="none"/>
        </w:rPr>
        <w:t>招标公告</w:t>
      </w:r>
    </w:p>
    <w:p>
      <w:pPr>
        <w:numPr>
          <w:ilvl w:val="0"/>
          <w:numId w:val="3"/>
        </w:numPr>
        <w:adjustRightInd w:val="0"/>
        <w:snapToGrid w:val="0"/>
        <w:ind w:firstLine="420" w:firstLineChars="200"/>
        <w:rPr>
          <w:rFonts w:cs="宋体"/>
          <w:color w:val="auto"/>
          <w:highlight w:val="none"/>
        </w:rPr>
      </w:pPr>
      <w:bookmarkStart w:id="33" w:name="_Toc188_WPSOffice_Level2"/>
      <w:bookmarkStart w:id="34" w:name="_Toc4961_WPSOffice_Level2"/>
      <w:bookmarkStart w:id="35" w:name="_Toc25935_WPSOffice_Level2"/>
      <w:bookmarkStart w:id="36" w:name="_Toc24604_WPSOffice_Level2"/>
      <w:r>
        <w:rPr>
          <w:rFonts w:hint="eastAsia" w:cs="宋体"/>
          <w:color w:val="auto"/>
          <w:highlight w:val="none"/>
        </w:rPr>
        <w:t>供应商须知</w:t>
      </w:r>
      <w:bookmarkEnd w:id="33"/>
      <w:bookmarkEnd w:id="34"/>
      <w:bookmarkEnd w:id="35"/>
      <w:bookmarkEnd w:id="36"/>
    </w:p>
    <w:p>
      <w:pPr>
        <w:adjustRightInd w:val="0"/>
        <w:snapToGrid w:val="0"/>
        <w:ind w:firstLine="420" w:firstLineChars="200"/>
        <w:rPr>
          <w:rFonts w:cs="宋体"/>
          <w:color w:val="auto"/>
          <w:highlight w:val="none"/>
        </w:rPr>
      </w:pPr>
      <w:bookmarkStart w:id="37" w:name="_Toc31424_WPSOffice_Level2"/>
      <w:bookmarkStart w:id="38" w:name="_Toc13276_WPSOffice_Level2"/>
      <w:bookmarkStart w:id="39" w:name="_Toc2443_WPSOffice_Level2"/>
      <w:bookmarkStart w:id="40" w:name="_Toc32235_WPSOffice_Level2"/>
      <w:r>
        <w:rPr>
          <w:rFonts w:hint="eastAsia" w:cs="宋体"/>
          <w:color w:val="auto"/>
          <w:highlight w:val="none"/>
        </w:rPr>
        <w:t>第二章 投标文件内容及格式</w:t>
      </w:r>
      <w:bookmarkEnd w:id="37"/>
      <w:bookmarkEnd w:id="38"/>
      <w:bookmarkEnd w:id="39"/>
      <w:bookmarkEnd w:id="40"/>
    </w:p>
    <w:p>
      <w:pPr>
        <w:adjustRightInd w:val="0"/>
        <w:snapToGrid w:val="0"/>
        <w:ind w:firstLine="420" w:firstLineChars="200"/>
        <w:rPr>
          <w:rFonts w:cs="宋体"/>
          <w:color w:val="auto"/>
          <w:highlight w:val="none"/>
        </w:rPr>
      </w:pPr>
      <w:bookmarkStart w:id="41" w:name="_Toc7005_WPSOffice_Level2"/>
      <w:bookmarkStart w:id="42" w:name="_Toc4416_WPSOffice_Level2"/>
      <w:bookmarkStart w:id="43" w:name="_Toc24836_WPSOffice_Level2"/>
      <w:bookmarkStart w:id="44" w:name="_Toc16269_WPSOffice_Level2"/>
      <w:r>
        <w:rPr>
          <w:rFonts w:hint="eastAsia" w:cs="宋体"/>
          <w:color w:val="auto"/>
          <w:highlight w:val="none"/>
        </w:rPr>
        <w:t>第三章 服务需求</w:t>
      </w:r>
      <w:bookmarkEnd w:id="41"/>
      <w:bookmarkEnd w:id="42"/>
      <w:bookmarkEnd w:id="43"/>
      <w:bookmarkEnd w:id="44"/>
    </w:p>
    <w:p>
      <w:pPr>
        <w:adjustRightInd w:val="0"/>
        <w:snapToGrid w:val="0"/>
        <w:ind w:firstLine="420" w:firstLineChars="200"/>
        <w:rPr>
          <w:rFonts w:cs="宋体"/>
          <w:color w:val="auto"/>
          <w:highlight w:val="none"/>
        </w:rPr>
      </w:pPr>
      <w:bookmarkStart w:id="45" w:name="_Toc25382_WPSOffice_Level2"/>
      <w:bookmarkStart w:id="46" w:name="_Toc16119_WPSOffice_Level2"/>
      <w:bookmarkStart w:id="47" w:name="_Toc23459_WPSOffice_Level2"/>
      <w:bookmarkStart w:id="48" w:name="_Toc16294_WPSOffice_Level2"/>
      <w:r>
        <w:rPr>
          <w:rFonts w:hint="eastAsia" w:cs="宋体"/>
          <w:color w:val="auto"/>
          <w:highlight w:val="none"/>
        </w:rPr>
        <w:t>第四章 评标方法</w:t>
      </w:r>
      <w:bookmarkEnd w:id="45"/>
      <w:bookmarkEnd w:id="46"/>
      <w:bookmarkEnd w:id="47"/>
      <w:bookmarkEnd w:id="48"/>
    </w:p>
    <w:p>
      <w:pPr>
        <w:adjustRightInd w:val="0"/>
        <w:snapToGrid w:val="0"/>
        <w:ind w:firstLine="420" w:firstLineChars="200"/>
        <w:rPr>
          <w:rFonts w:cs="宋体"/>
          <w:color w:val="auto"/>
          <w:highlight w:val="none"/>
        </w:rPr>
      </w:pPr>
      <w:bookmarkStart w:id="49" w:name="_Toc16368_WPSOffice_Level2"/>
      <w:bookmarkStart w:id="50" w:name="_Toc28106_WPSOffice_Level2"/>
      <w:bookmarkStart w:id="51" w:name="_Toc9629_WPSOffice_Level2"/>
      <w:bookmarkStart w:id="52" w:name="_Toc17794_WPSOffice_Level2"/>
      <w:r>
        <w:rPr>
          <w:rFonts w:hint="eastAsia" w:cs="宋体"/>
          <w:color w:val="auto"/>
          <w:highlight w:val="none"/>
        </w:rPr>
        <w:t>第五章 政府采购合同</w:t>
      </w:r>
      <w:bookmarkEnd w:id="49"/>
      <w:bookmarkEnd w:id="50"/>
      <w:bookmarkEnd w:id="51"/>
      <w:bookmarkEnd w:id="52"/>
      <w:r>
        <w:rPr>
          <w:rFonts w:hint="eastAsia" w:cs="宋体"/>
          <w:color w:val="auto"/>
          <w:highlight w:val="none"/>
        </w:rPr>
        <w:t>条款及格式</w:t>
      </w:r>
    </w:p>
    <w:p>
      <w:pPr>
        <w:adjustRightInd w:val="0"/>
        <w:snapToGrid w:val="0"/>
        <w:rPr>
          <w:rFonts w:cs="宋体"/>
          <w:color w:val="auto"/>
          <w:sz w:val="24"/>
          <w:highlight w:val="none"/>
        </w:rPr>
      </w:pPr>
      <w:r>
        <w:rPr>
          <w:rFonts w:hint="eastAsia"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3"/>
        <w:jc w:val="left"/>
        <w:rPr>
          <w:rFonts w:eastAsia="宋体" w:cs="宋体"/>
          <w:b/>
          <w:bCs/>
          <w:color w:val="auto"/>
          <w:highlight w:val="none"/>
        </w:rPr>
      </w:pPr>
      <w:r>
        <w:rPr>
          <w:rFonts w:hint="eastAsia"/>
          <w:color w:val="auto"/>
          <w:highlight w:val="none"/>
        </w:rPr>
        <w:t>9.招标文件的澄清与修改</w:t>
      </w:r>
    </w:p>
    <w:p>
      <w:pPr>
        <w:adjustRightInd w:val="0"/>
        <w:snapToGrid w:val="0"/>
        <w:rPr>
          <w:rFonts w:cs="宋体"/>
          <w:color w:val="auto"/>
          <w:highlight w:val="none"/>
        </w:rPr>
      </w:pPr>
      <w:r>
        <w:rPr>
          <w:rFonts w:hint="eastAsia"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cs="宋体"/>
          <w:color w:val="auto"/>
          <w:sz w:val="24"/>
          <w:highlight w:val="none"/>
        </w:rPr>
      </w:pPr>
      <w:r>
        <w:rPr>
          <w:rFonts w:hint="eastAsia" w:cs="宋体"/>
          <w:color w:val="auto"/>
          <w:highlight w:val="none"/>
        </w:rPr>
        <w:t>9.2澄清或者修改的内容为招标文件的组成部分，对所有招标文件的收受人具有约束力。供应商在收到上述通知后，应及时向采购代理机构回函确认。</w:t>
      </w:r>
    </w:p>
    <w:p>
      <w:pPr>
        <w:pStyle w:val="3"/>
        <w:rPr>
          <w:color w:val="auto"/>
          <w:highlight w:val="none"/>
        </w:rPr>
      </w:pPr>
      <w:bookmarkStart w:id="53" w:name="_Toc7415_WPSOffice_Level2"/>
      <w:r>
        <w:rPr>
          <w:rFonts w:hint="eastAsia"/>
          <w:color w:val="auto"/>
          <w:highlight w:val="none"/>
        </w:rPr>
        <w:t>四  投标文件的编制</w:t>
      </w:r>
      <w:bookmarkEnd w:id="53"/>
    </w:p>
    <w:p>
      <w:pPr>
        <w:pStyle w:val="3"/>
        <w:jc w:val="left"/>
        <w:rPr>
          <w:color w:val="auto"/>
          <w:highlight w:val="none"/>
        </w:rPr>
      </w:pPr>
      <w:r>
        <w:rPr>
          <w:rFonts w:hint="eastAsia"/>
          <w:color w:val="auto"/>
          <w:highlight w:val="none"/>
        </w:rPr>
        <w:t>10.投标范围</w:t>
      </w:r>
    </w:p>
    <w:p>
      <w:pPr>
        <w:adjustRightInd w:val="0"/>
        <w:snapToGrid w:val="0"/>
        <w:rPr>
          <w:rFonts w:cs="宋体"/>
          <w:color w:val="auto"/>
          <w:highlight w:val="none"/>
        </w:rPr>
      </w:pPr>
      <w:r>
        <w:rPr>
          <w:rFonts w:hint="eastAsia" w:cs="宋体"/>
          <w:color w:val="auto"/>
          <w:highlight w:val="none"/>
        </w:rPr>
        <w:t>10.1项目有分包的，供应商可对招标文件其中某一个分包或几个分包进行投标。</w:t>
      </w:r>
    </w:p>
    <w:p>
      <w:pPr>
        <w:adjustRightInd w:val="0"/>
        <w:snapToGrid w:val="0"/>
        <w:rPr>
          <w:rFonts w:cs="宋体"/>
          <w:color w:val="auto"/>
          <w:highlight w:val="none"/>
        </w:rPr>
      </w:pPr>
      <w:r>
        <w:rPr>
          <w:rFonts w:hint="eastAsia" w:cs="宋体"/>
          <w:color w:val="auto"/>
          <w:highlight w:val="none"/>
        </w:rPr>
        <w:t>★10.2供应商应当对所投分包在招标文件“</w:t>
      </w:r>
      <w:r>
        <w:rPr>
          <w:rFonts w:cs="宋体"/>
          <w:color w:val="auto"/>
          <w:highlight w:val="none"/>
        </w:rPr>
        <w:t>服务</w:t>
      </w:r>
      <w:r>
        <w:rPr>
          <w:rFonts w:hint="eastAsia" w:cs="宋体"/>
          <w:color w:val="auto"/>
          <w:highlight w:val="none"/>
        </w:rPr>
        <w:t>需求”中所列的所有</w:t>
      </w:r>
      <w:r>
        <w:rPr>
          <w:rFonts w:cs="宋体"/>
          <w:color w:val="auto"/>
          <w:highlight w:val="none"/>
        </w:rPr>
        <w:t>服务内容</w:t>
      </w:r>
      <w:r>
        <w:rPr>
          <w:rFonts w:hint="eastAsia" w:cs="宋体"/>
          <w:color w:val="auto"/>
          <w:highlight w:val="none"/>
        </w:rPr>
        <w:t>进行投标，如仅响应分包中某一部分内容，其该包投标将被认定为投标无效。</w:t>
      </w:r>
    </w:p>
    <w:p>
      <w:pPr>
        <w:adjustRightInd w:val="0"/>
        <w:snapToGrid w:val="0"/>
        <w:rPr>
          <w:rFonts w:cs="宋体"/>
          <w:color w:val="auto"/>
          <w:highlight w:val="none"/>
        </w:rPr>
      </w:pPr>
      <w:r>
        <w:rPr>
          <w:rFonts w:hint="eastAsia" w:cs="宋体"/>
          <w:color w:val="auto"/>
          <w:highlight w:val="none"/>
        </w:rPr>
        <w:t>10.3无论招标文件第三章服务需求中是否要求，供应商所投的服务均应符合国家强制性标准。</w:t>
      </w:r>
    </w:p>
    <w:p>
      <w:pPr>
        <w:pStyle w:val="3"/>
        <w:jc w:val="left"/>
        <w:rPr>
          <w:color w:val="auto"/>
          <w:highlight w:val="none"/>
        </w:rPr>
      </w:pPr>
      <w:r>
        <w:rPr>
          <w:rFonts w:hint="eastAsia"/>
          <w:color w:val="auto"/>
          <w:highlight w:val="none"/>
        </w:rPr>
        <w:t>11.投标文件构成</w:t>
      </w:r>
    </w:p>
    <w:p>
      <w:pPr>
        <w:adjustRightInd w:val="0"/>
        <w:snapToGrid w:val="0"/>
        <w:rPr>
          <w:rFonts w:cs="宋体"/>
          <w:color w:val="auto"/>
          <w:highlight w:val="none"/>
        </w:rPr>
      </w:pPr>
      <w:r>
        <w:rPr>
          <w:rFonts w:hint="eastAsia"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cs="宋体"/>
          <w:color w:val="auto"/>
          <w:highlight w:val="none"/>
        </w:rPr>
      </w:pPr>
      <w:r>
        <w:rPr>
          <w:rFonts w:hint="eastAsia"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cs="宋体"/>
          <w:color w:val="auto"/>
          <w:highlight w:val="none"/>
        </w:rPr>
      </w:pPr>
      <w:r>
        <w:rPr>
          <w:rFonts w:hint="eastAsia" w:cs="宋体"/>
          <w:color w:val="auto"/>
          <w:highlight w:val="none"/>
        </w:rPr>
        <w:t>11.3演示要求详见供应商须知表11.3款。</w:t>
      </w:r>
    </w:p>
    <w:p>
      <w:pPr>
        <w:pStyle w:val="3"/>
        <w:jc w:val="left"/>
        <w:rPr>
          <w:color w:val="auto"/>
          <w:highlight w:val="none"/>
        </w:rPr>
      </w:pPr>
      <w:r>
        <w:rPr>
          <w:rFonts w:hint="eastAsia"/>
          <w:color w:val="auto"/>
          <w:highlight w:val="none"/>
        </w:rPr>
        <w:t>★12.投标报价</w:t>
      </w:r>
    </w:p>
    <w:p>
      <w:pPr>
        <w:adjustRightInd w:val="0"/>
        <w:snapToGrid w:val="0"/>
        <w:rPr>
          <w:rFonts w:cs="宋体"/>
          <w:color w:val="auto"/>
          <w:highlight w:val="none"/>
        </w:rPr>
      </w:pPr>
      <w:r>
        <w:rPr>
          <w:rFonts w:hint="eastAsia"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cs="宋体"/>
          <w:color w:val="auto"/>
          <w:highlight w:val="none"/>
        </w:rPr>
      </w:pPr>
      <w:r>
        <w:rPr>
          <w:rFonts w:hint="eastAsia" w:cs="宋体"/>
          <w:color w:val="auto"/>
          <w:highlight w:val="none"/>
        </w:rPr>
        <w:t>12.3供应商所报的各分项投标单价在合同履行过程中是固定不变的，不得以任何理由予以变更。任何包含价格调整要求的投标，其投标将被认定为</w:t>
      </w:r>
      <w:r>
        <w:rPr>
          <w:rFonts w:hint="eastAsia" w:cs="宋体"/>
          <w:bCs/>
          <w:color w:val="auto"/>
          <w:highlight w:val="none"/>
        </w:rPr>
        <w:t>投标无效。</w:t>
      </w:r>
    </w:p>
    <w:p>
      <w:pPr>
        <w:adjustRightInd w:val="0"/>
        <w:snapToGrid w:val="0"/>
        <w:rPr>
          <w:rFonts w:cs="宋体"/>
          <w:color w:val="auto"/>
          <w:highlight w:val="none"/>
        </w:rPr>
      </w:pPr>
      <w:r>
        <w:rPr>
          <w:rFonts w:hint="eastAsia" w:cs="宋体"/>
          <w:color w:val="auto"/>
          <w:highlight w:val="none"/>
        </w:rPr>
        <w:t>12.4每种服务只能有一个投标报价。采购人不接受具有附加条件的报价。</w:t>
      </w:r>
    </w:p>
    <w:p>
      <w:pPr>
        <w:adjustRightInd w:val="0"/>
        <w:snapToGrid w:val="0"/>
        <w:rPr>
          <w:rFonts w:cs="宋体"/>
          <w:color w:val="auto"/>
          <w:highlight w:val="none"/>
        </w:rPr>
      </w:pPr>
      <w:bookmarkStart w:id="54" w:name="_Toc31973_WPSOffice_Level2"/>
      <w:bookmarkStart w:id="55" w:name="_Toc22507_WPSOffice_Level2"/>
      <w:r>
        <w:rPr>
          <w:rFonts w:hint="eastAsia" w:cs="宋体"/>
          <w:color w:val="auto"/>
          <w:highlight w:val="none"/>
        </w:rPr>
        <w:t>12.5除非招标文件另有规定，报价原则上精确到小数点后两位。</w:t>
      </w:r>
      <w:bookmarkEnd w:id="54"/>
      <w:bookmarkEnd w:id="55"/>
    </w:p>
    <w:p>
      <w:pPr>
        <w:pStyle w:val="3"/>
        <w:jc w:val="left"/>
        <w:rPr>
          <w:color w:val="auto"/>
          <w:highlight w:val="none"/>
        </w:rPr>
      </w:pPr>
      <w:r>
        <w:rPr>
          <w:rFonts w:hint="eastAsia"/>
          <w:color w:val="auto"/>
          <w:highlight w:val="none"/>
        </w:rPr>
        <w:t>★13.投标保证金</w:t>
      </w:r>
    </w:p>
    <w:p>
      <w:pPr>
        <w:adjustRightInd w:val="0"/>
        <w:snapToGrid w:val="0"/>
        <w:rPr>
          <w:rFonts w:cs="宋体"/>
          <w:color w:val="auto"/>
          <w:highlight w:val="none"/>
        </w:rPr>
      </w:pPr>
      <w:r>
        <w:rPr>
          <w:rFonts w:hint="eastAsia" w:cs="宋体"/>
          <w:color w:val="auto"/>
          <w:highlight w:val="none"/>
        </w:rPr>
        <w:t>13.1供应商应提交供应商须知表13.1款中规定的投标保证金，并作为其投标的一部分。</w:t>
      </w:r>
    </w:p>
    <w:p>
      <w:pPr>
        <w:adjustRightInd w:val="0"/>
        <w:snapToGrid w:val="0"/>
        <w:jc w:val="left"/>
        <w:rPr>
          <w:rFonts w:cs="宋体"/>
          <w:color w:val="auto"/>
          <w:highlight w:val="none"/>
        </w:rPr>
      </w:pPr>
      <w:r>
        <w:rPr>
          <w:rFonts w:hint="eastAsia"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cs="宋体"/>
          <w:color w:val="auto"/>
          <w:highlight w:val="none"/>
        </w:rPr>
      </w:pPr>
      <w:r>
        <w:rPr>
          <w:rFonts w:hint="eastAsia" w:cs="宋体"/>
          <w:color w:val="auto"/>
          <w:highlight w:val="none"/>
        </w:rPr>
        <w:t>13.3供应商存在下列情形的，投标保证金不予退还:</w:t>
      </w:r>
    </w:p>
    <w:p>
      <w:pPr>
        <w:adjustRightInd w:val="0"/>
        <w:snapToGrid w:val="0"/>
        <w:jc w:val="left"/>
        <w:rPr>
          <w:rFonts w:cs="宋体"/>
          <w:color w:val="auto"/>
          <w:highlight w:val="none"/>
        </w:rPr>
      </w:pPr>
      <w:r>
        <w:rPr>
          <w:rFonts w:hint="eastAsia" w:cs="宋体"/>
          <w:color w:val="auto"/>
          <w:highlight w:val="none"/>
        </w:rPr>
        <w:t>(1)在投标有效期内，供应商撤销投标的;</w:t>
      </w:r>
    </w:p>
    <w:p>
      <w:pPr>
        <w:adjustRightInd w:val="0"/>
        <w:snapToGrid w:val="0"/>
        <w:jc w:val="left"/>
        <w:rPr>
          <w:rFonts w:cs="宋体"/>
          <w:color w:val="auto"/>
          <w:highlight w:val="none"/>
        </w:rPr>
      </w:pPr>
      <w:r>
        <w:rPr>
          <w:rFonts w:hint="eastAsia" w:cs="宋体"/>
          <w:color w:val="auto"/>
          <w:highlight w:val="none"/>
        </w:rPr>
        <w:t>(2)中标后不按本须知第34款的规定与采购人签订合同的;</w:t>
      </w:r>
    </w:p>
    <w:p>
      <w:pPr>
        <w:adjustRightInd w:val="0"/>
        <w:snapToGrid w:val="0"/>
        <w:rPr>
          <w:rFonts w:cs="宋体"/>
          <w:color w:val="auto"/>
          <w:highlight w:val="none"/>
        </w:rPr>
      </w:pPr>
      <w:r>
        <w:rPr>
          <w:rFonts w:hint="eastAsia" w:cs="宋体"/>
          <w:color w:val="auto"/>
          <w:highlight w:val="none"/>
        </w:rPr>
        <w:t>(3)中标后不按本须知第35款的规定提交履约保证金的;</w:t>
      </w:r>
    </w:p>
    <w:p>
      <w:pPr>
        <w:adjustRightInd w:val="0"/>
        <w:snapToGrid w:val="0"/>
        <w:rPr>
          <w:rFonts w:cs="宋体"/>
          <w:color w:val="auto"/>
          <w:highlight w:val="none"/>
        </w:rPr>
      </w:pPr>
      <w:r>
        <w:rPr>
          <w:rFonts w:hint="eastAsia" w:cs="宋体"/>
          <w:color w:val="auto"/>
          <w:highlight w:val="none"/>
        </w:rPr>
        <w:t>(</w:t>
      </w:r>
      <w:r>
        <w:rPr>
          <w:rFonts w:cs="宋体"/>
          <w:color w:val="auto"/>
          <w:highlight w:val="none"/>
        </w:rPr>
        <w:t>4</w:t>
      </w:r>
      <w:r>
        <w:rPr>
          <w:rFonts w:hint="eastAsia" w:cs="宋体"/>
          <w:color w:val="auto"/>
          <w:highlight w:val="none"/>
        </w:rPr>
        <w:t>)存在其他违法违规行为的。</w:t>
      </w:r>
    </w:p>
    <w:p>
      <w:pPr>
        <w:adjustRightInd w:val="0"/>
        <w:snapToGrid w:val="0"/>
        <w:rPr>
          <w:rFonts w:cs="宋体"/>
          <w:color w:val="auto"/>
          <w:highlight w:val="none"/>
        </w:rPr>
      </w:pPr>
      <w:r>
        <w:rPr>
          <w:rFonts w:hint="eastAsia"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cs="宋体"/>
          <w:color w:val="auto"/>
          <w:highlight w:val="none"/>
        </w:rPr>
      </w:pPr>
      <w:r>
        <w:rPr>
          <w:rFonts w:hint="eastAsia" w:cs="宋体"/>
          <w:color w:val="auto"/>
          <w:highlight w:val="none"/>
        </w:rPr>
        <w:t>13.5投标保证金的退还</w:t>
      </w:r>
    </w:p>
    <w:p>
      <w:pPr>
        <w:adjustRightInd w:val="0"/>
        <w:snapToGrid w:val="0"/>
        <w:rPr>
          <w:rFonts w:cs="宋体"/>
          <w:color w:val="auto"/>
          <w:highlight w:val="none"/>
        </w:rPr>
      </w:pPr>
      <w:r>
        <w:rPr>
          <w:rFonts w:hint="eastAsia" w:cs="宋体"/>
          <w:color w:val="auto"/>
          <w:highlight w:val="none"/>
        </w:rPr>
        <w:t>13.5.1中标人应在与采购人签订合同之日起5个工作日内，及时联系保证金收受机构办理投标保证金退还手续。</w:t>
      </w:r>
    </w:p>
    <w:p>
      <w:pPr>
        <w:adjustRightInd w:val="0"/>
        <w:snapToGrid w:val="0"/>
        <w:rPr>
          <w:rFonts w:cs="宋体"/>
          <w:color w:val="auto"/>
          <w:highlight w:val="none"/>
        </w:rPr>
      </w:pPr>
      <w:r>
        <w:rPr>
          <w:rFonts w:hint="eastAsia"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cs="宋体"/>
          <w:color w:val="auto"/>
          <w:highlight w:val="none"/>
        </w:rPr>
      </w:pPr>
      <w:r>
        <w:rPr>
          <w:rFonts w:hint="eastAsia"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cs="宋体"/>
          <w:color w:val="auto"/>
          <w:highlight w:val="none"/>
        </w:rPr>
      </w:pPr>
      <w:r>
        <w:rPr>
          <w:rFonts w:hint="eastAsia" w:cs="宋体"/>
          <w:color w:val="auto"/>
          <w:highlight w:val="none"/>
        </w:rPr>
        <w:t>13.5.4政府采购投标担保函不予退回。</w:t>
      </w:r>
    </w:p>
    <w:p>
      <w:pPr>
        <w:adjustRightInd w:val="0"/>
        <w:snapToGrid w:val="0"/>
        <w:rPr>
          <w:rFonts w:cs="宋体"/>
          <w:color w:val="auto"/>
          <w:highlight w:val="none"/>
        </w:rPr>
      </w:pPr>
      <w:r>
        <w:rPr>
          <w:rFonts w:hint="eastAsia" w:cs="宋体"/>
          <w:color w:val="auto"/>
          <w:highlight w:val="none"/>
        </w:rPr>
        <w:t>13.6因供应商自身原因导致无法及时退还的，采购人或采购代理机构将不承担相应责任。</w:t>
      </w:r>
    </w:p>
    <w:p>
      <w:pPr>
        <w:pStyle w:val="3"/>
        <w:jc w:val="left"/>
        <w:rPr>
          <w:color w:val="auto"/>
          <w:highlight w:val="none"/>
        </w:rPr>
      </w:pPr>
      <w:r>
        <w:rPr>
          <w:rFonts w:hint="eastAsia"/>
          <w:color w:val="auto"/>
          <w:highlight w:val="none"/>
        </w:rPr>
        <w:t>★14.证明投标标的的合格性和符合招标文件规定的技术文件</w:t>
      </w:r>
    </w:p>
    <w:p>
      <w:pPr>
        <w:adjustRightInd w:val="0"/>
        <w:snapToGrid w:val="0"/>
        <w:rPr>
          <w:rFonts w:cs="宋体"/>
          <w:color w:val="auto"/>
          <w:highlight w:val="none"/>
        </w:rPr>
      </w:pPr>
      <w:r>
        <w:rPr>
          <w:rFonts w:hint="eastAsia" w:cs="宋体"/>
          <w:color w:val="auto"/>
          <w:highlight w:val="none"/>
        </w:rPr>
        <w:t>14.1供应商应提交证明文件，证明其投标内容符合招标文件规定。该证明文件是投标文件的一部分。</w:t>
      </w:r>
    </w:p>
    <w:p>
      <w:pPr>
        <w:adjustRightInd w:val="0"/>
        <w:snapToGrid w:val="0"/>
        <w:rPr>
          <w:rFonts w:cs="宋体"/>
          <w:color w:val="auto"/>
          <w:highlight w:val="none"/>
        </w:rPr>
      </w:pPr>
      <w:r>
        <w:rPr>
          <w:rFonts w:hint="eastAsia" w:cs="宋体"/>
          <w:color w:val="auto"/>
          <w:highlight w:val="none"/>
        </w:rPr>
        <w:t>14.2上条所述的证明文件，可以是文字资料、图纸和数据。</w:t>
      </w:r>
    </w:p>
    <w:p>
      <w:pPr>
        <w:pStyle w:val="3"/>
        <w:jc w:val="left"/>
        <w:rPr>
          <w:color w:val="auto"/>
          <w:highlight w:val="none"/>
        </w:rPr>
      </w:pPr>
      <w:r>
        <w:rPr>
          <w:rFonts w:hint="eastAsia"/>
          <w:color w:val="auto"/>
          <w:highlight w:val="none"/>
        </w:rPr>
        <w:t>★15.投标有效期</w:t>
      </w:r>
    </w:p>
    <w:p>
      <w:pPr>
        <w:adjustRightInd w:val="0"/>
        <w:snapToGrid w:val="0"/>
        <w:rPr>
          <w:rFonts w:cs="宋体"/>
          <w:color w:val="auto"/>
          <w:highlight w:val="none"/>
        </w:rPr>
      </w:pPr>
      <w:r>
        <w:rPr>
          <w:rFonts w:hint="eastAsia" w:cs="宋体"/>
          <w:color w:val="auto"/>
          <w:highlight w:val="none"/>
        </w:rPr>
        <w:t>15.1 投标应在供应商须知表15.1款中规定的投标有效期内保持有效。投标有效期不满足要求的投标，其投标将被认定为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3"/>
        <w:jc w:val="left"/>
        <w:rPr>
          <w:color w:val="auto"/>
          <w:highlight w:val="none"/>
        </w:rPr>
      </w:pPr>
      <w:r>
        <w:rPr>
          <w:rFonts w:hint="eastAsia"/>
          <w:color w:val="auto"/>
          <w:highlight w:val="none"/>
        </w:rPr>
        <w:t>★16.投标文件的签署及规定</w:t>
      </w:r>
    </w:p>
    <w:p>
      <w:pPr>
        <w:adjustRightInd w:val="0"/>
        <w:snapToGrid w:val="0"/>
        <w:rPr>
          <w:rFonts w:cs="宋体"/>
          <w:color w:val="auto"/>
          <w:highlight w:val="none"/>
        </w:rPr>
      </w:pPr>
      <w:r>
        <w:rPr>
          <w:rFonts w:hint="eastAsia"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cs="宋体"/>
          <w:color w:val="auto"/>
          <w:highlight w:val="none"/>
        </w:rPr>
      </w:pPr>
      <w:r>
        <w:rPr>
          <w:rFonts w:hint="eastAsia"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cs="宋体"/>
          <w:color w:val="auto"/>
          <w:sz w:val="24"/>
          <w:highlight w:val="none"/>
        </w:rPr>
      </w:pPr>
      <w:r>
        <w:rPr>
          <w:rFonts w:hint="eastAsia" w:cs="宋体"/>
          <w:color w:val="auto"/>
          <w:highlight w:val="none"/>
        </w:rPr>
        <w:t>16.</w:t>
      </w:r>
      <w:r>
        <w:rPr>
          <w:rFonts w:cs="宋体"/>
          <w:color w:val="auto"/>
          <w:highlight w:val="none"/>
        </w:rPr>
        <w:t>3</w:t>
      </w:r>
      <w:r>
        <w:rPr>
          <w:rFonts w:hint="eastAsia" w:cs="宋体"/>
          <w:color w:val="auto"/>
          <w:highlight w:val="none"/>
        </w:rPr>
        <w:t xml:space="preserve"> 投标文件因字迹潦草无法辨认、表达不清或装订不当所引起的后果由供应商负责。</w:t>
      </w:r>
    </w:p>
    <w:p>
      <w:pPr>
        <w:pStyle w:val="3"/>
        <w:rPr>
          <w:color w:val="auto"/>
          <w:highlight w:val="none"/>
        </w:rPr>
      </w:pPr>
      <w:bookmarkStart w:id="56" w:name="_Toc27725_WPSOffice_Level2"/>
      <w:r>
        <w:rPr>
          <w:rFonts w:hint="eastAsia"/>
          <w:color w:val="auto"/>
          <w:highlight w:val="none"/>
        </w:rPr>
        <w:t>五 投标文件的递交</w:t>
      </w:r>
      <w:bookmarkEnd w:id="56"/>
    </w:p>
    <w:p>
      <w:pPr>
        <w:pStyle w:val="3"/>
        <w:jc w:val="left"/>
        <w:rPr>
          <w:color w:val="auto"/>
          <w:highlight w:val="none"/>
        </w:rPr>
      </w:pPr>
      <w:r>
        <w:rPr>
          <w:rFonts w:hint="eastAsia"/>
          <w:color w:val="auto"/>
          <w:highlight w:val="none"/>
        </w:rPr>
        <w:t>17.投标文件的密封和标记</w:t>
      </w:r>
    </w:p>
    <w:p>
      <w:pPr>
        <w:adjustRightInd w:val="0"/>
        <w:snapToGrid w:val="0"/>
        <w:rPr>
          <w:rFonts w:cs="宋体"/>
          <w:color w:val="auto"/>
          <w:highlight w:val="none"/>
        </w:rPr>
      </w:pPr>
      <w:r>
        <w:rPr>
          <w:rFonts w:hint="eastAsia" w:cs="宋体"/>
          <w:color w:val="auto"/>
          <w:highlight w:val="none"/>
        </w:rPr>
        <w:t>★17.1 供应商应将投标文件装订成册、密封，将正本和所有的副本、电子文档密封，并进行包封。如果供应商未按上述要求密封，其投标文件将被</w:t>
      </w:r>
      <w:r>
        <w:rPr>
          <w:rFonts w:hint="eastAsia" w:cs="宋体"/>
          <w:b/>
          <w:bCs/>
          <w:color w:val="auto"/>
          <w:highlight w:val="none"/>
        </w:rPr>
        <w:t>拒绝接收</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17.2 所有包装封皮上均应：</w:t>
      </w:r>
    </w:p>
    <w:p>
      <w:pPr>
        <w:adjustRightInd w:val="0"/>
        <w:snapToGrid w:val="0"/>
        <w:rPr>
          <w:rFonts w:cs="宋体"/>
          <w:color w:val="auto"/>
          <w:highlight w:val="none"/>
        </w:rPr>
      </w:pPr>
      <w:r>
        <w:rPr>
          <w:rFonts w:hint="eastAsia" w:cs="宋体"/>
          <w:color w:val="auto"/>
          <w:highlight w:val="none"/>
        </w:rPr>
        <w:t>（1）注明项目名称、项目编号、包号、供应商名称和“在（开标时间）之前不得启封”的字样。</w:t>
      </w:r>
    </w:p>
    <w:p>
      <w:pPr>
        <w:adjustRightInd w:val="0"/>
        <w:snapToGrid w:val="0"/>
        <w:rPr>
          <w:rFonts w:cs="宋体"/>
          <w:color w:val="auto"/>
          <w:sz w:val="24"/>
          <w:highlight w:val="none"/>
        </w:rPr>
      </w:pPr>
      <w:r>
        <w:rPr>
          <w:rFonts w:hint="eastAsia" w:cs="宋体"/>
          <w:color w:val="auto"/>
          <w:highlight w:val="none"/>
        </w:rPr>
        <w:t>（2）在封口处加盖供应商单位公章。</w:t>
      </w:r>
    </w:p>
    <w:p>
      <w:pPr>
        <w:pStyle w:val="3"/>
        <w:jc w:val="left"/>
        <w:rPr>
          <w:color w:val="auto"/>
          <w:highlight w:val="none"/>
        </w:rPr>
      </w:pPr>
      <w:r>
        <w:rPr>
          <w:rFonts w:hint="eastAsia"/>
          <w:color w:val="auto"/>
          <w:highlight w:val="none"/>
        </w:rPr>
        <w:t>★18.投标截止</w:t>
      </w:r>
    </w:p>
    <w:p>
      <w:pPr>
        <w:adjustRightInd w:val="0"/>
        <w:snapToGrid w:val="0"/>
        <w:rPr>
          <w:rFonts w:cs="宋体"/>
          <w:color w:val="auto"/>
          <w:highlight w:val="none"/>
        </w:rPr>
      </w:pPr>
      <w:r>
        <w:rPr>
          <w:rFonts w:hint="eastAsia" w:cs="宋体"/>
          <w:color w:val="auto"/>
          <w:highlight w:val="none"/>
        </w:rPr>
        <w:t>18.1 供应商应在供应商须知表18.1中规定的递交投标文件截止时间前，将投标文件递交到供应商须知表18.1款中规定的地点。</w:t>
      </w:r>
    </w:p>
    <w:p>
      <w:pPr>
        <w:pStyle w:val="3"/>
        <w:jc w:val="left"/>
        <w:rPr>
          <w:rFonts w:eastAsia="宋体" w:cs="宋体"/>
          <w:color w:val="auto"/>
          <w:sz w:val="21"/>
          <w:szCs w:val="21"/>
          <w:highlight w:val="none"/>
        </w:rPr>
      </w:pPr>
      <w:r>
        <w:rPr>
          <w:rFonts w:hint="eastAsia"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3"/>
        <w:jc w:val="left"/>
        <w:rPr>
          <w:color w:val="auto"/>
          <w:highlight w:val="none"/>
        </w:rPr>
      </w:pPr>
      <w:r>
        <w:rPr>
          <w:rFonts w:hint="eastAsia"/>
          <w:color w:val="auto"/>
          <w:highlight w:val="none"/>
        </w:rPr>
        <w:t>★19. 投标文件的接收、修改与撤回</w:t>
      </w:r>
    </w:p>
    <w:p>
      <w:pPr>
        <w:adjustRightInd w:val="0"/>
        <w:snapToGrid w:val="0"/>
        <w:rPr>
          <w:rFonts w:cs="宋体"/>
          <w:color w:val="auto"/>
          <w:highlight w:val="none"/>
        </w:rPr>
      </w:pPr>
      <w:r>
        <w:rPr>
          <w:rFonts w:hint="eastAsia" w:cs="宋体"/>
          <w:color w:val="auto"/>
          <w:highlight w:val="none"/>
        </w:rPr>
        <w:t>19.1 在投标截止时间后送达的投标文件，采购人和采购代理机构将</w:t>
      </w:r>
      <w:r>
        <w:rPr>
          <w:rFonts w:hint="eastAsia" w:cs="宋体"/>
          <w:b/>
          <w:bCs/>
          <w:color w:val="auto"/>
          <w:highlight w:val="none"/>
        </w:rPr>
        <w:t>拒绝接收</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19.2 采购人或者采购代理机构收到投标文件后，应当如实记载投标文件的送达时间和密封情况。</w:t>
      </w:r>
    </w:p>
    <w:p>
      <w:pPr>
        <w:adjustRightInd w:val="0"/>
        <w:snapToGrid w:val="0"/>
        <w:rPr>
          <w:rFonts w:cs="宋体"/>
          <w:color w:val="auto"/>
          <w:highlight w:val="none"/>
        </w:rPr>
      </w:pPr>
      <w:r>
        <w:rPr>
          <w:rFonts w:hint="eastAsia"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cs="宋体"/>
          <w:color w:val="auto"/>
          <w:highlight w:val="none"/>
        </w:rPr>
      </w:pPr>
      <w:r>
        <w:rPr>
          <w:rFonts w:hint="eastAsia" w:cs="宋体"/>
          <w:color w:val="auto"/>
          <w:highlight w:val="none"/>
        </w:rPr>
        <w:t>19.4 在投标截止时间之后，供应商不得对其投标文件做任何修改。</w:t>
      </w:r>
    </w:p>
    <w:p>
      <w:pPr>
        <w:adjustRightInd w:val="0"/>
        <w:snapToGrid w:val="0"/>
        <w:rPr>
          <w:rFonts w:cs="宋体"/>
          <w:color w:val="auto"/>
          <w:highlight w:val="none"/>
        </w:rPr>
      </w:pPr>
      <w:r>
        <w:rPr>
          <w:rFonts w:hint="eastAsia" w:cs="宋体"/>
          <w:color w:val="auto"/>
          <w:highlight w:val="none"/>
        </w:rPr>
        <w:t>19.5 采购人和采购代理机构对所接收并当众宣读投标内容的投标文件概不退回。</w:t>
      </w:r>
    </w:p>
    <w:p>
      <w:pPr>
        <w:pStyle w:val="3"/>
        <w:rPr>
          <w:color w:val="auto"/>
          <w:highlight w:val="none"/>
        </w:rPr>
      </w:pPr>
      <w:bookmarkStart w:id="57" w:name="_Toc988_WPSOffice_Level2"/>
      <w:r>
        <w:rPr>
          <w:rFonts w:hint="eastAsia"/>
          <w:color w:val="auto"/>
          <w:highlight w:val="none"/>
        </w:rPr>
        <w:t>六 开标及评标</w:t>
      </w:r>
      <w:bookmarkEnd w:id="57"/>
    </w:p>
    <w:p>
      <w:pPr>
        <w:pStyle w:val="3"/>
        <w:jc w:val="left"/>
        <w:rPr>
          <w:color w:val="auto"/>
          <w:highlight w:val="none"/>
        </w:rPr>
      </w:pPr>
      <w:r>
        <w:rPr>
          <w:rFonts w:hint="eastAsia"/>
          <w:color w:val="auto"/>
          <w:highlight w:val="none"/>
        </w:rPr>
        <w:t>20.开标</w:t>
      </w:r>
    </w:p>
    <w:p>
      <w:pPr>
        <w:adjustRightInd w:val="0"/>
        <w:snapToGrid w:val="0"/>
        <w:rPr>
          <w:rFonts w:cs="宋体"/>
          <w:color w:val="auto"/>
          <w:highlight w:val="none"/>
        </w:rPr>
      </w:pPr>
      <w:r>
        <w:rPr>
          <w:rFonts w:hint="eastAsia"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cs="宋体"/>
          <w:color w:val="auto"/>
          <w:highlight w:val="none"/>
        </w:rPr>
      </w:pPr>
      <w:r>
        <w:rPr>
          <w:rFonts w:hint="eastAsia" w:cs="宋体"/>
          <w:color w:val="auto"/>
          <w:highlight w:val="none"/>
        </w:rPr>
        <w:t>供应商不足3家的，不得开标。评标委员会成员不得参加开标活动。</w:t>
      </w:r>
    </w:p>
    <w:p>
      <w:pPr>
        <w:adjustRightInd w:val="0"/>
        <w:snapToGrid w:val="0"/>
        <w:rPr>
          <w:rFonts w:cs="宋体"/>
          <w:color w:val="auto"/>
          <w:highlight w:val="none"/>
        </w:rPr>
      </w:pPr>
      <w:r>
        <w:rPr>
          <w:rFonts w:hint="eastAsia"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cs="宋体"/>
          <w:color w:val="auto"/>
          <w:highlight w:val="none"/>
        </w:rPr>
      </w:pPr>
      <w:r>
        <w:rPr>
          <w:rFonts w:hint="eastAsia" w:cs="宋体"/>
          <w:color w:val="auto"/>
          <w:highlight w:val="none"/>
        </w:rPr>
        <w:t>未宣读投标价格、价格折扣等实质内容，评标时不予承认。</w:t>
      </w:r>
    </w:p>
    <w:p>
      <w:pPr>
        <w:adjustRightInd w:val="0"/>
        <w:snapToGrid w:val="0"/>
        <w:rPr>
          <w:rFonts w:cs="宋体"/>
          <w:color w:val="auto"/>
          <w:highlight w:val="none"/>
        </w:rPr>
      </w:pPr>
      <w:r>
        <w:rPr>
          <w:rFonts w:hint="eastAsia"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cs="宋体"/>
          <w:color w:val="auto"/>
          <w:highlight w:val="none"/>
        </w:rPr>
      </w:pPr>
      <w:r>
        <w:rPr>
          <w:rFonts w:hint="eastAsia" w:cs="宋体"/>
          <w:color w:val="auto"/>
          <w:highlight w:val="none"/>
        </w:rPr>
        <w:t>20.4 供应商代表对开标过程和开标记录有疑义，以及认为采购人、采购代理机构相关工作人员有需要回避的情形的，应当场提出询问或者回避申请。</w:t>
      </w:r>
    </w:p>
    <w:p>
      <w:pPr>
        <w:pStyle w:val="3"/>
        <w:jc w:val="left"/>
        <w:rPr>
          <w:color w:val="auto"/>
          <w:highlight w:val="none"/>
        </w:rPr>
      </w:pPr>
      <w:r>
        <w:rPr>
          <w:rFonts w:hint="eastAsia"/>
          <w:color w:val="auto"/>
          <w:highlight w:val="none"/>
        </w:rPr>
        <w:t>21. 组建评标委员会</w:t>
      </w:r>
    </w:p>
    <w:p>
      <w:pPr>
        <w:adjustRightInd w:val="0"/>
        <w:snapToGrid w:val="0"/>
        <w:ind w:firstLine="420" w:firstLineChars="200"/>
        <w:rPr>
          <w:rFonts w:cs="宋体"/>
          <w:color w:val="auto"/>
          <w:highlight w:val="none"/>
        </w:rPr>
      </w:pPr>
      <w:r>
        <w:rPr>
          <w:rFonts w:hint="eastAsia"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cs="宋体"/>
          <w:color w:val="auto"/>
          <w:highlight w:val="none"/>
        </w:rPr>
        <w:t>评标委员会组建后，</w:t>
      </w:r>
      <w:bookmarkEnd w:id="58"/>
      <w:r>
        <w:rPr>
          <w:rFonts w:hint="eastAsia" w:cs="宋体"/>
          <w:color w:val="auto"/>
          <w:highlight w:val="none"/>
        </w:rPr>
        <w:t>评标委员会成员共同推选组长，组长负责组织评标工作，采购人代表不得担任组长。</w:t>
      </w:r>
    </w:p>
    <w:p>
      <w:pPr>
        <w:pStyle w:val="3"/>
        <w:jc w:val="left"/>
        <w:rPr>
          <w:color w:val="auto"/>
          <w:highlight w:val="none"/>
        </w:rPr>
      </w:pPr>
      <w:r>
        <w:rPr>
          <w:rFonts w:hint="eastAsia"/>
          <w:color w:val="auto"/>
          <w:highlight w:val="none"/>
        </w:rPr>
        <w:t>★22. 资格审查</w:t>
      </w:r>
    </w:p>
    <w:p>
      <w:pPr>
        <w:adjustRightInd w:val="0"/>
        <w:snapToGrid w:val="0"/>
        <w:rPr>
          <w:rFonts w:cs="宋体"/>
          <w:color w:val="auto"/>
          <w:highlight w:val="none"/>
        </w:rPr>
      </w:pPr>
      <w:r>
        <w:rPr>
          <w:rFonts w:hint="eastAsia"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cs="宋体"/>
          <w:b/>
          <w:bCs/>
          <w:color w:val="auto"/>
          <w:highlight w:val="none"/>
        </w:rPr>
        <w:t>投标无效</w:t>
      </w:r>
      <w:r>
        <w:rPr>
          <w:rFonts w:hint="eastAsia" w:cs="宋体"/>
          <w:color w:val="auto"/>
          <w:highlight w:val="none"/>
        </w:rPr>
        <w:t>；通过资格审查的供应商不足3家的，不得评标。</w:t>
      </w:r>
    </w:p>
    <w:p>
      <w:pPr>
        <w:adjustRightInd w:val="0"/>
        <w:snapToGrid w:val="0"/>
        <w:rPr>
          <w:rFonts w:cs="宋体"/>
          <w:color w:val="auto"/>
          <w:highlight w:val="none"/>
        </w:rPr>
      </w:pPr>
      <w:r>
        <w:rPr>
          <w:rFonts w:hint="eastAsia" w:cs="宋体"/>
          <w:color w:val="auto"/>
          <w:highlight w:val="none"/>
        </w:rPr>
        <w:t>22.2 采购人或采购代理机构将</w:t>
      </w:r>
      <w:r>
        <w:rPr>
          <w:rFonts w:cs="宋体"/>
          <w:color w:val="auto"/>
          <w:highlight w:val="none"/>
        </w:rPr>
        <w:t>评审当日</w:t>
      </w:r>
      <w:r>
        <w:rPr>
          <w:rFonts w:hint="eastAsia" w:cs="宋体"/>
          <w:color w:val="auto"/>
          <w:highlight w:val="none"/>
        </w:rPr>
        <w:t>查询供应商的信用记录。供应商存在不良信用记录的，其投标将被认定为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cs="宋体"/>
          <w:color w:val="auto"/>
          <w:highlight w:val="none"/>
        </w:rPr>
      </w:pPr>
      <w:r>
        <w:rPr>
          <w:rFonts w:hint="eastAsia" w:cs="宋体"/>
          <w:color w:val="auto"/>
          <w:highlight w:val="none"/>
        </w:rPr>
        <w:t>以联合体形式参加投标的，联合体任何成员存在以上不良信用记录的，联合体投标将被认定为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cs="宋体"/>
          <w:color w:val="auto"/>
          <w:highlight w:val="none"/>
        </w:rPr>
      </w:pPr>
      <w:r>
        <w:rPr>
          <w:rFonts w:hint="eastAsia" w:cs="宋体"/>
          <w:color w:val="auto"/>
          <w:highlight w:val="none"/>
        </w:rPr>
        <w:t>在本招标文件规定的查询时间之后，网站信息发生的任何变更均不再作为评标依据。</w:t>
      </w:r>
    </w:p>
    <w:p>
      <w:pPr>
        <w:adjustRightInd w:val="0"/>
        <w:snapToGrid w:val="0"/>
        <w:ind w:firstLine="420" w:firstLineChars="200"/>
        <w:rPr>
          <w:rFonts w:cs="宋体"/>
          <w:color w:val="auto"/>
          <w:highlight w:val="none"/>
        </w:rPr>
      </w:pPr>
      <w:r>
        <w:rPr>
          <w:rFonts w:hint="eastAsia" w:cs="宋体"/>
          <w:color w:val="auto"/>
          <w:highlight w:val="none"/>
        </w:rPr>
        <w:t>供应商自行提供的与网站信息不一致的其他证明材料亦不作为资格审查依据。</w:t>
      </w:r>
    </w:p>
    <w:p>
      <w:pPr>
        <w:pStyle w:val="3"/>
        <w:jc w:val="left"/>
        <w:rPr>
          <w:color w:val="auto"/>
          <w:highlight w:val="none"/>
        </w:rPr>
      </w:pPr>
      <w:r>
        <w:rPr>
          <w:rFonts w:hint="eastAsia"/>
          <w:color w:val="auto"/>
          <w:highlight w:val="none"/>
        </w:rPr>
        <w:t>★23.符合性审查</w:t>
      </w:r>
    </w:p>
    <w:p>
      <w:pPr>
        <w:adjustRightInd w:val="0"/>
        <w:snapToGrid w:val="0"/>
        <w:ind w:firstLine="420" w:firstLineChars="200"/>
        <w:rPr>
          <w:rFonts w:cs="宋体"/>
          <w:color w:val="auto"/>
          <w:sz w:val="24"/>
          <w:highlight w:val="none"/>
        </w:rPr>
      </w:pPr>
      <w:r>
        <w:rPr>
          <w:rFonts w:hint="eastAsia"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cs="宋体"/>
          <w:b/>
          <w:bCs/>
          <w:color w:val="auto"/>
          <w:highlight w:val="none"/>
        </w:rPr>
        <w:t>投标无效</w:t>
      </w:r>
      <w:r>
        <w:rPr>
          <w:rFonts w:hint="eastAsia" w:cs="宋体"/>
          <w:color w:val="auto"/>
          <w:highlight w:val="none"/>
        </w:rPr>
        <w:t>；通过符合性审查的供应商数量不足3家的，不得作进一步的比较和评价。</w:t>
      </w:r>
    </w:p>
    <w:p>
      <w:pPr>
        <w:pStyle w:val="3"/>
        <w:jc w:val="left"/>
        <w:rPr>
          <w:color w:val="auto"/>
          <w:highlight w:val="none"/>
        </w:rPr>
      </w:pPr>
      <w:r>
        <w:rPr>
          <w:rFonts w:hint="eastAsia"/>
          <w:color w:val="auto"/>
          <w:highlight w:val="none"/>
        </w:rPr>
        <w:t>★24 投标文件的澄清</w:t>
      </w:r>
    </w:p>
    <w:p>
      <w:pPr>
        <w:adjustRightInd w:val="0"/>
        <w:snapToGrid w:val="0"/>
        <w:rPr>
          <w:rFonts w:cs="宋体"/>
          <w:color w:val="auto"/>
          <w:highlight w:val="none"/>
        </w:rPr>
      </w:pPr>
      <w:r>
        <w:rPr>
          <w:rFonts w:hint="eastAsia"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cs="宋体"/>
          <w:color w:val="auto"/>
          <w:highlight w:val="none"/>
        </w:rPr>
      </w:pPr>
      <w:r>
        <w:rPr>
          <w:rFonts w:hint="eastAsia" w:cs="宋体"/>
          <w:color w:val="auto"/>
          <w:highlight w:val="none"/>
        </w:rPr>
        <w:t>24.2 供应商的澄清、说明或补正将作为投标文件的一部分。</w:t>
      </w:r>
    </w:p>
    <w:p>
      <w:pPr>
        <w:adjustRightInd w:val="0"/>
        <w:snapToGrid w:val="0"/>
        <w:rPr>
          <w:rFonts w:cs="宋体"/>
          <w:color w:val="auto"/>
          <w:highlight w:val="none"/>
        </w:rPr>
      </w:pPr>
      <w:r>
        <w:rPr>
          <w:rFonts w:hint="eastAsia" w:cs="宋体"/>
          <w:color w:val="auto"/>
          <w:highlight w:val="none"/>
        </w:rPr>
        <w:t>24.3 投标文件报价出现前后不一致的，按照下列规定修正：</w:t>
      </w:r>
    </w:p>
    <w:p>
      <w:pPr>
        <w:adjustRightInd w:val="0"/>
        <w:snapToGrid w:val="0"/>
        <w:rPr>
          <w:rFonts w:cs="宋体"/>
          <w:color w:val="auto"/>
          <w:highlight w:val="none"/>
        </w:rPr>
      </w:pPr>
      <w:r>
        <w:rPr>
          <w:rFonts w:hint="eastAsia" w:cs="宋体"/>
          <w:color w:val="auto"/>
          <w:highlight w:val="none"/>
        </w:rPr>
        <w:t>（1）投标文件中开标一览表内容与投标文件中相应内容不一致的，以开标一览表为准；</w:t>
      </w:r>
    </w:p>
    <w:p>
      <w:pPr>
        <w:adjustRightInd w:val="0"/>
        <w:snapToGrid w:val="0"/>
        <w:rPr>
          <w:rFonts w:cs="宋体"/>
          <w:color w:val="auto"/>
          <w:highlight w:val="none"/>
        </w:rPr>
      </w:pPr>
      <w:r>
        <w:rPr>
          <w:rFonts w:hint="eastAsia" w:cs="宋体"/>
          <w:color w:val="auto"/>
          <w:highlight w:val="none"/>
        </w:rPr>
        <w:t>（2）大写金额和小写金额不一致的，以大写金额为准；</w:t>
      </w:r>
    </w:p>
    <w:p>
      <w:pPr>
        <w:adjustRightInd w:val="0"/>
        <w:snapToGrid w:val="0"/>
        <w:rPr>
          <w:rFonts w:cs="宋体"/>
          <w:color w:val="auto"/>
          <w:highlight w:val="none"/>
        </w:rPr>
      </w:pPr>
      <w:r>
        <w:rPr>
          <w:rFonts w:hint="eastAsia" w:cs="宋体"/>
          <w:color w:val="auto"/>
          <w:highlight w:val="none"/>
        </w:rPr>
        <w:t>（3）单价金额小数点或者百分比有明显错位的，以开标一览表的总价为准，并修改单价；</w:t>
      </w:r>
    </w:p>
    <w:p>
      <w:pPr>
        <w:adjustRightInd w:val="0"/>
        <w:snapToGrid w:val="0"/>
        <w:rPr>
          <w:rFonts w:cs="宋体"/>
          <w:color w:val="auto"/>
          <w:highlight w:val="none"/>
        </w:rPr>
      </w:pPr>
      <w:r>
        <w:rPr>
          <w:rFonts w:hint="eastAsia" w:cs="宋体"/>
          <w:color w:val="auto"/>
          <w:highlight w:val="none"/>
        </w:rPr>
        <w:t>（4）总价金额与按单价汇总金额不一致的，以单价金额计算结果为准。</w:t>
      </w:r>
    </w:p>
    <w:p>
      <w:pPr>
        <w:adjustRightInd w:val="0"/>
        <w:snapToGrid w:val="0"/>
        <w:ind w:firstLine="420" w:firstLineChars="200"/>
        <w:rPr>
          <w:rFonts w:cs="宋体"/>
          <w:color w:val="auto"/>
          <w:highlight w:val="none"/>
        </w:rPr>
      </w:pPr>
      <w:r>
        <w:rPr>
          <w:rFonts w:hint="eastAsia" w:cs="宋体"/>
          <w:color w:val="auto"/>
          <w:highlight w:val="none"/>
        </w:rPr>
        <w:t>同时出现两种以上不一致的，按照前款规定的顺序修正。修正后的报价经供应商确认后产生约束力，供应商不确认的，其投标将被认定为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sz w:val="24"/>
          <w:highlight w:val="none"/>
        </w:rPr>
      </w:pPr>
      <w:r>
        <w:rPr>
          <w:rFonts w:hint="eastAsia" w:cs="宋体"/>
          <w:color w:val="auto"/>
          <w:highlight w:val="none"/>
        </w:rPr>
        <w:t>24.4</w:t>
      </w:r>
      <w:r>
        <w:rPr>
          <w:rFonts w:hint="eastAsia" w:cs="宋体"/>
          <w:b/>
          <w:bCs/>
          <w:color w:val="auto"/>
          <w:highlight w:val="none"/>
        </w:rPr>
        <w:t>评标委员会认为</w:t>
      </w:r>
      <w:r>
        <w:rPr>
          <w:rFonts w:hint="eastAsia"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cs="宋体"/>
          <w:b/>
          <w:bCs/>
          <w:color w:val="auto"/>
          <w:highlight w:val="none"/>
        </w:rPr>
        <w:t>无效投标</w:t>
      </w:r>
      <w:r>
        <w:rPr>
          <w:rFonts w:hint="eastAsia" w:cs="宋体"/>
          <w:color w:val="auto"/>
          <w:highlight w:val="none"/>
        </w:rPr>
        <w:t>处理。提交证明材料的合理时间按第四章 评标方法规定执行。</w:t>
      </w:r>
    </w:p>
    <w:p>
      <w:pPr>
        <w:pStyle w:val="3"/>
        <w:jc w:val="left"/>
        <w:rPr>
          <w:color w:val="auto"/>
          <w:highlight w:val="none"/>
        </w:rPr>
      </w:pPr>
      <w:r>
        <w:rPr>
          <w:rFonts w:hint="eastAsia"/>
          <w:color w:val="auto"/>
          <w:highlight w:val="none"/>
        </w:rPr>
        <w:t>25演示</w:t>
      </w:r>
    </w:p>
    <w:p>
      <w:pPr>
        <w:adjustRightInd w:val="0"/>
        <w:snapToGrid w:val="0"/>
        <w:rPr>
          <w:rFonts w:cs="宋体"/>
          <w:color w:val="auto"/>
          <w:highlight w:val="none"/>
        </w:rPr>
      </w:pPr>
      <w:r>
        <w:rPr>
          <w:rFonts w:hint="eastAsia" w:cs="宋体"/>
          <w:color w:val="auto"/>
          <w:highlight w:val="none"/>
        </w:rPr>
        <w:t>演示的评审方法以及评审标准具体内容见供应商须知表25.1款。</w:t>
      </w:r>
    </w:p>
    <w:p>
      <w:pPr>
        <w:pStyle w:val="3"/>
        <w:jc w:val="left"/>
        <w:rPr>
          <w:color w:val="auto"/>
          <w:highlight w:val="none"/>
        </w:rPr>
      </w:pPr>
      <w:r>
        <w:rPr>
          <w:rFonts w:hint="eastAsia"/>
          <w:color w:val="auto"/>
          <w:highlight w:val="none"/>
        </w:rPr>
        <w:t>★26.投标无效</w:t>
      </w:r>
    </w:p>
    <w:p>
      <w:pPr>
        <w:adjustRightInd w:val="0"/>
        <w:snapToGrid w:val="0"/>
        <w:rPr>
          <w:rFonts w:cs="宋体"/>
          <w:color w:val="auto"/>
          <w:highlight w:val="none"/>
        </w:rPr>
      </w:pPr>
      <w:r>
        <w:rPr>
          <w:rFonts w:hint="eastAsia"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cs="宋体"/>
          <w:color w:val="auto"/>
          <w:kern w:val="0"/>
          <w:highlight w:val="none"/>
        </w:rPr>
      </w:pPr>
      <w:r>
        <w:rPr>
          <w:rFonts w:hint="eastAsia"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cs="宋体"/>
          <w:color w:val="auto"/>
          <w:highlight w:val="none"/>
        </w:rPr>
      </w:pPr>
      <w:r>
        <w:rPr>
          <w:rFonts w:hint="eastAsia"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cs="宋体"/>
          <w:color w:val="auto"/>
          <w:highlight w:val="none"/>
        </w:rPr>
      </w:pPr>
      <w:r>
        <w:rPr>
          <w:rFonts w:hint="eastAsia" w:cs="宋体"/>
          <w:color w:val="auto"/>
          <w:highlight w:val="none"/>
        </w:rPr>
        <w:t>如果投标文件没有对招标文件的实质性要求进行响应，将作为</w:t>
      </w:r>
      <w:r>
        <w:rPr>
          <w:rFonts w:hint="eastAsia" w:cs="宋体"/>
          <w:b/>
          <w:bCs/>
          <w:color w:val="auto"/>
          <w:highlight w:val="none"/>
        </w:rPr>
        <w:t>无效投标</w:t>
      </w:r>
      <w:r>
        <w:rPr>
          <w:rFonts w:hint="eastAsia" w:cs="宋体"/>
          <w:color w:val="auto"/>
          <w:highlight w:val="none"/>
        </w:rPr>
        <w:t>处理，供应商不得再对投标文件进行任何修正从而使其投标成为实质上响应的投标。</w:t>
      </w:r>
    </w:p>
    <w:p>
      <w:pPr>
        <w:adjustRightInd w:val="0"/>
        <w:snapToGrid w:val="0"/>
        <w:ind w:firstLine="420" w:firstLineChars="200"/>
        <w:rPr>
          <w:rFonts w:cs="宋体"/>
          <w:color w:val="auto"/>
          <w:highlight w:val="none"/>
        </w:rPr>
      </w:pPr>
      <w:r>
        <w:rPr>
          <w:rFonts w:hint="eastAsia" w:cs="宋体"/>
          <w:color w:val="auto"/>
          <w:highlight w:val="none"/>
        </w:rPr>
        <w:t>评标委员会决定投标的响应性只根据招标文件要求、投标文件内容及财政主管部门指定媒体发布的相关信息。</w:t>
      </w:r>
    </w:p>
    <w:p>
      <w:pPr>
        <w:adjustRightInd w:val="0"/>
        <w:snapToGrid w:val="0"/>
        <w:rPr>
          <w:rFonts w:cs="宋体"/>
          <w:color w:val="auto"/>
          <w:highlight w:val="none"/>
        </w:rPr>
      </w:pPr>
      <w:r>
        <w:rPr>
          <w:rFonts w:hint="eastAsia" w:cs="宋体"/>
          <w:color w:val="auto"/>
          <w:highlight w:val="none"/>
        </w:rPr>
        <w:t>26.2 如发现下列情况之一的，其投标将被认定为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（1）未按招标文件的规定提交投标保证金的；</w:t>
      </w:r>
    </w:p>
    <w:p>
      <w:pPr>
        <w:adjustRightInd w:val="0"/>
        <w:snapToGrid w:val="0"/>
        <w:rPr>
          <w:rFonts w:cs="宋体"/>
          <w:color w:val="auto"/>
          <w:highlight w:val="none"/>
        </w:rPr>
      </w:pPr>
      <w:r>
        <w:rPr>
          <w:rFonts w:hint="eastAsia" w:cs="宋体"/>
          <w:color w:val="auto"/>
          <w:highlight w:val="none"/>
        </w:rPr>
        <w:t>（2）未按照招标文件规定要求签署、盖章的；</w:t>
      </w:r>
    </w:p>
    <w:p>
      <w:pPr>
        <w:adjustRightInd w:val="0"/>
        <w:snapToGrid w:val="0"/>
        <w:rPr>
          <w:rFonts w:cs="宋体"/>
          <w:color w:val="auto"/>
          <w:highlight w:val="none"/>
        </w:rPr>
      </w:pPr>
      <w:r>
        <w:rPr>
          <w:rFonts w:hint="eastAsia" w:cs="宋体"/>
          <w:color w:val="auto"/>
          <w:highlight w:val="none"/>
        </w:rPr>
        <w:t>（3）供应商的报价超过了招标文件中规定的预算金额或者最高限价的；</w:t>
      </w:r>
    </w:p>
    <w:p>
      <w:pPr>
        <w:adjustRightInd w:val="0"/>
        <w:snapToGrid w:val="0"/>
        <w:rPr>
          <w:rFonts w:cs="宋体"/>
          <w:color w:val="auto"/>
          <w:highlight w:val="none"/>
        </w:rPr>
      </w:pPr>
      <w:r>
        <w:rPr>
          <w:rFonts w:hint="eastAsia" w:cs="宋体"/>
          <w:color w:val="auto"/>
          <w:highlight w:val="none"/>
        </w:rPr>
        <w:t>（4）不具备招标文件中规定的资格要求的；</w:t>
      </w:r>
    </w:p>
    <w:p>
      <w:pPr>
        <w:adjustRightInd w:val="0"/>
        <w:snapToGrid w:val="0"/>
        <w:rPr>
          <w:rFonts w:cs="宋体"/>
          <w:color w:val="auto"/>
          <w:highlight w:val="none"/>
        </w:rPr>
      </w:pPr>
      <w:r>
        <w:rPr>
          <w:rFonts w:hint="eastAsia" w:cs="宋体"/>
          <w:color w:val="auto"/>
          <w:highlight w:val="none"/>
        </w:rPr>
        <w:t>（5）不符合法规和招标文件中规定的其他实质性要求的。</w:t>
      </w:r>
    </w:p>
    <w:p>
      <w:pPr>
        <w:adjustRightInd w:val="0"/>
        <w:snapToGrid w:val="0"/>
        <w:rPr>
          <w:rFonts w:cs="宋体"/>
          <w:color w:val="auto"/>
          <w:highlight w:val="none"/>
        </w:rPr>
      </w:pPr>
      <w:r>
        <w:rPr>
          <w:rFonts w:hint="eastAsia" w:cs="宋体"/>
          <w:color w:val="auto"/>
          <w:highlight w:val="none"/>
        </w:rPr>
        <w:t>（6）与其他供应商串通投标，或者与采购人串通投标；</w:t>
      </w:r>
    </w:p>
    <w:p>
      <w:pPr>
        <w:adjustRightInd w:val="0"/>
        <w:snapToGrid w:val="0"/>
        <w:rPr>
          <w:rFonts w:cs="宋体"/>
          <w:color w:val="auto"/>
          <w:highlight w:val="none"/>
        </w:rPr>
      </w:pPr>
      <w:r>
        <w:rPr>
          <w:rFonts w:hint="eastAsia"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cs="宋体"/>
          <w:color w:val="auto"/>
          <w:highlight w:val="none"/>
        </w:rPr>
      </w:pPr>
      <w:r>
        <w:rPr>
          <w:rFonts w:hint="eastAsia" w:cs="宋体"/>
          <w:color w:val="auto"/>
          <w:highlight w:val="none"/>
        </w:rPr>
        <w:t>（8）投标文件含有采购人不能接受的附加条件的；</w:t>
      </w:r>
    </w:p>
    <w:p>
      <w:pPr>
        <w:pStyle w:val="7"/>
        <w:spacing w:line="360" w:lineRule="auto"/>
        <w:jc w:val="both"/>
        <w:rPr>
          <w:color w:val="auto"/>
          <w:sz w:val="20"/>
          <w:highlight w:val="none"/>
        </w:rPr>
      </w:pPr>
      <w:r>
        <w:rPr>
          <w:rFonts w:hint="eastAsia"/>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7"/>
        <w:spacing w:line="360" w:lineRule="auto"/>
        <w:jc w:val="both"/>
        <w:rPr>
          <w:color w:val="auto"/>
          <w:sz w:val="20"/>
          <w:highlight w:val="none"/>
        </w:rPr>
      </w:pPr>
      <w:r>
        <w:rPr>
          <w:rFonts w:hint="eastAsia"/>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7"/>
        <w:spacing w:line="360" w:lineRule="auto"/>
        <w:jc w:val="both"/>
        <w:rPr>
          <w:color w:val="auto"/>
          <w:sz w:val="20"/>
          <w:highlight w:val="none"/>
        </w:rPr>
      </w:pPr>
      <w:r>
        <w:rPr>
          <w:rFonts w:hint="eastAsia"/>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cs="宋体"/>
          <w:color w:val="auto"/>
          <w:highlight w:val="none"/>
        </w:rPr>
      </w:pPr>
      <w:r>
        <w:rPr>
          <w:rFonts w:hint="eastAsia"/>
          <w:color w:val="auto"/>
          <w:highlight w:val="none"/>
        </w:rPr>
        <w:t>（12） 属于法律、法规和招标文件规定的其他投标无效情形；</w:t>
      </w:r>
    </w:p>
    <w:p>
      <w:pPr>
        <w:pStyle w:val="3"/>
        <w:jc w:val="left"/>
        <w:rPr>
          <w:color w:val="auto"/>
          <w:highlight w:val="none"/>
        </w:rPr>
      </w:pPr>
      <w:r>
        <w:rPr>
          <w:rFonts w:hint="eastAsia"/>
          <w:color w:val="auto"/>
          <w:highlight w:val="none"/>
        </w:rPr>
        <w:t>27.比较与评价</w:t>
      </w:r>
    </w:p>
    <w:p>
      <w:pPr>
        <w:adjustRightInd w:val="0"/>
        <w:snapToGrid w:val="0"/>
        <w:rPr>
          <w:rFonts w:cs="宋体"/>
          <w:color w:val="auto"/>
          <w:highlight w:val="none"/>
        </w:rPr>
      </w:pPr>
      <w:r>
        <w:rPr>
          <w:rFonts w:hint="eastAsia"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cs="宋体"/>
          <w:color w:val="auto"/>
          <w:highlight w:val="none"/>
        </w:rPr>
      </w:pPr>
      <w:r>
        <w:rPr>
          <w:rFonts w:hint="eastAsia"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cs="宋体"/>
          <w:color w:val="auto"/>
          <w:highlight w:val="none"/>
        </w:rPr>
      </w:pPr>
      <w:r>
        <w:rPr>
          <w:rFonts w:hint="eastAsia" w:cs="宋体"/>
          <w:color w:val="auto"/>
          <w:highlight w:val="none"/>
        </w:rPr>
        <w:t>（1） 最低评标价法，是指投标文件满足招标文件全部实质性要求，且投标报价最低的供应商为中标候选人的评标方法。</w:t>
      </w:r>
    </w:p>
    <w:p>
      <w:pPr>
        <w:adjustRightInd w:val="0"/>
        <w:snapToGrid w:val="0"/>
        <w:rPr>
          <w:rFonts w:cs="宋体"/>
          <w:color w:val="auto"/>
          <w:highlight w:val="none"/>
        </w:rPr>
      </w:pPr>
      <w:r>
        <w:rPr>
          <w:rFonts w:hint="eastAsia" w:cs="宋体"/>
          <w:color w:val="auto"/>
          <w:highlight w:val="none"/>
        </w:rPr>
        <w:t>（2） 综合评分法，是指投标文件满足招标文件全部实质性要求，且按照评审因素的量化指标评审得分最高的供应商为中标候选人的评标方法。</w:t>
      </w:r>
    </w:p>
    <w:p>
      <w:pPr>
        <w:ind w:firstLine="435"/>
        <w:rPr>
          <w:color w:val="auto"/>
          <w:highlight w:val="none"/>
        </w:rPr>
      </w:pPr>
      <w:r>
        <w:rPr>
          <w:rFonts w:hint="eastAsia"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w:t>
      </w:r>
      <w:r>
        <w:rPr>
          <w:rFonts w:hint="eastAsia"/>
          <w:color w:val="auto"/>
          <w:highlight w:val="none"/>
        </w:rPr>
        <w:t>、《财政部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color w:val="auto"/>
          <w:highlight w:val="none"/>
        </w:rPr>
      </w:pPr>
      <w:r>
        <w:rPr>
          <w:rFonts w:hint="eastAsia"/>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color w:val="auto"/>
          <w:highlight w:val="none"/>
        </w:rPr>
      </w:pPr>
      <w:r>
        <w:rPr>
          <w:rFonts w:hint="eastAsia"/>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cs="宋体"/>
          <w:color w:val="auto"/>
          <w:highlight w:val="none"/>
        </w:rPr>
      </w:pPr>
      <w:r>
        <w:rPr>
          <w:rFonts w:hint="eastAsia"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3"/>
        <w:jc w:val="left"/>
        <w:rPr>
          <w:color w:val="auto"/>
          <w:highlight w:val="none"/>
        </w:rPr>
      </w:pPr>
      <w:r>
        <w:rPr>
          <w:rFonts w:hint="eastAsia"/>
          <w:color w:val="auto"/>
          <w:highlight w:val="none"/>
        </w:rPr>
        <w:t>★28.废标</w:t>
      </w:r>
    </w:p>
    <w:p>
      <w:pPr>
        <w:adjustRightInd w:val="0"/>
        <w:snapToGrid w:val="0"/>
        <w:ind w:firstLine="420" w:firstLineChars="200"/>
        <w:rPr>
          <w:rFonts w:cs="宋体"/>
          <w:color w:val="auto"/>
          <w:highlight w:val="none"/>
        </w:rPr>
      </w:pPr>
      <w:r>
        <w:rPr>
          <w:rFonts w:hint="eastAsia" w:cs="宋体"/>
          <w:color w:val="auto"/>
          <w:highlight w:val="none"/>
        </w:rPr>
        <w:t>出现下列情形之一，将导致项目</w:t>
      </w:r>
      <w:r>
        <w:rPr>
          <w:rFonts w:hint="eastAsia" w:cs="宋体"/>
          <w:b/>
          <w:bCs/>
          <w:color w:val="auto"/>
          <w:highlight w:val="none"/>
        </w:rPr>
        <w:t>废标</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（1）符合专业条件的供应商或者对招标文件做实质性响应的供应商不足3家；</w:t>
      </w:r>
    </w:p>
    <w:p>
      <w:pPr>
        <w:adjustRightInd w:val="0"/>
        <w:snapToGrid w:val="0"/>
        <w:rPr>
          <w:rFonts w:cs="宋体"/>
          <w:color w:val="auto"/>
          <w:highlight w:val="none"/>
        </w:rPr>
      </w:pPr>
      <w:r>
        <w:rPr>
          <w:rFonts w:hint="eastAsia" w:cs="宋体"/>
          <w:color w:val="auto"/>
          <w:highlight w:val="none"/>
        </w:rPr>
        <w:t>（2）出现影响采购公正的违法、违规行为的；</w:t>
      </w:r>
    </w:p>
    <w:p>
      <w:pPr>
        <w:adjustRightInd w:val="0"/>
        <w:snapToGrid w:val="0"/>
        <w:rPr>
          <w:rFonts w:cs="宋体"/>
          <w:color w:val="auto"/>
          <w:highlight w:val="none"/>
        </w:rPr>
      </w:pPr>
      <w:r>
        <w:rPr>
          <w:rFonts w:hint="eastAsia" w:cs="宋体"/>
          <w:color w:val="auto"/>
          <w:highlight w:val="none"/>
        </w:rPr>
        <w:t>（3）供应商的报价均超过了采购预算或最高限价，采购人不能支付的；</w:t>
      </w:r>
    </w:p>
    <w:p>
      <w:pPr>
        <w:adjustRightInd w:val="0"/>
        <w:snapToGrid w:val="0"/>
        <w:rPr>
          <w:rFonts w:cs="宋体"/>
          <w:color w:val="auto"/>
          <w:highlight w:val="none"/>
        </w:rPr>
      </w:pPr>
      <w:r>
        <w:rPr>
          <w:rFonts w:hint="eastAsia" w:cs="宋体"/>
          <w:color w:val="auto"/>
          <w:highlight w:val="none"/>
        </w:rPr>
        <w:t>（4）因重大变故，采购任务取消的。</w:t>
      </w:r>
    </w:p>
    <w:p>
      <w:pPr>
        <w:pStyle w:val="3"/>
        <w:jc w:val="left"/>
        <w:rPr>
          <w:color w:val="auto"/>
          <w:highlight w:val="none"/>
        </w:rPr>
      </w:pPr>
      <w:r>
        <w:rPr>
          <w:rFonts w:hint="eastAsia"/>
          <w:color w:val="auto"/>
          <w:highlight w:val="none"/>
        </w:rPr>
        <w:t>29.中标候选人的推荐原则及标准</w:t>
      </w:r>
    </w:p>
    <w:p>
      <w:pPr>
        <w:adjustRightInd w:val="0"/>
        <w:snapToGrid w:val="0"/>
        <w:rPr>
          <w:rFonts w:cs="宋体"/>
          <w:color w:val="auto"/>
          <w:highlight w:val="none"/>
        </w:rPr>
      </w:pPr>
      <w:r>
        <w:rPr>
          <w:rFonts w:hint="eastAsia"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cs="宋体"/>
          <w:color w:val="auto"/>
          <w:highlight w:val="none"/>
        </w:rPr>
      </w:pPr>
      <w:r>
        <w:rPr>
          <w:rFonts w:hint="eastAsia"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cs="宋体"/>
          <w:color w:val="auto"/>
          <w:highlight w:val="none"/>
        </w:rPr>
      </w:pPr>
      <w:r>
        <w:rPr>
          <w:rFonts w:hint="eastAsia" w:cs="宋体"/>
          <w:color w:val="auto"/>
          <w:highlight w:val="none"/>
        </w:rPr>
        <w:t>（2）采用综合评分法的，评标结果按评审后得分由高到低顺序排列。得分相同的，按第四章评标办法规定执行。</w:t>
      </w:r>
    </w:p>
    <w:p>
      <w:pPr>
        <w:adjustRightInd w:val="0"/>
        <w:snapToGrid w:val="0"/>
        <w:rPr>
          <w:rFonts w:cs="宋体"/>
          <w:color w:val="auto"/>
          <w:highlight w:val="none"/>
        </w:rPr>
      </w:pPr>
      <w:r>
        <w:rPr>
          <w:rFonts w:hint="eastAsia" w:cs="宋体"/>
          <w:color w:val="auto"/>
          <w:highlight w:val="none"/>
        </w:rPr>
        <w:t>29.2评标委员会将根据评标标准，按供应商须知表29.2款中规定的数量推荐中标候选人。</w:t>
      </w:r>
    </w:p>
    <w:p>
      <w:pPr>
        <w:adjustRightInd w:val="0"/>
        <w:snapToGrid w:val="0"/>
        <w:rPr>
          <w:rFonts w:cs="宋体"/>
          <w:color w:val="auto"/>
          <w:highlight w:val="none"/>
        </w:rPr>
      </w:pPr>
      <w:r>
        <w:rPr>
          <w:rFonts w:hint="eastAsia" w:cs="宋体"/>
          <w:color w:val="auto"/>
          <w:highlight w:val="none"/>
        </w:rPr>
        <w:t>29.3因推荐中标候选人名单产生其他问题，由评标委员会集体研究处理。</w:t>
      </w:r>
    </w:p>
    <w:p>
      <w:pPr>
        <w:pStyle w:val="3"/>
        <w:jc w:val="left"/>
        <w:rPr>
          <w:color w:val="auto"/>
          <w:highlight w:val="none"/>
        </w:rPr>
      </w:pPr>
      <w:r>
        <w:rPr>
          <w:rFonts w:hint="eastAsia"/>
          <w:color w:val="auto"/>
          <w:highlight w:val="none"/>
        </w:rPr>
        <w:t>★30.保密原则</w:t>
      </w:r>
    </w:p>
    <w:p>
      <w:pPr>
        <w:adjustRightInd w:val="0"/>
        <w:snapToGrid w:val="0"/>
        <w:rPr>
          <w:rFonts w:cs="宋体"/>
          <w:color w:val="auto"/>
          <w:highlight w:val="none"/>
        </w:rPr>
      </w:pPr>
      <w:r>
        <w:rPr>
          <w:rFonts w:hint="eastAsia" w:cs="宋体"/>
          <w:color w:val="auto"/>
          <w:highlight w:val="none"/>
        </w:rPr>
        <w:t>30.1 评标将在严格保密的情况下进行。</w:t>
      </w:r>
    </w:p>
    <w:p>
      <w:pPr>
        <w:adjustRightInd w:val="0"/>
        <w:snapToGrid w:val="0"/>
        <w:rPr>
          <w:rFonts w:cs="宋体"/>
          <w:color w:val="auto"/>
          <w:highlight w:val="none"/>
        </w:rPr>
      </w:pPr>
      <w:r>
        <w:rPr>
          <w:rFonts w:hint="eastAsia" w:cs="宋体"/>
          <w:color w:val="auto"/>
          <w:highlight w:val="none"/>
        </w:rPr>
        <w:t>30.2 有关人员应当遵守评标工作纪律，不得泄露评审文件、评标情况和评标过程中获悉的国家秘密、商业秘密。</w:t>
      </w:r>
    </w:p>
    <w:p>
      <w:pPr>
        <w:pStyle w:val="3"/>
        <w:rPr>
          <w:rFonts w:eastAsia="宋体" w:cs="宋体"/>
          <w:color w:val="auto"/>
          <w:highlight w:val="none"/>
        </w:rPr>
      </w:pPr>
      <w:bookmarkStart w:id="59" w:name="_Toc4544_WPSOffice_Level2"/>
      <w:r>
        <w:rPr>
          <w:rFonts w:hint="eastAsia"/>
          <w:color w:val="auto"/>
          <w:highlight w:val="none"/>
        </w:rPr>
        <w:t>七 确定中标</w:t>
      </w:r>
      <w:bookmarkEnd w:id="59"/>
    </w:p>
    <w:p>
      <w:pPr>
        <w:pStyle w:val="3"/>
        <w:jc w:val="left"/>
        <w:rPr>
          <w:color w:val="auto"/>
          <w:highlight w:val="none"/>
        </w:rPr>
      </w:pPr>
      <w:r>
        <w:rPr>
          <w:rFonts w:hint="eastAsia"/>
          <w:color w:val="auto"/>
          <w:highlight w:val="none"/>
        </w:rPr>
        <w:t>31.确定中标人</w:t>
      </w:r>
    </w:p>
    <w:p>
      <w:pPr>
        <w:adjustRightInd w:val="0"/>
        <w:snapToGrid w:val="0"/>
        <w:ind w:firstLine="420" w:firstLineChars="200"/>
        <w:rPr>
          <w:rFonts w:cs="宋体"/>
          <w:color w:val="auto"/>
          <w:highlight w:val="none"/>
        </w:rPr>
      </w:pPr>
      <w:r>
        <w:rPr>
          <w:rFonts w:hint="eastAsia" w:cs="宋体"/>
          <w:color w:val="auto"/>
          <w:highlight w:val="none"/>
        </w:rPr>
        <w:t>由采购人或者采购人委托评标委员会按照供应商须知表31中规定的方式确定中标人。</w:t>
      </w:r>
    </w:p>
    <w:p>
      <w:pPr>
        <w:adjustRightInd w:val="0"/>
        <w:snapToGrid w:val="0"/>
        <w:ind w:firstLine="420" w:firstLineChars="200"/>
        <w:rPr>
          <w:rFonts w:cs="宋体"/>
          <w:color w:val="auto"/>
          <w:highlight w:val="none"/>
        </w:rPr>
      </w:pPr>
      <w:r>
        <w:rPr>
          <w:rFonts w:hint="eastAsia"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3"/>
        <w:jc w:val="left"/>
        <w:rPr>
          <w:color w:val="auto"/>
          <w:highlight w:val="none"/>
        </w:rPr>
      </w:pPr>
      <w:r>
        <w:rPr>
          <w:rFonts w:hint="eastAsia"/>
          <w:color w:val="auto"/>
          <w:highlight w:val="none"/>
        </w:rPr>
        <w:t xml:space="preserve">★32.采购任务取消        </w:t>
      </w:r>
    </w:p>
    <w:p>
      <w:pPr>
        <w:adjustRightInd w:val="0"/>
        <w:snapToGrid w:val="0"/>
        <w:ind w:firstLine="420" w:firstLineChars="200"/>
        <w:rPr>
          <w:rFonts w:cs="宋体"/>
          <w:color w:val="auto"/>
          <w:highlight w:val="none"/>
        </w:rPr>
      </w:pPr>
      <w:r>
        <w:rPr>
          <w:rFonts w:hint="eastAsia" w:cs="宋体"/>
          <w:color w:val="auto"/>
          <w:highlight w:val="none"/>
        </w:rPr>
        <w:t>因重大变故采购任务取消时，采购人有权拒绝任何供应商中标，且对受影响的供应商不承担任何责任。</w:t>
      </w:r>
    </w:p>
    <w:p>
      <w:pPr>
        <w:pStyle w:val="3"/>
        <w:jc w:val="left"/>
        <w:rPr>
          <w:color w:val="auto"/>
          <w:highlight w:val="none"/>
        </w:rPr>
      </w:pPr>
      <w:r>
        <w:rPr>
          <w:rFonts w:hint="eastAsia"/>
          <w:color w:val="auto"/>
          <w:highlight w:val="none"/>
        </w:rPr>
        <w:t>33.中标通知书</w:t>
      </w:r>
    </w:p>
    <w:p>
      <w:pPr>
        <w:adjustRightInd w:val="0"/>
        <w:snapToGrid w:val="0"/>
        <w:rPr>
          <w:rFonts w:cs="宋体"/>
          <w:color w:val="auto"/>
          <w:highlight w:val="none"/>
        </w:rPr>
      </w:pPr>
      <w:r>
        <w:rPr>
          <w:rFonts w:hint="eastAsia"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cs="宋体"/>
          <w:color w:val="auto"/>
          <w:sz w:val="24"/>
          <w:highlight w:val="none"/>
        </w:rPr>
      </w:pPr>
      <w:r>
        <w:rPr>
          <w:rFonts w:hint="eastAsia" w:cs="宋体"/>
          <w:color w:val="auto"/>
          <w:highlight w:val="none"/>
        </w:rPr>
        <w:t>33.2 中标通知书是合同的组成部分。</w:t>
      </w:r>
    </w:p>
    <w:p>
      <w:pPr>
        <w:pStyle w:val="3"/>
        <w:jc w:val="left"/>
        <w:rPr>
          <w:color w:val="auto"/>
          <w:highlight w:val="none"/>
        </w:rPr>
      </w:pPr>
      <w:r>
        <w:rPr>
          <w:rFonts w:hint="eastAsia"/>
          <w:color w:val="auto"/>
          <w:highlight w:val="none"/>
        </w:rPr>
        <w:t>★34.签订合同</w:t>
      </w:r>
    </w:p>
    <w:p>
      <w:pPr>
        <w:adjustRightInd w:val="0"/>
        <w:snapToGrid w:val="0"/>
        <w:rPr>
          <w:rFonts w:cs="宋体"/>
          <w:color w:val="auto"/>
          <w:highlight w:val="none"/>
        </w:rPr>
      </w:pPr>
      <w:r>
        <w:rPr>
          <w:rFonts w:hint="eastAsia" w:cs="宋体"/>
          <w:color w:val="auto"/>
          <w:highlight w:val="none"/>
        </w:rPr>
        <w:t>34.1 中标人应当自发出中标通知书之日起 30 日内，与采购人签订书面合同。</w:t>
      </w:r>
    </w:p>
    <w:p>
      <w:pPr>
        <w:adjustRightInd w:val="0"/>
        <w:snapToGrid w:val="0"/>
        <w:rPr>
          <w:rFonts w:cs="宋体"/>
          <w:color w:val="auto"/>
          <w:highlight w:val="none"/>
        </w:rPr>
      </w:pPr>
      <w:r>
        <w:rPr>
          <w:rFonts w:hint="eastAsia"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cs="宋体"/>
          <w:color w:val="auto"/>
          <w:highlight w:val="none"/>
        </w:rPr>
      </w:pPr>
      <w:r>
        <w:rPr>
          <w:rFonts w:hint="eastAsia" w:cs="宋体"/>
          <w:color w:val="auto"/>
          <w:highlight w:val="none"/>
        </w:rPr>
        <w:t>34.3 中标人拒绝与采购人签订合同的，采购人可以按照评审报告推荐的中标候选人名单排序，确定下一中标候选人为中标人，也可以重新开展政府采购活动。</w:t>
      </w:r>
    </w:p>
    <w:p>
      <w:pPr>
        <w:pStyle w:val="3"/>
        <w:jc w:val="left"/>
        <w:rPr>
          <w:color w:val="auto"/>
          <w:highlight w:val="none"/>
        </w:rPr>
      </w:pPr>
      <w:r>
        <w:rPr>
          <w:rFonts w:hint="eastAsia"/>
          <w:color w:val="auto"/>
          <w:highlight w:val="none"/>
        </w:rPr>
        <w:t>★35.履约保证金</w:t>
      </w:r>
    </w:p>
    <w:p>
      <w:pPr>
        <w:adjustRightInd w:val="0"/>
        <w:snapToGrid w:val="0"/>
        <w:rPr>
          <w:rFonts w:cs="宋体"/>
          <w:color w:val="auto"/>
          <w:highlight w:val="none"/>
        </w:rPr>
      </w:pPr>
      <w:r>
        <w:rPr>
          <w:rFonts w:hint="eastAsia" w:cs="宋体"/>
          <w:color w:val="auto"/>
          <w:highlight w:val="none"/>
        </w:rPr>
        <w:t>35.1 中标人应按照供应商须知表35.1款规定向采购人缴纳履约保证金。</w:t>
      </w:r>
    </w:p>
    <w:p>
      <w:pPr>
        <w:adjustRightInd w:val="0"/>
        <w:snapToGrid w:val="0"/>
        <w:rPr>
          <w:rFonts w:cs="宋体"/>
          <w:color w:val="auto"/>
          <w:highlight w:val="none"/>
        </w:rPr>
      </w:pPr>
      <w:r>
        <w:rPr>
          <w:rFonts w:hint="eastAsia"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3"/>
        <w:jc w:val="left"/>
        <w:rPr>
          <w:color w:val="auto"/>
          <w:highlight w:val="none"/>
        </w:rPr>
      </w:pPr>
      <w:r>
        <w:rPr>
          <w:rFonts w:hint="eastAsia"/>
          <w:color w:val="auto"/>
          <w:highlight w:val="none"/>
        </w:rPr>
        <w:t>★36.采购代理服务费</w:t>
      </w:r>
    </w:p>
    <w:p>
      <w:pPr>
        <w:ind w:firstLine="420" w:firstLineChars="200"/>
        <w:rPr>
          <w:rFonts w:cs="宋体"/>
          <w:color w:val="auto"/>
          <w:highlight w:val="none"/>
        </w:rPr>
      </w:pPr>
      <w:r>
        <w:rPr>
          <w:rFonts w:hint="eastAsia"/>
          <w:color w:val="auto"/>
          <w:highlight w:val="none"/>
        </w:rPr>
        <w:t>中标人须按照投标须知表36款规定，向采购代理机构支付招标代理服务费。</w:t>
      </w:r>
    </w:p>
    <w:p>
      <w:pPr>
        <w:pStyle w:val="3"/>
        <w:jc w:val="left"/>
        <w:rPr>
          <w:color w:val="auto"/>
          <w:highlight w:val="none"/>
        </w:rPr>
      </w:pPr>
      <w:r>
        <w:rPr>
          <w:rFonts w:hint="eastAsia"/>
          <w:color w:val="auto"/>
          <w:highlight w:val="none"/>
        </w:rPr>
        <w:t>37.廉洁自律规定</w:t>
      </w:r>
    </w:p>
    <w:p>
      <w:pPr>
        <w:adjustRightInd w:val="0"/>
        <w:snapToGrid w:val="0"/>
        <w:rPr>
          <w:rFonts w:cs="宋体"/>
          <w:color w:val="auto"/>
          <w:highlight w:val="none"/>
        </w:rPr>
      </w:pPr>
      <w:r>
        <w:rPr>
          <w:rFonts w:hint="eastAsia" w:cs="宋体"/>
          <w:color w:val="auto"/>
          <w:highlight w:val="none"/>
        </w:rPr>
        <w:t>37.1 采购代理机构工作人员不得以不正当手段获取政府采购代理业务，不得与采购人、供应商恶意串通操纵政府采购活动。</w:t>
      </w:r>
    </w:p>
    <w:p>
      <w:pPr>
        <w:adjustRightInd w:val="0"/>
        <w:snapToGrid w:val="0"/>
        <w:rPr>
          <w:rFonts w:cs="宋体"/>
          <w:color w:val="auto"/>
          <w:highlight w:val="none"/>
        </w:rPr>
      </w:pPr>
      <w:r>
        <w:rPr>
          <w:rFonts w:hint="eastAsia"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3"/>
        <w:jc w:val="left"/>
        <w:rPr>
          <w:color w:val="auto"/>
          <w:highlight w:val="none"/>
        </w:rPr>
      </w:pPr>
      <w:r>
        <w:rPr>
          <w:rFonts w:hint="eastAsia"/>
          <w:color w:val="auto"/>
          <w:highlight w:val="none"/>
        </w:rPr>
        <w:t>38.人员回避</w:t>
      </w:r>
    </w:p>
    <w:p>
      <w:pPr>
        <w:adjustRightInd w:val="0"/>
        <w:snapToGrid w:val="0"/>
        <w:ind w:firstLine="420" w:firstLineChars="200"/>
        <w:rPr>
          <w:rFonts w:cs="宋体"/>
          <w:color w:val="auto"/>
          <w:sz w:val="24"/>
          <w:highlight w:val="none"/>
        </w:rPr>
      </w:pPr>
      <w:r>
        <w:rPr>
          <w:rFonts w:hint="eastAsia" w:cs="宋体"/>
          <w:color w:val="auto"/>
          <w:highlight w:val="none"/>
        </w:rPr>
        <w:t>供应商认为采购人及其相关人员有法律法规所列与其他供应商有利害关系的，可以向采购人或采购代理机构书面提出回避申请，并说明理由。</w:t>
      </w:r>
    </w:p>
    <w:p>
      <w:pPr>
        <w:pStyle w:val="3"/>
        <w:jc w:val="left"/>
        <w:rPr>
          <w:color w:val="auto"/>
          <w:highlight w:val="none"/>
        </w:rPr>
      </w:pPr>
      <w:r>
        <w:rPr>
          <w:rFonts w:hint="eastAsia"/>
          <w:color w:val="auto"/>
          <w:highlight w:val="none"/>
        </w:rPr>
        <w:t>39.质疑与接收</w:t>
      </w:r>
    </w:p>
    <w:p>
      <w:pPr>
        <w:adjustRightInd w:val="0"/>
        <w:snapToGrid w:val="0"/>
        <w:rPr>
          <w:rFonts w:cs="宋体"/>
          <w:color w:val="auto"/>
          <w:highlight w:val="none"/>
        </w:rPr>
      </w:pPr>
      <w:r>
        <w:rPr>
          <w:rFonts w:hint="eastAsia"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cs="宋体"/>
          <w:color w:val="auto"/>
          <w:highlight w:val="none"/>
        </w:rPr>
      </w:pPr>
      <w:r>
        <w:rPr>
          <w:rFonts w:hint="eastAsia" w:cs="宋体"/>
          <w:color w:val="auto"/>
          <w:highlight w:val="none"/>
        </w:rPr>
        <w:t>39.2 质疑供应商应按照财政部门制定的《政府采购质疑函范本》格式（</w:t>
      </w:r>
      <w:bookmarkStart w:id="60" w:name="_Hlk77150539"/>
      <w:r>
        <w:rPr>
          <w:rFonts w:hint="eastAsia" w:cs="宋体"/>
          <w:color w:val="auto"/>
          <w:highlight w:val="none"/>
        </w:rPr>
        <w:t>详见中国政府采购网或</w:t>
      </w:r>
      <w:bookmarkEnd w:id="60"/>
      <w:r>
        <w:rPr>
          <w:rFonts w:hint="eastAsia"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cs="宋体"/>
          <w:color w:val="auto"/>
          <w:highlight w:val="none"/>
        </w:rPr>
      </w:pPr>
      <w:r>
        <w:rPr>
          <w:rFonts w:hint="eastAsia"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cs="宋体"/>
          <w:color w:val="auto"/>
          <w:highlight w:val="none"/>
        </w:rPr>
      </w:pPr>
      <w:r>
        <w:rPr>
          <w:rFonts w:hint="eastAsia" w:cs="宋体"/>
          <w:color w:val="auto"/>
          <w:highlight w:val="none"/>
        </w:rPr>
        <w:t>39.3 采购代理机构质疑函接收部门、联系电话和通讯地址, 见供应商须知表39.3款。</w:t>
      </w:r>
    </w:p>
    <w:p>
      <w:pPr>
        <w:pStyle w:val="3"/>
        <w:jc w:val="left"/>
        <w:rPr>
          <w:color w:val="auto"/>
          <w:highlight w:val="none"/>
        </w:rPr>
      </w:pPr>
      <w:r>
        <w:rPr>
          <w:rFonts w:hint="eastAsia"/>
          <w:color w:val="auto"/>
          <w:highlight w:val="none"/>
        </w:rPr>
        <w:t>40.履约验收</w:t>
      </w:r>
    </w:p>
    <w:p>
      <w:pPr>
        <w:adjustRightInd w:val="0"/>
        <w:snapToGrid w:val="0"/>
        <w:ind w:firstLine="420"/>
        <w:rPr>
          <w:rFonts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cs="宋体"/>
          <w:color w:val="auto"/>
          <w:highlight w:val="none"/>
        </w:rPr>
        <w:t>本项目采购人及其委托的采购代理机构将严格按照政府采购相关法律法规以及</w:t>
      </w:r>
      <w:r>
        <w:rPr>
          <w:rFonts w:hint="eastAsia" w:cs="宋体"/>
          <w:color w:val="auto"/>
          <w:highlight w:val="none"/>
          <w:u w:val="single"/>
        </w:rPr>
        <w:t>《黑龙江省政府采购履约验收管理办法》</w:t>
      </w:r>
      <w:r>
        <w:rPr>
          <w:rFonts w:hint="eastAsia" w:cs="宋体"/>
          <w:color w:val="auto"/>
          <w:highlight w:val="none"/>
        </w:rPr>
        <w:t>要求进行验收。</w:t>
      </w:r>
    </w:p>
    <w:p>
      <w:pPr>
        <w:pStyle w:val="2"/>
        <w:rPr>
          <w:color w:val="auto"/>
          <w:highlight w:val="none"/>
        </w:rPr>
      </w:pPr>
      <w:bookmarkStart w:id="61" w:name="_Toc17725_WPSOffice_Level1"/>
      <w:bookmarkStart w:id="62" w:name="_Toc29813"/>
      <w:bookmarkStart w:id="63" w:name="_Toc78902192"/>
      <w:r>
        <w:rPr>
          <w:rFonts w:hint="eastAsia"/>
          <w:color w:val="auto"/>
          <w:highlight w:val="none"/>
        </w:rPr>
        <w:t>第二章 投标文件内容及格式</w:t>
      </w:r>
      <w:bookmarkEnd w:id="61"/>
      <w:bookmarkEnd w:id="62"/>
      <w:bookmarkEnd w:id="63"/>
    </w:p>
    <w:p>
      <w:pPr>
        <w:pStyle w:val="4"/>
        <w:rPr>
          <w:color w:val="auto"/>
          <w:highlight w:val="none"/>
        </w:rPr>
      </w:pPr>
      <w:bookmarkStart w:id="64" w:name="投标文件内容及格式：Block"/>
      <w:bookmarkEnd w:id="64"/>
      <w:bookmarkStart w:id="65" w:name="sys_投标文件内容及格式：Block"/>
      <w:bookmarkEnd w:id="65"/>
      <w:bookmarkStart w:id="66" w:name="_Toc2481_WPSOffice_Level2"/>
      <w:bookmarkStart w:id="67" w:name="_Toc1538_WPSOffice_Level2"/>
      <w:r>
        <w:rPr>
          <w:rFonts w:hint="eastAsia"/>
          <w:color w:val="auto"/>
          <w:highlight w:val="none"/>
        </w:rPr>
        <w:t>一、投标文件、电子文档的外封面、封口、封皮及目录</w:t>
      </w:r>
      <w:bookmarkEnd w:id="66"/>
      <w:bookmarkEnd w:id="67"/>
    </w:p>
    <w:tbl>
      <w:tblPr>
        <w:tblStyle w:val="21"/>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0" w:hRule="atLeast"/>
          <w:jc w:val="center"/>
        </w:trPr>
        <w:tc>
          <w:tcPr>
            <w:tcW w:w="404" w:type="pct"/>
            <w:vAlign w:val="center"/>
          </w:tcPr>
          <w:p>
            <w:pPr>
              <w:spacing w:line="300" w:lineRule="exact"/>
              <w:jc w:val="center"/>
              <w:rPr>
                <w:color w:val="auto"/>
                <w:highlight w:val="none"/>
              </w:rPr>
            </w:pPr>
            <w:r>
              <w:rPr>
                <w:rFonts w:hint="eastAsia"/>
                <w:color w:val="auto"/>
                <w:highlight w:val="none"/>
              </w:rPr>
              <w:t>序号</w:t>
            </w:r>
          </w:p>
        </w:tc>
        <w:tc>
          <w:tcPr>
            <w:tcW w:w="4066" w:type="pct"/>
            <w:vAlign w:val="center"/>
          </w:tcPr>
          <w:p>
            <w:pPr>
              <w:spacing w:line="300" w:lineRule="exact"/>
              <w:jc w:val="center"/>
              <w:rPr>
                <w:color w:val="auto"/>
                <w:highlight w:val="none"/>
              </w:rPr>
            </w:pPr>
            <w:r>
              <w:rPr>
                <w:rFonts w:hint="eastAsia"/>
                <w:color w:val="auto"/>
                <w:highlight w:val="none"/>
              </w:rPr>
              <w:t>内容</w:t>
            </w:r>
          </w:p>
        </w:tc>
        <w:tc>
          <w:tcPr>
            <w:tcW w:w="529" w:type="pct"/>
            <w:vAlign w:val="center"/>
          </w:tcPr>
          <w:p>
            <w:pPr>
              <w:spacing w:line="300" w:lineRule="exact"/>
              <w:jc w:val="center"/>
              <w:rPr>
                <w:color w:val="auto"/>
                <w:highlight w:val="none"/>
              </w:rPr>
            </w:pPr>
            <w:r>
              <w:rPr>
                <w:rFonts w:hint="eastAsia"/>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04" w:type="pct"/>
            <w:vAlign w:val="center"/>
          </w:tcPr>
          <w:p>
            <w:pPr>
              <w:spacing w:line="300" w:lineRule="exact"/>
              <w:jc w:val="center"/>
              <w:rPr>
                <w:color w:val="auto"/>
                <w:highlight w:val="none"/>
              </w:rPr>
            </w:pPr>
            <w:r>
              <w:rPr>
                <w:rFonts w:hint="eastAsia"/>
                <w:color w:val="auto"/>
                <w:highlight w:val="none"/>
              </w:rPr>
              <w:t>1</w:t>
            </w:r>
          </w:p>
        </w:tc>
        <w:tc>
          <w:tcPr>
            <w:tcW w:w="4066" w:type="pct"/>
            <w:vAlign w:val="center"/>
          </w:tcPr>
          <w:p>
            <w:pPr>
              <w:spacing w:line="300" w:lineRule="exact"/>
              <w:rPr>
                <w:color w:val="auto"/>
                <w:highlight w:val="none"/>
              </w:rPr>
            </w:pPr>
            <w:r>
              <w:rPr>
                <w:rFonts w:hint="eastAsia"/>
                <w:color w:val="auto"/>
                <w:highlight w:val="none"/>
              </w:rPr>
              <w:t>投标文件、电子文档的外封面及封口</w:t>
            </w:r>
          </w:p>
        </w:tc>
        <w:tc>
          <w:tcPr>
            <w:tcW w:w="529" w:type="pct"/>
            <w:vAlign w:val="center"/>
          </w:tcPr>
          <w:p>
            <w:pPr>
              <w:spacing w:line="300" w:lineRule="exact"/>
              <w:jc w:val="center"/>
              <w:rPr>
                <w:color w:val="auto"/>
                <w:highlight w:val="none"/>
              </w:rPr>
            </w:pPr>
            <w:r>
              <w:rPr>
                <w:rFonts w:hint="eastAsia"/>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pPr>
              <w:spacing w:line="300" w:lineRule="exact"/>
              <w:jc w:val="center"/>
              <w:rPr>
                <w:color w:val="auto"/>
                <w:highlight w:val="none"/>
              </w:rPr>
            </w:pPr>
            <w:r>
              <w:rPr>
                <w:rFonts w:hint="eastAsia"/>
                <w:color w:val="auto"/>
                <w:highlight w:val="none"/>
              </w:rPr>
              <w:t>2</w:t>
            </w:r>
          </w:p>
        </w:tc>
        <w:tc>
          <w:tcPr>
            <w:tcW w:w="4066" w:type="pct"/>
            <w:vAlign w:val="center"/>
          </w:tcPr>
          <w:p>
            <w:pPr>
              <w:spacing w:line="300" w:lineRule="exact"/>
              <w:rPr>
                <w:color w:val="auto"/>
                <w:highlight w:val="none"/>
              </w:rPr>
            </w:pPr>
            <w:r>
              <w:rPr>
                <w:rFonts w:hint="eastAsia"/>
                <w:color w:val="auto"/>
                <w:highlight w:val="none"/>
              </w:rPr>
              <w:t>投标文件的封皮</w:t>
            </w:r>
          </w:p>
        </w:tc>
        <w:tc>
          <w:tcPr>
            <w:tcW w:w="529" w:type="pct"/>
            <w:vAlign w:val="center"/>
          </w:tcPr>
          <w:p>
            <w:pPr>
              <w:spacing w:line="300" w:lineRule="exact"/>
              <w:jc w:val="center"/>
              <w:rPr>
                <w:color w:val="auto"/>
                <w:highlight w:val="none"/>
              </w:rPr>
            </w:pPr>
            <w:r>
              <w:rPr>
                <w:rFonts w:hint="eastAsia"/>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pPr>
              <w:spacing w:line="300" w:lineRule="exact"/>
              <w:jc w:val="center"/>
              <w:rPr>
                <w:color w:val="auto"/>
                <w:highlight w:val="none"/>
              </w:rPr>
            </w:pPr>
            <w:r>
              <w:rPr>
                <w:rFonts w:hint="eastAsia"/>
                <w:color w:val="auto"/>
                <w:highlight w:val="none"/>
              </w:rPr>
              <w:t>3</w:t>
            </w:r>
          </w:p>
        </w:tc>
        <w:tc>
          <w:tcPr>
            <w:tcW w:w="4066" w:type="pct"/>
            <w:vAlign w:val="center"/>
          </w:tcPr>
          <w:p>
            <w:pPr>
              <w:spacing w:line="300" w:lineRule="exact"/>
              <w:rPr>
                <w:color w:val="auto"/>
                <w:highlight w:val="none"/>
              </w:rPr>
            </w:pPr>
            <w:r>
              <w:rPr>
                <w:rFonts w:hint="eastAsia"/>
                <w:color w:val="auto"/>
                <w:highlight w:val="none"/>
              </w:rPr>
              <w:t>投标文件的目录</w:t>
            </w:r>
          </w:p>
        </w:tc>
        <w:tc>
          <w:tcPr>
            <w:tcW w:w="529" w:type="pct"/>
            <w:vAlign w:val="center"/>
          </w:tcPr>
          <w:p>
            <w:pPr>
              <w:spacing w:line="300" w:lineRule="exact"/>
              <w:jc w:val="center"/>
              <w:rPr>
                <w:color w:val="auto"/>
                <w:highlight w:val="none"/>
              </w:rPr>
            </w:pPr>
            <w:r>
              <w:rPr>
                <w:rFonts w:hint="eastAsia"/>
                <w:color w:val="auto"/>
                <w:highlight w:val="none"/>
              </w:rPr>
              <w:t>3</w:t>
            </w:r>
          </w:p>
        </w:tc>
      </w:tr>
    </w:tbl>
    <w:p>
      <w:pPr>
        <w:pStyle w:val="4"/>
        <w:rPr>
          <w:rFonts w:eastAsia="宋体" w:cs="宋体"/>
          <w:b/>
          <w:color w:val="auto"/>
          <w:highlight w:val="none"/>
        </w:rPr>
      </w:pPr>
      <w:bookmarkStart w:id="68" w:name="_Toc1266_WPSOffice_Level2"/>
      <w:bookmarkStart w:id="69" w:name="_Toc31052_WPSOffice_Level2"/>
      <w:r>
        <w:rPr>
          <w:rFonts w:hint="eastAsia"/>
          <w:color w:val="auto"/>
          <w:highlight w:val="none"/>
        </w:rPr>
        <w:t>二、资格证明材料</w:t>
      </w:r>
      <w:bookmarkEnd w:id="68"/>
      <w:bookmarkEnd w:id="69"/>
      <w:r>
        <w:rPr>
          <w:rFonts w:hint="eastAsia"/>
          <w:color w:val="auto"/>
          <w:highlight w:val="none"/>
        </w:rPr>
        <w:t>（有一项不符合要求，不能进入下一阶段评审）</w:t>
      </w:r>
    </w:p>
    <w:tbl>
      <w:tblPr>
        <w:tblStyle w:val="21"/>
        <w:tblW w:w="4997" w:type="pct"/>
        <w:jc w:val="center"/>
        <w:tblLayout w:type="autofit"/>
        <w:tblCellMar>
          <w:top w:w="0" w:type="dxa"/>
          <w:left w:w="0" w:type="dxa"/>
          <w:bottom w:w="0" w:type="dxa"/>
          <w:right w:w="0" w:type="dxa"/>
        </w:tblCellMar>
      </w:tblPr>
      <w:tblGrid>
        <w:gridCol w:w="737"/>
        <w:gridCol w:w="7711"/>
        <w:gridCol w:w="834"/>
      </w:tblGrid>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bookmarkStart w:id="70" w:name="资格性证明材料：Document"/>
            <w:bookmarkStart w:id="71" w:name="sys_资格性证明材料：Document"/>
            <w:r>
              <w:rPr>
                <w:rFonts w:hint="eastAsia"/>
                <w:color w:val="auto"/>
                <w:highlight w:val="none"/>
              </w:rPr>
              <w:t>序号</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资格证明材料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格式</w:t>
            </w:r>
          </w:p>
        </w:tc>
      </w:tr>
      <w:tr>
        <w:tblPrEx>
          <w:tblCellMar>
            <w:top w:w="0" w:type="dxa"/>
            <w:left w:w="0" w:type="dxa"/>
            <w:bottom w:w="0" w:type="dxa"/>
            <w:right w:w="0" w:type="dxa"/>
          </w:tblCellMar>
        </w:tblPrEx>
        <w:trPr>
          <w:trHeight w:val="113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营业执照：</w:t>
            </w:r>
          </w:p>
          <w:p>
            <w:pPr>
              <w:spacing w:line="300" w:lineRule="exact"/>
              <w:rPr>
                <w:color w:val="auto"/>
                <w:highlight w:val="none"/>
              </w:rPr>
            </w:pPr>
            <w:r>
              <w:rPr>
                <w:rFonts w:hint="eastAsia"/>
                <w:color w:val="auto"/>
                <w:highlight w:val="none"/>
              </w:rPr>
              <w:t>1若为企业法人：提供“统一社会信用代码营业执照”；</w:t>
            </w:r>
          </w:p>
          <w:p>
            <w:pPr>
              <w:spacing w:line="300" w:lineRule="exact"/>
              <w:rPr>
                <w:color w:val="auto"/>
                <w:highlight w:val="none"/>
              </w:rPr>
            </w:pPr>
            <w:r>
              <w:rPr>
                <w:rFonts w:hint="eastAsia"/>
                <w:color w:val="auto"/>
                <w:highlight w:val="none"/>
              </w:rPr>
              <w:t>2若为事业法人：提供“事业单位法人证书”；</w:t>
            </w:r>
          </w:p>
          <w:p>
            <w:pPr>
              <w:spacing w:line="300" w:lineRule="exact"/>
              <w:rPr>
                <w:color w:val="auto"/>
                <w:highlight w:val="none"/>
              </w:rPr>
            </w:pPr>
            <w:r>
              <w:rPr>
                <w:rFonts w:hint="eastAsia"/>
                <w:color w:val="auto"/>
                <w:highlight w:val="none"/>
              </w:rPr>
              <w:t>3若为其他组织：提供“对应主管部门颁发的准许执业证明文件或营业执照”；</w:t>
            </w:r>
          </w:p>
          <w:p>
            <w:pPr>
              <w:spacing w:line="300" w:lineRule="exact"/>
              <w:rPr>
                <w:color w:val="auto"/>
                <w:highlight w:val="none"/>
              </w:rPr>
            </w:pPr>
            <w:r>
              <w:rPr>
                <w:rFonts w:hint="eastAsia"/>
                <w:color w:val="auto"/>
                <w:highlight w:val="none"/>
              </w:rPr>
              <w:t>4若为个体工商户：提交“统一社会信用代码的营业执照”；</w:t>
            </w:r>
          </w:p>
          <w:p>
            <w:pPr>
              <w:spacing w:line="300" w:lineRule="exact"/>
              <w:rPr>
                <w:color w:val="auto"/>
                <w:highlight w:val="none"/>
              </w:rPr>
            </w:pPr>
            <w:r>
              <w:rPr>
                <w:rFonts w:hint="eastAsia"/>
                <w:color w:val="auto"/>
                <w:highlight w:val="none"/>
              </w:rPr>
              <w:t>5若为自然人：提供“身份证明材料”。以上均提供复印件联合体各方均需提供上述证明（如适用）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2</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法定代表人（单位负责人）身份证的复印件及授权代表身份证的复印件。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color w:val="auto"/>
                <w:highlight w:val="none"/>
              </w:rPr>
              <w:t>4</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3</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供应商为法人单位时提供“法定代表人授权书”，供应商为其他组织时提供“单位负责人授权书”，供应商为自然人时提供“自然人身份证明材料”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5</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4</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具有良好的商业信誉和健全的财务会计制度的证明文件：提供202</w:t>
            </w:r>
            <w:r>
              <w:rPr>
                <w:rFonts w:hint="eastAsia"/>
                <w:color w:val="auto"/>
                <w:highlight w:val="none"/>
                <w:lang w:val="en-US" w:eastAsia="zh-CN"/>
              </w:rPr>
              <w:t>2</w:t>
            </w:r>
            <w:r>
              <w:rPr>
                <w:rFonts w:hint="eastAsia"/>
                <w:color w:val="auto"/>
                <w:highlight w:val="none"/>
              </w:rPr>
              <w:t>年经审计的财务审计报告复印件或者本项目递交投标文件截止时间前30日内供应商基本开户银行出具的资信证明复印件；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5</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评标当日之前一年内任一个月的依法缴纳税收的缴款凭据复印件</w:t>
            </w:r>
          </w:p>
          <w:p>
            <w:pPr>
              <w:spacing w:line="300" w:lineRule="exact"/>
              <w:rPr>
                <w:color w:val="auto"/>
                <w:highlight w:val="none"/>
              </w:rPr>
            </w:pPr>
            <w:r>
              <w:rPr>
                <w:rFonts w:hint="eastAsia"/>
                <w:color w:val="auto"/>
                <w:highlight w:val="none"/>
              </w:rPr>
              <w:t>（注：依法免税的供应商，应提供相关证明材料，包括相关法规要求原文及加盖公章的情况说明）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6</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评标当日之前一年内任一个月的依法缴纳社会保障资金</w:t>
            </w:r>
            <w:r>
              <w:rPr>
                <w:color w:val="auto"/>
                <w:highlight w:val="none"/>
              </w:rPr>
              <w:t>的</w:t>
            </w:r>
            <w:r>
              <w:rPr>
                <w:rFonts w:hint="eastAsia"/>
                <w:color w:val="auto"/>
                <w:highlight w:val="none"/>
              </w:rPr>
              <w:t>缴款凭据复印件</w:t>
            </w:r>
          </w:p>
          <w:p>
            <w:pPr>
              <w:spacing w:line="300" w:lineRule="exact"/>
              <w:rPr>
                <w:color w:val="auto"/>
                <w:highlight w:val="none"/>
              </w:rPr>
            </w:pPr>
            <w:r>
              <w:rPr>
                <w:rFonts w:hint="eastAsia"/>
                <w:color w:val="auto"/>
                <w:highlight w:val="none"/>
              </w:rPr>
              <w:t>（注：依法不需要缴纳社会保障资金的供应商，应提供相关证明材料，包括相关法规要求原文及加盖公章的情况说明）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6</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7</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9</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联合体协议书（如适用）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8</w:t>
            </w:r>
          </w:p>
        </w:tc>
      </w:tr>
      <w:tr>
        <w:tblPrEx>
          <w:tblCellMar>
            <w:top w:w="0" w:type="dxa"/>
            <w:left w:w="0" w:type="dxa"/>
            <w:bottom w:w="0" w:type="dxa"/>
            <w:right w:w="0" w:type="dxa"/>
          </w:tblCellMar>
        </w:tblPrEx>
        <w:trPr>
          <w:trHeight w:val="9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10</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default" w:eastAsia="宋体"/>
                <w:color w:val="auto"/>
                <w:highlight w:val="none"/>
                <w:lang w:val="en-US" w:eastAsia="zh-CN"/>
              </w:rPr>
            </w:pPr>
            <w:r>
              <w:rPr>
                <w:rFonts w:hint="eastAsia"/>
                <w:color w:val="auto"/>
                <w:highlight w:val="none"/>
              </w:rPr>
              <w:t>其它资格证明文件（如适用，按供应商须知表1.3.4要求描述）</w:t>
            </w:r>
            <w:r>
              <w:rPr>
                <w:rFonts w:hint="eastAsia"/>
                <w:color w:val="auto"/>
                <w:highlight w:val="none"/>
                <w:lang w:eastAsia="zh-CN"/>
              </w:rPr>
              <w:t>：</w:t>
            </w:r>
            <w:r>
              <w:rPr>
                <w:rFonts w:hint="eastAsia"/>
                <w:color w:val="auto"/>
                <w:highlight w:val="none"/>
                <w:lang w:val="en-US" w:eastAsia="zh-CN"/>
              </w:rPr>
              <w:t>中小企业声明函格式详见格式15</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CellMar>
            <w:top w:w="0" w:type="dxa"/>
            <w:left w:w="0" w:type="dxa"/>
            <w:bottom w:w="0" w:type="dxa"/>
            <w:right w:w="0" w:type="dxa"/>
          </w:tblCellMar>
        </w:tblPrEx>
        <w:trPr>
          <w:trHeight w:val="699"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7</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联合体的其它资格证明文件（如适用，按供应商须知表1.4.8要求描述）</w:t>
            </w:r>
          </w:p>
          <w:p>
            <w:pPr>
              <w:spacing w:line="300" w:lineRule="exact"/>
              <w:rPr>
                <w:color w:val="auto"/>
                <w:highlight w:val="none"/>
              </w:rPr>
            </w:pPr>
            <w:r>
              <w:rPr>
                <w:rFonts w:hint="eastAsia"/>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bl>
    <w:p>
      <w:pPr>
        <w:pStyle w:val="4"/>
        <w:rPr>
          <w:rFonts w:eastAsia="宋体" w:cs="宋体"/>
          <w:b/>
          <w:color w:val="auto"/>
          <w:highlight w:val="none"/>
        </w:rPr>
      </w:pPr>
      <w:bookmarkStart w:id="72" w:name="_Toc25206_WPSOffice_Level2"/>
      <w:bookmarkStart w:id="73" w:name="_Toc22359_WPSOffice_Level2"/>
      <w:r>
        <w:rPr>
          <w:rFonts w:hint="eastAsia"/>
          <w:color w:val="auto"/>
          <w:highlight w:val="none"/>
        </w:rPr>
        <w:t>三、符合性证明材料</w:t>
      </w:r>
      <w:bookmarkEnd w:id="72"/>
      <w:bookmarkEnd w:id="73"/>
      <w:r>
        <w:rPr>
          <w:rFonts w:hint="eastAsia"/>
          <w:color w:val="auto"/>
          <w:highlight w:val="none"/>
        </w:rPr>
        <w:t>（有一项不符合要求，不能进入下一阶段评审）</w:t>
      </w:r>
    </w:p>
    <w:bookmarkEnd w:id="70"/>
    <w:bookmarkEnd w:id="71"/>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color w:val="auto"/>
                <w:highlight w:val="none"/>
              </w:rPr>
            </w:pPr>
            <w:r>
              <w:rPr>
                <w:rFonts w:hint="eastAsia"/>
                <w:color w:val="auto"/>
                <w:highlight w:val="none"/>
              </w:rPr>
              <w:t>序号</w:t>
            </w:r>
          </w:p>
        </w:tc>
        <w:tc>
          <w:tcPr>
            <w:tcW w:w="6864" w:type="dxa"/>
            <w:vAlign w:val="center"/>
          </w:tcPr>
          <w:p>
            <w:pPr>
              <w:spacing w:line="300" w:lineRule="exact"/>
              <w:jc w:val="center"/>
              <w:rPr>
                <w:color w:val="auto"/>
                <w:highlight w:val="none"/>
              </w:rPr>
            </w:pPr>
            <w:r>
              <w:rPr>
                <w:rFonts w:hint="eastAsia"/>
                <w:color w:val="auto"/>
                <w:highlight w:val="none"/>
              </w:rPr>
              <w:t>符合性证明材料</w:t>
            </w:r>
          </w:p>
        </w:tc>
        <w:tc>
          <w:tcPr>
            <w:tcW w:w="1100" w:type="dxa"/>
            <w:vAlign w:val="center"/>
          </w:tcPr>
          <w:p>
            <w:pPr>
              <w:spacing w:line="300" w:lineRule="exact"/>
              <w:jc w:val="center"/>
              <w:rPr>
                <w:color w:val="auto"/>
                <w:highlight w:val="none"/>
              </w:rPr>
            </w:pPr>
            <w:r>
              <w:rPr>
                <w:rFonts w:hint="eastAsia"/>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1</w:t>
            </w:r>
          </w:p>
        </w:tc>
        <w:tc>
          <w:tcPr>
            <w:tcW w:w="6864" w:type="dxa"/>
            <w:vAlign w:val="center"/>
          </w:tcPr>
          <w:p>
            <w:pPr>
              <w:spacing w:line="300" w:lineRule="exact"/>
              <w:rPr>
                <w:color w:val="auto"/>
                <w:highlight w:val="none"/>
              </w:rPr>
            </w:pPr>
            <w:r>
              <w:rPr>
                <w:rFonts w:hint="eastAsia"/>
                <w:color w:val="auto"/>
                <w:highlight w:val="none"/>
              </w:rPr>
              <w:t>投标函</w:t>
            </w:r>
          </w:p>
        </w:tc>
        <w:tc>
          <w:tcPr>
            <w:tcW w:w="1100" w:type="dxa"/>
            <w:vAlign w:val="center"/>
          </w:tcPr>
          <w:p>
            <w:pPr>
              <w:spacing w:line="300" w:lineRule="exact"/>
              <w:jc w:val="center"/>
              <w:rPr>
                <w:color w:val="auto"/>
                <w:highlight w:val="none"/>
              </w:rPr>
            </w:pPr>
            <w:r>
              <w:rPr>
                <w:rFonts w:hint="eastAsia"/>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2</w:t>
            </w:r>
          </w:p>
        </w:tc>
        <w:tc>
          <w:tcPr>
            <w:tcW w:w="6864" w:type="dxa"/>
            <w:vAlign w:val="center"/>
          </w:tcPr>
          <w:p>
            <w:pPr>
              <w:spacing w:line="300" w:lineRule="exact"/>
              <w:rPr>
                <w:color w:val="auto"/>
                <w:highlight w:val="none"/>
              </w:rPr>
            </w:pPr>
            <w:r>
              <w:rPr>
                <w:rFonts w:hint="eastAsia"/>
                <w:color w:val="auto"/>
                <w:highlight w:val="none"/>
              </w:rPr>
              <w:t>递交投标保证金证明材料复印件（以保函形式递交的保证金，正本应放入保函原件）</w:t>
            </w:r>
          </w:p>
        </w:tc>
        <w:tc>
          <w:tcPr>
            <w:tcW w:w="1100"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3</w:t>
            </w:r>
          </w:p>
        </w:tc>
        <w:tc>
          <w:tcPr>
            <w:tcW w:w="6864" w:type="dxa"/>
            <w:vAlign w:val="center"/>
          </w:tcPr>
          <w:p>
            <w:pPr>
              <w:spacing w:line="300" w:lineRule="exact"/>
              <w:rPr>
                <w:color w:val="auto"/>
                <w:highlight w:val="none"/>
              </w:rPr>
            </w:pPr>
            <w:r>
              <w:rPr>
                <w:rFonts w:hint="eastAsia"/>
                <w:color w:val="auto"/>
                <w:highlight w:val="none"/>
              </w:rPr>
              <w:t>开标一览表</w:t>
            </w:r>
          </w:p>
        </w:tc>
        <w:tc>
          <w:tcPr>
            <w:tcW w:w="1100" w:type="dxa"/>
            <w:vAlign w:val="center"/>
          </w:tcPr>
          <w:p>
            <w:pPr>
              <w:spacing w:line="300" w:lineRule="exact"/>
              <w:jc w:val="center"/>
              <w:rPr>
                <w:color w:val="auto"/>
                <w:highlight w:val="none"/>
              </w:rPr>
            </w:pPr>
            <w:r>
              <w:rPr>
                <w:rFonts w:hint="eastAsia"/>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4</w:t>
            </w:r>
          </w:p>
        </w:tc>
        <w:tc>
          <w:tcPr>
            <w:tcW w:w="6864" w:type="dxa"/>
            <w:vAlign w:val="center"/>
          </w:tcPr>
          <w:p>
            <w:pPr>
              <w:spacing w:line="300" w:lineRule="exact"/>
              <w:rPr>
                <w:color w:val="auto"/>
                <w:highlight w:val="none"/>
              </w:rPr>
            </w:pPr>
            <w:r>
              <w:rPr>
                <w:rFonts w:hint="eastAsia"/>
                <w:color w:val="auto"/>
                <w:highlight w:val="none"/>
              </w:rPr>
              <w:t>服务价格明细表</w:t>
            </w:r>
          </w:p>
        </w:tc>
        <w:tc>
          <w:tcPr>
            <w:tcW w:w="1100" w:type="dxa"/>
            <w:vAlign w:val="center"/>
          </w:tcPr>
          <w:p>
            <w:pPr>
              <w:spacing w:line="300" w:lineRule="exact"/>
              <w:jc w:val="center"/>
              <w:rPr>
                <w:color w:val="auto"/>
                <w:highlight w:val="none"/>
              </w:rPr>
            </w:pPr>
            <w:r>
              <w:rPr>
                <w:rFonts w:hint="eastAsia"/>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5</w:t>
            </w:r>
          </w:p>
        </w:tc>
        <w:tc>
          <w:tcPr>
            <w:tcW w:w="6864" w:type="dxa"/>
            <w:vAlign w:val="center"/>
          </w:tcPr>
          <w:p>
            <w:pPr>
              <w:spacing w:line="300" w:lineRule="exact"/>
              <w:rPr>
                <w:color w:val="auto"/>
                <w:highlight w:val="none"/>
              </w:rPr>
            </w:pPr>
            <w:r>
              <w:rPr>
                <w:rFonts w:hint="eastAsia"/>
                <w:color w:val="auto"/>
                <w:highlight w:val="none"/>
              </w:rPr>
              <w:t>服务需求响应表</w:t>
            </w:r>
          </w:p>
        </w:tc>
        <w:tc>
          <w:tcPr>
            <w:tcW w:w="1100" w:type="dxa"/>
            <w:vAlign w:val="center"/>
          </w:tcPr>
          <w:p>
            <w:pPr>
              <w:spacing w:line="300" w:lineRule="exact"/>
              <w:jc w:val="center"/>
              <w:rPr>
                <w:color w:val="auto"/>
                <w:highlight w:val="none"/>
              </w:rPr>
            </w:pPr>
            <w:r>
              <w:rPr>
                <w:color w:val="auto"/>
                <w:highlight w:val="none"/>
              </w:rPr>
              <w:t>1</w:t>
            </w:r>
            <w:r>
              <w:rPr>
                <w:rFonts w:hint="eastAsia"/>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6</w:t>
            </w:r>
          </w:p>
        </w:tc>
        <w:tc>
          <w:tcPr>
            <w:tcW w:w="6864" w:type="dxa"/>
            <w:vAlign w:val="center"/>
          </w:tcPr>
          <w:p>
            <w:pPr>
              <w:spacing w:line="300" w:lineRule="exact"/>
              <w:rPr>
                <w:color w:val="auto"/>
                <w:highlight w:val="none"/>
              </w:rPr>
            </w:pPr>
            <w:r>
              <w:rPr>
                <w:rFonts w:hint="eastAsia"/>
                <w:color w:val="auto"/>
                <w:highlight w:val="none"/>
              </w:rPr>
              <w:t>商务条款偏离表</w:t>
            </w:r>
          </w:p>
        </w:tc>
        <w:tc>
          <w:tcPr>
            <w:tcW w:w="1100" w:type="dxa"/>
            <w:vAlign w:val="center"/>
          </w:tcPr>
          <w:p>
            <w:pPr>
              <w:spacing w:line="300" w:lineRule="exact"/>
              <w:jc w:val="center"/>
              <w:rPr>
                <w:color w:val="auto"/>
                <w:highlight w:val="none"/>
              </w:rPr>
            </w:pPr>
            <w:r>
              <w:rPr>
                <w:color w:val="auto"/>
                <w:highlight w:val="none"/>
              </w:rPr>
              <w:t>1</w:t>
            </w:r>
            <w:r>
              <w:rPr>
                <w:rFonts w:hint="eastAsia"/>
                <w:color w:val="auto"/>
                <w:highlight w:val="non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bookmarkStart w:id="74" w:name="_Toc24432_WPSOffice_Level2"/>
            <w:bookmarkStart w:id="75" w:name="_Toc27769_WPSOffice_Level2"/>
            <w:r>
              <w:rPr>
                <w:rFonts w:hint="eastAsia"/>
                <w:color w:val="auto"/>
                <w:highlight w:val="none"/>
              </w:rPr>
              <w:t>7</w:t>
            </w:r>
          </w:p>
        </w:tc>
        <w:tc>
          <w:tcPr>
            <w:tcW w:w="6864" w:type="dxa"/>
            <w:vAlign w:val="center"/>
          </w:tcPr>
          <w:p>
            <w:pPr>
              <w:spacing w:line="300" w:lineRule="exact"/>
              <w:rPr>
                <w:color w:val="auto"/>
                <w:highlight w:val="none"/>
              </w:rPr>
            </w:pPr>
            <w:r>
              <w:rPr>
                <w:rFonts w:hint="eastAsia"/>
                <w:color w:val="auto"/>
                <w:highlight w:val="none"/>
              </w:rPr>
              <w:t>供应商关联单位说明</w:t>
            </w:r>
          </w:p>
        </w:tc>
        <w:tc>
          <w:tcPr>
            <w:tcW w:w="1100" w:type="dxa"/>
            <w:vAlign w:val="center"/>
          </w:tcPr>
          <w:p>
            <w:pPr>
              <w:spacing w:line="300" w:lineRule="exact"/>
              <w:jc w:val="center"/>
              <w:rPr>
                <w:color w:val="auto"/>
                <w:highlight w:val="none"/>
              </w:rPr>
            </w:pPr>
            <w:r>
              <w:rPr>
                <w:color w:val="auto"/>
                <w:highlight w:val="none"/>
              </w:rPr>
              <w:t>1</w:t>
            </w:r>
            <w:r>
              <w:rPr>
                <w:rFonts w:hint="eastAsia"/>
                <w:color w:val="auto"/>
                <w:highlight w:val="none"/>
              </w:rPr>
              <w:t>4</w:t>
            </w:r>
          </w:p>
        </w:tc>
      </w:tr>
    </w:tbl>
    <w:p>
      <w:pPr>
        <w:pStyle w:val="4"/>
        <w:rPr>
          <w:color w:val="auto"/>
          <w:highlight w:val="none"/>
        </w:rPr>
      </w:pPr>
      <w:r>
        <w:rPr>
          <w:rFonts w:hint="eastAsia"/>
          <w:color w:val="auto"/>
          <w:highlight w:val="none"/>
        </w:rPr>
        <w:t>四、其他材料</w:t>
      </w:r>
      <w:bookmarkEnd w:id="74"/>
      <w:bookmarkEnd w:id="75"/>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377" w:type="pct"/>
            <w:vAlign w:val="center"/>
          </w:tcPr>
          <w:p>
            <w:pPr>
              <w:spacing w:line="300" w:lineRule="exact"/>
              <w:jc w:val="center"/>
              <w:rPr>
                <w:color w:val="auto"/>
                <w:highlight w:val="none"/>
              </w:rPr>
            </w:pPr>
            <w:r>
              <w:rPr>
                <w:rFonts w:hint="eastAsia"/>
                <w:color w:val="auto"/>
                <w:highlight w:val="none"/>
              </w:rPr>
              <w:t>序号</w:t>
            </w:r>
          </w:p>
        </w:tc>
        <w:tc>
          <w:tcPr>
            <w:tcW w:w="4085" w:type="pct"/>
            <w:vAlign w:val="center"/>
          </w:tcPr>
          <w:p>
            <w:pPr>
              <w:spacing w:line="300" w:lineRule="exact"/>
              <w:jc w:val="center"/>
              <w:rPr>
                <w:color w:val="auto"/>
                <w:highlight w:val="none"/>
              </w:rPr>
            </w:pPr>
            <w:r>
              <w:rPr>
                <w:rFonts w:hint="eastAsia"/>
                <w:color w:val="auto"/>
                <w:highlight w:val="none"/>
              </w:rPr>
              <w:t>其他材料</w:t>
            </w:r>
          </w:p>
        </w:tc>
        <w:tc>
          <w:tcPr>
            <w:tcW w:w="537" w:type="pct"/>
            <w:vAlign w:val="center"/>
          </w:tcPr>
          <w:p>
            <w:pPr>
              <w:spacing w:line="300" w:lineRule="exact"/>
              <w:jc w:val="center"/>
              <w:rPr>
                <w:color w:val="auto"/>
                <w:highlight w:val="none"/>
              </w:rPr>
            </w:pPr>
            <w:r>
              <w:rPr>
                <w:rFonts w:hint="eastAsia"/>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color w:val="auto"/>
                <w:highlight w:val="none"/>
              </w:rPr>
            </w:pPr>
            <w:r>
              <w:rPr>
                <w:rFonts w:hint="eastAsia"/>
                <w:color w:val="auto"/>
                <w:highlight w:val="none"/>
              </w:rPr>
              <w:t>1</w:t>
            </w:r>
          </w:p>
        </w:tc>
        <w:tc>
          <w:tcPr>
            <w:tcW w:w="4085" w:type="pct"/>
            <w:vAlign w:val="center"/>
          </w:tcPr>
          <w:p>
            <w:pPr>
              <w:spacing w:line="300" w:lineRule="exact"/>
              <w:rPr>
                <w:color w:val="auto"/>
                <w:highlight w:val="none"/>
              </w:rPr>
            </w:pPr>
            <w:r>
              <w:rPr>
                <w:rFonts w:hint="eastAsia"/>
                <w:color w:val="auto"/>
                <w:highlight w:val="none"/>
              </w:rPr>
              <w:t>《中小企业声明函》</w:t>
            </w:r>
          </w:p>
        </w:tc>
        <w:tc>
          <w:tcPr>
            <w:tcW w:w="916" w:type="dxa"/>
            <w:vAlign w:val="center"/>
          </w:tcPr>
          <w:p>
            <w:pPr>
              <w:spacing w:line="300" w:lineRule="exact"/>
              <w:jc w:val="center"/>
              <w:rPr>
                <w:color w:val="auto"/>
                <w:highlight w:val="none"/>
              </w:rPr>
            </w:pPr>
            <w:r>
              <w:rPr>
                <w:color w:val="auto"/>
                <w:highlight w:val="none"/>
              </w:rPr>
              <w:t>1</w:t>
            </w:r>
            <w:r>
              <w:rPr>
                <w:rFonts w:hint="eastAsia"/>
                <w:color w:val="auto"/>
                <w:highlight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color w:val="auto"/>
                <w:highlight w:val="none"/>
              </w:rPr>
            </w:pPr>
            <w:r>
              <w:rPr>
                <w:rFonts w:hint="eastAsia"/>
                <w:color w:val="auto"/>
                <w:highlight w:val="none"/>
              </w:rPr>
              <w:t>2</w:t>
            </w:r>
          </w:p>
        </w:tc>
        <w:tc>
          <w:tcPr>
            <w:tcW w:w="4085" w:type="pct"/>
            <w:vAlign w:val="center"/>
          </w:tcPr>
          <w:p>
            <w:pPr>
              <w:spacing w:line="300" w:lineRule="exact"/>
              <w:rPr>
                <w:rFonts w:hint="eastAsia" w:eastAsia="宋体"/>
                <w:color w:val="auto"/>
                <w:highlight w:val="none"/>
                <w:lang w:eastAsia="zh-CN"/>
              </w:rPr>
            </w:pPr>
            <w:r>
              <w:rPr>
                <w:rFonts w:hint="eastAsia"/>
                <w:color w:val="auto"/>
                <w:highlight w:val="none"/>
              </w:rPr>
              <w:t>残疾人福利性单位声明函</w:t>
            </w:r>
            <w:r>
              <w:rPr>
                <w:rFonts w:hint="eastAsia"/>
                <w:color w:val="auto"/>
                <w:highlight w:val="none"/>
                <w:lang w:eastAsia="zh-CN"/>
              </w:rPr>
              <w:t>（</w:t>
            </w:r>
            <w:r>
              <w:rPr>
                <w:rFonts w:hint="eastAsia"/>
                <w:color w:val="auto"/>
                <w:highlight w:val="none"/>
                <w:lang w:val="en-US" w:eastAsia="zh-CN"/>
              </w:rPr>
              <w:t>不适用</w:t>
            </w:r>
            <w:r>
              <w:rPr>
                <w:rFonts w:hint="eastAsia"/>
                <w:color w:val="auto"/>
                <w:highlight w:val="none"/>
                <w:lang w:eastAsia="zh-CN"/>
              </w:rPr>
              <w:t>）</w:t>
            </w:r>
          </w:p>
        </w:tc>
        <w:tc>
          <w:tcPr>
            <w:tcW w:w="916" w:type="dxa"/>
            <w:vAlign w:val="center"/>
          </w:tcPr>
          <w:p>
            <w:pPr>
              <w:spacing w:line="300" w:lineRule="exact"/>
              <w:jc w:val="center"/>
              <w:rPr>
                <w:color w:val="auto"/>
                <w:highlight w:val="none"/>
              </w:rPr>
            </w:pPr>
            <w:r>
              <w:rPr>
                <w:color w:val="auto"/>
                <w:highlight w:val="none"/>
              </w:rPr>
              <w:t>1</w:t>
            </w:r>
            <w:r>
              <w:rPr>
                <w:rFonts w:hint="eastAsia"/>
                <w:color w:val="auto"/>
                <w:highlight w:val="non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color w:val="auto"/>
                <w:highlight w:val="none"/>
              </w:rPr>
            </w:pPr>
            <w:r>
              <w:rPr>
                <w:rFonts w:hint="eastAsia"/>
                <w:color w:val="auto"/>
                <w:highlight w:val="none"/>
              </w:rPr>
              <w:t>3</w:t>
            </w:r>
          </w:p>
        </w:tc>
        <w:tc>
          <w:tcPr>
            <w:tcW w:w="4085" w:type="pct"/>
            <w:vAlign w:val="center"/>
          </w:tcPr>
          <w:p>
            <w:pPr>
              <w:spacing w:line="300" w:lineRule="exact"/>
              <w:rPr>
                <w:color w:val="auto"/>
                <w:highlight w:val="none"/>
              </w:rPr>
            </w:pPr>
            <w:r>
              <w:rPr>
                <w:rFonts w:hint="eastAsia"/>
                <w:color w:val="auto"/>
                <w:highlight w:val="none"/>
              </w:rPr>
              <w:t>监狱企业证明文件</w:t>
            </w:r>
            <w:r>
              <w:rPr>
                <w:rFonts w:hint="eastAsia"/>
                <w:color w:val="auto"/>
                <w:highlight w:val="none"/>
                <w:lang w:eastAsia="zh-CN"/>
              </w:rPr>
              <w:t>（</w:t>
            </w:r>
            <w:r>
              <w:rPr>
                <w:rFonts w:hint="eastAsia"/>
                <w:color w:val="auto"/>
                <w:highlight w:val="none"/>
                <w:lang w:val="en-US" w:eastAsia="zh-CN"/>
              </w:rPr>
              <w:t>不适用</w:t>
            </w:r>
            <w:r>
              <w:rPr>
                <w:rFonts w:hint="eastAsia"/>
                <w:color w:val="auto"/>
                <w:highlight w:val="none"/>
                <w:lang w:eastAsia="zh-CN"/>
              </w:rPr>
              <w:t>）</w:t>
            </w:r>
          </w:p>
        </w:tc>
        <w:tc>
          <w:tcPr>
            <w:tcW w:w="916" w:type="dxa"/>
            <w:vAlign w:val="center"/>
          </w:tcPr>
          <w:p>
            <w:pPr>
              <w:spacing w:line="300" w:lineRule="exact"/>
              <w:jc w:val="center"/>
              <w:rPr>
                <w:color w:val="auto"/>
                <w:highlight w:val="none"/>
              </w:rPr>
            </w:pPr>
            <w:r>
              <w:rPr>
                <w:color w:val="auto"/>
                <w:kern w:val="0"/>
                <w:highlight w:val="none"/>
              </w:rPr>
              <w:t>1</w:t>
            </w:r>
            <w:r>
              <w:rPr>
                <w:rFonts w:hint="eastAsia"/>
                <w:color w:val="auto"/>
                <w:kern w:val="0"/>
                <w:highlight w:val="none"/>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color w:val="auto"/>
                <w:highlight w:val="none"/>
              </w:rPr>
            </w:pPr>
          </w:p>
        </w:tc>
        <w:tc>
          <w:tcPr>
            <w:tcW w:w="4085" w:type="pct"/>
            <w:vAlign w:val="center"/>
          </w:tcPr>
          <w:p>
            <w:pPr>
              <w:spacing w:line="300" w:lineRule="exact"/>
              <w:rPr>
                <w:color w:val="auto"/>
                <w:highlight w:val="none"/>
              </w:rPr>
            </w:pPr>
            <w:r>
              <w:rPr>
                <w:rFonts w:hint="eastAsia"/>
                <w:color w:val="auto"/>
                <w:highlight w:val="none"/>
              </w:rPr>
              <w:t>......</w:t>
            </w:r>
          </w:p>
        </w:tc>
        <w:tc>
          <w:tcPr>
            <w:tcW w:w="537" w:type="pct"/>
            <w:vAlign w:val="center"/>
          </w:tcPr>
          <w:p>
            <w:pPr>
              <w:spacing w:line="300" w:lineRule="exact"/>
              <w:jc w:val="center"/>
              <w:rPr>
                <w:color w:val="auto"/>
                <w:highlight w:val="none"/>
              </w:rPr>
            </w:pPr>
          </w:p>
        </w:tc>
      </w:tr>
    </w:tbl>
    <w:p>
      <w:pPr>
        <w:rPr>
          <w:rFonts w:cs="宋体"/>
          <w:b/>
          <w:color w:val="auto"/>
          <w:highlight w:val="none"/>
        </w:rPr>
      </w:pPr>
      <w:bookmarkStart w:id="76" w:name="_Toc24011_WPSOffice_Level2"/>
      <w:bookmarkStart w:id="77" w:name="_Toc23127_WPSOffice_Level2"/>
      <w:r>
        <w:rPr>
          <w:rFonts w:hint="eastAsia" w:cs="宋体"/>
          <w:b/>
          <w:color w:val="auto"/>
          <w:highlight w:val="none"/>
        </w:rPr>
        <w:t>重要提示：</w:t>
      </w:r>
      <w:bookmarkEnd w:id="76"/>
      <w:bookmarkEnd w:id="77"/>
    </w:p>
    <w:p>
      <w:pPr>
        <w:snapToGrid w:val="0"/>
        <w:ind w:firstLine="420" w:firstLineChars="200"/>
        <w:jc w:val="left"/>
        <w:rPr>
          <w:rFonts w:cs="宋体"/>
          <w:color w:val="auto"/>
          <w:highlight w:val="none"/>
        </w:rPr>
      </w:pPr>
      <w:r>
        <w:rPr>
          <w:rFonts w:hint="eastAsia" w:cs="宋体"/>
          <w:color w:val="auto"/>
          <w:highlight w:val="none"/>
        </w:rPr>
        <w:t>1、供应商提供的证明材料，除需要供应商填报或有特殊说明外，均须按要求提供。</w:t>
      </w:r>
      <w:r>
        <w:rPr>
          <w:rFonts w:hint="eastAsia" w:cs="宋体"/>
          <w:b/>
          <w:bCs/>
          <w:color w:val="auto"/>
          <w:highlight w:val="none"/>
        </w:rPr>
        <w:t xml:space="preserve"> </w:t>
      </w:r>
    </w:p>
    <w:p>
      <w:pPr>
        <w:snapToGrid w:val="0"/>
        <w:ind w:firstLine="420" w:firstLineChars="200"/>
        <w:jc w:val="left"/>
        <w:rPr>
          <w:rFonts w:cs="宋体"/>
          <w:color w:val="auto"/>
          <w:highlight w:val="none"/>
        </w:rPr>
      </w:pPr>
      <w:r>
        <w:rPr>
          <w:rFonts w:hint="eastAsia"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cs="宋体"/>
          <w:color w:val="auto"/>
          <w:highlight w:val="none"/>
        </w:rPr>
      </w:pPr>
      <w:r>
        <w:rPr>
          <w:rFonts w:hint="eastAsia" w:cs="宋体"/>
          <w:color w:val="auto"/>
          <w:highlight w:val="none"/>
        </w:rPr>
        <w:t>3、投标文件应用中文书写。投标文件中所附或所引用的材料不是中文时，应附中文译本，并加盖公章。</w:t>
      </w:r>
    </w:p>
    <w:p>
      <w:pPr>
        <w:ind w:firstLine="420" w:firstLineChars="200"/>
        <w:rPr>
          <w:rFonts w:cs="宋体"/>
          <w:color w:val="auto"/>
          <w:highlight w:val="none"/>
        </w:rPr>
      </w:pPr>
      <w:r>
        <w:rPr>
          <w:rFonts w:hint="eastAsia" w:cs="宋体"/>
          <w:color w:val="auto"/>
          <w:highlight w:val="none"/>
        </w:rPr>
        <w:t>4、</w:t>
      </w:r>
      <w:r>
        <w:rPr>
          <w:rFonts w:hint="eastAsia" w:cs="宋体"/>
          <w:b/>
          <w:bCs/>
          <w:color w:val="auto"/>
          <w:highlight w:val="none"/>
        </w:rPr>
        <w:t>“资格性证明材料”</w:t>
      </w:r>
      <w:r>
        <w:rPr>
          <w:rFonts w:hint="eastAsia" w:cs="宋体"/>
          <w:color w:val="auto"/>
          <w:highlight w:val="none"/>
        </w:rPr>
        <w:t>所列内容即为采购项目的资格审查条件，有一项不符合要求，不能进入下一阶段评审。</w:t>
      </w:r>
    </w:p>
    <w:p>
      <w:pPr>
        <w:ind w:firstLine="420" w:firstLineChars="200"/>
        <w:rPr>
          <w:rFonts w:cs="宋体"/>
          <w:color w:val="auto"/>
          <w:highlight w:val="none"/>
        </w:rPr>
      </w:pPr>
      <w:r>
        <w:rPr>
          <w:rFonts w:hint="eastAsia" w:cs="宋体"/>
          <w:color w:val="auto"/>
          <w:highlight w:val="none"/>
        </w:rPr>
        <w:t>5、</w:t>
      </w:r>
      <w:r>
        <w:rPr>
          <w:rFonts w:hint="eastAsia" w:cs="宋体"/>
          <w:b/>
          <w:bCs/>
          <w:color w:val="auto"/>
          <w:highlight w:val="none"/>
        </w:rPr>
        <w:t>“符合性证明材料”</w:t>
      </w:r>
      <w:r>
        <w:rPr>
          <w:rFonts w:hint="eastAsia" w:cs="宋体"/>
          <w:color w:val="auto"/>
          <w:highlight w:val="none"/>
        </w:rPr>
        <w:t>所列内容即为采购项目的符合性审查条件，有一项不符合要求，不能进入下一阶段评审。</w:t>
      </w:r>
    </w:p>
    <w:p>
      <w:pPr>
        <w:ind w:firstLine="420" w:firstLineChars="200"/>
        <w:rPr>
          <w:rFonts w:cs="宋体"/>
          <w:color w:val="auto"/>
          <w:highlight w:val="none"/>
        </w:rPr>
      </w:pPr>
      <w:r>
        <w:rPr>
          <w:rFonts w:hint="eastAsia" w:cs="宋体"/>
          <w:color w:val="auto"/>
          <w:highlight w:val="none"/>
        </w:rPr>
        <w:t>6、“其他材料”</w:t>
      </w:r>
    </w:p>
    <w:p>
      <w:pPr>
        <w:ind w:firstLine="420" w:firstLineChars="200"/>
        <w:rPr>
          <w:rFonts w:cs="宋体"/>
          <w:color w:val="auto"/>
          <w:kern w:val="0"/>
          <w:highlight w:val="none"/>
        </w:rPr>
      </w:pPr>
      <w:r>
        <w:rPr>
          <w:rFonts w:hint="eastAsia" w:cs="宋体"/>
          <w:color w:val="auto"/>
          <w:highlight w:val="none"/>
        </w:rPr>
        <w:t>（1）</w:t>
      </w:r>
      <w:r>
        <w:rPr>
          <w:rFonts w:hint="eastAsia" w:cs="宋体"/>
          <w:color w:val="auto"/>
          <w:kern w:val="0"/>
          <w:highlight w:val="none"/>
        </w:rPr>
        <w:t>综合评分法：</w:t>
      </w:r>
      <w:r>
        <w:rPr>
          <w:rFonts w:hint="eastAsia" w:cs="宋体"/>
          <w:color w:val="auto"/>
          <w:highlight w:val="none"/>
        </w:rPr>
        <w:t>供应商可就</w:t>
      </w:r>
      <w:r>
        <w:rPr>
          <w:rFonts w:hint="eastAsia" w:cs="宋体"/>
          <w:color w:val="auto"/>
          <w:kern w:val="0"/>
          <w:highlight w:val="none"/>
        </w:rPr>
        <w:t>招标文件要求以及评分细则中各项要求提供相应材料。</w:t>
      </w:r>
    </w:p>
    <w:p>
      <w:pPr>
        <w:ind w:firstLine="420" w:firstLineChars="200"/>
        <w:rPr>
          <w:rFonts w:cs="宋体"/>
          <w:color w:val="auto"/>
          <w:kern w:val="0"/>
          <w:sz w:val="24"/>
          <w:highlight w:val="none"/>
        </w:rPr>
      </w:pPr>
      <w:r>
        <w:rPr>
          <w:rFonts w:hint="eastAsia" w:cs="宋体"/>
          <w:color w:val="auto"/>
          <w:highlight w:val="none"/>
        </w:rPr>
        <w:t>（2）</w:t>
      </w:r>
      <w:r>
        <w:rPr>
          <w:rFonts w:hint="eastAsia" w:cs="宋体"/>
          <w:color w:val="auto"/>
          <w:kern w:val="0"/>
          <w:highlight w:val="none"/>
        </w:rPr>
        <w:t>最低评标价法：</w:t>
      </w:r>
      <w:r>
        <w:rPr>
          <w:rFonts w:hint="eastAsia" w:cs="宋体"/>
          <w:color w:val="auto"/>
          <w:highlight w:val="none"/>
        </w:rPr>
        <w:t>供应商可就</w:t>
      </w:r>
      <w:r>
        <w:rPr>
          <w:rFonts w:hint="eastAsia" w:cs="宋体"/>
          <w:color w:val="auto"/>
          <w:kern w:val="0"/>
          <w:highlight w:val="none"/>
        </w:rPr>
        <w:t>招标文件要求提供相应材料。</w:t>
      </w:r>
    </w:p>
    <w:p>
      <w:pPr>
        <w:rPr>
          <w:rStyle w:val="34"/>
          <w:color w:val="auto"/>
          <w:highlight w:val="none"/>
        </w:rPr>
      </w:pPr>
      <w:r>
        <w:rPr>
          <w:rFonts w:hint="eastAsia" w:cs="宋体"/>
          <w:color w:val="auto"/>
          <w:highlight w:val="none"/>
        </w:rPr>
        <w:br w:type="page"/>
      </w:r>
      <w:r>
        <w:rPr>
          <w:rStyle w:val="34"/>
          <w:rFonts w:hint="eastAsia"/>
          <w:bCs/>
          <w:color w:val="auto"/>
          <w:highlight w:val="none"/>
        </w:rPr>
        <w:t>格式1</w:t>
      </w:r>
    </w:p>
    <w:p>
      <w:pPr>
        <w:pStyle w:val="3"/>
        <w:spacing w:before="0" w:after="0"/>
        <w:rPr>
          <w:rFonts w:eastAsia="宋体" w:cs="宋体"/>
          <w:b/>
          <w:bCs/>
          <w:color w:val="auto"/>
          <w:highlight w:val="none"/>
        </w:rPr>
      </w:pPr>
      <w:bookmarkStart w:id="78" w:name="_Toc21090_WPSOffice_Level2"/>
      <w:bookmarkStart w:id="79" w:name="_Toc26322_WPSOffice_Level2"/>
      <w:r>
        <w:rPr>
          <w:rFonts w:hint="eastAsia"/>
          <w:color w:val="auto"/>
          <w:highlight w:val="none"/>
        </w:rPr>
        <w:t>投标文件、电子文档外封面、封口格式</w:t>
      </w:r>
      <w:bookmarkEnd w:id="78"/>
      <w:bookmarkEnd w:id="79"/>
    </w:p>
    <w:p>
      <w:pPr>
        <w:rPr>
          <w:rFonts w:cs="宋体"/>
          <w:color w:val="auto"/>
          <w:sz w:val="28"/>
          <w:szCs w:val="28"/>
          <w:highlight w:val="none"/>
        </w:rPr>
      </w:pPr>
      <w:r>
        <w:rPr>
          <w:rFonts w:hint="eastAsia" w:cs="宋体"/>
          <w:color w:val="auto"/>
          <w:sz w:val="28"/>
          <w:szCs w:val="28"/>
          <w:highlight w:val="none"/>
        </w:rPr>
        <w:t>封面格式：</w:t>
      </w:r>
    </w:p>
    <w:tbl>
      <w:tblPr>
        <w:tblStyle w:val="21"/>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color w:val="auto"/>
                <w:highlight w:val="none"/>
              </w:rPr>
            </w:pPr>
          </w:p>
          <w:p>
            <w:pPr>
              <w:jc w:val="center"/>
              <w:rPr>
                <w:color w:val="auto"/>
                <w:highlight w:val="none"/>
              </w:rPr>
            </w:pPr>
          </w:p>
          <w:p>
            <w:pPr>
              <w:jc w:val="center"/>
              <w:rPr>
                <w:color w:val="auto"/>
                <w:highlight w:val="none"/>
              </w:rPr>
            </w:pPr>
          </w:p>
          <w:p>
            <w:pPr>
              <w:jc w:val="center"/>
              <w:rPr>
                <w:color w:val="auto"/>
                <w:highlight w:val="none"/>
              </w:rPr>
            </w:pPr>
          </w:p>
          <w:p>
            <w:pPr>
              <w:jc w:val="center"/>
              <w:rPr>
                <w:color w:val="auto"/>
                <w:highlight w:val="none"/>
              </w:rPr>
            </w:pPr>
          </w:p>
          <w:p>
            <w:pPr>
              <w:jc w:val="center"/>
              <w:rPr>
                <w:color w:val="auto"/>
                <w:highlight w:val="none"/>
              </w:rPr>
            </w:pPr>
            <w:r>
              <w:rPr>
                <w:rFonts w:hint="eastAsia"/>
                <w:color w:val="auto"/>
                <w:highlight w:val="none"/>
              </w:rPr>
              <w:t>投标文件/电子文档</w:t>
            </w: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r>
              <w:rPr>
                <w:rFonts w:hint="eastAsia"/>
                <w:color w:val="auto"/>
                <w:highlight w:val="none"/>
              </w:rPr>
              <w:t>所响应包号：第  包</w:t>
            </w:r>
          </w:p>
          <w:p>
            <w:pPr>
              <w:jc w:val="left"/>
              <w:rPr>
                <w:color w:val="auto"/>
                <w:highlight w:val="none"/>
              </w:rPr>
            </w:pPr>
          </w:p>
          <w:p>
            <w:pPr>
              <w:jc w:val="left"/>
              <w:rPr>
                <w:color w:val="auto"/>
                <w:highlight w:val="none"/>
              </w:rPr>
            </w:pPr>
            <w:r>
              <w:rPr>
                <w:rFonts w:hint="eastAsia"/>
                <w:color w:val="auto"/>
                <w:highlight w:val="none"/>
              </w:rPr>
              <w:t>项目名称：</w:t>
            </w:r>
          </w:p>
          <w:p>
            <w:pPr>
              <w:jc w:val="left"/>
              <w:rPr>
                <w:color w:val="auto"/>
                <w:highlight w:val="none"/>
              </w:rPr>
            </w:pPr>
          </w:p>
          <w:p>
            <w:pPr>
              <w:jc w:val="left"/>
              <w:rPr>
                <w:color w:val="auto"/>
                <w:highlight w:val="none"/>
              </w:rPr>
            </w:pPr>
            <w:r>
              <w:rPr>
                <w:rFonts w:hint="eastAsia"/>
                <w:color w:val="auto"/>
                <w:highlight w:val="none"/>
              </w:rPr>
              <w:t>项目编号：</w:t>
            </w:r>
          </w:p>
          <w:p>
            <w:pPr>
              <w:jc w:val="center"/>
              <w:rPr>
                <w:color w:val="auto"/>
                <w:highlight w:val="none"/>
              </w:rPr>
            </w:pPr>
          </w:p>
          <w:p>
            <w:pPr>
              <w:jc w:val="center"/>
              <w:rPr>
                <w:color w:val="auto"/>
                <w:highlight w:val="none"/>
              </w:rPr>
            </w:pPr>
          </w:p>
          <w:p>
            <w:pPr>
              <w:jc w:val="left"/>
              <w:rPr>
                <w:color w:val="auto"/>
                <w:highlight w:val="none"/>
              </w:rPr>
            </w:pPr>
            <w:r>
              <w:rPr>
                <w:rFonts w:hint="eastAsia"/>
                <w:color w:val="auto"/>
                <w:highlight w:val="none"/>
              </w:rPr>
              <w:t>供应商名称（公章）</w:t>
            </w:r>
          </w:p>
          <w:p>
            <w:pPr>
              <w:pStyle w:val="29"/>
              <w:ind w:firstLine="420"/>
              <w:rPr>
                <w:rFonts w:ascii="宋体" w:hAnsi="宋体" w:cs="仿宋_GB2312"/>
                <w:color w:val="auto"/>
                <w:highlight w:val="none"/>
              </w:rPr>
            </w:pPr>
          </w:p>
          <w:p>
            <w:pPr>
              <w:pStyle w:val="29"/>
              <w:ind w:firstLine="420"/>
              <w:rPr>
                <w:rFonts w:ascii="宋体" w:hAnsi="宋体" w:cs="仿宋_GB2312"/>
                <w:color w:val="auto"/>
                <w:highlight w:val="none"/>
              </w:rPr>
            </w:pPr>
          </w:p>
        </w:tc>
      </w:tr>
    </w:tbl>
    <w:p>
      <w:pPr>
        <w:rPr>
          <w:rFonts w:cs="宋体"/>
          <w:color w:val="auto"/>
          <w:highlight w:val="none"/>
        </w:rPr>
      </w:pPr>
    </w:p>
    <w:p>
      <w:pPr>
        <w:rPr>
          <w:rFonts w:cs="宋体"/>
          <w:color w:val="auto"/>
          <w:highlight w:val="none"/>
        </w:rPr>
      </w:pPr>
    </w:p>
    <w:p>
      <w:pPr>
        <w:rPr>
          <w:rFonts w:cs="宋体"/>
          <w:color w:val="auto"/>
          <w:highlight w:val="none"/>
        </w:rPr>
      </w:pPr>
      <w:r>
        <w:rPr>
          <w:rFonts w:hint="eastAsia" w:cs="宋体"/>
          <w:color w:val="auto"/>
          <w:sz w:val="24"/>
          <w:szCs w:val="32"/>
          <w:highlight w:val="none"/>
        </w:rPr>
        <w:t>封口格式：</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auto"/>
                <w:highlight w:val="none"/>
              </w:rPr>
            </w:pPr>
            <w:r>
              <w:rPr>
                <w:rFonts w:hint="eastAsia" w:cs="宋体"/>
                <w:color w:val="auto"/>
                <w:highlight w:val="none"/>
              </w:rPr>
              <w:t>——于  年  月  日  时之前不准启封（公章）——</w:t>
            </w:r>
          </w:p>
        </w:tc>
      </w:tr>
    </w:tbl>
    <w:p>
      <w:pPr>
        <w:rPr>
          <w:rFonts w:cs="宋体"/>
          <w:color w:val="auto"/>
          <w:highlight w:val="none"/>
        </w:rPr>
      </w:pPr>
    </w:p>
    <w:p>
      <w:pPr>
        <w:rPr>
          <w:rFonts w:cs="宋体"/>
          <w:color w:val="auto"/>
          <w:highlight w:val="none"/>
        </w:rPr>
      </w:pPr>
    </w:p>
    <w:p>
      <w:pPr>
        <w:rPr>
          <w:rStyle w:val="34"/>
          <w:color w:val="auto"/>
          <w:highlight w:val="none"/>
        </w:rPr>
      </w:pPr>
      <w:r>
        <w:rPr>
          <w:rFonts w:hint="eastAsia" w:cs="宋体"/>
          <w:b/>
          <w:color w:val="auto"/>
          <w:sz w:val="28"/>
          <w:szCs w:val="28"/>
          <w:highlight w:val="none"/>
        </w:rPr>
        <w:br w:type="page"/>
      </w:r>
      <w:r>
        <w:rPr>
          <w:rStyle w:val="34"/>
          <w:rFonts w:hint="eastAsia"/>
          <w:color w:val="auto"/>
          <w:highlight w:val="none"/>
        </w:rPr>
        <w:t>格式2</w:t>
      </w:r>
    </w:p>
    <w:p>
      <w:pPr>
        <w:pStyle w:val="3"/>
        <w:rPr>
          <w:rFonts w:eastAsia="宋体" w:cs="宋体"/>
          <w:b/>
          <w:bCs/>
          <w:color w:val="auto"/>
          <w:highlight w:val="none"/>
        </w:rPr>
      </w:pPr>
      <w:r>
        <w:rPr>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color w:val="auto"/>
          <w:highlight w:val="none"/>
        </w:rPr>
        <w:t>投标文件的封皮</w:t>
      </w:r>
    </w:p>
    <w:p>
      <w:pPr>
        <w:rPr>
          <w:rFonts w:cs="宋体"/>
          <w:color w:val="auto"/>
          <w:highlight w:val="none"/>
        </w:rPr>
      </w:pPr>
    </w:p>
    <w:p>
      <w:pPr>
        <w:rPr>
          <w:rFonts w:cs="宋体"/>
          <w:color w:val="auto"/>
          <w:highlight w:val="none"/>
        </w:rPr>
      </w:pPr>
    </w:p>
    <w:p>
      <w:pPr>
        <w:rPr>
          <w:rFonts w:cs="宋体"/>
          <w:color w:val="auto"/>
          <w:highlight w:val="none"/>
        </w:rPr>
      </w:pPr>
    </w:p>
    <w:p>
      <w:pPr>
        <w:rPr>
          <w:rFonts w:cs="宋体"/>
          <w:color w:val="auto"/>
          <w:highlight w:val="none"/>
        </w:rPr>
      </w:pPr>
    </w:p>
    <w:p>
      <w:pPr>
        <w:rPr>
          <w:rFonts w:cs="宋体"/>
          <w:color w:val="auto"/>
          <w:highlight w:val="none"/>
        </w:rPr>
      </w:pPr>
    </w:p>
    <w:p>
      <w:pPr>
        <w:rPr>
          <w:rFonts w:cs="宋体"/>
          <w:color w:val="auto"/>
          <w:highlight w:val="none"/>
        </w:rPr>
      </w:pPr>
    </w:p>
    <w:p>
      <w:pPr>
        <w:jc w:val="center"/>
        <w:rPr>
          <w:rFonts w:ascii="黑体" w:hAnsi="黑体" w:eastAsia="黑体" w:cs="仿宋_GB2312"/>
          <w:color w:val="auto"/>
          <w:sz w:val="100"/>
          <w:szCs w:val="100"/>
          <w:highlight w:val="none"/>
        </w:rPr>
      </w:pPr>
      <w:r>
        <w:rPr>
          <w:rFonts w:hint="eastAsia" w:ascii="黑体" w:hAnsi="黑体" w:eastAsia="黑体" w:cs="仿宋_GB2312"/>
          <w:color w:val="auto"/>
          <w:sz w:val="100"/>
          <w:szCs w:val="100"/>
          <w:highlight w:val="none"/>
        </w:rPr>
        <w:t>投  标  文  件</w:t>
      </w:r>
    </w:p>
    <w:p>
      <w:pPr>
        <w:rPr>
          <w:rFonts w:ascii="宋体" w:hAnsi="宋体" w:cs="仿宋_GB2312"/>
          <w:color w:val="auto"/>
          <w:highlight w:val="none"/>
        </w:rPr>
      </w:pPr>
      <w:r>
        <w:rPr>
          <w:rFonts w:hint="eastAsia" w:ascii="宋体" w:hAnsi="宋体" w:cs="仿宋_GB2312"/>
          <w:color w:val="auto"/>
          <w:highlight w:val="none"/>
        </w:rPr>
        <w:t xml:space="preserve"> </w:t>
      </w:r>
    </w:p>
    <w:p>
      <w:pPr>
        <w:rPr>
          <w:rFonts w:ascii="宋体" w:hAnsi="宋体" w:cs="仿宋_GB2312"/>
          <w:color w:val="auto"/>
          <w:highlight w:val="none"/>
        </w:rPr>
      </w:pPr>
      <w:r>
        <w:rPr>
          <w:rFonts w:hint="eastAsia" w:ascii="宋体" w:hAnsi="宋体" w:cs="仿宋_GB2312"/>
          <w:color w:val="auto"/>
          <w:highlight w:val="none"/>
        </w:rPr>
        <w:t xml:space="preserve"> </w:t>
      </w:r>
    </w:p>
    <w:p>
      <w:pPr>
        <w:rPr>
          <w:rFonts w:ascii="宋体" w:hAnsi="宋体" w:cs="仿宋_GB2312"/>
          <w:color w:val="auto"/>
          <w:highlight w:val="none"/>
        </w:rPr>
      </w:pPr>
      <w:r>
        <w:rPr>
          <w:rFonts w:hint="eastAsia" w:ascii="宋体" w:hAnsi="宋体" w:cs="仿宋_GB2312"/>
          <w:color w:val="auto"/>
          <w:highlight w:val="none"/>
        </w:rPr>
        <w:t xml:space="preserve"> </w:t>
      </w:r>
    </w:p>
    <w:p>
      <w:pPr>
        <w:rPr>
          <w:rFonts w:ascii="宋体" w:hAnsi="宋体" w:cs="仿宋_GB2312"/>
          <w:color w:val="auto"/>
          <w:sz w:val="28"/>
          <w:szCs w:val="28"/>
          <w:highlight w:val="none"/>
        </w:rPr>
      </w:pPr>
      <w:r>
        <w:rPr>
          <w:rFonts w:hint="eastAsia" w:ascii="宋体" w:hAnsi="宋体" w:cs="仿宋_GB2312"/>
          <w:color w:val="auto"/>
          <w:sz w:val="28"/>
          <w:szCs w:val="28"/>
          <w:highlight w:val="none"/>
        </w:rPr>
        <w:t xml:space="preserve"> </w:t>
      </w:r>
    </w:p>
    <w:p>
      <w:pPr>
        <w:rPr>
          <w:rFonts w:ascii="Bookman Old Style" w:hAnsi="Bookman Old Style" w:eastAsia="仿宋_GB2312"/>
          <w:color w:val="auto"/>
          <w:sz w:val="28"/>
          <w:szCs w:val="28"/>
          <w:highlight w:val="none"/>
        </w:rPr>
      </w:pPr>
      <w:r>
        <w:rPr>
          <w:rFonts w:hint="eastAsia" w:ascii="宋体" w:hAnsi="宋体" w:cs="仿宋_GB2312"/>
          <w:color w:val="auto"/>
          <w:sz w:val="28"/>
          <w:szCs w:val="28"/>
          <w:highlight w:val="none"/>
        </w:rPr>
        <w:t xml:space="preserve"> </w:t>
      </w:r>
    </w:p>
    <w:p>
      <w:pPr>
        <w:pStyle w:val="29"/>
        <w:ind w:firstLine="560"/>
        <w:rPr>
          <w:rFonts w:ascii="Bookman Old Style" w:hAnsi="Bookman Old Style" w:eastAsia="仿宋_GB2312"/>
          <w:color w:val="auto"/>
          <w:sz w:val="28"/>
          <w:szCs w:val="28"/>
          <w:highlight w:val="none"/>
        </w:rPr>
      </w:pPr>
      <w:r>
        <w:rPr>
          <w:rFonts w:ascii="Bookman Old Style" w:hAnsi="Bookman Old Style" w:eastAsia="仿宋_GB2312"/>
          <w:color w:val="auto"/>
          <w:sz w:val="28"/>
          <w:szCs w:val="28"/>
          <w:highlight w:val="none"/>
        </w:rPr>
        <w:t xml:space="preserve"> </w:t>
      </w:r>
    </w:p>
    <w:p>
      <w:pPr>
        <w:pStyle w:val="29"/>
        <w:ind w:firstLine="560"/>
        <w:rPr>
          <w:rFonts w:ascii="Bookman Old Style" w:hAnsi="Bookman Old Style" w:eastAsia="仿宋_GB2312"/>
          <w:color w:val="auto"/>
          <w:sz w:val="28"/>
          <w:szCs w:val="28"/>
          <w:highlight w:val="none"/>
        </w:rPr>
      </w:pPr>
      <w:r>
        <w:rPr>
          <w:rFonts w:ascii="Bookman Old Style" w:hAnsi="Bookman Old Style" w:eastAsia="仿宋_GB2312"/>
          <w:color w:val="auto"/>
          <w:sz w:val="28"/>
          <w:szCs w:val="28"/>
          <w:highlight w:val="none"/>
        </w:rPr>
        <w:t xml:space="preserve"> </w:t>
      </w:r>
    </w:p>
    <w:p>
      <w:pPr>
        <w:pStyle w:val="29"/>
        <w:ind w:firstLine="560"/>
        <w:rPr>
          <w:rFonts w:ascii="Bookman Old Style" w:hAnsi="Bookman Old Style" w:eastAsia="仿宋_GB2312"/>
          <w:color w:val="auto"/>
          <w:sz w:val="28"/>
          <w:szCs w:val="28"/>
          <w:highlight w:val="none"/>
        </w:rPr>
      </w:pPr>
    </w:p>
    <w:p>
      <w:pPr>
        <w:ind w:firstLine="560" w:firstLineChars="200"/>
        <w:rPr>
          <w:rFonts w:ascii="黑体" w:hAnsi="黑体" w:eastAsia="黑体" w:cs="仿宋_GB2312"/>
          <w:color w:val="auto"/>
          <w:sz w:val="28"/>
          <w:szCs w:val="28"/>
          <w:highlight w:val="none"/>
        </w:rPr>
      </w:pPr>
      <w:r>
        <w:rPr>
          <w:rFonts w:hint="eastAsia" w:ascii="黑体" w:hAnsi="黑体" w:eastAsia="黑体" w:cs="仿宋_GB2312"/>
          <w:color w:val="auto"/>
          <w:sz w:val="28"/>
          <w:szCs w:val="28"/>
          <w:highlight w:val="none"/>
        </w:rPr>
        <w:t>所响应包号：第</w:t>
      </w:r>
      <w:r>
        <w:rPr>
          <w:rFonts w:hint="eastAsia" w:ascii="黑体" w:hAnsi="黑体" w:eastAsia="黑体" w:cs="仿宋_GB2312"/>
          <w:color w:val="auto"/>
          <w:sz w:val="28"/>
          <w:szCs w:val="28"/>
          <w:highlight w:val="none"/>
          <w:u w:val="single"/>
        </w:rPr>
        <w:t xml:space="preserve">                     </w:t>
      </w:r>
      <w:r>
        <w:rPr>
          <w:rFonts w:hint="eastAsia" w:ascii="黑体" w:hAnsi="黑体" w:eastAsia="黑体" w:cs="仿宋_GB2312"/>
          <w:color w:val="auto"/>
          <w:sz w:val="28"/>
          <w:szCs w:val="28"/>
          <w:highlight w:val="none"/>
        </w:rPr>
        <w:t>包</w:t>
      </w:r>
    </w:p>
    <w:p>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项目名称：</w:t>
      </w:r>
      <w:r>
        <w:rPr>
          <w:rFonts w:hint="eastAsia" w:ascii="黑体" w:hAnsi="黑体" w:eastAsia="黑体" w:cs="仿宋_GB2312"/>
          <w:color w:val="auto"/>
          <w:sz w:val="28"/>
          <w:szCs w:val="28"/>
          <w:highlight w:val="none"/>
          <w:u w:val="single"/>
        </w:rPr>
        <w:t xml:space="preserve">                                             </w:t>
      </w:r>
    </w:p>
    <w:p>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项目编号：</w:t>
      </w:r>
      <w:r>
        <w:rPr>
          <w:rFonts w:hint="eastAsia" w:ascii="黑体" w:hAnsi="黑体" w:eastAsia="黑体" w:cs="仿宋_GB2312"/>
          <w:color w:val="auto"/>
          <w:sz w:val="28"/>
          <w:szCs w:val="28"/>
          <w:highlight w:val="none"/>
          <w:u w:val="single"/>
        </w:rPr>
        <w:t xml:space="preserve">                                             </w:t>
      </w:r>
    </w:p>
    <w:p>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供应商名称：</w:t>
      </w:r>
      <w:r>
        <w:rPr>
          <w:rFonts w:hint="eastAsia" w:ascii="黑体" w:hAnsi="黑体" w:eastAsia="黑体" w:cs="仿宋_GB2312"/>
          <w:color w:val="auto"/>
          <w:sz w:val="28"/>
          <w:szCs w:val="28"/>
          <w:highlight w:val="none"/>
          <w:u w:val="single"/>
        </w:rPr>
        <w:t xml:space="preserve">                                           </w:t>
      </w:r>
    </w:p>
    <w:p>
      <w:pPr>
        <w:rPr>
          <w:rStyle w:val="34"/>
          <w:color w:val="auto"/>
          <w:highlight w:val="none"/>
        </w:rPr>
      </w:pPr>
      <w:r>
        <w:rPr>
          <w:rFonts w:hint="eastAsia" w:cs="宋体"/>
          <w:color w:val="auto"/>
          <w:sz w:val="28"/>
          <w:szCs w:val="28"/>
          <w:highlight w:val="none"/>
        </w:rPr>
        <w:br w:type="page"/>
      </w:r>
      <w:r>
        <w:rPr>
          <w:rStyle w:val="34"/>
          <w:rFonts w:hint="eastAsia"/>
          <w:color w:val="auto"/>
          <w:highlight w:val="none"/>
        </w:rPr>
        <w:t>格式3</w:t>
      </w:r>
    </w:p>
    <w:p>
      <w:pPr>
        <w:jc w:val="center"/>
        <w:rPr>
          <w:rFonts w:ascii="黑体" w:hAnsi="黑体" w:eastAsia="黑体" w:cs="黑体"/>
          <w:color w:val="auto"/>
          <w:sz w:val="32"/>
          <w:szCs w:val="32"/>
          <w:highlight w:val="none"/>
        </w:rPr>
      </w:pPr>
      <w:bookmarkStart w:id="80" w:name="_Toc2304_WPSOffice_Level2"/>
      <w:bookmarkStart w:id="81" w:name="_Toc21414_WPSOffice_Level2"/>
      <w:r>
        <w:rPr>
          <w:rFonts w:hint="eastAsia" w:ascii="黑体" w:hAnsi="黑体" w:eastAsia="黑体" w:cs="黑体"/>
          <w:color w:val="auto"/>
          <w:sz w:val="32"/>
          <w:szCs w:val="32"/>
          <w:highlight w:val="none"/>
        </w:rPr>
        <w:t>目  录</w:t>
      </w:r>
      <w:bookmarkEnd w:id="80"/>
      <w:bookmarkEnd w:id="81"/>
    </w:p>
    <w:p>
      <w:pPr>
        <w:rPr>
          <w:color w:val="auto"/>
          <w:highlight w:val="none"/>
        </w:rPr>
      </w:pPr>
      <w:r>
        <w:rPr>
          <w:rFonts w:hint="eastAsia"/>
          <w:color w:val="auto"/>
          <w:highlight w:val="none"/>
        </w:rPr>
        <w:t>一、资格证明材料</w:t>
      </w:r>
    </w:p>
    <w:p>
      <w:pPr>
        <w:rPr>
          <w:color w:val="auto"/>
          <w:highlight w:val="none"/>
        </w:rPr>
      </w:pPr>
      <w:r>
        <w:rPr>
          <w:rFonts w:hint="eastAsia"/>
          <w:color w:val="auto"/>
          <w:highlight w:val="none"/>
        </w:rPr>
        <w:t>……</w:t>
      </w:r>
    </w:p>
    <w:p>
      <w:pPr>
        <w:rPr>
          <w:color w:val="auto"/>
          <w:highlight w:val="none"/>
        </w:rPr>
      </w:pPr>
      <w:r>
        <w:rPr>
          <w:rFonts w:hint="eastAsia"/>
          <w:color w:val="auto"/>
          <w:highlight w:val="none"/>
        </w:rPr>
        <w:t>二、符合性证明材料</w:t>
      </w:r>
    </w:p>
    <w:p>
      <w:pPr>
        <w:rPr>
          <w:color w:val="auto"/>
          <w:highlight w:val="none"/>
        </w:rPr>
      </w:pPr>
      <w:r>
        <w:rPr>
          <w:rFonts w:hint="eastAsia"/>
          <w:color w:val="auto"/>
          <w:highlight w:val="none"/>
        </w:rPr>
        <w:t>……</w:t>
      </w:r>
    </w:p>
    <w:p>
      <w:pPr>
        <w:rPr>
          <w:color w:val="auto"/>
          <w:highlight w:val="none"/>
        </w:rPr>
      </w:pPr>
      <w:r>
        <w:rPr>
          <w:rFonts w:hint="eastAsia"/>
          <w:color w:val="auto"/>
          <w:highlight w:val="none"/>
        </w:rPr>
        <w:t>三、其它材料</w:t>
      </w:r>
    </w:p>
    <w:p>
      <w:pPr>
        <w:rPr>
          <w:color w:val="auto"/>
          <w:highlight w:val="none"/>
        </w:rPr>
      </w:pPr>
      <w:r>
        <w:rPr>
          <w:rFonts w:hint="eastAsia"/>
          <w:color w:val="auto"/>
          <w:highlight w:val="none"/>
        </w:rPr>
        <w:t>……</w:t>
      </w: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ind w:firstLine="420" w:firstLineChars="200"/>
        <w:rPr>
          <w:color w:val="auto"/>
          <w:highlight w:val="none"/>
        </w:rPr>
      </w:pPr>
      <w:r>
        <w:rPr>
          <w:rFonts w:hint="eastAsia"/>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color w:val="auto"/>
          <w:highlight w:val="none"/>
        </w:rPr>
      </w:pPr>
    </w:p>
    <w:p>
      <w:pPr>
        <w:rPr>
          <w:rFonts w:eastAsia="仿宋_GB2312"/>
          <w:color w:val="auto"/>
          <w:sz w:val="28"/>
          <w:szCs w:val="28"/>
          <w:highlight w:val="none"/>
        </w:rPr>
      </w:pPr>
    </w:p>
    <w:p>
      <w:pPr>
        <w:rPr>
          <w:color w:val="auto"/>
          <w:highlight w:val="none"/>
        </w:rPr>
      </w:pPr>
    </w:p>
    <w:p>
      <w:pPr>
        <w:rPr>
          <w:color w:val="auto"/>
          <w:highlight w:val="none"/>
        </w:rPr>
      </w:pPr>
    </w:p>
    <w:p>
      <w:pPr>
        <w:rPr>
          <w:color w:val="auto"/>
          <w:highlight w:val="none"/>
        </w:rPr>
      </w:pPr>
      <w:r>
        <w:rPr>
          <w:rFonts w:hint="eastAsia"/>
          <w:color w:val="auto"/>
          <w:highlight w:val="none"/>
        </w:rPr>
        <w:t xml:space="preserve">供应商名称：（加盖公章）           </w:t>
      </w: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r>
        <w:rPr>
          <w:rFonts w:hint="eastAsia"/>
          <w:color w:val="auto"/>
          <w:highlight w:val="none"/>
        </w:rPr>
        <w:t xml:space="preserve">法定代表人（或非法人组织负责人）或其授权代表人：           (签字或盖章) </w:t>
      </w: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r>
        <w:rPr>
          <w:rFonts w:hint="eastAsia"/>
          <w:color w:val="auto"/>
          <w:highlight w:val="none"/>
        </w:rPr>
        <w:t>签署日期：      年      月      日</w:t>
      </w:r>
    </w:p>
    <w:p>
      <w:pPr>
        <w:pStyle w:val="3"/>
        <w:adjustRightInd w:val="0"/>
        <w:snapToGrid w:val="0"/>
        <w:spacing w:before="0" w:after="0"/>
        <w:jc w:val="left"/>
        <w:rPr>
          <w:rFonts w:eastAsia="宋体" w:cs="宋体"/>
          <w:b/>
          <w:bCs/>
          <w:color w:val="auto"/>
          <w:highlight w:val="none"/>
        </w:rPr>
      </w:pPr>
      <w:r>
        <w:rPr>
          <w:rFonts w:hint="eastAsia" w:eastAsia="宋体" w:cs="宋体"/>
          <w:color w:val="auto"/>
          <w:highlight w:val="none"/>
        </w:rPr>
        <w:br w:type="page"/>
      </w:r>
      <w:r>
        <w:rPr>
          <w:rStyle w:val="34"/>
          <w:rFonts w:hint="eastAsia"/>
          <w:color w:val="auto"/>
          <w:highlight w:val="none"/>
        </w:rPr>
        <w:t>格式4</w:t>
      </w:r>
      <w:bookmarkStart w:id="82" w:name="_Toc3401_WPSOffice_Level2"/>
      <w:bookmarkStart w:id="83" w:name="_Toc16924_WPSOffice_Level2"/>
    </w:p>
    <w:p>
      <w:pPr>
        <w:pStyle w:val="3"/>
        <w:rPr>
          <w:rFonts w:eastAsia="宋体" w:cs="宋体"/>
          <w:b/>
          <w:bCs/>
          <w:color w:val="auto"/>
          <w:highlight w:val="none"/>
        </w:rPr>
      </w:pPr>
      <w:r>
        <w:rPr>
          <w:rFonts w:hint="eastAsia"/>
          <w:color w:val="auto"/>
          <w:highlight w:val="none"/>
        </w:rPr>
        <w:t>法定代表人（或非法人组织负责人）身份证明书</w:t>
      </w:r>
      <w:bookmarkEnd w:id="82"/>
      <w:bookmarkEnd w:id="83"/>
    </w:p>
    <w:p>
      <w:pPr>
        <w:ind w:firstLine="420" w:firstLineChars="200"/>
        <w:rPr>
          <w:rFonts w:cs="宋体"/>
          <w:color w:val="auto"/>
          <w:highlight w:val="none"/>
          <w:u w:val="single"/>
        </w:rPr>
      </w:pPr>
    </w:p>
    <w:p>
      <w:pPr>
        <w:ind w:firstLine="420" w:firstLineChars="200"/>
        <w:rPr>
          <w:rFonts w:cs="宋体"/>
          <w:color w:val="auto"/>
          <w:highlight w:val="none"/>
        </w:rPr>
      </w:pPr>
      <w:r>
        <w:rPr>
          <w:rFonts w:hint="eastAsia" w:cs="宋体"/>
          <w:color w:val="auto"/>
          <w:highlight w:val="none"/>
        </w:rPr>
        <w:t>姓名：</w:t>
      </w:r>
      <w:r>
        <w:rPr>
          <w:rFonts w:hint="eastAsia" w:cs="宋体"/>
          <w:color w:val="auto"/>
          <w:highlight w:val="none"/>
          <w:u w:val="single"/>
        </w:rPr>
        <w:t xml:space="preserve">        </w:t>
      </w:r>
      <w:r>
        <w:rPr>
          <w:rFonts w:hint="eastAsia" w:cs="宋体"/>
          <w:color w:val="auto"/>
          <w:highlight w:val="none"/>
        </w:rPr>
        <w:t>，性别：</w:t>
      </w:r>
      <w:r>
        <w:rPr>
          <w:rFonts w:hint="eastAsia" w:cs="宋体"/>
          <w:color w:val="auto"/>
          <w:highlight w:val="none"/>
          <w:u w:val="single"/>
        </w:rPr>
        <w:t xml:space="preserve">        </w:t>
      </w:r>
      <w:r>
        <w:rPr>
          <w:rFonts w:hint="eastAsia" w:cs="宋体"/>
          <w:color w:val="auto"/>
          <w:highlight w:val="none"/>
        </w:rPr>
        <w:t>，出生日期：</w:t>
      </w:r>
      <w:r>
        <w:rPr>
          <w:rFonts w:hint="eastAsia" w:cs="宋体"/>
          <w:color w:val="auto"/>
          <w:highlight w:val="none"/>
          <w:u w:val="single"/>
        </w:rPr>
        <w:t xml:space="preserve">         </w:t>
      </w:r>
      <w:r>
        <w:rPr>
          <w:rFonts w:hint="eastAsia" w:cs="宋体"/>
          <w:color w:val="auto"/>
          <w:highlight w:val="none"/>
        </w:rPr>
        <w:t>，现任职务：</w:t>
      </w:r>
      <w:r>
        <w:rPr>
          <w:rFonts w:hint="eastAsia" w:cs="宋体"/>
          <w:color w:val="auto"/>
          <w:highlight w:val="none"/>
          <w:u w:val="single"/>
        </w:rPr>
        <w:t xml:space="preserve">       </w:t>
      </w:r>
      <w:r>
        <w:rPr>
          <w:rFonts w:hint="eastAsia" w:cs="宋体"/>
          <w:color w:val="auto"/>
          <w:highlight w:val="none"/>
        </w:rPr>
        <w:t>，系</w:t>
      </w:r>
      <w:r>
        <w:rPr>
          <w:rFonts w:hint="eastAsia" w:cs="宋体"/>
          <w:color w:val="auto"/>
          <w:highlight w:val="none"/>
          <w:u w:val="single"/>
        </w:rPr>
        <w:t xml:space="preserve">            （供应商名称）</w:t>
      </w:r>
      <w:r>
        <w:rPr>
          <w:rFonts w:hint="eastAsia" w:cs="宋体"/>
          <w:color w:val="auto"/>
          <w:highlight w:val="none"/>
        </w:rPr>
        <w:t>的法定代表人（或非法人组织负责人）。</w:t>
      </w:r>
    </w:p>
    <w:p>
      <w:pPr>
        <w:ind w:firstLine="420" w:firstLineChars="200"/>
        <w:rPr>
          <w:rFonts w:cs="宋体"/>
          <w:color w:val="auto"/>
          <w:highlight w:val="none"/>
        </w:rPr>
      </w:pPr>
      <w:r>
        <w:rPr>
          <w:rFonts w:hint="eastAsia" w:cs="宋体"/>
          <w:color w:val="auto"/>
          <w:highlight w:val="none"/>
        </w:rPr>
        <w:t xml:space="preserve">            </w:t>
      </w:r>
    </w:p>
    <w:p>
      <w:pPr>
        <w:ind w:firstLine="420" w:firstLineChars="200"/>
        <w:rPr>
          <w:rFonts w:cs="宋体"/>
          <w:color w:val="auto"/>
          <w:highlight w:val="none"/>
        </w:rPr>
      </w:pPr>
      <w:r>
        <w:rPr>
          <w:rFonts w:hint="eastAsia" w:cs="宋体"/>
          <w:color w:val="auto"/>
          <w:highlight w:val="none"/>
        </w:rPr>
        <w:t>特此证明。</w:t>
      </w:r>
    </w:p>
    <w:p>
      <w:pPr>
        <w:rPr>
          <w:rFonts w:cs="宋体"/>
          <w:color w:val="auto"/>
          <w:sz w:val="24"/>
          <w:highlight w:val="none"/>
        </w:rPr>
      </w:pPr>
    </w:p>
    <w:p>
      <w:pPr>
        <w:rPr>
          <w:rFonts w:cs="宋体"/>
          <w:color w:val="auto"/>
          <w:sz w:val="24"/>
          <w:highlight w:val="none"/>
        </w:rPr>
      </w:pPr>
    </w:p>
    <w:p>
      <w:pPr>
        <w:rPr>
          <w:rFonts w:cs="宋体"/>
          <w:color w:val="auto"/>
          <w:sz w:val="24"/>
          <w:highlight w:val="none"/>
        </w:rPr>
      </w:pP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pPr>
              <w:jc w:val="center"/>
              <w:rPr>
                <w:rFonts w:cs="宋体"/>
                <w:color w:val="auto"/>
                <w:highlight w:val="none"/>
              </w:rPr>
            </w:pPr>
            <w:r>
              <w:rPr>
                <w:rFonts w:hint="eastAsia"/>
                <w:color w:val="auto"/>
                <w:highlight w:val="none"/>
              </w:rPr>
              <w:t>（※法定代表人（或非法人组织负责人）身份证正、反面复印件※）</w:t>
            </w:r>
          </w:p>
        </w:tc>
      </w:tr>
    </w:tbl>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jc w:val="right"/>
        <w:rPr>
          <w:rFonts w:cs="宋体"/>
          <w:color w:val="auto"/>
          <w:highlight w:val="none"/>
        </w:rPr>
      </w:pPr>
      <w:r>
        <w:rPr>
          <w:rFonts w:hint="eastAsia" w:cs="宋体"/>
          <w:color w:val="auto"/>
          <w:sz w:val="24"/>
          <w:highlight w:val="none"/>
        </w:rPr>
        <w:t xml:space="preserve">                                          </w:t>
      </w:r>
      <w:r>
        <w:rPr>
          <w:rFonts w:hint="eastAsia" w:cs="宋体"/>
          <w:color w:val="auto"/>
          <w:highlight w:val="none"/>
        </w:rPr>
        <w:t xml:space="preserve"> 供应商名称：（加盖公章）  </w:t>
      </w:r>
    </w:p>
    <w:p>
      <w:pPr>
        <w:jc w:val="right"/>
        <w:rPr>
          <w:rFonts w:cs="宋体"/>
          <w:color w:val="auto"/>
          <w:highlight w:val="none"/>
        </w:rPr>
      </w:pPr>
      <w:r>
        <w:rPr>
          <w:rFonts w:hint="eastAsia" w:cs="宋体"/>
          <w:color w:val="auto"/>
          <w:highlight w:val="none"/>
        </w:rPr>
        <w:t xml:space="preserve">    </w:t>
      </w:r>
    </w:p>
    <w:p>
      <w:pPr>
        <w:jc w:val="right"/>
        <w:rPr>
          <w:rFonts w:cs="宋体"/>
          <w:color w:val="auto"/>
          <w:highlight w:val="none"/>
        </w:rPr>
      </w:pPr>
      <w:r>
        <w:rPr>
          <w:rFonts w:hint="eastAsia" w:cs="宋体"/>
          <w:color w:val="auto"/>
          <w:highlight w:val="none"/>
        </w:rPr>
        <w:t xml:space="preserve">年   月   日 </w:t>
      </w:r>
      <w:r>
        <w:rPr>
          <w:rFonts w:hint="eastAsia" w:cs="宋体"/>
          <w:color w:val="auto"/>
          <w:sz w:val="24"/>
          <w:highlight w:val="none"/>
        </w:rPr>
        <w:t xml:space="preserve">      </w:t>
      </w:r>
      <w:r>
        <w:rPr>
          <w:rFonts w:hint="eastAsia" w:cs="宋体"/>
          <w:color w:val="auto"/>
          <w:highlight w:val="none"/>
        </w:rPr>
        <w:t xml:space="preserve">            </w:t>
      </w:r>
    </w:p>
    <w:p>
      <w:pPr>
        <w:rPr>
          <w:rFonts w:cs="宋体"/>
          <w:b/>
          <w:bCs/>
          <w:color w:val="auto"/>
          <w:sz w:val="32"/>
          <w:szCs w:val="32"/>
          <w:highlight w:val="none"/>
        </w:rPr>
      </w:pPr>
      <w:r>
        <w:rPr>
          <w:rFonts w:hint="eastAsia" w:cs="宋体"/>
          <w:color w:val="auto"/>
          <w:highlight w:val="none"/>
        </w:rPr>
        <w:br w:type="page"/>
      </w:r>
      <w:r>
        <w:rPr>
          <w:rStyle w:val="34"/>
          <w:rFonts w:hint="eastAsia"/>
          <w:color w:val="auto"/>
          <w:highlight w:val="none"/>
        </w:rPr>
        <w:t>格式5</w:t>
      </w:r>
      <w:bookmarkStart w:id="84" w:name="_Toc122_WPSOffice_Level2"/>
      <w:bookmarkStart w:id="85" w:name="_Toc21833_WPSOffice_Level2"/>
    </w:p>
    <w:p>
      <w:pPr>
        <w:pStyle w:val="3"/>
        <w:rPr>
          <w:rFonts w:eastAsia="宋体" w:cs="宋体"/>
          <w:b/>
          <w:bCs/>
          <w:color w:val="auto"/>
          <w:highlight w:val="none"/>
        </w:rPr>
      </w:pPr>
      <w:r>
        <w:rPr>
          <w:rFonts w:hint="eastAsia"/>
          <w:color w:val="auto"/>
          <w:highlight w:val="none"/>
        </w:rPr>
        <w:t>法定代表人（或非法人组织负责人）授权委托书</w:t>
      </w:r>
      <w:bookmarkEnd w:id="84"/>
      <w:bookmarkEnd w:id="85"/>
    </w:p>
    <w:p>
      <w:pPr>
        <w:ind w:firstLine="420" w:firstLineChars="200"/>
        <w:rPr>
          <w:rFonts w:cs="宋体"/>
          <w:color w:val="auto"/>
          <w:highlight w:val="none"/>
        </w:rPr>
      </w:pPr>
    </w:p>
    <w:p>
      <w:pPr>
        <w:ind w:firstLine="420" w:firstLineChars="200"/>
        <w:rPr>
          <w:color w:val="auto"/>
          <w:highlight w:val="none"/>
          <w:u w:val="single"/>
        </w:rPr>
      </w:pPr>
      <w:r>
        <w:rPr>
          <w:rFonts w:hint="eastAsia"/>
          <w:color w:val="auto"/>
          <w:highlight w:val="none"/>
        </w:rPr>
        <w:t>委托人名称：</w:t>
      </w:r>
      <w:r>
        <w:rPr>
          <w:rFonts w:hint="eastAsia"/>
          <w:color w:val="auto"/>
          <w:highlight w:val="none"/>
          <w:u w:val="single"/>
        </w:rPr>
        <w:t xml:space="preserve">                                     </w:t>
      </w:r>
    </w:p>
    <w:p>
      <w:pPr>
        <w:ind w:firstLine="420" w:firstLineChars="200"/>
        <w:rPr>
          <w:color w:val="auto"/>
          <w:highlight w:val="none"/>
          <w:u w:val="single"/>
        </w:rPr>
      </w:pPr>
      <w:r>
        <w:rPr>
          <w:rFonts w:hint="eastAsia"/>
          <w:color w:val="auto"/>
          <w:highlight w:val="none"/>
        </w:rPr>
        <w:t>法定代表人（或非法人组织负责人）姓名：</w:t>
      </w:r>
      <w:r>
        <w:rPr>
          <w:rFonts w:hint="eastAsia"/>
          <w:color w:val="auto"/>
          <w:highlight w:val="none"/>
          <w:u w:val="single"/>
        </w:rPr>
        <w:t xml:space="preserve">         </w:t>
      </w:r>
      <w:r>
        <w:rPr>
          <w:rFonts w:hint="eastAsia"/>
          <w:color w:val="auto"/>
          <w:highlight w:val="none"/>
        </w:rPr>
        <w:t>身份证号码：</w:t>
      </w:r>
      <w:r>
        <w:rPr>
          <w:rFonts w:hint="eastAsia"/>
          <w:color w:val="auto"/>
          <w:highlight w:val="none"/>
          <w:u w:val="single"/>
        </w:rPr>
        <w:t xml:space="preserve">         </w:t>
      </w:r>
    </w:p>
    <w:p>
      <w:pPr>
        <w:ind w:firstLine="420" w:firstLineChars="200"/>
        <w:rPr>
          <w:color w:val="auto"/>
          <w:highlight w:val="none"/>
          <w:u w:val="single"/>
        </w:rPr>
      </w:pPr>
      <w:r>
        <w:rPr>
          <w:rFonts w:hint="eastAsia"/>
          <w:color w:val="auto"/>
          <w:highlight w:val="none"/>
        </w:rPr>
        <w:t>住所地：</w:t>
      </w:r>
      <w:r>
        <w:rPr>
          <w:rFonts w:hint="eastAsia"/>
          <w:color w:val="auto"/>
          <w:highlight w:val="none"/>
          <w:u w:val="single"/>
        </w:rPr>
        <w:t xml:space="preserve">                                         </w:t>
      </w:r>
    </w:p>
    <w:p>
      <w:pPr>
        <w:ind w:firstLine="420" w:firstLineChars="200"/>
        <w:rPr>
          <w:color w:val="auto"/>
          <w:highlight w:val="none"/>
        </w:rPr>
      </w:pPr>
      <w:r>
        <w:rPr>
          <w:rFonts w:hint="eastAsia"/>
          <w:color w:val="auto"/>
          <w:highlight w:val="none"/>
        </w:rPr>
        <w:t>受托人名称：</w:t>
      </w:r>
      <w:r>
        <w:rPr>
          <w:rFonts w:hint="eastAsia"/>
          <w:color w:val="auto"/>
          <w:highlight w:val="none"/>
          <w:u w:val="single"/>
        </w:rPr>
        <w:t xml:space="preserve">                           </w:t>
      </w:r>
      <w:r>
        <w:rPr>
          <w:rFonts w:hint="eastAsia"/>
          <w:color w:val="auto"/>
          <w:highlight w:val="none"/>
        </w:rPr>
        <w:t xml:space="preserve">        身份证号码：</w:t>
      </w:r>
      <w:r>
        <w:rPr>
          <w:rFonts w:hint="eastAsia"/>
          <w:color w:val="auto"/>
          <w:highlight w:val="none"/>
          <w:u w:val="single"/>
        </w:rPr>
        <w:t xml:space="preserve">         </w:t>
      </w:r>
      <w:r>
        <w:rPr>
          <w:rFonts w:hint="eastAsia"/>
          <w:color w:val="auto"/>
          <w:highlight w:val="none"/>
        </w:rPr>
        <w:t xml:space="preserve">         </w:t>
      </w:r>
    </w:p>
    <w:p>
      <w:pPr>
        <w:ind w:firstLine="420" w:firstLineChars="200"/>
        <w:rPr>
          <w:color w:val="auto"/>
          <w:highlight w:val="none"/>
          <w:u w:val="single"/>
        </w:rPr>
      </w:pPr>
      <w:r>
        <w:rPr>
          <w:rFonts w:hint="eastAsia"/>
          <w:color w:val="auto"/>
          <w:highlight w:val="none"/>
        </w:rPr>
        <w:t>工作单位：</w:t>
      </w:r>
      <w:r>
        <w:rPr>
          <w:rFonts w:hint="eastAsia"/>
          <w:color w:val="auto"/>
          <w:highlight w:val="none"/>
          <w:u w:val="single"/>
        </w:rPr>
        <w:t xml:space="preserve">                             </w:t>
      </w:r>
    </w:p>
    <w:p>
      <w:pPr>
        <w:ind w:firstLine="420" w:firstLineChars="200"/>
        <w:rPr>
          <w:color w:val="auto"/>
          <w:highlight w:val="none"/>
          <w:u w:val="single"/>
        </w:rPr>
      </w:pPr>
      <w:r>
        <w:rPr>
          <w:rFonts w:hint="eastAsia"/>
          <w:color w:val="auto"/>
          <w:highlight w:val="none"/>
        </w:rPr>
        <w:t>住址：</w:t>
      </w:r>
      <w:r>
        <w:rPr>
          <w:rFonts w:hint="eastAsia"/>
          <w:color w:val="auto"/>
          <w:highlight w:val="none"/>
          <w:u w:val="single"/>
        </w:rPr>
        <w:t xml:space="preserve">                      </w:t>
      </w:r>
      <w:r>
        <w:rPr>
          <w:rFonts w:hint="eastAsia"/>
          <w:color w:val="auto"/>
          <w:highlight w:val="none"/>
        </w:rPr>
        <w:t xml:space="preserve">        电话：</w:t>
      </w:r>
      <w:r>
        <w:rPr>
          <w:rFonts w:hint="eastAsia"/>
          <w:color w:val="auto"/>
          <w:highlight w:val="none"/>
          <w:u w:val="single"/>
        </w:rPr>
        <w:t xml:space="preserve">       </w:t>
      </w:r>
      <w:r>
        <w:rPr>
          <w:color w:val="auto"/>
          <w:highlight w:val="none"/>
          <w:u w:val="single"/>
        </w:rPr>
        <w:t xml:space="preserve">       </w:t>
      </w:r>
    </w:p>
    <w:p>
      <w:pPr>
        <w:ind w:firstLine="420" w:firstLineChars="200"/>
        <w:rPr>
          <w:color w:val="auto"/>
          <w:highlight w:val="none"/>
        </w:rPr>
      </w:pPr>
      <w:r>
        <w:rPr>
          <w:rFonts w:hint="eastAsia"/>
          <w:color w:val="auto"/>
          <w:highlight w:val="none"/>
        </w:rPr>
        <w:t>现委托</w:t>
      </w:r>
      <w:r>
        <w:rPr>
          <w:rFonts w:hint="eastAsia"/>
          <w:color w:val="auto"/>
          <w:highlight w:val="none"/>
          <w:u w:val="single"/>
        </w:rPr>
        <w:t xml:space="preserve">           </w:t>
      </w:r>
      <w:r>
        <w:rPr>
          <w:rFonts w:hint="eastAsia"/>
          <w:color w:val="auto"/>
          <w:highlight w:val="none"/>
        </w:rPr>
        <w:t>在委托人就</w:t>
      </w:r>
      <w:r>
        <w:rPr>
          <w:rFonts w:hint="eastAsia"/>
          <w:color w:val="auto"/>
          <w:highlight w:val="none"/>
          <w:u w:val="single"/>
        </w:rPr>
        <w:t>（项目编号、项目名称、包号）</w:t>
      </w:r>
      <w:r>
        <w:rPr>
          <w:rFonts w:hint="eastAsia"/>
          <w:color w:val="auto"/>
          <w:highlight w:val="none"/>
        </w:rPr>
        <w:t>投标中，以我单位名义处理一切与之有关的事务。</w:t>
      </w:r>
    </w:p>
    <w:p>
      <w:pPr>
        <w:ind w:firstLine="420" w:firstLineChars="200"/>
        <w:rPr>
          <w:color w:val="auto"/>
          <w:highlight w:val="none"/>
        </w:rPr>
      </w:pPr>
      <w:r>
        <w:rPr>
          <w:rFonts w:hint="eastAsia"/>
          <w:color w:val="auto"/>
          <w:highlight w:val="none"/>
        </w:rPr>
        <w:t>本授权书于</w:t>
      </w:r>
      <w:r>
        <w:rPr>
          <w:rFonts w:hint="eastAsia"/>
          <w:color w:val="auto"/>
          <w:highlight w:val="none"/>
          <w:u w:val="single"/>
        </w:rPr>
        <w:t xml:space="preserve">    </w:t>
      </w:r>
      <w:r>
        <w:rPr>
          <w:rFonts w:hint="eastAsia"/>
          <w:color w:val="auto"/>
          <w:highlight w:val="none"/>
        </w:rPr>
        <w:t>年</w:t>
      </w:r>
      <w:r>
        <w:rPr>
          <w:rFonts w:hint="eastAsia"/>
          <w:color w:val="auto"/>
          <w:highlight w:val="none"/>
          <w:u w:val="single"/>
        </w:rPr>
        <w:t xml:space="preserve">    </w:t>
      </w:r>
      <w:r>
        <w:rPr>
          <w:rFonts w:hint="eastAsia"/>
          <w:color w:val="auto"/>
          <w:highlight w:val="none"/>
        </w:rPr>
        <w:t>月</w:t>
      </w:r>
      <w:r>
        <w:rPr>
          <w:rFonts w:hint="eastAsia"/>
          <w:color w:val="auto"/>
          <w:highlight w:val="none"/>
          <w:u w:val="single"/>
        </w:rPr>
        <w:t xml:space="preserve">    </w:t>
      </w:r>
      <w:r>
        <w:rPr>
          <w:rFonts w:hint="eastAsia"/>
          <w:color w:val="auto"/>
          <w:highlight w:val="none"/>
        </w:rPr>
        <w:t>日签字或盖章生效,</w:t>
      </w:r>
      <w:r>
        <w:rPr>
          <w:rFonts w:hint="eastAsia"/>
          <w:b/>
          <w:bCs/>
          <w:color w:val="auto"/>
          <w:highlight w:val="none"/>
        </w:rPr>
        <w:t>无转委托</w:t>
      </w:r>
      <w:r>
        <w:rPr>
          <w:rFonts w:hint="eastAsia"/>
          <w:color w:val="auto"/>
          <w:highlight w:val="none"/>
        </w:rPr>
        <w:t>，特此声明。</w:t>
      </w:r>
    </w:p>
    <w:p>
      <w:pPr>
        <w:rPr>
          <w:rFonts w:cs="宋体"/>
          <w:color w:val="auto"/>
          <w:sz w:val="24"/>
          <w:highlight w:val="none"/>
        </w:rPr>
      </w:pP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pPr>
              <w:jc w:val="center"/>
              <w:rPr>
                <w:rFonts w:cs="宋体"/>
                <w:color w:val="auto"/>
                <w:highlight w:val="none"/>
              </w:rPr>
            </w:pPr>
            <w:r>
              <w:rPr>
                <w:rFonts w:hint="eastAsia"/>
                <w:color w:val="auto"/>
                <w:highlight w:val="none"/>
              </w:rPr>
              <w:t>（※受托人身份证正、反面复印件※）</w:t>
            </w:r>
          </w:p>
        </w:tc>
      </w:tr>
    </w:tbl>
    <w:p>
      <w:pPr>
        <w:rPr>
          <w:rFonts w:cs="宋体"/>
          <w:color w:val="auto"/>
          <w:highlight w:val="none"/>
        </w:rPr>
      </w:pPr>
    </w:p>
    <w:p>
      <w:pPr>
        <w:ind w:firstLine="420" w:firstLineChars="200"/>
        <w:rPr>
          <w:rFonts w:cs="Lucida Sans Unicode"/>
          <w:color w:val="auto"/>
          <w:highlight w:val="none"/>
        </w:rPr>
      </w:pPr>
      <w:r>
        <w:rPr>
          <w:rFonts w:hint="eastAsia" w:cs="Lucida Sans Unicode"/>
          <w:color w:val="auto"/>
          <w:highlight w:val="none"/>
        </w:rPr>
        <w:t>委托人（单位公章）：</w:t>
      </w:r>
    </w:p>
    <w:p>
      <w:pPr>
        <w:ind w:firstLine="420" w:firstLineChars="200"/>
        <w:rPr>
          <w:rFonts w:cs="Lucida Sans Unicode"/>
          <w:color w:val="auto"/>
          <w:highlight w:val="none"/>
        </w:rPr>
      </w:pPr>
      <w:r>
        <w:rPr>
          <w:rFonts w:hint="eastAsia" w:cs="Lucida Sans Unicode"/>
          <w:color w:val="auto"/>
          <w:highlight w:val="none"/>
        </w:rPr>
        <w:t xml:space="preserve">法定代表人（或非法人组织负责人）：（签字或盖章） </w:t>
      </w:r>
    </w:p>
    <w:p>
      <w:pPr>
        <w:ind w:firstLine="420" w:firstLineChars="200"/>
        <w:rPr>
          <w:rFonts w:cs="Lucida Sans Unicode"/>
          <w:color w:val="auto"/>
          <w:highlight w:val="none"/>
        </w:rPr>
      </w:pPr>
      <w:r>
        <w:rPr>
          <w:rFonts w:hint="eastAsia" w:cs="Lucida Sans Unicode"/>
          <w:color w:val="auto"/>
          <w:highlight w:val="none"/>
        </w:rPr>
        <w:t>受托人：（签字或盖章）</w:t>
      </w:r>
    </w:p>
    <w:p>
      <w:pPr>
        <w:ind w:firstLine="420" w:firstLineChars="200"/>
        <w:rPr>
          <w:rFonts w:cs="Lucida Sans Unicode"/>
          <w:color w:val="auto"/>
          <w:highlight w:val="none"/>
        </w:rPr>
      </w:pPr>
      <w:r>
        <w:rPr>
          <w:rFonts w:hint="eastAsia" w:cs="Lucida Sans Unicode"/>
          <w:color w:val="auto"/>
          <w:highlight w:val="none"/>
        </w:rPr>
        <w:t>详细通讯地址：</w:t>
      </w:r>
      <w:r>
        <w:rPr>
          <w:rFonts w:hint="eastAsia" w:cs="Lucida Sans Unicode"/>
          <w:color w:val="auto"/>
          <w:highlight w:val="none"/>
          <w:u w:val="single"/>
        </w:rPr>
        <w:t xml:space="preserve">              </w:t>
      </w:r>
      <w:r>
        <w:rPr>
          <w:rFonts w:hint="eastAsia" w:cs="Lucida Sans Unicode"/>
          <w:color w:val="auto"/>
          <w:highlight w:val="none"/>
        </w:rPr>
        <w:t xml:space="preserve">      邮 政 编 码 ：</w:t>
      </w:r>
      <w:r>
        <w:rPr>
          <w:rFonts w:hint="eastAsia" w:cs="Lucida Sans Unicode"/>
          <w:color w:val="auto"/>
          <w:highlight w:val="none"/>
          <w:u w:val="single"/>
        </w:rPr>
        <w:t xml:space="preserve">              </w:t>
      </w:r>
    </w:p>
    <w:p>
      <w:pPr>
        <w:ind w:firstLine="420" w:firstLineChars="200"/>
        <w:rPr>
          <w:rFonts w:cs="Lucida Sans Unicode"/>
          <w:color w:val="auto"/>
          <w:highlight w:val="none"/>
          <w:u w:val="single"/>
        </w:rPr>
      </w:pPr>
      <w:r>
        <w:rPr>
          <w:rFonts w:hint="eastAsia" w:cs="Lucida Sans Unicode"/>
          <w:color w:val="auto"/>
          <w:highlight w:val="none"/>
        </w:rPr>
        <w:t>传        真：</w:t>
      </w:r>
      <w:r>
        <w:rPr>
          <w:rFonts w:hint="eastAsia" w:cs="Lucida Sans Unicode"/>
          <w:color w:val="auto"/>
          <w:highlight w:val="none"/>
          <w:u w:val="single"/>
        </w:rPr>
        <w:t xml:space="preserve">              </w:t>
      </w:r>
      <w:r>
        <w:rPr>
          <w:rFonts w:hint="eastAsia" w:cs="Lucida Sans Unicode"/>
          <w:color w:val="auto"/>
          <w:highlight w:val="none"/>
        </w:rPr>
        <w:t xml:space="preserve">      电        话：</w:t>
      </w:r>
      <w:r>
        <w:rPr>
          <w:rFonts w:hint="eastAsia" w:cs="Lucida Sans Unicode"/>
          <w:color w:val="auto"/>
          <w:highlight w:val="none"/>
          <w:u w:val="single"/>
        </w:rPr>
        <w:t xml:space="preserve">              </w:t>
      </w:r>
    </w:p>
    <w:p>
      <w:pPr>
        <w:rPr>
          <w:rFonts w:cs="宋体"/>
          <w:color w:val="auto"/>
          <w:szCs w:val="28"/>
          <w:highlight w:val="none"/>
        </w:rPr>
      </w:pPr>
      <w:r>
        <w:rPr>
          <w:rFonts w:hint="eastAsia" w:cs="Lucida Sans Unicode"/>
          <w:color w:val="auto"/>
          <w:sz w:val="24"/>
          <w:highlight w:val="none"/>
          <w:u w:val="single"/>
        </w:rPr>
        <w:br w:type="page"/>
      </w:r>
      <w:r>
        <w:rPr>
          <w:rStyle w:val="34"/>
          <w:rFonts w:hint="eastAsia"/>
          <w:color w:val="auto"/>
          <w:highlight w:val="none"/>
        </w:rPr>
        <w:t>格式6</w:t>
      </w:r>
    </w:p>
    <w:p>
      <w:pPr>
        <w:pStyle w:val="4"/>
        <w:jc w:val="center"/>
        <w:rPr>
          <w:color w:val="auto"/>
          <w:highlight w:val="none"/>
        </w:rPr>
      </w:pPr>
      <w:bookmarkStart w:id="86" w:name="_Toc23728_WPSOffice_Level2"/>
      <w:bookmarkStart w:id="87" w:name="_Toc12037_WPSOffice_Level2"/>
      <w:r>
        <w:rPr>
          <w:rFonts w:hint="eastAsia"/>
          <w:color w:val="auto"/>
          <w:highlight w:val="none"/>
        </w:rPr>
        <w:t>具备履行合同所必需的设备和专业技术能力声明函</w:t>
      </w:r>
    </w:p>
    <w:p>
      <w:pPr>
        <w:pStyle w:val="18"/>
        <w:spacing w:before="0" w:beforeAutospacing="0" w:after="360" w:afterAutospacing="0"/>
        <w:ind w:firstLine="540"/>
        <w:textAlignment w:val="baseline"/>
        <w:rPr>
          <w:rFonts w:ascii="Times New Roman" w:cs="Times New Roman"/>
          <w:color w:val="auto"/>
          <w:kern w:val="2"/>
          <w:sz w:val="21"/>
          <w:szCs w:val="24"/>
          <w:highlight w:val="none"/>
        </w:rPr>
      </w:pPr>
      <w:r>
        <w:rPr>
          <w:rFonts w:ascii="Times New Roman" w:cs="Times New Roman"/>
          <w:color w:val="auto"/>
          <w:kern w:val="2"/>
          <w:sz w:val="21"/>
          <w:szCs w:val="24"/>
          <w:highlight w:val="none"/>
        </w:rPr>
        <w:t>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完全理解本</w:t>
      </w:r>
      <w:r>
        <w:rPr>
          <w:rFonts w:hint="eastAsia" w:ascii="Times New Roman" w:cs="Times New Roman"/>
          <w:color w:val="auto"/>
          <w:kern w:val="2"/>
          <w:sz w:val="21"/>
          <w:szCs w:val="24"/>
          <w:highlight w:val="none"/>
        </w:rPr>
        <w:t>次政府采购活动的采购需求</w:t>
      </w:r>
      <w:r>
        <w:rPr>
          <w:rFonts w:ascii="Times New Roman" w:cs="Times New Roman"/>
          <w:color w:val="auto"/>
          <w:kern w:val="2"/>
          <w:sz w:val="21"/>
          <w:szCs w:val="24"/>
          <w:highlight w:val="none"/>
        </w:rPr>
        <w:t>、商务条款及其他内容</w:t>
      </w:r>
      <w:r>
        <w:rPr>
          <w:rFonts w:hint="eastAsia" w:ascii="Times New Roman" w:cs="Times New Roman"/>
          <w:color w:val="auto"/>
          <w:kern w:val="2"/>
          <w:sz w:val="21"/>
          <w:szCs w:val="24"/>
          <w:highlight w:val="none"/>
        </w:rPr>
        <w:t>，</w:t>
      </w:r>
      <w:r>
        <w:rPr>
          <w:rFonts w:ascii="Times New Roman" w:cs="Times New Roman"/>
          <w:color w:val="auto"/>
          <w:kern w:val="2"/>
          <w:sz w:val="21"/>
          <w:szCs w:val="24"/>
          <w:highlight w:val="none"/>
        </w:rPr>
        <w:t>并承诺我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将提供足够的设备和专业技术能力保证本合同履行。</w:t>
      </w:r>
    </w:p>
    <w:p>
      <w:pPr>
        <w:pStyle w:val="18"/>
        <w:spacing w:before="0" w:beforeAutospacing="0" w:after="360" w:afterAutospacing="0"/>
        <w:ind w:firstLine="540"/>
        <w:textAlignment w:val="baseline"/>
        <w:rPr>
          <w:rFonts w:ascii="Times New Roman" w:cs="Times New Roman"/>
          <w:color w:val="auto"/>
          <w:kern w:val="2"/>
          <w:sz w:val="21"/>
          <w:szCs w:val="24"/>
          <w:highlight w:val="none"/>
        </w:rPr>
      </w:pPr>
      <w:r>
        <w:rPr>
          <w:rFonts w:ascii="Times New Roman" w:cs="Times New Roman"/>
          <w:color w:val="auto"/>
          <w:kern w:val="2"/>
          <w:sz w:val="21"/>
          <w:szCs w:val="24"/>
          <w:highlight w:val="none"/>
        </w:rPr>
        <w:t>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对上述承诺的真实性负责。如有虚假,我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同意按合同违约处理,并依法承担相应法律责任。</w:t>
      </w:r>
    </w:p>
    <w:p>
      <w:pPr>
        <w:rPr>
          <w:color w:val="auto"/>
          <w:highlight w:val="none"/>
        </w:rPr>
      </w:pPr>
    </w:p>
    <w:p>
      <w:pPr>
        <w:rPr>
          <w:color w:val="auto"/>
          <w:highlight w:val="none"/>
        </w:rPr>
      </w:pPr>
      <w:r>
        <w:rPr>
          <w:rFonts w:hint="eastAsia"/>
          <w:color w:val="auto"/>
          <w:highlight w:val="none"/>
        </w:rPr>
        <w:t xml:space="preserve"> </w:t>
      </w:r>
    </w:p>
    <w:p>
      <w:pPr>
        <w:jc w:val="right"/>
        <w:rPr>
          <w:rFonts w:ascii="宋体" w:cs="宋体"/>
          <w:color w:val="auto"/>
          <w:highlight w:val="none"/>
        </w:rPr>
      </w:pPr>
      <w:r>
        <w:rPr>
          <w:rFonts w:hint="eastAsia" w:ascii="宋体" w:cs="宋体"/>
          <w:color w:val="auto"/>
          <w:highlight w:val="none"/>
        </w:rPr>
        <w:t>供应商：               （盖单位章）</w:t>
      </w:r>
    </w:p>
    <w:p>
      <w:pPr>
        <w:jc w:val="right"/>
        <w:rPr>
          <w:rFonts w:ascii="宋体" w:cs="宋体"/>
          <w:color w:val="auto"/>
          <w:highlight w:val="none"/>
        </w:rPr>
      </w:pPr>
      <w:r>
        <w:rPr>
          <w:rFonts w:hint="eastAsia" w:ascii="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cs="仿宋_GB2312"/>
          <w:color w:val="auto"/>
          <w:sz w:val="24"/>
          <w:highlight w:val="none"/>
        </w:rPr>
      </w:pPr>
    </w:p>
    <w:p>
      <w:pPr>
        <w:adjustRightInd w:val="0"/>
        <w:snapToGrid w:val="0"/>
        <w:ind w:right="105" w:rightChars="50" w:firstLine="476" w:firstLineChars="227"/>
        <w:jc w:val="right"/>
        <w:rPr>
          <w:rFonts w:cs="仿宋_GB2312"/>
          <w:color w:val="auto"/>
          <w:sz w:val="24"/>
          <w:highlight w:val="none"/>
        </w:rPr>
      </w:pPr>
      <w:r>
        <w:rPr>
          <w:rFonts w:hint="eastAsia" w:ascii="宋体" w:cs="宋体"/>
          <w:color w:val="auto"/>
          <w:highlight w:val="none"/>
          <w:u w:val="single"/>
        </w:rPr>
        <w:t xml:space="preserve">         </w:t>
      </w:r>
      <w:r>
        <w:rPr>
          <w:rFonts w:hint="eastAsia" w:ascii="宋体" w:cs="宋体"/>
          <w:color w:val="auto"/>
          <w:highlight w:val="none"/>
        </w:rPr>
        <w:t>年</w:t>
      </w:r>
      <w:r>
        <w:rPr>
          <w:rFonts w:hint="eastAsia" w:ascii="宋体" w:cs="宋体"/>
          <w:color w:val="auto"/>
          <w:highlight w:val="none"/>
          <w:u w:val="single"/>
        </w:rPr>
        <w:t xml:space="preserve">       </w:t>
      </w:r>
      <w:r>
        <w:rPr>
          <w:rFonts w:hint="eastAsia" w:ascii="宋体" w:cs="宋体"/>
          <w:color w:val="auto"/>
          <w:highlight w:val="none"/>
        </w:rPr>
        <w:t>月</w:t>
      </w:r>
      <w:r>
        <w:rPr>
          <w:rFonts w:hint="eastAsia" w:ascii="宋体" w:cs="宋体"/>
          <w:color w:val="auto"/>
          <w:highlight w:val="none"/>
          <w:u w:val="single"/>
        </w:rPr>
        <w:t xml:space="preserve">         </w:t>
      </w:r>
      <w:r>
        <w:rPr>
          <w:rFonts w:hint="eastAsia" w:ascii="宋体" w:cs="宋体"/>
          <w:color w:val="auto"/>
          <w:highlight w:val="none"/>
        </w:rPr>
        <w:t>日</w:t>
      </w:r>
    </w:p>
    <w:p>
      <w:pPr>
        <w:ind w:firstLine="420" w:firstLineChars="200"/>
        <w:rPr>
          <w:color w:val="auto"/>
          <w:highlight w:val="none"/>
        </w:rPr>
      </w:pPr>
    </w:p>
    <w:p>
      <w:pPr>
        <w:ind w:firstLine="420" w:firstLineChars="200"/>
        <w:rPr>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4"/>
        <w:spacing w:before="0" w:after="0"/>
        <w:rPr>
          <w:color w:val="auto"/>
          <w:highlight w:val="none"/>
        </w:rPr>
      </w:pPr>
      <w:r>
        <w:rPr>
          <w:rFonts w:hint="eastAsia"/>
          <w:color w:val="auto"/>
          <w:highlight w:val="none"/>
        </w:rPr>
        <w:t>格式7</w:t>
      </w:r>
    </w:p>
    <w:p>
      <w:pPr>
        <w:pStyle w:val="3"/>
        <w:rPr>
          <w:color w:val="auto"/>
          <w:highlight w:val="none"/>
        </w:rPr>
      </w:pPr>
      <w:bookmarkStart w:id="88" w:name="_Toc11967_WPSOffice_Level2"/>
      <w:bookmarkStart w:id="89" w:name="_Toc7498_WPSOffice_Level2"/>
      <w:r>
        <w:rPr>
          <w:rFonts w:hint="eastAsia"/>
          <w:color w:val="auto"/>
          <w:highlight w:val="none"/>
        </w:rPr>
        <w:t>参加政府采购活动前3年内在经营活动中没有重大违法记录的书面声明</w:t>
      </w:r>
      <w:bookmarkEnd w:id="88"/>
      <w:bookmarkEnd w:id="89"/>
    </w:p>
    <w:p>
      <w:pPr>
        <w:rPr>
          <w:color w:val="auto"/>
          <w:highlight w:val="none"/>
        </w:rPr>
      </w:pPr>
    </w:p>
    <w:p>
      <w:pPr>
        <w:rPr>
          <w:color w:val="auto"/>
          <w:highlight w:val="none"/>
        </w:rPr>
      </w:pPr>
      <w:r>
        <w:rPr>
          <w:rFonts w:hint="eastAsia"/>
          <w:b/>
          <w:bCs/>
          <w:color w:val="auto"/>
          <w:highlight w:val="none"/>
          <w:u w:val="single"/>
        </w:rPr>
        <w:t>（采购人名称）</w:t>
      </w:r>
      <w:r>
        <w:rPr>
          <w:rFonts w:hint="eastAsia"/>
          <w:color w:val="auto"/>
          <w:highlight w:val="none"/>
        </w:rPr>
        <w:t>：</w:t>
      </w:r>
    </w:p>
    <w:p>
      <w:pPr>
        <w:ind w:firstLine="422" w:firstLineChars="200"/>
        <w:rPr>
          <w:color w:val="auto"/>
          <w:highlight w:val="none"/>
        </w:rPr>
      </w:pPr>
      <w:r>
        <w:rPr>
          <w:rFonts w:hint="eastAsia"/>
          <w:b/>
          <w:bCs/>
          <w:color w:val="auto"/>
          <w:highlight w:val="none"/>
        </w:rPr>
        <w:t>在本项目投标文件截止时间前</w:t>
      </w:r>
      <w:r>
        <w:rPr>
          <w:rFonts w:hint="eastAsia"/>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color w:val="auto"/>
          <w:highlight w:val="none"/>
        </w:rPr>
      </w:pPr>
      <w:r>
        <w:rPr>
          <w:rFonts w:hint="eastAsia"/>
          <w:color w:val="auto"/>
          <w:highlight w:val="none"/>
        </w:rPr>
        <w:t>如发现我单位提供的声明函不实时，我单位将按照《政府采购法》有关提供虚假材料的规定，接受处罚。</w:t>
      </w:r>
    </w:p>
    <w:p>
      <w:pPr>
        <w:ind w:firstLine="420" w:firstLineChars="200"/>
        <w:rPr>
          <w:color w:val="auto"/>
          <w:highlight w:val="none"/>
        </w:rPr>
      </w:pPr>
      <w:r>
        <w:rPr>
          <w:rFonts w:hint="eastAsia"/>
          <w:color w:val="auto"/>
          <w:highlight w:val="none"/>
        </w:rPr>
        <w:t>特此声明。</w:t>
      </w:r>
    </w:p>
    <w:p>
      <w:pPr>
        <w:spacing w:line="500" w:lineRule="exact"/>
        <w:ind w:right="1050" w:rightChars="500" w:firstLine="420" w:firstLineChars="200"/>
        <w:rPr>
          <w:rFonts w:cs="宋体"/>
          <w:color w:val="auto"/>
          <w:highlight w:val="none"/>
        </w:rPr>
      </w:pPr>
    </w:p>
    <w:p>
      <w:pPr>
        <w:spacing w:line="360" w:lineRule="exact"/>
        <w:ind w:left="1050" w:leftChars="500" w:right="1050" w:rightChars="500" w:firstLine="420" w:firstLineChars="200"/>
        <w:rPr>
          <w:rFonts w:cs="宋体"/>
          <w:color w:val="auto"/>
          <w:highlight w:val="none"/>
        </w:rPr>
      </w:pPr>
    </w:p>
    <w:p>
      <w:pPr>
        <w:spacing w:line="360" w:lineRule="exact"/>
        <w:ind w:left="1050" w:leftChars="500" w:right="1050" w:rightChars="500" w:firstLine="420" w:firstLineChars="200"/>
        <w:rPr>
          <w:rFonts w:cs="宋体"/>
          <w:color w:val="auto"/>
          <w:highlight w:val="none"/>
        </w:rPr>
      </w:pPr>
    </w:p>
    <w:p>
      <w:pPr>
        <w:ind w:right="1050" w:rightChars="500"/>
        <w:jc w:val="left"/>
        <w:rPr>
          <w:rFonts w:cs="宋体"/>
          <w:color w:val="auto"/>
          <w:highlight w:val="none"/>
          <w:u w:val="single"/>
        </w:rPr>
      </w:pPr>
      <w:r>
        <w:rPr>
          <w:rFonts w:hint="eastAsia" w:cs="宋体"/>
          <w:color w:val="auto"/>
          <w:highlight w:val="none"/>
        </w:rPr>
        <w:t>供应商：</w:t>
      </w:r>
      <w:r>
        <w:rPr>
          <w:rFonts w:hint="eastAsia" w:cs="宋体"/>
          <w:color w:val="auto"/>
          <w:highlight w:val="none"/>
          <w:u w:val="single"/>
        </w:rPr>
        <w:t xml:space="preserve">       （加盖公章）   </w:t>
      </w:r>
    </w:p>
    <w:p>
      <w:pPr>
        <w:spacing w:line="360" w:lineRule="exact"/>
        <w:ind w:right="1050" w:rightChars="500"/>
        <w:jc w:val="left"/>
        <w:rPr>
          <w:rFonts w:cs="宋体"/>
          <w:color w:val="auto"/>
          <w:sz w:val="24"/>
          <w:highlight w:val="none"/>
        </w:rPr>
      </w:pPr>
      <w:r>
        <w:rPr>
          <w:rFonts w:hint="eastAsia" w:cs="宋体"/>
          <w:color w:val="auto"/>
          <w:sz w:val="24"/>
          <w:highlight w:val="none"/>
        </w:rPr>
        <w:t xml:space="preserve">  </w:t>
      </w:r>
    </w:p>
    <w:p>
      <w:pPr>
        <w:rPr>
          <w:color w:val="auto"/>
          <w:highlight w:val="none"/>
        </w:rPr>
      </w:pPr>
      <w:r>
        <w:rPr>
          <w:rFonts w:hint="eastAsia"/>
          <w:color w:val="auto"/>
          <w:highlight w:val="none"/>
        </w:rPr>
        <w:t>法定代表人（或非法人组织负责人）或其授权代表人：(签字或盖章)</w:t>
      </w:r>
    </w:p>
    <w:p>
      <w:pPr>
        <w:ind w:left="2270" w:hanging="2270" w:hangingChars="1081"/>
        <w:jc w:val="left"/>
        <w:rPr>
          <w:rFonts w:ascii="宋体" w:hAnsi="宋体" w:cs="宋体"/>
          <w:color w:val="auto"/>
          <w:highlight w:val="none"/>
          <w:u w:val="single"/>
        </w:rPr>
      </w:pPr>
    </w:p>
    <w:p>
      <w:pPr>
        <w:ind w:left="2270" w:hanging="2270" w:hangingChars="1081"/>
        <w:jc w:val="left"/>
        <w:rPr>
          <w:rFonts w:ascii="宋体" w:hAnsi="宋体" w:cs="宋体"/>
          <w:color w:val="auto"/>
          <w:highlight w:val="none"/>
          <w:u w:val="single"/>
        </w:rPr>
      </w:pPr>
    </w:p>
    <w:p>
      <w:pPr>
        <w:rPr>
          <w:rFonts w:cs="宋体"/>
          <w:color w:val="auto"/>
          <w:highlight w:val="none"/>
          <w:u w:val="single"/>
        </w:rPr>
      </w:pPr>
      <w:r>
        <w:rPr>
          <w:rFonts w:hint="eastAsia"/>
          <w:color w:val="auto"/>
          <w:highlight w:val="none"/>
        </w:rPr>
        <w:t xml:space="preserve">日期：       年     月     日  </w:t>
      </w:r>
    </w:p>
    <w:p>
      <w:pPr>
        <w:spacing w:beforeLines="50" w:afterLines="50" w:line="400" w:lineRule="exact"/>
        <w:ind w:left="1155" w:leftChars="550" w:right="1050" w:rightChars="500" w:firstLine="480" w:firstLineChars="200"/>
        <w:rPr>
          <w:rFonts w:cs="宋体"/>
          <w:color w:val="auto"/>
          <w:sz w:val="24"/>
          <w:highlight w:val="none"/>
        </w:rPr>
      </w:pPr>
    </w:p>
    <w:p>
      <w:pPr>
        <w:jc w:val="left"/>
        <w:rPr>
          <w:color w:val="auto"/>
          <w:highlight w:val="none"/>
        </w:rPr>
      </w:pPr>
      <w:r>
        <w:rPr>
          <w:rFonts w:hint="eastAsia"/>
          <w:color w:val="auto"/>
          <w:highlight w:val="none"/>
        </w:rPr>
        <w:t>注：自然人投标的无需盖章，需要签字。</w:t>
      </w:r>
    </w:p>
    <w:p>
      <w:pPr>
        <w:rPr>
          <w:color w:val="auto"/>
          <w:highlight w:val="none"/>
        </w:rPr>
      </w:pPr>
      <w:r>
        <w:rPr>
          <w:rFonts w:hint="eastAsia"/>
          <w:color w:val="auto"/>
          <w:highlight w:val="none"/>
        </w:rPr>
        <w:br w:type="page"/>
      </w:r>
    </w:p>
    <w:p>
      <w:pPr>
        <w:pStyle w:val="4"/>
        <w:spacing w:before="0" w:after="0"/>
        <w:rPr>
          <w:color w:val="auto"/>
          <w:highlight w:val="none"/>
        </w:rPr>
      </w:pPr>
      <w:r>
        <w:rPr>
          <w:rFonts w:hint="eastAsia"/>
          <w:color w:val="auto"/>
          <w:highlight w:val="none"/>
        </w:rPr>
        <w:t>格式8</w:t>
      </w:r>
    </w:p>
    <w:p>
      <w:pPr>
        <w:pStyle w:val="3"/>
        <w:rPr>
          <w:color w:val="auto"/>
          <w:highlight w:val="none"/>
        </w:rPr>
      </w:pPr>
      <w:bookmarkStart w:id="90" w:name="_Toc16873_WPSOffice_Level2"/>
      <w:bookmarkStart w:id="91" w:name="_Toc30548_WPSOffice_Level2"/>
      <w:r>
        <w:rPr>
          <w:rFonts w:hint="eastAsia"/>
          <w:color w:val="auto"/>
          <w:highlight w:val="none"/>
        </w:rPr>
        <w:t>联合体协议书</w:t>
      </w:r>
      <w:bookmarkEnd w:id="90"/>
      <w:bookmarkEnd w:id="91"/>
    </w:p>
    <w:p>
      <w:pPr>
        <w:pStyle w:val="11"/>
        <w:rPr>
          <w:rFonts w:ascii="Times New Roman" w:hAnsi="Times New Roman" w:cs="宋体"/>
          <w:color w:val="auto"/>
          <w:highlight w:val="none"/>
        </w:rPr>
      </w:pPr>
      <w:r>
        <w:rPr>
          <w:rFonts w:hint="eastAsia" w:ascii="Times New Roman" w:hAnsi="Times New Roman" w:cs="宋体"/>
          <w:color w:val="auto"/>
          <w:highlight w:val="none"/>
        </w:rPr>
        <w:t>致</w:t>
      </w:r>
      <w:r>
        <w:rPr>
          <w:rFonts w:hint="eastAsia" w:ascii="Times New Roman" w:hAnsi="Times New Roman" w:cs="宋体"/>
          <w:color w:val="auto"/>
          <w:highlight w:val="none"/>
          <w:u w:val="single"/>
        </w:rPr>
        <w:t>(采购人或采购代理机构)</w:t>
      </w:r>
      <w:r>
        <w:rPr>
          <w:rFonts w:hint="eastAsia" w:ascii="Times New Roman" w:hAnsi="Times New Roman" w:cs="宋体"/>
          <w:color w:val="auto"/>
          <w:highlight w:val="none"/>
        </w:rPr>
        <w:t>：</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经研究，我方决定自愿组成联合体共同参加</w:t>
      </w:r>
      <w:r>
        <w:rPr>
          <w:rFonts w:hint="eastAsia" w:ascii="Times New Roman" w:hAnsi="Times New Roman" w:cs="宋体"/>
          <w:color w:val="auto"/>
          <w:highlight w:val="none"/>
          <w:u w:val="single"/>
        </w:rPr>
        <w:t>(项目名称、项目编号、包号)</w:t>
      </w:r>
      <w:r>
        <w:rPr>
          <w:rFonts w:hint="eastAsia" w:ascii="Times New Roman" w:hAnsi="Times New Roman" w:cs="宋体"/>
          <w:color w:val="auto"/>
          <w:highlight w:val="none"/>
        </w:rPr>
        <w:t>项目的投标。现就联合体询价事宜订立如下协议：</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一、联合体成员：</w:t>
      </w:r>
    </w:p>
    <w:p>
      <w:pPr>
        <w:pStyle w:val="11"/>
        <w:ind w:firstLine="420" w:firstLineChars="200"/>
        <w:rPr>
          <w:rFonts w:ascii="Times New Roman" w:hAnsi="Times New Roman" w:cs="宋体"/>
          <w:color w:val="auto"/>
          <w:highlight w:val="none"/>
          <w:u w:val="single"/>
        </w:rPr>
      </w:pPr>
      <w:bookmarkStart w:id="92" w:name="_Toc23749_WPSOffice_Level2"/>
      <w:bookmarkStart w:id="93" w:name="_Toc15561_WPSOffice_Level2"/>
      <w:r>
        <w:rPr>
          <w:rFonts w:hint="eastAsia" w:ascii="Times New Roman" w:hAnsi="Times New Roman" w:cs="宋体"/>
          <w:color w:val="auto"/>
          <w:highlight w:val="none"/>
        </w:rPr>
        <w:t>1.</w:t>
      </w:r>
      <w:bookmarkEnd w:id="92"/>
      <w:bookmarkEnd w:id="93"/>
      <w:r>
        <w:rPr>
          <w:rFonts w:hint="eastAsia" w:ascii="Times New Roman" w:hAnsi="Times New Roman" w:cs="宋体"/>
          <w:color w:val="auto"/>
          <w:highlight w:val="none"/>
          <w:u w:val="single"/>
        </w:rPr>
        <w:t xml:space="preserve">                  </w:t>
      </w:r>
    </w:p>
    <w:p>
      <w:pPr>
        <w:pStyle w:val="11"/>
        <w:ind w:firstLine="420" w:firstLineChars="200"/>
        <w:rPr>
          <w:rFonts w:ascii="Times New Roman" w:hAnsi="Times New Roman" w:cs="宋体"/>
          <w:color w:val="auto"/>
          <w:highlight w:val="none"/>
        </w:rPr>
      </w:pPr>
      <w:bookmarkStart w:id="94" w:name="_Toc22173_WPSOffice_Level2"/>
      <w:bookmarkStart w:id="95" w:name="_Toc405_WPSOffice_Level2"/>
      <w:r>
        <w:rPr>
          <w:rFonts w:hint="eastAsia" w:ascii="Times New Roman" w:hAnsi="Times New Roman" w:cs="宋体"/>
          <w:color w:val="auto"/>
          <w:highlight w:val="none"/>
        </w:rPr>
        <w:t>2.</w:t>
      </w:r>
      <w:bookmarkEnd w:id="94"/>
      <w:bookmarkEnd w:id="95"/>
      <w:r>
        <w:rPr>
          <w:rFonts w:hint="eastAsia" w:ascii="Times New Roman" w:hAnsi="Times New Roman" w:cs="宋体"/>
          <w:color w:val="auto"/>
          <w:highlight w:val="none"/>
          <w:u w:val="single"/>
        </w:rPr>
        <w:t xml:space="preserve">                  </w:t>
      </w:r>
    </w:p>
    <w:p>
      <w:pPr>
        <w:pStyle w:val="11"/>
        <w:ind w:firstLine="420" w:firstLineChars="200"/>
        <w:rPr>
          <w:rFonts w:ascii="Times New Roman" w:hAnsi="Times New Roman" w:cs="宋体"/>
          <w:color w:val="auto"/>
          <w:highlight w:val="none"/>
        </w:rPr>
      </w:pPr>
      <w:bookmarkStart w:id="96" w:name="_Toc7084_WPSOffice_Level2"/>
      <w:bookmarkStart w:id="97" w:name="_Toc23482_WPSOffice_Level2"/>
      <w:r>
        <w:rPr>
          <w:rFonts w:hint="eastAsia" w:ascii="Times New Roman" w:hAnsi="Times New Roman" w:cs="宋体"/>
          <w:color w:val="auto"/>
          <w:highlight w:val="none"/>
        </w:rPr>
        <w:t>3.</w:t>
      </w:r>
      <w:bookmarkEnd w:id="96"/>
      <w:bookmarkEnd w:id="97"/>
      <w:r>
        <w:rPr>
          <w:rFonts w:hint="eastAsia" w:ascii="Times New Roman" w:hAnsi="Times New Roman" w:cs="宋体"/>
          <w:color w:val="auto"/>
          <w:highlight w:val="none"/>
          <w:u w:val="single"/>
        </w:rPr>
        <w:t xml:space="preserve">                  </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二、</w:t>
      </w:r>
      <w:r>
        <w:rPr>
          <w:rFonts w:hint="eastAsia" w:ascii="Times New Roman" w:hAnsi="Times New Roman" w:cs="宋体"/>
          <w:color w:val="auto"/>
          <w:highlight w:val="none"/>
          <w:u w:val="single"/>
        </w:rPr>
        <w:t>(某成员单位名称)</w:t>
      </w:r>
      <w:r>
        <w:rPr>
          <w:rFonts w:hint="eastAsia" w:ascii="Times New Roman" w:hAnsi="Times New Roman" w:cs="宋体"/>
          <w:color w:val="auto"/>
          <w:highlight w:val="none"/>
        </w:rPr>
        <w:t>为(联合体名称)牵头人。</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四、联合体将严格按照招标文件的各项要求，递交投标文件，参加投标，履行中标义务和中标后的合同，并向采购人承担连带责任。</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五、联合体各成员单位内部的职责分工如下：</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。按照本条上述分工，联合体成员单位各自所承担的合同工作量比例如下：</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六、本协议书自签署之日起生效，合同履行完毕后自动失效。</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七、本协议书一式份，联合体成员和采购人各执一份。</w:t>
      </w:r>
    </w:p>
    <w:p>
      <w:pPr>
        <w:pStyle w:val="11"/>
        <w:ind w:firstLine="420" w:firstLineChars="200"/>
        <w:rPr>
          <w:rFonts w:ascii="Times New Roman" w:hAnsi="Times New Roman" w:cs="宋体"/>
          <w:color w:val="auto"/>
          <w:highlight w:val="none"/>
        </w:rPr>
      </w:pP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牵头人名称(公章)：</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法定代表人或其授权代表(签字或盖章)：</w:t>
      </w:r>
    </w:p>
    <w:p>
      <w:pPr>
        <w:adjustRightInd w:val="0"/>
        <w:snapToGrid w:val="0"/>
        <w:ind w:firstLine="420" w:firstLineChars="200"/>
        <w:rPr>
          <w:rFonts w:ascii="宋体" w:hAnsi="宋体" w:cs="宋体"/>
          <w:color w:val="auto"/>
          <w:highlight w:val="none"/>
        </w:rPr>
      </w:pPr>
    </w:p>
    <w:p>
      <w:pPr>
        <w:pStyle w:val="29"/>
        <w:ind w:firstLine="560"/>
        <w:rPr>
          <w:rFonts w:ascii="Bookman Old Style" w:hAnsi="Bookman Old Style" w:eastAsia="仿宋_GB2312"/>
          <w:color w:val="auto"/>
          <w:sz w:val="28"/>
          <w:szCs w:val="28"/>
          <w:highlight w:val="none"/>
        </w:rPr>
      </w:pPr>
    </w:p>
    <w:p>
      <w:pPr>
        <w:pStyle w:val="11"/>
        <w:ind w:firstLine="420" w:firstLineChars="200"/>
        <w:rPr>
          <w:rFonts w:ascii="Times New Roman" w:hAnsi="Times New Roman" w:cs="宋体"/>
          <w:color w:val="auto"/>
          <w:highlight w:val="none"/>
          <w:u w:val="single"/>
        </w:rPr>
      </w:pPr>
      <w:r>
        <w:rPr>
          <w:rFonts w:hint="eastAsia" w:ascii="Times New Roman" w:hAnsi="Times New Roman" w:cs="宋体"/>
          <w:color w:val="auto"/>
          <w:highlight w:val="none"/>
        </w:rPr>
        <w:t>成员名称(公章)：</w:t>
      </w:r>
    </w:p>
    <w:p>
      <w:pPr>
        <w:pStyle w:val="11"/>
        <w:ind w:firstLine="420" w:firstLineChars="200"/>
        <w:rPr>
          <w:rFonts w:ascii="Times New Roman" w:hAnsi="Times New Roman" w:cs="宋体"/>
          <w:color w:val="auto"/>
          <w:highlight w:val="none"/>
          <w:u w:val="single"/>
        </w:rPr>
      </w:pPr>
      <w:r>
        <w:rPr>
          <w:rFonts w:hint="eastAsia" w:ascii="Times New Roman" w:hAnsi="Times New Roman" w:cs="宋体"/>
          <w:color w:val="auto"/>
          <w:highlight w:val="none"/>
        </w:rPr>
        <w:t>法定代表人或其授权代表(签字或盖章)：</w:t>
      </w:r>
    </w:p>
    <w:p>
      <w:pPr>
        <w:pStyle w:val="11"/>
        <w:ind w:firstLine="420" w:firstLineChars="200"/>
        <w:rPr>
          <w:rFonts w:ascii="Times New Roman" w:hAnsi="Times New Roman"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Times New Roman" w:hAnsi="Times New Roman" w:cs="宋体"/>
          <w:color w:val="auto"/>
          <w:highlight w:val="none"/>
        </w:rPr>
        <w:t>日期：</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年</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月</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日</w:t>
      </w:r>
    </w:p>
    <w:p>
      <w:pPr>
        <w:pStyle w:val="4"/>
        <w:spacing w:before="0" w:after="0"/>
        <w:rPr>
          <w:color w:val="auto"/>
          <w:highlight w:val="none"/>
        </w:rPr>
      </w:pPr>
      <w:r>
        <w:rPr>
          <w:rFonts w:hint="eastAsia"/>
          <w:color w:val="auto"/>
          <w:highlight w:val="none"/>
        </w:rPr>
        <w:t>格式9</w:t>
      </w:r>
    </w:p>
    <w:p>
      <w:pPr>
        <w:pStyle w:val="3"/>
        <w:rPr>
          <w:color w:val="auto"/>
          <w:highlight w:val="none"/>
        </w:rPr>
      </w:pPr>
      <w:bookmarkStart w:id="98" w:name="_Toc14782_WPSOffice_Level2"/>
      <w:bookmarkStart w:id="99" w:name="_Toc24841_WPSOffice_Level2"/>
      <w:r>
        <w:rPr>
          <w:rFonts w:hint="eastAsia"/>
          <w:color w:val="auto"/>
          <w:highlight w:val="none"/>
        </w:rPr>
        <w:t>投标函</w:t>
      </w:r>
      <w:bookmarkEnd w:id="98"/>
      <w:bookmarkEnd w:id="99"/>
    </w:p>
    <w:p>
      <w:pPr>
        <w:adjustRightInd w:val="0"/>
        <w:snapToGrid w:val="0"/>
        <w:ind w:right="630" w:rightChars="300"/>
        <w:rPr>
          <w:rFonts w:cs="宋体"/>
          <w:color w:val="auto"/>
          <w:highlight w:val="none"/>
          <w:u w:val="single"/>
        </w:rPr>
      </w:pPr>
      <w:r>
        <w:rPr>
          <w:rFonts w:hint="eastAsia" w:cs="宋体"/>
          <w:color w:val="auto"/>
          <w:highlight w:val="none"/>
          <w:u w:val="single"/>
        </w:rPr>
        <w:t>（采购人或采购代理机构）：</w:t>
      </w:r>
    </w:p>
    <w:p>
      <w:pPr>
        <w:adjustRightInd w:val="0"/>
        <w:snapToGrid w:val="0"/>
        <w:ind w:firstLine="420" w:firstLineChars="200"/>
        <w:rPr>
          <w:rFonts w:cs="宋体"/>
          <w:color w:val="auto"/>
          <w:highlight w:val="none"/>
        </w:rPr>
      </w:pPr>
      <w:r>
        <w:rPr>
          <w:rFonts w:hint="eastAsia" w:cs="宋体"/>
          <w:color w:val="auto"/>
          <w:highlight w:val="none"/>
        </w:rPr>
        <w:t>根据贵方</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(项目名称)</w:t>
      </w:r>
      <w:r>
        <w:rPr>
          <w:rFonts w:ascii="宋体" w:hAnsi="宋体"/>
          <w:color w:val="auto"/>
          <w:highlight w:val="none"/>
          <w:u w:val="single"/>
        </w:rPr>
        <w:t xml:space="preserve">   </w:t>
      </w:r>
      <w:r>
        <w:rPr>
          <w:rFonts w:hint="eastAsia" w:cs="宋体"/>
          <w:color w:val="auto"/>
          <w:highlight w:val="none"/>
        </w:rPr>
        <w:t>项目的招标公告</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(项目编号)</w:t>
      </w:r>
      <w:r>
        <w:rPr>
          <w:rFonts w:ascii="宋体" w:hAnsi="宋体"/>
          <w:color w:val="auto"/>
          <w:highlight w:val="none"/>
          <w:u w:val="single"/>
        </w:rPr>
        <w:t xml:space="preserve">   </w:t>
      </w:r>
      <w:r>
        <w:rPr>
          <w:rFonts w:hint="eastAsia" w:ascii="宋体" w:hAnsi="宋体"/>
          <w:color w:val="auto"/>
          <w:highlight w:val="none"/>
        </w:rPr>
        <w:t>，</w:t>
      </w:r>
      <w:r>
        <w:rPr>
          <w:rFonts w:hint="eastAsia" w:cs="宋体"/>
          <w:color w:val="auto"/>
          <w:highlight w:val="none"/>
        </w:rPr>
        <w:t>签字代表</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w:t>
      </w:r>
      <w:r>
        <w:rPr>
          <w:rFonts w:hint="eastAsia" w:ascii="宋体" w:hAnsi="宋体" w:cs="宋体"/>
          <w:color w:val="auto"/>
          <w:highlight w:val="none"/>
          <w:u w:val="single"/>
        </w:rPr>
        <w:t>姓名、职务</w:t>
      </w:r>
      <w:r>
        <w:rPr>
          <w:rFonts w:hint="eastAsia" w:ascii="宋体" w:hAnsi="宋体"/>
          <w:color w:val="auto"/>
          <w:highlight w:val="none"/>
          <w:u w:val="single"/>
        </w:rPr>
        <w:t>)</w:t>
      </w:r>
      <w:r>
        <w:rPr>
          <w:rFonts w:hint="eastAsia" w:cs="宋体"/>
          <w:color w:val="auto"/>
          <w:highlight w:val="none"/>
        </w:rPr>
        <w:t>经正式授权并代表供应商</w:t>
      </w:r>
      <w:r>
        <w:rPr>
          <w:rFonts w:hint="eastAsia"/>
          <w:color w:val="auto"/>
          <w:highlight w:val="none"/>
          <w:u w:val="single"/>
        </w:rPr>
        <w:t xml:space="preserve"> </w:t>
      </w:r>
      <w:r>
        <w:rPr>
          <w:color w:val="auto"/>
          <w:highlight w:val="none"/>
          <w:u w:val="single"/>
        </w:rPr>
        <w:t xml:space="preserve"> </w:t>
      </w:r>
      <w:r>
        <w:rPr>
          <w:rFonts w:hint="eastAsia"/>
          <w:color w:val="auto"/>
          <w:highlight w:val="none"/>
          <w:u w:val="single"/>
        </w:rPr>
        <w:t xml:space="preserve">（名称、地址） </w:t>
      </w:r>
      <w:r>
        <w:rPr>
          <w:color w:val="auto"/>
          <w:highlight w:val="none"/>
          <w:u w:val="single"/>
        </w:rPr>
        <w:t xml:space="preserve"> </w:t>
      </w:r>
      <w:r>
        <w:rPr>
          <w:rFonts w:hint="eastAsia" w:cs="宋体"/>
          <w:color w:val="auto"/>
          <w:highlight w:val="none"/>
        </w:rPr>
        <w:t>提交下述文件正本</w:t>
      </w:r>
      <w:r>
        <w:rPr>
          <w:rFonts w:hint="eastAsia" w:cs="宋体"/>
          <w:color w:val="auto"/>
          <w:highlight w:val="none"/>
          <w:u w:val="single"/>
        </w:rPr>
        <w:t xml:space="preserve">    </w:t>
      </w:r>
      <w:r>
        <w:rPr>
          <w:rFonts w:hint="eastAsia" w:cs="宋体"/>
          <w:color w:val="auto"/>
          <w:highlight w:val="none"/>
        </w:rPr>
        <w:t>份、副本</w:t>
      </w:r>
      <w:r>
        <w:rPr>
          <w:rFonts w:hint="eastAsia" w:cs="宋体"/>
          <w:color w:val="auto"/>
          <w:highlight w:val="none"/>
          <w:u w:val="single"/>
        </w:rPr>
        <w:t xml:space="preserve">     </w:t>
      </w:r>
      <w:r>
        <w:rPr>
          <w:rFonts w:hint="eastAsia" w:cs="宋体"/>
          <w:color w:val="auto"/>
          <w:highlight w:val="none"/>
        </w:rPr>
        <w:t>份及电子文档</w:t>
      </w:r>
      <w:r>
        <w:rPr>
          <w:rFonts w:hint="eastAsia" w:cs="宋体"/>
          <w:color w:val="auto"/>
          <w:highlight w:val="none"/>
          <w:u w:val="single"/>
        </w:rPr>
        <w:t xml:space="preserve">    </w:t>
      </w:r>
      <w:r>
        <w:rPr>
          <w:rFonts w:hint="eastAsia" w:cs="宋体"/>
          <w:color w:val="auto"/>
          <w:highlight w:val="none"/>
        </w:rPr>
        <w:t>份，并以</w:t>
      </w:r>
      <w:r>
        <w:rPr>
          <w:rFonts w:hint="eastAsia" w:cs="宋体"/>
          <w:color w:val="auto"/>
          <w:highlight w:val="none"/>
          <w:u w:val="single"/>
        </w:rPr>
        <w:t xml:space="preserve">     </w:t>
      </w:r>
      <w:r>
        <w:rPr>
          <w:rFonts w:hint="eastAsia" w:cs="宋体"/>
          <w:color w:val="auto"/>
          <w:highlight w:val="none"/>
        </w:rPr>
        <w:t>形式出具的金额为人民币</w:t>
      </w:r>
      <w:r>
        <w:rPr>
          <w:rFonts w:hint="eastAsia" w:cs="宋体"/>
          <w:color w:val="auto"/>
          <w:highlight w:val="none"/>
          <w:u w:val="single"/>
        </w:rPr>
        <w:t xml:space="preserve">     </w:t>
      </w:r>
      <w:r>
        <w:rPr>
          <w:rFonts w:hint="eastAsia" w:cs="宋体"/>
          <w:color w:val="auto"/>
          <w:highlight w:val="none"/>
        </w:rPr>
        <w:t>元的投标保证金。</w:t>
      </w:r>
    </w:p>
    <w:p>
      <w:pPr>
        <w:adjustRightInd w:val="0"/>
        <w:snapToGrid w:val="0"/>
        <w:ind w:right="-21" w:rightChars="-10" w:firstLine="420" w:firstLineChars="200"/>
        <w:rPr>
          <w:rFonts w:cs="宋体"/>
          <w:color w:val="auto"/>
          <w:highlight w:val="none"/>
        </w:rPr>
      </w:pPr>
      <w:r>
        <w:rPr>
          <w:rFonts w:hint="eastAsia" w:cs="宋体"/>
          <w:color w:val="auto"/>
          <w:highlight w:val="none"/>
        </w:rPr>
        <w:t>据此，签字代表宣布同意如下：</w:t>
      </w:r>
    </w:p>
    <w:p>
      <w:pPr>
        <w:numPr>
          <w:ilvl w:val="0"/>
          <w:numId w:val="4"/>
        </w:numPr>
        <w:adjustRightInd w:val="0"/>
        <w:snapToGrid w:val="0"/>
        <w:ind w:right="-21" w:rightChars="-10" w:firstLine="420" w:firstLineChars="200"/>
        <w:rPr>
          <w:rFonts w:cs="宋体"/>
          <w:color w:val="auto"/>
          <w:highlight w:val="none"/>
        </w:rPr>
      </w:pPr>
      <w:r>
        <w:rPr>
          <w:rFonts w:hint="eastAsia" w:cs="宋体"/>
          <w:color w:val="auto"/>
          <w:highlight w:val="none"/>
        </w:rPr>
        <w:t>本项目投标总价详见开标一览表。</w:t>
      </w:r>
    </w:p>
    <w:p>
      <w:pPr>
        <w:numPr>
          <w:ilvl w:val="0"/>
          <w:numId w:val="4"/>
        </w:numPr>
        <w:adjustRightInd w:val="0"/>
        <w:snapToGrid w:val="0"/>
        <w:ind w:right="-21" w:rightChars="-10" w:firstLine="420" w:firstLineChars="200"/>
        <w:rPr>
          <w:rFonts w:cs="宋体"/>
          <w:color w:val="auto"/>
          <w:highlight w:val="none"/>
        </w:rPr>
      </w:pPr>
      <w:r>
        <w:rPr>
          <w:rFonts w:hint="eastAsia" w:cs="宋体"/>
          <w:color w:val="auto"/>
          <w:highlight w:val="none"/>
        </w:rPr>
        <w:t>本投标有效期为自投标截止之日起</w:t>
      </w:r>
      <w:r>
        <w:rPr>
          <w:rFonts w:hint="eastAsia" w:cs="宋体"/>
          <w:color w:val="auto"/>
          <w:highlight w:val="none"/>
          <w:u w:val="single"/>
        </w:rPr>
        <w:t xml:space="preserve">     </w:t>
      </w:r>
      <w:r>
        <w:rPr>
          <w:rFonts w:hint="eastAsia" w:cs="宋体"/>
          <w:color w:val="auto"/>
          <w:highlight w:val="none"/>
        </w:rPr>
        <w:t>个日历日。</w:t>
      </w:r>
    </w:p>
    <w:p>
      <w:pPr>
        <w:adjustRightInd w:val="0"/>
        <w:snapToGrid w:val="0"/>
        <w:ind w:right="-21" w:rightChars="-10" w:firstLine="420" w:firstLineChars="200"/>
        <w:rPr>
          <w:rFonts w:cs="宋体"/>
          <w:color w:val="auto"/>
          <w:highlight w:val="none"/>
        </w:rPr>
      </w:pPr>
      <w:r>
        <w:rPr>
          <w:rFonts w:hint="eastAsia" w:cs="宋体"/>
          <w:color w:val="auto"/>
          <w:highlight w:val="none"/>
        </w:rPr>
        <w:t>（3）已详细审查全部招标文件，包括所有补充通知（如果有的话）。</w:t>
      </w:r>
    </w:p>
    <w:p>
      <w:pPr>
        <w:adjustRightInd w:val="0"/>
        <w:snapToGrid w:val="0"/>
        <w:ind w:right="-21" w:rightChars="-10" w:firstLine="420" w:firstLineChars="200"/>
        <w:rPr>
          <w:rFonts w:cs="宋体"/>
          <w:color w:val="auto"/>
          <w:highlight w:val="none"/>
        </w:rPr>
      </w:pPr>
      <w:r>
        <w:rPr>
          <w:rFonts w:hint="eastAsia" w:cs="宋体"/>
          <w:color w:val="auto"/>
          <w:highlight w:val="none"/>
        </w:rPr>
        <w:t>（4）遵守招标文件中有关保证金的规定。</w:t>
      </w:r>
    </w:p>
    <w:p>
      <w:pPr>
        <w:adjustRightInd w:val="0"/>
        <w:snapToGrid w:val="0"/>
        <w:ind w:right="-21" w:rightChars="-10" w:firstLine="420" w:firstLineChars="200"/>
        <w:rPr>
          <w:rFonts w:cs="宋体"/>
          <w:color w:val="auto"/>
          <w:highlight w:val="none"/>
        </w:rPr>
      </w:pPr>
      <w:r>
        <w:rPr>
          <w:rFonts w:hint="eastAsia"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cs="宋体"/>
          <w:color w:val="auto"/>
          <w:highlight w:val="none"/>
        </w:rPr>
      </w:pPr>
      <w:r>
        <w:rPr>
          <w:rFonts w:hint="eastAsia"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cs="宋体"/>
          <w:color w:val="auto"/>
          <w:highlight w:val="none"/>
        </w:rPr>
      </w:pPr>
      <w:r>
        <w:rPr>
          <w:rFonts w:hint="eastAsia"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cs="宋体"/>
          <w:color w:val="auto"/>
          <w:highlight w:val="none"/>
        </w:rPr>
      </w:pPr>
      <w:r>
        <w:rPr>
          <w:rFonts w:hint="eastAsia" w:cs="宋体"/>
          <w:color w:val="auto"/>
          <w:highlight w:val="none"/>
        </w:rPr>
        <w:t>（8）按照招标文件的规定履行合同责任和义务。</w:t>
      </w:r>
    </w:p>
    <w:p>
      <w:pPr>
        <w:adjustRightInd w:val="0"/>
        <w:snapToGrid w:val="0"/>
        <w:ind w:right="-21" w:rightChars="-10" w:firstLine="420" w:firstLineChars="200"/>
        <w:rPr>
          <w:rFonts w:cs="宋体"/>
          <w:color w:val="auto"/>
          <w:highlight w:val="none"/>
        </w:rPr>
      </w:pPr>
      <w:r>
        <w:rPr>
          <w:rFonts w:hint="eastAsia" w:cs="宋体"/>
          <w:color w:val="auto"/>
          <w:highlight w:val="none"/>
        </w:rPr>
        <w:t>（9）我方承诺投标文件中的证明材料真实、合法、有效。</w:t>
      </w:r>
    </w:p>
    <w:p>
      <w:pPr>
        <w:adjustRightInd w:val="0"/>
        <w:snapToGrid w:val="0"/>
        <w:ind w:right="-21" w:rightChars="-10" w:firstLine="420" w:firstLineChars="200"/>
        <w:rPr>
          <w:rFonts w:cs="宋体"/>
          <w:color w:val="auto"/>
          <w:highlight w:val="none"/>
        </w:rPr>
      </w:pPr>
      <w:r>
        <w:rPr>
          <w:rFonts w:hint="eastAsia" w:cs="宋体"/>
          <w:color w:val="auto"/>
          <w:highlight w:val="none"/>
        </w:rPr>
        <w:t>其他事项：</w:t>
      </w:r>
      <w:r>
        <w:rPr>
          <w:rFonts w:hint="eastAsia" w:cs="宋体"/>
          <w:color w:val="auto"/>
          <w:highlight w:val="none"/>
          <w:u w:val="single"/>
        </w:rPr>
        <w:t>如我方在多个包中标，优先选择的顺序为第 包→第 包</w:t>
      </w:r>
      <w:r>
        <w:rPr>
          <w:rFonts w:hint="eastAsia" w:cs="宋体"/>
          <w:color w:val="auto"/>
          <w:highlight w:val="none"/>
        </w:rPr>
        <w:t>。</w:t>
      </w:r>
    </w:p>
    <w:p>
      <w:pPr>
        <w:tabs>
          <w:tab w:val="left" w:pos="10467"/>
        </w:tabs>
        <w:adjustRightInd w:val="0"/>
        <w:snapToGrid w:val="0"/>
        <w:ind w:right="1050" w:rightChars="500" w:firstLine="420" w:firstLineChars="200"/>
        <w:rPr>
          <w:rFonts w:cs="宋体"/>
          <w:color w:val="auto"/>
          <w:highlight w:val="none"/>
        </w:rPr>
      </w:pPr>
      <w:r>
        <w:rPr>
          <w:rFonts w:hint="eastAsia" w:cs="宋体"/>
          <w:color w:val="auto"/>
          <w:highlight w:val="none"/>
        </w:rPr>
        <w:t>与本投标有关的一切往来通讯请寄：</w:t>
      </w:r>
    </w:p>
    <w:p>
      <w:pPr>
        <w:pStyle w:val="29"/>
        <w:ind w:firstLine="420"/>
        <w:rPr>
          <w:ins w:id="0" w:author="admin" w:date="2018-10-27T14:59:00Z"/>
          <w:color w:val="auto"/>
          <w:highlight w:val="none"/>
        </w:rPr>
      </w:pPr>
    </w:p>
    <w:p>
      <w:pPr>
        <w:tabs>
          <w:tab w:val="left" w:pos="10467"/>
        </w:tabs>
        <w:adjustRightInd w:val="0"/>
        <w:snapToGrid w:val="0"/>
        <w:ind w:right="-21" w:rightChars="-10" w:firstLine="420" w:firstLineChars="200"/>
        <w:rPr>
          <w:rFonts w:cs="宋体"/>
          <w:color w:val="auto"/>
          <w:highlight w:val="none"/>
          <w:u w:val="single"/>
        </w:rPr>
      </w:pPr>
      <w:r>
        <w:rPr>
          <w:rFonts w:hint="eastAsia" w:cs="宋体"/>
          <w:color w:val="auto"/>
          <w:highlight w:val="none"/>
        </w:rPr>
        <w:t>地    址：</w:t>
      </w:r>
      <w:r>
        <w:rPr>
          <w:rFonts w:hint="eastAsia" w:cs="宋体"/>
          <w:color w:val="auto"/>
          <w:highlight w:val="none"/>
          <w:u w:val="single"/>
        </w:rPr>
        <w:t xml:space="preserve">                     </w:t>
      </w:r>
      <w:r>
        <w:rPr>
          <w:rFonts w:hint="eastAsia" w:cs="宋体"/>
          <w:color w:val="auto"/>
          <w:highlight w:val="none"/>
        </w:rPr>
        <w:t xml:space="preserve">     传    真：</w:t>
      </w:r>
      <w:r>
        <w:rPr>
          <w:rFonts w:hint="eastAsia" w:cs="宋体"/>
          <w:color w:val="auto"/>
          <w:highlight w:val="none"/>
          <w:u w:val="single"/>
        </w:rPr>
        <w:t xml:space="preserve">                     </w:t>
      </w:r>
    </w:p>
    <w:p>
      <w:pPr>
        <w:tabs>
          <w:tab w:val="left" w:pos="10467"/>
        </w:tabs>
        <w:adjustRightInd w:val="0"/>
        <w:snapToGrid w:val="0"/>
        <w:ind w:right="-21" w:rightChars="-10" w:firstLine="420" w:firstLineChars="200"/>
        <w:rPr>
          <w:rFonts w:cs="宋体"/>
          <w:color w:val="auto"/>
          <w:highlight w:val="none"/>
        </w:rPr>
      </w:pPr>
      <w:r>
        <w:rPr>
          <w:rFonts w:hint="eastAsia" w:cs="宋体"/>
          <w:color w:val="auto"/>
          <w:highlight w:val="none"/>
        </w:rPr>
        <w:t>电    话：</w:t>
      </w:r>
      <w:r>
        <w:rPr>
          <w:rFonts w:hint="eastAsia" w:cs="宋体"/>
          <w:color w:val="auto"/>
          <w:highlight w:val="none"/>
          <w:u w:val="single"/>
        </w:rPr>
        <w:t xml:space="preserve">                     </w:t>
      </w:r>
      <w:r>
        <w:rPr>
          <w:rFonts w:hint="eastAsia" w:cs="宋体"/>
          <w:color w:val="auto"/>
          <w:highlight w:val="none"/>
        </w:rPr>
        <w:t xml:space="preserve">     电子邮件：</w:t>
      </w:r>
      <w:r>
        <w:rPr>
          <w:rFonts w:hint="eastAsia" w:cs="宋体"/>
          <w:color w:val="auto"/>
          <w:highlight w:val="none"/>
          <w:u w:val="singl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法定代表人（非法人组织负责人）或其授权委托人（签字或盖章）：</w:t>
      </w:r>
      <w:r>
        <w:rPr>
          <w:rFonts w:hint="eastAsia" w:cs="宋体"/>
          <w:color w:val="auto"/>
          <w:highlight w:val="none"/>
          <w:u w:val="single"/>
        </w:rPr>
        <w:t xml:space="preserve">                     </w:t>
      </w:r>
      <w:r>
        <w:rPr>
          <w:rFonts w:hint="eastAsia" w:cs="宋体"/>
          <w:color w:val="auto"/>
          <w:highlight w:val="non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供应商名称（单位公章）:</w:t>
      </w:r>
      <w:r>
        <w:rPr>
          <w:rFonts w:hint="eastAsia" w:cs="宋体"/>
          <w:color w:val="auto"/>
          <w:highlight w:val="none"/>
          <w:u w:val="single"/>
        </w:rPr>
        <w:t xml:space="preserve">                     </w:t>
      </w:r>
      <w:r>
        <w:rPr>
          <w:rFonts w:hint="eastAsia" w:cs="宋体"/>
          <w:color w:val="auto"/>
          <w:highlight w:val="non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供应商开户银行（全称）:</w:t>
      </w:r>
      <w:r>
        <w:rPr>
          <w:rFonts w:hint="eastAsia" w:cs="宋体"/>
          <w:color w:val="auto"/>
          <w:highlight w:val="none"/>
          <w:u w:val="single"/>
        </w:rPr>
        <w:t xml:space="preserve">                     </w:t>
      </w:r>
      <w:r>
        <w:rPr>
          <w:rFonts w:hint="eastAsia" w:cs="宋体"/>
          <w:color w:val="auto"/>
          <w:highlight w:val="non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供应商银行帐号:</w:t>
      </w:r>
      <w:r>
        <w:rPr>
          <w:rFonts w:hint="eastAsia" w:cs="宋体"/>
          <w:color w:val="auto"/>
          <w:highlight w:val="none"/>
          <w:u w:val="single"/>
        </w:rPr>
        <w:t xml:space="preserve">                     </w:t>
      </w:r>
      <w:r>
        <w:rPr>
          <w:rFonts w:hint="eastAsia" w:cs="宋体"/>
          <w:color w:val="auto"/>
          <w:highlight w:val="none"/>
        </w:rPr>
        <w:t xml:space="preserve"> </w:t>
      </w:r>
    </w:p>
    <w:p>
      <w:pPr>
        <w:adjustRightInd w:val="0"/>
        <w:snapToGrid w:val="0"/>
        <w:ind w:right="1050" w:rightChars="500" w:firstLine="420" w:firstLineChars="200"/>
        <w:rPr>
          <w:rStyle w:val="34"/>
          <w:color w:val="auto"/>
          <w:highlight w:val="none"/>
        </w:rPr>
      </w:pPr>
      <w:r>
        <w:rPr>
          <w:rFonts w:hint="eastAsia" w:cs="宋体"/>
          <w:color w:val="auto"/>
          <w:highlight w:val="none"/>
        </w:rPr>
        <w:t>日期:</w:t>
      </w:r>
      <w:r>
        <w:rPr>
          <w:rFonts w:hint="eastAsia" w:cs="宋体"/>
          <w:color w:val="auto"/>
          <w:highlight w:val="none"/>
          <w:u w:val="single"/>
        </w:rPr>
        <w:t xml:space="preserve">                     </w:t>
      </w:r>
      <w:r>
        <w:rPr>
          <w:rFonts w:hint="eastAsia" w:cs="宋体"/>
          <w:color w:val="auto"/>
          <w:highlight w:val="none"/>
        </w:rPr>
        <w:t xml:space="preserve"> </w:t>
      </w:r>
      <w:r>
        <w:rPr>
          <w:rFonts w:hint="eastAsia" w:cs="宋体"/>
          <w:color w:val="auto"/>
          <w:highlight w:val="none"/>
        </w:rPr>
        <w:br w:type="page"/>
      </w:r>
      <w:r>
        <w:rPr>
          <w:rStyle w:val="34"/>
          <w:rFonts w:hint="eastAsia"/>
          <w:color w:val="auto"/>
          <w:highlight w:val="none"/>
        </w:rPr>
        <w:t>格式10</w:t>
      </w:r>
    </w:p>
    <w:p>
      <w:pPr>
        <w:pStyle w:val="3"/>
        <w:rPr>
          <w:rFonts w:eastAsia="宋体" w:cs="仿宋_GB2312"/>
          <w:b/>
          <w:bCs/>
          <w:color w:val="auto"/>
          <w:highlight w:val="none"/>
        </w:rPr>
      </w:pPr>
      <w:bookmarkStart w:id="100" w:name="_Toc2673_WPSOffice_Level2"/>
      <w:bookmarkStart w:id="101" w:name="_Toc11267_WPSOffice_Level2"/>
      <w:r>
        <w:rPr>
          <w:rFonts w:hint="eastAsia"/>
          <w:color w:val="auto"/>
          <w:highlight w:val="none"/>
        </w:rPr>
        <w:t>开标一览表</w:t>
      </w:r>
      <w:bookmarkEnd w:id="100"/>
      <w:bookmarkEnd w:id="101"/>
    </w:p>
    <w:p>
      <w:pPr>
        <w:jc w:val="center"/>
        <w:rPr>
          <w:rFonts w:hint="default" w:eastAsia="宋体" w:cs="仿宋_GB2312"/>
          <w:b/>
          <w:bCs/>
          <w:color w:val="auto"/>
          <w:highlight w:val="none"/>
          <w:lang w:val="en-US" w:eastAsia="zh-CN"/>
        </w:rPr>
      </w:pPr>
      <w:r>
        <w:rPr>
          <w:rFonts w:hint="eastAsia"/>
          <w:b/>
          <w:bCs/>
          <w:color w:val="auto"/>
          <w:highlight w:val="none"/>
        </w:rPr>
        <w:t>项目名称：          项目编号：        包号：        报价单位：人民币元</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68" w:type="pct"/>
            <w:vAlign w:val="center"/>
          </w:tcPr>
          <w:p>
            <w:pPr>
              <w:spacing w:line="300" w:lineRule="exact"/>
              <w:jc w:val="center"/>
              <w:rPr>
                <w:color w:val="auto"/>
                <w:highlight w:val="none"/>
              </w:rPr>
            </w:pPr>
            <w:r>
              <w:rPr>
                <w:rFonts w:hint="eastAsia"/>
                <w:color w:val="auto"/>
                <w:highlight w:val="none"/>
              </w:rPr>
              <w:t>服务内容</w:t>
            </w:r>
          </w:p>
        </w:tc>
        <w:tc>
          <w:tcPr>
            <w:tcW w:w="1004" w:type="pct"/>
            <w:vAlign w:val="center"/>
          </w:tcPr>
          <w:p>
            <w:pPr>
              <w:spacing w:line="300" w:lineRule="exact"/>
              <w:jc w:val="center"/>
              <w:rPr>
                <w:color w:val="auto"/>
                <w:highlight w:val="none"/>
              </w:rPr>
            </w:pPr>
            <w:r>
              <w:rPr>
                <w:rFonts w:hint="eastAsia"/>
                <w:color w:val="auto"/>
                <w:highlight w:val="none"/>
              </w:rPr>
              <w:t>投标总价</w:t>
            </w:r>
          </w:p>
        </w:tc>
        <w:tc>
          <w:tcPr>
            <w:tcW w:w="886" w:type="pct"/>
            <w:vAlign w:val="center"/>
          </w:tcPr>
          <w:p>
            <w:pPr>
              <w:spacing w:line="300" w:lineRule="exact"/>
              <w:jc w:val="center"/>
              <w:rPr>
                <w:color w:val="auto"/>
                <w:highlight w:val="none"/>
              </w:rPr>
            </w:pPr>
            <w:r>
              <w:rPr>
                <w:rFonts w:hint="eastAsia"/>
                <w:color w:val="auto"/>
                <w:highlight w:val="none"/>
              </w:rPr>
              <w:t>投标保证金</w:t>
            </w:r>
          </w:p>
        </w:tc>
        <w:tc>
          <w:tcPr>
            <w:tcW w:w="750" w:type="pct"/>
            <w:vAlign w:val="center"/>
          </w:tcPr>
          <w:p>
            <w:pPr>
              <w:spacing w:line="300" w:lineRule="exact"/>
              <w:jc w:val="center"/>
              <w:rPr>
                <w:color w:val="auto"/>
                <w:highlight w:val="none"/>
              </w:rPr>
            </w:pPr>
            <w:r>
              <w:rPr>
                <w:rFonts w:hint="eastAsia"/>
                <w:color w:val="auto"/>
                <w:highlight w:val="none"/>
              </w:rPr>
              <w:t>履约期限</w:t>
            </w:r>
          </w:p>
        </w:tc>
        <w:tc>
          <w:tcPr>
            <w:tcW w:w="847" w:type="pct"/>
            <w:vAlign w:val="center"/>
          </w:tcPr>
          <w:p>
            <w:pPr>
              <w:spacing w:line="300" w:lineRule="exact"/>
              <w:jc w:val="center"/>
              <w:rPr>
                <w:color w:val="auto"/>
                <w:highlight w:val="none"/>
              </w:rPr>
            </w:pPr>
            <w:r>
              <w:rPr>
                <w:rFonts w:hint="eastAsia"/>
                <w:color w:val="auto"/>
                <w:highlight w:val="none"/>
              </w:rPr>
              <w:t>履约地点</w:t>
            </w:r>
          </w:p>
        </w:tc>
        <w:tc>
          <w:tcPr>
            <w:tcW w:w="643" w:type="pct"/>
            <w:vAlign w:val="center"/>
          </w:tcPr>
          <w:p>
            <w:pPr>
              <w:spacing w:line="300" w:lineRule="exact"/>
              <w:jc w:val="center"/>
              <w:rPr>
                <w:color w:val="auto"/>
                <w:highlight w:val="none"/>
              </w:rPr>
            </w:pPr>
            <w:r>
              <w:rPr>
                <w:rFonts w:hint="eastAsia"/>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868" w:type="pct"/>
            <w:vAlign w:val="center"/>
          </w:tcPr>
          <w:p>
            <w:pPr>
              <w:spacing w:line="300" w:lineRule="exact"/>
              <w:jc w:val="center"/>
              <w:rPr>
                <w:color w:val="auto"/>
                <w:highlight w:val="none"/>
              </w:rPr>
            </w:pPr>
          </w:p>
        </w:tc>
        <w:tc>
          <w:tcPr>
            <w:tcW w:w="1004" w:type="pct"/>
            <w:vAlign w:val="center"/>
          </w:tcPr>
          <w:p>
            <w:pPr>
              <w:spacing w:line="300" w:lineRule="exact"/>
              <w:jc w:val="left"/>
              <w:rPr>
                <w:color w:val="auto"/>
                <w:highlight w:val="none"/>
              </w:rPr>
            </w:pPr>
            <w:r>
              <w:rPr>
                <w:rFonts w:hint="eastAsia"/>
                <w:color w:val="auto"/>
                <w:highlight w:val="none"/>
              </w:rPr>
              <w:t>小写：</w:t>
            </w:r>
          </w:p>
          <w:p>
            <w:pPr>
              <w:spacing w:line="300" w:lineRule="exact"/>
              <w:jc w:val="left"/>
              <w:rPr>
                <w:color w:val="auto"/>
                <w:highlight w:val="none"/>
              </w:rPr>
            </w:pPr>
            <w:r>
              <w:rPr>
                <w:rFonts w:hint="eastAsia"/>
                <w:color w:val="auto"/>
                <w:highlight w:val="none"/>
              </w:rPr>
              <w:t>大写：</w:t>
            </w:r>
          </w:p>
        </w:tc>
        <w:tc>
          <w:tcPr>
            <w:tcW w:w="886" w:type="pct"/>
            <w:vAlign w:val="center"/>
          </w:tcPr>
          <w:p>
            <w:pPr>
              <w:spacing w:line="300" w:lineRule="exact"/>
              <w:jc w:val="center"/>
              <w:rPr>
                <w:color w:val="auto"/>
                <w:highlight w:val="none"/>
              </w:rPr>
            </w:pPr>
          </w:p>
        </w:tc>
        <w:tc>
          <w:tcPr>
            <w:tcW w:w="750" w:type="pct"/>
            <w:vAlign w:val="center"/>
          </w:tcPr>
          <w:p>
            <w:pPr>
              <w:spacing w:line="300" w:lineRule="exact"/>
              <w:jc w:val="center"/>
              <w:rPr>
                <w:color w:val="auto"/>
                <w:highlight w:val="none"/>
              </w:rPr>
            </w:pPr>
          </w:p>
        </w:tc>
        <w:tc>
          <w:tcPr>
            <w:tcW w:w="847" w:type="pct"/>
            <w:vAlign w:val="center"/>
          </w:tcPr>
          <w:p>
            <w:pPr>
              <w:spacing w:line="300" w:lineRule="exact"/>
              <w:jc w:val="center"/>
              <w:rPr>
                <w:color w:val="auto"/>
                <w:highlight w:val="none"/>
              </w:rPr>
            </w:pPr>
          </w:p>
        </w:tc>
        <w:tc>
          <w:tcPr>
            <w:tcW w:w="643" w:type="pct"/>
            <w:vAlign w:val="center"/>
          </w:tcPr>
          <w:p>
            <w:pPr>
              <w:spacing w:line="300" w:lineRule="exact"/>
              <w:jc w:val="center"/>
              <w:rPr>
                <w:color w:val="auto"/>
                <w:highlight w:val="none"/>
              </w:rPr>
            </w:pPr>
          </w:p>
        </w:tc>
      </w:tr>
    </w:tbl>
    <w:p>
      <w:pPr>
        <w:spacing w:line="300" w:lineRule="exact"/>
        <w:ind w:firstLine="420" w:firstLineChars="200"/>
        <w:rPr>
          <w:color w:val="auto"/>
          <w:highlight w:val="none"/>
        </w:rPr>
      </w:pPr>
      <w:r>
        <w:rPr>
          <w:rFonts w:hint="eastAsia"/>
          <w:color w:val="auto"/>
          <w:highlight w:val="none"/>
        </w:rPr>
        <w:t>注：此表中，投标总价应和分项报价表的总价相一致</w:t>
      </w:r>
    </w:p>
    <w:p>
      <w:pPr>
        <w:adjustRightInd w:val="0"/>
        <w:snapToGrid w:val="0"/>
        <w:ind w:right="105" w:rightChars="50" w:firstLine="544" w:firstLineChars="227"/>
        <w:jc w:val="left"/>
        <w:rPr>
          <w:rFonts w:cs="仿宋_GB2312"/>
          <w:color w:val="auto"/>
          <w:sz w:val="24"/>
          <w:highlight w:val="none"/>
        </w:rPr>
      </w:pPr>
    </w:p>
    <w:p>
      <w:pPr>
        <w:ind w:firstLine="420" w:firstLineChars="200"/>
        <w:rPr>
          <w:color w:val="auto"/>
          <w:highlight w:val="none"/>
        </w:rPr>
      </w:pPr>
      <w:r>
        <w:rPr>
          <w:rFonts w:hint="eastAsia"/>
          <w:color w:val="auto"/>
          <w:highlight w:val="none"/>
        </w:rPr>
        <w:t xml:space="preserve">供应商(单位公章):               </w:t>
      </w:r>
    </w:p>
    <w:p>
      <w:pPr>
        <w:ind w:firstLine="420" w:firstLineChars="200"/>
        <w:rPr>
          <w:color w:val="auto"/>
          <w:highlight w:val="none"/>
        </w:rPr>
      </w:pPr>
    </w:p>
    <w:p>
      <w:pPr>
        <w:ind w:firstLine="420" w:firstLineChars="200"/>
        <w:rPr>
          <w:rFonts w:cs="仿宋_GB2312"/>
          <w:color w:val="auto"/>
          <w:highlight w:val="none"/>
          <w:u w:val="singl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s="仿宋_GB2312"/>
          <w:color w:val="auto"/>
          <w:highlight w:val="none"/>
          <w:u w:val="single"/>
        </w:rPr>
        <w:t xml:space="preserve">    </w:t>
      </w:r>
    </w:p>
    <w:p>
      <w:pPr>
        <w:adjustRightInd w:val="0"/>
        <w:snapToGrid w:val="0"/>
        <w:ind w:right="105" w:rightChars="50"/>
        <w:jc w:val="left"/>
        <w:rPr>
          <w:rFonts w:eastAsia="黑体" w:cs="仿宋_GB2312"/>
          <w:color w:val="auto"/>
          <w:szCs w:val="28"/>
          <w:highlight w:val="none"/>
        </w:rPr>
      </w:pPr>
      <w:r>
        <w:rPr>
          <w:rFonts w:hint="eastAsia" w:cs="仿宋_GB2312"/>
          <w:color w:val="auto"/>
          <w:highlight w:val="none"/>
        </w:rPr>
        <w:br w:type="page"/>
      </w:r>
      <w:r>
        <w:rPr>
          <w:rStyle w:val="34"/>
          <w:rFonts w:hint="eastAsia"/>
          <w:color w:val="auto"/>
          <w:highlight w:val="none"/>
        </w:rPr>
        <w:t>格式11</w:t>
      </w:r>
    </w:p>
    <w:p>
      <w:pPr>
        <w:pStyle w:val="3"/>
        <w:rPr>
          <w:rFonts w:eastAsia="宋体" w:cs="仿宋_GB2312"/>
          <w:b/>
          <w:bCs/>
          <w:color w:val="auto"/>
          <w:highlight w:val="none"/>
        </w:rPr>
      </w:pPr>
      <w:r>
        <w:rPr>
          <w:rFonts w:hint="eastAsia"/>
          <w:color w:val="auto"/>
          <w:highlight w:val="none"/>
        </w:rPr>
        <w:t>服务价格明细表</w:t>
      </w:r>
    </w:p>
    <w:p>
      <w:pPr>
        <w:jc w:val="center"/>
        <w:rPr>
          <w:rFonts w:hint="default" w:eastAsia="宋体"/>
          <w:b/>
          <w:bCs/>
          <w:color w:val="auto"/>
          <w:highlight w:val="none"/>
          <w:lang w:val="en-US" w:eastAsia="zh-CN"/>
        </w:rPr>
      </w:pPr>
      <w:r>
        <w:rPr>
          <w:rFonts w:hint="eastAsia"/>
          <w:b/>
          <w:bCs/>
          <w:color w:val="auto"/>
          <w:highlight w:val="none"/>
        </w:rPr>
        <w:t>项目名称：          项目编号：        包号：        报价单位：人民币元</w:t>
      </w:r>
    </w:p>
    <w:tbl>
      <w:tblPr>
        <w:tblStyle w:val="21"/>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609" w:type="pct"/>
            <w:vAlign w:val="center"/>
          </w:tcPr>
          <w:p>
            <w:pPr>
              <w:spacing w:line="300" w:lineRule="exact"/>
              <w:jc w:val="center"/>
              <w:rPr>
                <w:color w:val="auto"/>
                <w:highlight w:val="none"/>
              </w:rPr>
            </w:pPr>
            <w:r>
              <w:rPr>
                <w:rFonts w:hint="eastAsia"/>
                <w:color w:val="auto"/>
                <w:highlight w:val="none"/>
              </w:rPr>
              <w:t>序号</w:t>
            </w:r>
          </w:p>
        </w:tc>
        <w:tc>
          <w:tcPr>
            <w:tcW w:w="894" w:type="pct"/>
            <w:vAlign w:val="center"/>
          </w:tcPr>
          <w:p>
            <w:pPr>
              <w:spacing w:line="300" w:lineRule="exact"/>
              <w:jc w:val="center"/>
              <w:rPr>
                <w:color w:val="auto"/>
                <w:highlight w:val="none"/>
              </w:rPr>
            </w:pPr>
            <w:r>
              <w:rPr>
                <w:rFonts w:hint="eastAsia"/>
                <w:color w:val="auto"/>
                <w:highlight w:val="none"/>
              </w:rPr>
              <w:t>名称</w:t>
            </w:r>
          </w:p>
        </w:tc>
        <w:tc>
          <w:tcPr>
            <w:tcW w:w="686" w:type="pct"/>
            <w:vAlign w:val="center"/>
          </w:tcPr>
          <w:p>
            <w:pPr>
              <w:spacing w:line="300" w:lineRule="exact"/>
              <w:jc w:val="center"/>
              <w:rPr>
                <w:color w:val="auto"/>
                <w:highlight w:val="none"/>
              </w:rPr>
            </w:pPr>
            <w:r>
              <w:rPr>
                <w:rFonts w:hint="eastAsia"/>
                <w:color w:val="auto"/>
                <w:highlight w:val="none"/>
              </w:rPr>
              <w:t>所用设备</w:t>
            </w:r>
          </w:p>
        </w:tc>
        <w:tc>
          <w:tcPr>
            <w:tcW w:w="472" w:type="pct"/>
            <w:vAlign w:val="center"/>
          </w:tcPr>
          <w:p>
            <w:pPr>
              <w:spacing w:line="300" w:lineRule="exact"/>
              <w:jc w:val="center"/>
              <w:rPr>
                <w:color w:val="auto"/>
                <w:highlight w:val="none"/>
              </w:rPr>
            </w:pPr>
            <w:r>
              <w:rPr>
                <w:rFonts w:hint="eastAsia"/>
                <w:color w:val="auto"/>
                <w:highlight w:val="none"/>
              </w:rPr>
              <w:t>人员配置</w:t>
            </w:r>
          </w:p>
        </w:tc>
        <w:tc>
          <w:tcPr>
            <w:tcW w:w="454" w:type="pct"/>
            <w:vAlign w:val="center"/>
          </w:tcPr>
          <w:p>
            <w:pPr>
              <w:spacing w:line="300" w:lineRule="exact"/>
              <w:jc w:val="center"/>
              <w:rPr>
                <w:color w:val="auto"/>
                <w:highlight w:val="none"/>
              </w:rPr>
            </w:pPr>
            <w:r>
              <w:rPr>
                <w:rFonts w:hint="eastAsia"/>
                <w:color w:val="auto"/>
                <w:highlight w:val="none"/>
              </w:rPr>
              <w:t>履约期限</w:t>
            </w:r>
          </w:p>
        </w:tc>
        <w:tc>
          <w:tcPr>
            <w:tcW w:w="448" w:type="pct"/>
            <w:vAlign w:val="center"/>
          </w:tcPr>
          <w:p>
            <w:pPr>
              <w:spacing w:line="300" w:lineRule="exact"/>
              <w:jc w:val="center"/>
              <w:rPr>
                <w:color w:val="auto"/>
                <w:highlight w:val="none"/>
              </w:rPr>
            </w:pPr>
            <w:r>
              <w:rPr>
                <w:rFonts w:hint="eastAsia"/>
                <w:color w:val="auto"/>
                <w:highlight w:val="none"/>
              </w:rPr>
              <w:t>履约地点</w:t>
            </w:r>
          </w:p>
        </w:tc>
        <w:tc>
          <w:tcPr>
            <w:tcW w:w="448" w:type="pct"/>
            <w:vAlign w:val="center"/>
          </w:tcPr>
          <w:p>
            <w:pPr>
              <w:spacing w:line="300" w:lineRule="exact"/>
              <w:jc w:val="center"/>
              <w:rPr>
                <w:color w:val="auto"/>
                <w:highlight w:val="none"/>
              </w:rPr>
            </w:pPr>
            <w:r>
              <w:rPr>
                <w:rFonts w:hint="eastAsia"/>
                <w:color w:val="auto"/>
                <w:highlight w:val="none"/>
              </w:rPr>
              <w:t>单价</w:t>
            </w:r>
          </w:p>
        </w:tc>
        <w:tc>
          <w:tcPr>
            <w:tcW w:w="452" w:type="pct"/>
            <w:vAlign w:val="center"/>
          </w:tcPr>
          <w:p>
            <w:pPr>
              <w:spacing w:line="300" w:lineRule="exact"/>
              <w:jc w:val="center"/>
              <w:rPr>
                <w:color w:val="auto"/>
                <w:highlight w:val="none"/>
              </w:rPr>
            </w:pPr>
            <w:r>
              <w:rPr>
                <w:rFonts w:hint="eastAsia"/>
                <w:color w:val="auto"/>
                <w:highlight w:val="none"/>
              </w:rPr>
              <w:t>总价</w:t>
            </w:r>
          </w:p>
        </w:tc>
        <w:tc>
          <w:tcPr>
            <w:tcW w:w="532" w:type="pct"/>
            <w:vAlign w:val="center"/>
          </w:tcPr>
          <w:p>
            <w:pPr>
              <w:spacing w:line="300" w:lineRule="exact"/>
              <w:jc w:val="center"/>
              <w:rPr>
                <w:color w:val="auto"/>
                <w:highlight w:val="none"/>
              </w:rPr>
            </w:pPr>
            <w:r>
              <w:rPr>
                <w:rFonts w:hint="eastAsia"/>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503" w:type="pct"/>
            <w:gridSpan w:val="2"/>
            <w:vAlign w:val="center"/>
          </w:tcPr>
          <w:p>
            <w:pPr>
              <w:spacing w:line="300" w:lineRule="exact"/>
              <w:jc w:val="center"/>
              <w:rPr>
                <w:color w:val="auto"/>
                <w:highlight w:val="none"/>
              </w:rPr>
            </w:pPr>
            <w:r>
              <w:rPr>
                <w:rFonts w:hint="eastAsia"/>
                <w:color w:val="auto"/>
                <w:highlight w:val="none"/>
              </w:rPr>
              <w:t>总价</w:t>
            </w: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bl>
    <w:p>
      <w:pPr>
        <w:rPr>
          <w:color w:val="auto"/>
          <w:highlight w:val="none"/>
        </w:rPr>
      </w:pPr>
      <w:r>
        <w:rPr>
          <w:rFonts w:hint="eastAsia"/>
          <w:color w:val="auto"/>
          <w:highlight w:val="none"/>
        </w:rPr>
        <w:t>注：1.各项服务详细内容应详细描述。如果供应商认为需要，每项服务填写一份该表。</w:t>
      </w:r>
    </w:p>
    <w:p>
      <w:pPr>
        <w:ind w:firstLine="420"/>
        <w:rPr>
          <w:color w:val="auto"/>
          <w:highlight w:val="none"/>
        </w:rPr>
      </w:pPr>
      <w:r>
        <w:rPr>
          <w:rFonts w:hint="eastAsia"/>
          <w:color w:val="auto"/>
          <w:highlight w:val="none"/>
        </w:rPr>
        <w:t>2.如果按单价计算的结果与总价不一致,以单价为准修正总价。</w:t>
      </w:r>
    </w:p>
    <w:p>
      <w:pPr>
        <w:ind w:firstLine="420"/>
        <w:rPr>
          <w:color w:val="auto"/>
          <w:highlight w:val="none"/>
        </w:rPr>
      </w:pPr>
      <w:r>
        <w:rPr>
          <w:rFonts w:hint="eastAsia"/>
          <w:color w:val="auto"/>
          <w:highlight w:val="none"/>
        </w:rPr>
        <w:t>3.如果不提供详细分项报价将视为没有实质性响应招标文件。</w:t>
      </w:r>
    </w:p>
    <w:p>
      <w:pPr>
        <w:ind w:firstLine="420"/>
        <w:rPr>
          <w:color w:val="auto"/>
          <w:highlight w:val="none"/>
        </w:rPr>
      </w:pPr>
      <w:r>
        <w:rPr>
          <w:rFonts w:hint="eastAsia"/>
          <w:color w:val="auto"/>
          <w:highlight w:val="none"/>
        </w:rPr>
        <w:t>4.上述各项的详细分项报价，应另页描述。</w:t>
      </w:r>
    </w:p>
    <w:p>
      <w:pPr>
        <w:ind w:firstLine="420"/>
        <w:rPr>
          <w:color w:val="auto"/>
          <w:highlight w:val="none"/>
        </w:rPr>
      </w:pPr>
      <w:r>
        <w:rPr>
          <w:rFonts w:hint="eastAsia"/>
          <w:color w:val="auto"/>
          <w:highlight w:val="none"/>
        </w:rPr>
        <w:t>5.如果开标一览表内容与投标文件中明细表内容不一致的，以开标一览表内容为准。</w:t>
      </w:r>
    </w:p>
    <w:p>
      <w:pPr>
        <w:rPr>
          <w:color w:val="auto"/>
          <w:highlight w:val="none"/>
        </w:rPr>
      </w:pPr>
    </w:p>
    <w:p>
      <w:pPr>
        <w:rPr>
          <w:color w:val="auto"/>
          <w:highlight w:val="none"/>
        </w:rPr>
      </w:pPr>
    </w:p>
    <w:p>
      <w:pPr>
        <w:pStyle w:val="29"/>
        <w:ind w:firstLine="420"/>
        <w:rPr>
          <w:color w:val="auto"/>
          <w:highlight w:val="none"/>
        </w:rPr>
      </w:pPr>
    </w:p>
    <w:p>
      <w:pPr>
        <w:ind w:firstLine="420"/>
        <w:rPr>
          <w:color w:val="auto"/>
          <w:highlight w:val="none"/>
          <w:u w:val="single"/>
        </w:rPr>
      </w:pPr>
      <w:r>
        <w:rPr>
          <w:rFonts w:hint="eastAsia"/>
          <w:color w:val="auto"/>
          <w:highlight w:val="none"/>
        </w:rPr>
        <w:t>供应商(单位公章):</w:t>
      </w:r>
      <w:r>
        <w:rPr>
          <w:rFonts w:hint="eastAsia"/>
          <w:color w:val="auto"/>
          <w:highlight w:val="none"/>
          <w:u w:val="single"/>
        </w:rPr>
        <w:t xml:space="preserve">               </w:t>
      </w:r>
    </w:p>
    <w:p>
      <w:pPr>
        <w:ind w:firstLine="420"/>
        <w:rPr>
          <w:color w:val="auto"/>
          <w:highlight w:val="none"/>
        </w:rPr>
      </w:pPr>
    </w:p>
    <w:p>
      <w:pPr>
        <w:ind w:firstLine="420"/>
        <w:rPr>
          <w:rFonts w:cs="仿宋_GB2312"/>
          <w:color w:val="auto"/>
          <w:highlight w:val="none"/>
          <w:u w:val="singl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s="仿宋_GB2312"/>
          <w:color w:val="auto"/>
          <w:highlight w:val="none"/>
          <w:u w:val="single"/>
        </w:rPr>
        <w:t xml:space="preserve">   </w:t>
      </w:r>
    </w:p>
    <w:p>
      <w:pPr>
        <w:adjustRightInd w:val="0"/>
        <w:snapToGrid w:val="0"/>
        <w:ind w:right="105" w:rightChars="50" w:firstLine="480" w:firstLineChars="200"/>
        <w:jc w:val="left"/>
        <w:rPr>
          <w:rFonts w:cs="仿宋_GB2312"/>
          <w:color w:val="auto"/>
          <w:sz w:val="24"/>
          <w:highlight w:val="none"/>
        </w:rPr>
      </w:pPr>
    </w:p>
    <w:p>
      <w:pPr>
        <w:adjustRightInd w:val="0"/>
        <w:snapToGrid w:val="0"/>
        <w:ind w:right="105" w:rightChars="50"/>
        <w:jc w:val="left"/>
        <w:rPr>
          <w:rFonts w:cs="仿宋_GB2312"/>
          <w:b/>
          <w:color w:val="auto"/>
          <w:sz w:val="28"/>
          <w:szCs w:val="28"/>
          <w:highlight w:val="none"/>
        </w:rPr>
        <w:sectPr>
          <w:pgSz w:w="11906" w:h="16838"/>
          <w:pgMar w:top="1440" w:right="1803" w:bottom="1440" w:left="1803" w:header="851" w:footer="992" w:gutter="0"/>
          <w:cols w:space="720" w:num="1"/>
          <w:docGrid w:linePitch="319" w:charSpace="0"/>
        </w:sectPr>
      </w:pPr>
    </w:p>
    <w:p>
      <w:pPr>
        <w:pStyle w:val="4"/>
        <w:spacing w:before="0" w:after="0"/>
        <w:rPr>
          <w:color w:val="auto"/>
          <w:highlight w:val="none"/>
        </w:rPr>
      </w:pPr>
      <w:r>
        <w:rPr>
          <w:rFonts w:hint="eastAsia"/>
          <w:color w:val="auto"/>
          <w:highlight w:val="none"/>
        </w:rPr>
        <w:t>格式12</w:t>
      </w:r>
    </w:p>
    <w:p>
      <w:pPr>
        <w:pStyle w:val="3"/>
        <w:rPr>
          <w:color w:val="auto"/>
          <w:highlight w:val="none"/>
        </w:rPr>
      </w:pPr>
      <w:bookmarkStart w:id="102" w:name="_Toc9235_WPSOffice_Level2"/>
      <w:bookmarkStart w:id="103" w:name="_Toc31555_WPSOffice_Level2"/>
      <w:r>
        <w:rPr>
          <w:rFonts w:hint="eastAsia"/>
          <w:color w:val="auto"/>
          <w:highlight w:val="none"/>
        </w:rPr>
        <w:t>服务需求响应表</w:t>
      </w:r>
      <w:bookmarkEnd w:id="102"/>
      <w:bookmarkEnd w:id="103"/>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atLeast"/>
        </w:trPr>
        <w:tc>
          <w:tcPr>
            <w:tcW w:w="5000" w:type="pct"/>
            <w:gridSpan w:val="5"/>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rFonts w:hint="eastAsia"/>
                <w:color w:val="auto"/>
                <w:highlight w:val="none"/>
              </w:rPr>
              <w:t>包号/品目号：</w:t>
            </w:r>
          </w:p>
          <w:p>
            <w:pPr>
              <w:spacing w:line="300" w:lineRule="exact"/>
              <w:rPr>
                <w:color w:val="auto"/>
                <w:highlight w:val="none"/>
              </w:rPr>
            </w:pPr>
            <w:r>
              <w:rPr>
                <w:rFonts w:hint="eastAsia"/>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招标文件要求</w:t>
            </w:r>
          </w:p>
          <w:p>
            <w:pPr>
              <w:spacing w:line="300" w:lineRule="exact"/>
              <w:rPr>
                <w:color w:val="auto"/>
                <w:highlight w:val="none"/>
              </w:rPr>
            </w:pPr>
            <w:r>
              <w:rPr>
                <w:rFonts w:hint="eastAsia"/>
                <w:b/>
                <w:bCs/>
                <w:color w:val="auto"/>
                <w:highlight w:val="none"/>
              </w:rPr>
              <w:t>重要提示：实质性要求及重要指标用★标注（“★”必须标注在序号前），★标注项不得负偏离，如果负偏离，则投标文件无效。</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投标文件</w:t>
            </w:r>
          </w:p>
          <w:p>
            <w:pPr>
              <w:spacing w:line="300" w:lineRule="exact"/>
              <w:jc w:val="center"/>
              <w:rPr>
                <w:color w:val="auto"/>
                <w:highlight w:val="none"/>
              </w:rPr>
            </w:pPr>
            <w:r>
              <w:rPr>
                <w:rFonts w:hint="eastAsia"/>
                <w:color w:val="auto"/>
                <w:highlight w:val="none"/>
              </w:rPr>
              <w:t>响应内容</w:t>
            </w: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偏离程度</w:t>
            </w: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偏离说明</w:t>
            </w: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服务要求</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其它</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采购单位未提供需求而供应商认为需说明及补充的内容在此填列</w:t>
            </w: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r>
    </w:tbl>
    <w:p>
      <w:pPr>
        <w:ind w:firstLine="422" w:firstLineChars="200"/>
        <w:rPr>
          <w:b/>
          <w:bCs/>
          <w:color w:val="auto"/>
          <w:highlight w:val="none"/>
        </w:rPr>
      </w:pPr>
      <w:r>
        <w:rPr>
          <w:rFonts w:hint="eastAsia"/>
          <w:b/>
          <w:bCs/>
          <w:color w:val="auto"/>
          <w:highlight w:val="none"/>
        </w:rPr>
        <w:t>填表要求：</w:t>
      </w:r>
    </w:p>
    <w:p>
      <w:pPr>
        <w:ind w:firstLine="420" w:firstLineChars="200"/>
        <w:rPr>
          <w:color w:val="auto"/>
          <w:highlight w:val="none"/>
        </w:rPr>
      </w:pPr>
      <w:r>
        <w:rPr>
          <w:rFonts w:hint="eastAsia"/>
          <w:color w:val="auto"/>
          <w:highlight w:val="none"/>
        </w:rPr>
        <w:t>1．“投标文件响应内容”一栏由供应商按照招标文件要求填写并进行逐项响应。</w:t>
      </w:r>
    </w:p>
    <w:p>
      <w:pPr>
        <w:ind w:firstLine="420" w:firstLineChars="200"/>
        <w:rPr>
          <w:color w:val="auto"/>
          <w:highlight w:val="none"/>
        </w:rPr>
      </w:pPr>
      <w:r>
        <w:rPr>
          <w:rFonts w:hint="eastAsia"/>
          <w:color w:val="auto"/>
          <w:highlight w:val="none"/>
        </w:rPr>
        <w:t>2．“偏离程度”一栏根据“投标文件响应内容”与招标文件逐项对照的结果填写。偏离必须用 “正偏离、负偏离或无偏离”三个名称中的一种进行标注。</w:t>
      </w:r>
    </w:p>
    <w:p>
      <w:pPr>
        <w:ind w:firstLine="420" w:firstLineChars="200"/>
        <w:rPr>
          <w:color w:val="auto"/>
          <w:highlight w:val="none"/>
        </w:rPr>
      </w:pPr>
      <w:r>
        <w:rPr>
          <w:rFonts w:hint="eastAsia"/>
          <w:color w:val="auto"/>
          <w:highlight w:val="none"/>
        </w:rPr>
        <w:t>3．“说明”一栏由供应商对偏离的情况做详细说明。</w:t>
      </w:r>
    </w:p>
    <w:p>
      <w:pPr>
        <w:ind w:firstLine="420" w:firstLineChars="200"/>
        <w:rPr>
          <w:color w:val="auto"/>
          <w:highlight w:val="none"/>
        </w:rPr>
      </w:pPr>
    </w:p>
    <w:p>
      <w:pPr>
        <w:pStyle w:val="29"/>
        <w:ind w:firstLine="420"/>
        <w:rPr>
          <w:color w:val="auto"/>
          <w:highlight w:val="none"/>
        </w:rPr>
      </w:pPr>
    </w:p>
    <w:p>
      <w:pPr>
        <w:pStyle w:val="29"/>
        <w:ind w:firstLine="420"/>
        <w:rPr>
          <w:color w:val="auto"/>
          <w:highlight w:val="none"/>
        </w:rPr>
      </w:pPr>
    </w:p>
    <w:p>
      <w:pPr>
        <w:pStyle w:val="29"/>
        <w:ind w:firstLine="420"/>
        <w:rPr>
          <w:color w:val="auto"/>
          <w:highlight w:val="none"/>
        </w:rPr>
      </w:pPr>
    </w:p>
    <w:p>
      <w:pPr>
        <w:ind w:firstLine="420" w:firstLineChars="200"/>
        <w:rPr>
          <w:color w:val="auto"/>
          <w:highlight w:val="none"/>
          <w:u w:val="single"/>
        </w:rPr>
      </w:pPr>
      <w:r>
        <w:rPr>
          <w:rFonts w:hint="eastAsia"/>
          <w:color w:val="auto"/>
          <w:highlight w:val="none"/>
        </w:rPr>
        <w:t xml:space="preserve">供应商(单位公章): </w:t>
      </w:r>
      <w:r>
        <w:rPr>
          <w:rFonts w:hint="eastAsia"/>
          <w:color w:val="auto"/>
          <w:highlight w:val="none"/>
          <w:u w:val="single"/>
        </w:rPr>
        <w:t xml:space="preserve">              </w:t>
      </w:r>
    </w:p>
    <w:p>
      <w:pPr>
        <w:ind w:firstLine="420" w:firstLineChars="200"/>
        <w:rPr>
          <w:color w:val="auto"/>
          <w:highlight w:val="none"/>
        </w:rPr>
      </w:pPr>
    </w:p>
    <w:p>
      <w:pPr>
        <w:ind w:firstLine="420" w:firstLineChars="200"/>
        <w:rPr>
          <w:rFonts w:cs="仿宋_GB2312"/>
          <w:color w:val="auto"/>
          <w:highlight w:val="none"/>
        </w:rPr>
      </w:pPr>
      <w:r>
        <w:rPr>
          <w:rFonts w:hint="eastAsia"/>
          <w:color w:val="auto"/>
          <w:highlight w:val="none"/>
        </w:rPr>
        <w:t>法定代表人（或非法人组织负责人）或其授权委托人(签字或盖章):</w:t>
      </w:r>
      <w:r>
        <w:rPr>
          <w:rFonts w:hint="eastAsia"/>
          <w:color w:val="auto"/>
          <w:highlight w:val="none"/>
          <w:u w:val="single"/>
        </w:rPr>
        <w:t xml:space="preserve">            </w:t>
      </w:r>
    </w:p>
    <w:p>
      <w:pPr>
        <w:rPr>
          <w:rFonts w:eastAsia="黑体" w:cs="仿宋_GB2312"/>
          <w:color w:val="auto"/>
          <w:szCs w:val="28"/>
          <w:highlight w:val="none"/>
        </w:rPr>
      </w:pPr>
      <w:r>
        <w:rPr>
          <w:rFonts w:hint="eastAsia" w:cs="仿宋_GB2312"/>
          <w:b/>
          <w:color w:val="auto"/>
          <w:sz w:val="28"/>
          <w:szCs w:val="28"/>
          <w:highlight w:val="none"/>
        </w:rPr>
        <w:br w:type="page"/>
      </w:r>
      <w:r>
        <w:rPr>
          <w:rStyle w:val="34"/>
          <w:rFonts w:hint="eastAsia"/>
          <w:color w:val="auto"/>
          <w:highlight w:val="none"/>
        </w:rPr>
        <w:t>格式13</w:t>
      </w:r>
    </w:p>
    <w:p>
      <w:pPr>
        <w:pStyle w:val="3"/>
        <w:rPr>
          <w:color w:val="auto"/>
          <w:highlight w:val="none"/>
        </w:rPr>
      </w:pPr>
      <w:bookmarkStart w:id="104" w:name="_Toc4431_WPSOffice_Level2"/>
      <w:bookmarkStart w:id="105" w:name="_Toc8488_WPSOffice_Level2"/>
      <w:r>
        <w:rPr>
          <w:rFonts w:hint="eastAsia"/>
          <w:color w:val="auto"/>
          <w:highlight w:val="none"/>
        </w:rPr>
        <w:t>商务条款偏离表</w:t>
      </w:r>
      <w:bookmarkEnd w:id="104"/>
      <w:bookmarkEnd w:id="105"/>
    </w:p>
    <w:p>
      <w:pPr>
        <w:adjustRightInd w:val="0"/>
        <w:snapToGrid w:val="0"/>
        <w:ind w:right="105" w:rightChars="50" w:firstLine="479" w:firstLineChars="227"/>
        <w:jc w:val="center"/>
        <w:rPr>
          <w:rFonts w:cs="仿宋_GB2312"/>
          <w:b/>
          <w:bCs/>
          <w:color w:val="auto"/>
          <w:highlight w:val="none"/>
        </w:rPr>
      </w:pPr>
      <w:r>
        <w:rPr>
          <w:rFonts w:hint="eastAsia"/>
          <w:b/>
          <w:bCs/>
          <w:color w:val="auto"/>
          <w:highlight w:val="none"/>
        </w:rPr>
        <w:t>项目名称：                  项目编号：                包号：</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321" w:type="pct"/>
            <w:vAlign w:val="center"/>
          </w:tcPr>
          <w:p>
            <w:pPr>
              <w:spacing w:line="300" w:lineRule="exact"/>
              <w:jc w:val="center"/>
              <w:rPr>
                <w:color w:val="auto"/>
                <w:highlight w:val="none"/>
              </w:rPr>
            </w:pPr>
            <w:r>
              <w:rPr>
                <w:rFonts w:hint="eastAsia"/>
                <w:color w:val="auto"/>
                <w:highlight w:val="none"/>
              </w:rPr>
              <w:t>序号</w:t>
            </w:r>
          </w:p>
        </w:tc>
        <w:tc>
          <w:tcPr>
            <w:tcW w:w="2207" w:type="pct"/>
            <w:vAlign w:val="center"/>
          </w:tcPr>
          <w:p>
            <w:pPr>
              <w:spacing w:line="300" w:lineRule="exact"/>
              <w:jc w:val="center"/>
              <w:rPr>
                <w:color w:val="auto"/>
                <w:highlight w:val="none"/>
              </w:rPr>
            </w:pPr>
            <w:r>
              <w:rPr>
                <w:rFonts w:hint="eastAsia"/>
                <w:color w:val="auto"/>
                <w:highlight w:val="none"/>
              </w:rPr>
              <w:t>招标文件的商务条款</w:t>
            </w:r>
          </w:p>
          <w:p>
            <w:pPr>
              <w:spacing w:line="300" w:lineRule="exact"/>
              <w:jc w:val="center"/>
              <w:rPr>
                <w:color w:val="auto"/>
                <w:highlight w:val="none"/>
              </w:rPr>
            </w:pPr>
            <w:r>
              <w:rPr>
                <w:rFonts w:hint="eastAsia"/>
                <w:b/>
                <w:bCs/>
                <w:color w:val="auto"/>
                <w:highlight w:val="none"/>
              </w:rPr>
              <w:t>（实质性要求及重要指标用★标注，★标注项不得负偏离，如果负偏离，则投标文件无效。）</w:t>
            </w:r>
          </w:p>
        </w:tc>
        <w:tc>
          <w:tcPr>
            <w:tcW w:w="1385" w:type="pct"/>
            <w:vAlign w:val="center"/>
          </w:tcPr>
          <w:p>
            <w:pPr>
              <w:spacing w:line="300" w:lineRule="exact"/>
              <w:jc w:val="center"/>
              <w:rPr>
                <w:color w:val="auto"/>
                <w:highlight w:val="none"/>
              </w:rPr>
            </w:pPr>
            <w:r>
              <w:rPr>
                <w:rFonts w:hint="eastAsia"/>
                <w:color w:val="auto"/>
                <w:highlight w:val="none"/>
              </w:rPr>
              <w:t>投标文件响应内容</w:t>
            </w:r>
          </w:p>
        </w:tc>
        <w:tc>
          <w:tcPr>
            <w:tcW w:w="589" w:type="pct"/>
            <w:vAlign w:val="center"/>
          </w:tcPr>
          <w:p>
            <w:pPr>
              <w:spacing w:line="300" w:lineRule="exact"/>
              <w:jc w:val="center"/>
              <w:rPr>
                <w:color w:val="auto"/>
                <w:highlight w:val="none"/>
              </w:rPr>
            </w:pPr>
            <w:r>
              <w:rPr>
                <w:rFonts w:hint="eastAsia"/>
                <w:color w:val="auto"/>
                <w:highlight w:val="none"/>
              </w:rPr>
              <w:t>偏离程度</w:t>
            </w:r>
          </w:p>
        </w:tc>
        <w:tc>
          <w:tcPr>
            <w:tcW w:w="496" w:type="pct"/>
            <w:vAlign w:val="center"/>
          </w:tcPr>
          <w:p>
            <w:pPr>
              <w:spacing w:line="300" w:lineRule="exact"/>
              <w:jc w:val="center"/>
              <w:rPr>
                <w:color w:val="auto"/>
                <w:highlight w:val="none"/>
              </w:rPr>
            </w:pPr>
            <w:r>
              <w:rPr>
                <w:rFonts w:hint="eastAsia"/>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pPr>
              <w:spacing w:line="300" w:lineRule="exact"/>
              <w:jc w:val="center"/>
              <w:rPr>
                <w:color w:val="auto"/>
                <w:highlight w:val="none"/>
              </w:rPr>
            </w:pPr>
            <w:r>
              <w:rPr>
                <w:rFonts w:hint="eastAsia"/>
                <w:color w:val="auto"/>
                <w:highlight w:val="none"/>
              </w:rPr>
              <w:t>1</w:t>
            </w:r>
          </w:p>
        </w:tc>
        <w:tc>
          <w:tcPr>
            <w:tcW w:w="3759" w:type="dxa"/>
            <w:vAlign w:val="center"/>
          </w:tcPr>
          <w:p>
            <w:pPr>
              <w:spacing w:line="300" w:lineRule="exact"/>
              <w:jc w:val="left"/>
              <w:rPr>
                <w:rFonts w:hint="eastAsia" w:eastAsia="宋体"/>
                <w:color w:val="auto"/>
                <w:highlight w:val="none"/>
                <w:lang w:val="en-US" w:eastAsia="zh-CN"/>
              </w:rPr>
            </w:pPr>
            <w:r>
              <w:rPr>
                <w:rFonts w:hint="eastAsia"/>
                <w:color w:val="auto"/>
                <w:highlight w:val="none"/>
              </w:rPr>
              <w:t>★服务期：</w:t>
            </w:r>
            <w:r>
              <w:rPr>
                <w:rFonts w:hint="eastAsia"/>
                <w:color w:val="auto"/>
                <w:highlight w:val="none"/>
                <w:lang w:eastAsia="zh-CN"/>
              </w:rPr>
              <w:t>自合同签字起生效，服务期限为一年。一年服务期满，根据《财政部关于推和完善服务项目政府采购有关问题的通知》（财库【2014】37号)文件要求，采购结果最多3年沿用，合同一年一考核一续签，是否续签，由采购人视财政预算安排及供应商资质条件、服务质量、服务内容、服务满意度等绩效考核情况确定。</w:t>
            </w:r>
          </w:p>
        </w:tc>
        <w:tc>
          <w:tcPr>
            <w:tcW w:w="1385" w:type="pct"/>
            <w:vAlign w:val="center"/>
          </w:tcPr>
          <w:p>
            <w:pPr>
              <w:adjustRightInd w:val="0"/>
              <w:snapToGrid w:val="0"/>
              <w:ind w:right="105" w:rightChars="50"/>
              <w:jc w:val="center"/>
              <w:rPr>
                <w:rFonts w:cs="仿宋_GB2312"/>
                <w:color w:val="auto"/>
                <w:highlight w:val="none"/>
              </w:rPr>
            </w:pPr>
          </w:p>
        </w:tc>
        <w:tc>
          <w:tcPr>
            <w:tcW w:w="589" w:type="pct"/>
            <w:vAlign w:val="center"/>
          </w:tcPr>
          <w:p>
            <w:pPr>
              <w:adjustRightInd w:val="0"/>
              <w:snapToGrid w:val="0"/>
              <w:ind w:right="105" w:rightChars="50"/>
              <w:jc w:val="center"/>
              <w:rPr>
                <w:rFonts w:cs="仿宋_GB2312"/>
                <w:color w:val="auto"/>
                <w:highlight w:val="none"/>
              </w:rPr>
            </w:pPr>
          </w:p>
        </w:tc>
        <w:tc>
          <w:tcPr>
            <w:tcW w:w="496" w:type="pct"/>
            <w:vAlign w:val="center"/>
          </w:tcPr>
          <w:p>
            <w:pPr>
              <w:adjustRightInd w:val="0"/>
              <w:snapToGrid w:val="0"/>
              <w:ind w:right="105" w:rightChars="50"/>
              <w:jc w:val="center"/>
              <w:rPr>
                <w:rFonts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pPr>
              <w:spacing w:line="300" w:lineRule="exact"/>
              <w:jc w:val="center"/>
              <w:rPr>
                <w:color w:val="auto"/>
                <w:highlight w:val="none"/>
              </w:rPr>
            </w:pPr>
            <w:r>
              <w:rPr>
                <w:rFonts w:hint="eastAsia"/>
                <w:color w:val="auto"/>
                <w:highlight w:val="none"/>
              </w:rPr>
              <w:t>2</w:t>
            </w:r>
          </w:p>
        </w:tc>
        <w:tc>
          <w:tcPr>
            <w:tcW w:w="3759" w:type="dxa"/>
            <w:vAlign w:val="center"/>
          </w:tcPr>
          <w:p>
            <w:pPr>
              <w:spacing w:line="300" w:lineRule="exact"/>
              <w:jc w:val="left"/>
              <w:rPr>
                <w:color w:val="auto"/>
                <w:highlight w:val="none"/>
              </w:rPr>
            </w:pPr>
            <w:r>
              <w:rPr>
                <w:rFonts w:hint="eastAsia"/>
                <w:color w:val="auto"/>
                <w:highlight w:val="none"/>
              </w:rPr>
              <w:t>★服务地点：采购人指定地点</w:t>
            </w:r>
          </w:p>
        </w:tc>
        <w:tc>
          <w:tcPr>
            <w:tcW w:w="1385" w:type="pct"/>
            <w:vAlign w:val="center"/>
          </w:tcPr>
          <w:p>
            <w:pPr>
              <w:adjustRightInd w:val="0"/>
              <w:snapToGrid w:val="0"/>
              <w:ind w:right="105" w:rightChars="50"/>
              <w:jc w:val="center"/>
              <w:rPr>
                <w:rFonts w:cs="仿宋_GB2312"/>
                <w:color w:val="auto"/>
                <w:highlight w:val="none"/>
              </w:rPr>
            </w:pPr>
          </w:p>
        </w:tc>
        <w:tc>
          <w:tcPr>
            <w:tcW w:w="589" w:type="pct"/>
            <w:vAlign w:val="center"/>
          </w:tcPr>
          <w:p>
            <w:pPr>
              <w:adjustRightInd w:val="0"/>
              <w:snapToGrid w:val="0"/>
              <w:ind w:right="105" w:rightChars="50"/>
              <w:jc w:val="center"/>
              <w:rPr>
                <w:rFonts w:cs="仿宋_GB2312"/>
                <w:color w:val="auto"/>
                <w:highlight w:val="none"/>
              </w:rPr>
            </w:pPr>
          </w:p>
        </w:tc>
        <w:tc>
          <w:tcPr>
            <w:tcW w:w="496" w:type="pct"/>
            <w:vAlign w:val="center"/>
          </w:tcPr>
          <w:p>
            <w:pPr>
              <w:adjustRightInd w:val="0"/>
              <w:snapToGrid w:val="0"/>
              <w:ind w:right="105" w:rightChars="50"/>
              <w:jc w:val="center"/>
              <w:rPr>
                <w:rFonts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321" w:type="pct"/>
            <w:vAlign w:val="center"/>
          </w:tcPr>
          <w:p>
            <w:pPr>
              <w:spacing w:line="300" w:lineRule="exact"/>
              <w:jc w:val="center"/>
              <w:rPr>
                <w:color w:val="auto"/>
                <w:highlight w:val="none"/>
              </w:rPr>
            </w:pPr>
            <w:r>
              <w:rPr>
                <w:rFonts w:hint="eastAsia"/>
                <w:color w:val="auto"/>
                <w:highlight w:val="none"/>
              </w:rPr>
              <w:t>3</w:t>
            </w:r>
          </w:p>
        </w:tc>
        <w:tc>
          <w:tcPr>
            <w:tcW w:w="3759" w:type="dxa"/>
            <w:vAlign w:val="center"/>
          </w:tcPr>
          <w:p>
            <w:pPr>
              <w:spacing w:line="300" w:lineRule="exact"/>
              <w:jc w:val="left"/>
              <w:rPr>
                <w:color w:val="auto"/>
                <w:highlight w:val="none"/>
              </w:rPr>
            </w:pPr>
            <w:r>
              <w:rPr>
                <w:rFonts w:hint="eastAsia"/>
                <w:color w:val="auto"/>
                <w:highlight w:val="none"/>
              </w:rPr>
              <w:t>★付款方式及条件：以合同签订为准。</w:t>
            </w:r>
          </w:p>
        </w:tc>
        <w:tc>
          <w:tcPr>
            <w:tcW w:w="1385" w:type="pct"/>
            <w:vAlign w:val="center"/>
          </w:tcPr>
          <w:p>
            <w:pPr>
              <w:adjustRightInd w:val="0"/>
              <w:snapToGrid w:val="0"/>
              <w:ind w:right="105" w:rightChars="50"/>
              <w:jc w:val="center"/>
              <w:rPr>
                <w:rFonts w:cs="仿宋_GB2312"/>
                <w:color w:val="auto"/>
                <w:highlight w:val="none"/>
              </w:rPr>
            </w:pPr>
          </w:p>
        </w:tc>
        <w:tc>
          <w:tcPr>
            <w:tcW w:w="589" w:type="pct"/>
            <w:vAlign w:val="center"/>
          </w:tcPr>
          <w:p>
            <w:pPr>
              <w:adjustRightInd w:val="0"/>
              <w:snapToGrid w:val="0"/>
              <w:ind w:right="105" w:rightChars="50"/>
              <w:jc w:val="center"/>
              <w:rPr>
                <w:rFonts w:cs="仿宋_GB2312"/>
                <w:color w:val="auto"/>
                <w:highlight w:val="none"/>
              </w:rPr>
            </w:pPr>
          </w:p>
        </w:tc>
        <w:tc>
          <w:tcPr>
            <w:tcW w:w="496" w:type="pct"/>
            <w:vAlign w:val="center"/>
          </w:tcPr>
          <w:p>
            <w:pPr>
              <w:adjustRightInd w:val="0"/>
              <w:snapToGrid w:val="0"/>
              <w:ind w:right="105" w:rightChars="50"/>
              <w:jc w:val="center"/>
              <w:rPr>
                <w:rFonts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21" w:type="pct"/>
            <w:vAlign w:val="center"/>
          </w:tcPr>
          <w:p>
            <w:pPr>
              <w:spacing w:line="300" w:lineRule="exact"/>
              <w:jc w:val="center"/>
              <w:rPr>
                <w:rFonts w:cs="仿宋_GB2312"/>
                <w:color w:val="auto"/>
                <w:highlight w:val="none"/>
              </w:rPr>
            </w:pPr>
          </w:p>
        </w:tc>
        <w:tc>
          <w:tcPr>
            <w:tcW w:w="2207" w:type="pct"/>
            <w:vAlign w:val="center"/>
          </w:tcPr>
          <w:p>
            <w:pPr>
              <w:spacing w:line="300" w:lineRule="exact"/>
              <w:jc w:val="center"/>
              <w:rPr>
                <w:rFonts w:cs="仿宋_GB2312"/>
                <w:color w:val="auto"/>
                <w:highlight w:val="none"/>
              </w:rPr>
            </w:pPr>
            <w:r>
              <w:rPr>
                <w:rFonts w:hint="eastAsia"/>
                <w:color w:val="auto"/>
                <w:highlight w:val="none"/>
              </w:rPr>
              <w:t>其它</w:t>
            </w:r>
          </w:p>
        </w:tc>
        <w:tc>
          <w:tcPr>
            <w:tcW w:w="1385" w:type="pct"/>
            <w:vAlign w:val="center"/>
          </w:tcPr>
          <w:p>
            <w:pPr>
              <w:spacing w:line="300" w:lineRule="exact"/>
              <w:jc w:val="center"/>
              <w:rPr>
                <w:rFonts w:cs="仿宋_GB2312"/>
                <w:color w:val="auto"/>
                <w:highlight w:val="none"/>
              </w:rPr>
            </w:pPr>
            <w:r>
              <w:rPr>
                <w:rFonts w:hint="eastAsia"/>
                <w:color w:val="auto"/>
                <w:highlight w:val="none"/>
              </w:rPr>
              <w:t>采购单位未提供需求而供应商认为需说明及补充的内容在此填列</w:t>
            </w:r>
          </w:p>
        </w:tc>
        <w:tc>
          <w:tcPr>
            <w:tcW w:w="589" w:type="pct"/>
            <w:vAlign w:val="center"/>
          </w:tcPr>
          <w:p>
            <w:pPr>
              <w:adjustRightInd w:val="0"/>
              <w:snapToGrid w:val="0"/>
              <w:ind w:right="105" w:rightChars="50"/>
              <w:jc w:val="center"/>
              <w:rPr>
                <w:rFonts w:cs="仿宋_GB2312"/>
                <w:color w:val="auto"/>
                <w:highlight w:val="none"/>
              </w:rPr>
            </w:pPr>
          </w:p>
        </w:tc>
        <w:tc>
          <w:tcPr>
            <w:tcW w:w="496" w:type="pct"/>
            <w:vAlign w:val="center"/>
          </w:tcPr>
          <w:p>
            <w:pPr>
              <w:adjustRightInd w:val="0"/>
              <w:snapToGrid w:val="0"/>
              <w:ind w:right="105" w:rightChars="50"/>
              <w:jc w:val="center"/>
              <w:rPr>
                <w:rFonts w:cs="仿宋_GB2312"/>
                <w:color w:val="auto"/>
                <w:highlight w:val="none"/>
              </w:rPr>
            </w:pPr>
          </w:p>
        </w:tc>
      </w:tr>
    </w:tbl>
    <w:p>
      <w:pPr>
        <w:tabs>
          <w:tab w:val="left" w:pos="364"/>
        </w:tabs>
        <w:rPr>
          <w:b/>
          <w:bCs/>
          <w:color w:val="auto"/>
          <w:highlight w:val="none"/>
        </w:rPr>
      </w:pPr>
      <w:r>
        <w:rPr>
          <w:rFonts w:hint="eastAsia"/>
          <w:b/>
          <w:bCs/>
          <w:color w:val="auto"/>
          <w:highlight w:val="none"/>
        </w:rPr>
        <w:t>填表要求：</w:t>
      </w:r>
    </w:p>
    <w:p>
      <w:pPr>
        <w:ind w:firstLine="420" w:firstLineChars="200"/>
        <w:rPr>
          <w:color w:val="auto"/>
          <w:highlight w:val="none"/>
        </w:rPr>
      </w:pPr>
      <w:r>
        <w:rPr>
          <w:rFonts w:hint="eastAsia"/>
          <w:color w:val="auto"/>
          <w:highlight w:val="none"/>
        </w:rPr>
        <w:t>1．“投标文件响应内容”一栏由供应商按照招标文件要求填写，进行响应。</w:t>
      </w:r>
    </w:p>
    <w:p>
      <w:pPr>
        <w:ind w:firstLine="420" w:firstLineChars="200"/>
        <w:rPr>
          <w:color w:val="auto"/>
          <w:highlight w:val="none"/>
        </w:rPr>
      </w:pPr>
      <w:r>
        <w:rPr>
          <w:rFonts w:hint="eastAsia"/>
          <w:color w:val="auto"/>
          <w:highlight w:val="none"/>
        </w:rPr>
        <w:t>2．“偏离程度”一栏根据“投标文件响应内容”与招标文件逐项对照的结果填写。偏离必须用 “正偏离、负偏离或无偏离”三个名称中的一种进行标注。</w:t>
      </w:r>
    </w:p>
    <w:p>
      <w:pPr>
        <w:ind w:firstLine="420" w:firstLineChars="200"/>
        <w:rPr>
          <w:color w:val="auto"/>
          <w:highlight w:val="none"/>
        </w:rPr>
      </w:pPr>
      <w:r>
        <w:rPr>
          <w:rFonts w:hint="eastAsia"/>
          <w:color w:val="auto"/>
          <w:highlight w:val="none"/>
        </w:rPr>
        <w:t>3．“说明”一栏由供应商对偏离的情况做详细说明。</w:t>
      </w:r>
    </w:p>
    <w:p>
      <w:pPr>
        <w:pStyle w:val="29"/>
        <w:ind w:firstLine="420"/>
        <w:rPr>
          <w:color w:val="auto"/>
          <w:highlight w:val="none"/>
        </w:rPr>
      </w:pPr>
    </w:p>
    <w:p>
      <w:pPr>
        <w:pStyle w:val="29"/>
        <w:ind w:firstLine="420"/>
        <w:rPr>
          <w:color w:val="auto"/>
          <w:highlight w:val="none"/>
        </w:rPr>
      </w:pPr>
    </w:p>
    <w:p>
      <w:pPr>
        <w:ind w:firstLine="420" w:firstLineChars="200"/>
        <w:rPr>
          <w:color w:val="auto"/>
          <w:highlight w:val="none"/>
          <w:u w:val="single"/>
        </w:rPr>
      </w:pPr>
      <w:r>
        <w:rPr>
          <w:rFonts w:hint="eastAsia"/>
          <w:color w:val="auto"/>
          <w:highlight w:val="none"/>
        </w:rPr>
        <w:t>供应商(单位公章):</w:t>
      </w:r>
      <w:r>
        <w:rPr>
          <w:rFonts w:hint="eastAsia"/>
          <w:color w:val="auto"/>
          <w:highlight w:val="none"/>
          <w:u w:val="single"/>
        </w:rPr>
        <w:t xml:space="preserve">               </w:t>
      </w:r>
    </w:p>
    <w:p>
      <w:pPr>
        <w:pStyle w:val="29"/>
        <w:ind w:firstLine="420"/>
        <w:rPr>
          <w:color w:val="auto"/>
          <w:highlight w:val="none"/>
        </w:rPr>
      </w:pPr>
    </w:p>
    <w:p>
      <w:pPr>
        <w:ind w:firstLine="420" w:firstLineChars="200"/>
        <w:rPr>
          <w:rStyle w:val="34"/>
          <w:color w:val="auto"/>
          <w:highlight w:val="non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olor w:val="auto"/>
          <w:highlight w:val="none"/>
          <w:u w:val="single"/>
        </w:rPr>
        <w:br w:type="page"/>
      </w:r>
      <w:r>
        <w:rPr>
          <w:rStyle w:val="34"/>
          <w:rFonts w:hint="eastAsia"/>
          <w:color w:val="auto"/>
          <w:highlight w:val="none"/>
        </w:rPr>
        <w:t>格式14</w:t>
      </w:r>
    </w:p>
    <w:p>
      <w:pPr>
        <w:pStyle w:val="4"/>
        <w:jc w:val="center"/>
        <w:rPr>
          <w:color w:val="auto"/>
          <w:highlight w:val="none"/>
        </w:rPr>
      </w:pPr>
      <w:r>
        <w:rPr>
          <w:rFonts w:hint="eastAsia"/>
          <w:color w:val="auto"/>
          <w:highlight w:val="none"/>
        </w:rPr>
        <w:t>供应商关联单位的说明</w:t>
      </w:r>
    </w:p>
    <w:p>
      <w:pPr>
        <w:adjustRightInd w:val="0"/>
        <w:snapToGrid w:val="0"/>
        <w:ind w:right="105" w:rightChars="50" w:firstLine="476" w:firstLineChars="227"/>
        <w:jc w:val="left"/>
        <w:rPr>
          <w:rFonts w:cs="宋体"/>
          <w:color w:val="auto"/>
          <w:highlight w:val="none"/>
        </w:rPr>
      </w:pPr>
    </w:p>
    <w:p>
      <w:pPr>
        <w:ind w:firstLine="420" w:firstLineChars="200"/>
        <w:rPr>
          <w:color w:val="auto"/>
          <w:highlight w:val="none"/>
        </w:rPr>
      </w:pPr>
      <w:r>
        <w:rPr>
          <w:rFonts w:hint="eastAsia"/>
          <w:color w:val="auto"/>
          <w:highlight w:val="none"/>
        </w:rPr>
        <w:t>供应商应当如实披露与本单位存在下列关联关系的单位名称：</w:t>
      </w:r>
    </w:p>
    <w:p>
      <w:pPr>
        <w:ind w:firstLine="420" w:firstLineChars="200"/>
        <w:rPr>
          <w:color w:val="auto"/>
          <w:highlight w:val="none"/>
        </w:rPr>
      </w:pPr>
      <w:r>
        <w:rPr>
          <w:rFonts w:hint="eastAsia"/>
          <w:color w:val="auto"/>
          <w:highlight w:val="none"/>
        </w:rPr>
        <w:t>（1）</w:t>
      </w:r>
      <w:r>
        <w:rPr>
          <w:rFonts w:hint="eastAsia" w:cs="仿宋_GB2312"/>
          <w:color w:val="auto"/>
          <w:highlight w:val="none"/>
        </w:rPr>
        <w:t>与</w:t>
      </w:r>
      <w:r>
        <w:rPr>
          <w:rFonts w:hint="eastAsia"/>
          <w:color w:val="auto"/>
          <w:highlight w:val="none"/>
        </w:rPr>
        <w:t>供应商</w:t>
      </w:r>
      <w:r>
        <w:rPr>
          <w:rFonts w:hint="eastAsia" w:cs="仿宋_GB2312"/>
          <w:color w:val="auto"/>
          <w:highlight w:val="none"/>
        </w:rPr>
        <w:t>单位法定代表人（</w:t>
      </w:r>
      <w:r>
        <w:rPr>
          <w:rFonts w:hint="eastAsia" w:cs="Lucida Sans Unicode"/>
          <w:color w:val="auto"/>
          <w:highlight w:val="none"/>
        </w:rPr>
        <w:t>或非法人组织负责人）</w:t>
      </w:r>
      <w:r>
        <w:rPr>
          <w:rFonts w:hint="eastAsia" w:cs="仿宋_GB2312"/>
          <w:color w:val="auto"/>
          <w:highlight w:val="none"/>
        </w:rPr>
        <w:t>为同一人的其他单位；</w:t>
      </w:r>
    </w:p>
    <w:p>
      <w:pPr>
        <w:ind w:firstLine="420" w:firstLineChars="200"/>
        <w:rPr>
          <w:color w:val="auto"/>
          <w:highlight w:val="none"/>
        </w:rPr>
      </w:pPr>
      <w:r>
        <w:rPr>
          <w:rFonts w:hint="eastAsia"/>
          <w:color w:val="auto"/>
          <w:highlight w:val="none"/>
        </w:rPr>
        <w:t>（2）与供应商存在直接控股、管理关系的其他单位。</w:t>
      </w:r>
    </w:p>
    <w:p>
      <w:pPr>
        <w:spacing w:line="300" w:lineRule="exact"/>
        <w:ind w:firstLine="420" w:firstLineChars="200"/>
        <w:rPr>
          <w:color w:val="auto"/>
          <w:kern w:val="0"/>
          <w:highlight w:val="none"/>
        </w:rPr>
      </w:pPr>
      <w:r>
        <w:rPr>
          <w:rFonts w:hint="eastAsia" w:ascii="MS Gothic" w:eastAsia="MS Gothic"/>
          <w:color w:val="auto"/>
          <w:kern w:val="0"/>
          <w:highlight w:val="none"/>
        </w:rPr>
        <w:t>☐</w:t>
      </w:r>
      <w:r>
        <w:rPr>
          <w:color w:val="auto"/>
          <w:kern w:val="0"/>
          <w:highlight w:val="none"/>
        </w:rPr>
        <w:t>存在：</w:t>
      </w:r>
    </w:p>
    <w:p>
      <w:pPr>
        <w:pStyle w:val="29"/>
        <w:ind w:firstLine="420"/>
        <w:rPr>
          <w:color w:val="auto"/>
          <w:highlight w:val="none"/>
        </w:rPr>
      </w:pPr>
      <w:r>
        <w:rPr>
          <w:color w:val="auto"/>
          <w:highlight w:val="none"/>
        </w:rPr>
        <w:t>单位名称：</w:t>
      </w:r>
      <w:r>
        <w:rPr>
          <w:color w:val="auto"/>
          <w:highlight w:val="none"/>
          <w:u w:val="single"/>
        </w:rPr>
        <w:t xml:space="preserve">                          </w:t>
      </w:r>
    </w:p>
    <w:p>
      <w:pPr>
        <w:ind w:firstLine="420" w:firstLineChars="200"/>
        <w:rPr>
          <w:rFonts w:ascii="MS Gothic" w:eastAsia="MS Gothic"/>
          <w:color w:val="auto"/>
          <w:kern w:val="0"/>
          <w:highlight w:val="none"/>
        </w:rPr>
      </w:pPr>
    </w:p>
    <w:p>
      <w:pPr>
        <w:ind w:firstLine="420" w:firstLineChars="200"/>
        <w:rPr>
          <w:color w:val="auto"/>
          <w:highlight w:val="none"/>
        </w:rPr>
      </w:pPr>
      <w:r>
        <w:rPr>
          <w:rFonts w:hint="eastAsia" w:ascii="MS Gothic" w:eastAsia="MS Gothic"/>
          <w:color w:val="auto"/>
          <w:kern w:val="0"/>
          <w:highlight w:val="none"/>
        </w:rPr>
        <w:t>☐</w:t>
      </w:r>
      <w:r>
        <w:rPr>
          <w:color w:val="auto"/>
          <w:kern w:val="0"/>
          <w:highlight w:val="none"/>
        </w:rPr>
        <w:t>不存在。</w:t>
      </w:r>
    </w:p>
    <w:p>
      <w:pPr>
        <w:adjustRightInd w:val="0"/>
        <w:snapToGrid w:val="0"/>
        <w:ind w:right="105" w:rightChars="50" w:firstLine="476" w:firstLineChars="227"/>
        <w:jc w:val="left"/>
        <w:rPr>
          <w:rFonts w:cs="宋体"/>
          <w:color w:val="auto"/>
          <w:highlight w:val="none"/>
        </w:rPr>
      </w:pPr>
    </w:p>
    <w:p>
      <w:pPr>
        <w:pStyle w:val="29"/>
        <w:ind w:firstLine="420"/>
        <w:rPr>
          <w:color w:val="auto"/>
          <w:highlight w:val="none"/>
        </w:rPr>
      </w:pPr>
    </w:p>
    <w:p>
      <w:pPr>
        <w:adjustRightInd w:val="0"/>
        <w:snapToGrid w:val="0"/>
        <w:ind w:firstLine="420" w:firstLineChars="200"/>
        <w:jc w:val="left"/>
        <w:rPr>
          <w:color w:val="auto"/>
          <w:highlight w:val="none"/>
          <w:u w:val="single"/>
        </w:rPr>
      </w:pPr>
      <w:r>
        <w:rPr>
          <w:rFonts w:hint="eastAsia"/>
          <w:color w:val="auto"/>
          <w:highlight w:val="none"/>
        </w:rPr>
        <w:t>供应商</w:t>
      </w:r>
      <w:r>
        <w:rPr>
          <w:color w:val="auto"/>
          <w:highlight w:val="none"/>
        </w:rPr>
        <w:t>(单位公章)</w:t>
      </w:r>
      <w:r>
        <w:rPr>
          <w:rFonts w:hint="eastAsia"/>
          <w:color w:val="auto"/>
          <w:highlight w:val="none"/>
        </w:rPr>
        <w:t>：</w:t>
      </w:r>
      <w:r>
        <w:rPr>
          <w:color w:val="auto"/>
          <w:highlight w:val="none"/>
          <w:u w:val="single"/>
        </w:rPr>
        <w:t xml:space="preserve">               </w:t>
      </w:r>
    </w:p>
    <w:p>
      <w:pPr>
        <w:adjustRightInd w:val="0"/>
        <w:snapToGrid w:val="0"/>
        <w:ind w:firstLine="420" w:firstLineChars="200"/>
        <w:jc w:val="left"/>
        <w:rPr>
          <w:color w:val="auto"/>
          <w:highlight w:val="none"/>
          <w:u w:val="single"/>
        </w:rPr>
      </w:pPr>
      <w:r>
        <w:rPr>
          <w:color w:val="auto"/>
          <w:highlight w:val="none"/>
        </w:rPr>
        <w:t>法定代表人（或非法人组织负责人）或其授权委托人(签字或盖章)</w:t>
      </w:r>
      <w:r>
        <w:rPr>
          <w:rFonts w:hint="eastAsia"/>
          <w:color w:val="auto"/>
          <w:highlight w:val="none"/>
        </w:rPr>
        <w:t>：</w:t>
      </w:r>
      <w:r>
        <w:rPr>
          <w:color w:val="auto"/>
          <w:highlight w:val="none"/>
          <w:u w:val="single"/>
        </w:rPr>
        <w:t xml:space="preserve">               </w:t>
      </w:r>
    </w:p>
    <w:p>
      <w:pPr>
        <w:rPr>
          <w:rStyle w:val="34"/>
          <w:color w:val="auto"/>
          <w:highlight w:val="none"/>
        </w:rPr>
      </w:pPr>
      <w:r>
        <w:rPr>
          <w:rStyle w:val="34"/>
          <w:rFonts w:hint="eastAsia"/>
          <w:color w:val="auto"/>
          <w:highlight w:val="none"/>
        </w:rPr>
        <w:br w:type="page"/>
      </w:r>
    </w:p>
    <w:p>
      <w:pPr>
        <w:pStyle w:val="4"/>
        <w:spacing w:before="0" w:after="0"/>
        <w:rPr>
          <w:color w:val="auto"/>
          <w:highlight w:val="none"/>
        </w:rPr>
      </w:pPr>
      <w:r>
        <w:rPr>
          <w:rFonts w:hint="eastAsia"/>
          <w:color w:val="auto"/>
          <w:highlight w:val="none"/>
        </w:rPr>
        <w:t>格式15</w:t>
      </w:r>
    </w:p>
    <w:p>
      <w:pPr>
        <w:pStyle w:val="3"/>
        <w:rPr>
          <w:color w:val="auto"/>
          <w:highlight w:val="none"/>
        </w:rPr>
      </w:pPr>
      <w:r>
        <w:rPr>
          <w:rFonts w:hint="eastAsia"/>
          <w:color w:val="auto"/>
          <w:highlight w:val="none"/>
        </w:rPr>
        <w:t>中小企业声明函（工程、服务）</w:t>
      </w:r>
    </w:p>
    <w:p>
      <w:pPr>
        <w:ind w:firstLine="444" w:firstLineChars="200"/>
        <w:rPr>
          <w:color w:val="auto"/>
          <w:spacing w:val="6"/>
          <w:highlight w:val="none"/>
        </w:rPr>
      </w:pPr>
      <w:r>
        <w:rPr>
          <w:rFonts w:hint="eastAsia"/>
          <w:color w:val="auto"/>
          <w:spacing w:val="6"/>
          <w:highlight w:val="none"/>
        </w:rPr>
        <w:t>本公司（联合体）郑重声明，根据《政府采购促进中小企业发展管理办法》（财库﹝2020﹞46 号）的规定，本公司参加</w:t>
      </w:r>
      <w:r>
        <w:rPr>
          <w:rFonts w:hint="eastAsia"/>
          <w:color w:val="auto"/>
          <w:spacing w:val="6"/>
          <w:highlight w:val="none"/>
          <w:u w:val="single"/>
        </w:rPr>
        <w:t>（单位名称）</w:t>
      </w:r>
      <w:r>
        <w:rPr>
          <w:rFonts w:hint="eastAsia"/>
          <w:color w:val="auto"/>
          <w:spacing w:val="6"/>
          <w:highlight w:val="none"/>
        </w:rPr>
        <w:t>的</w:t>
      </w:r>
      <w:r>
        <w:rPr>
          <w:rFonts w:hint="eastAsia"/>
          <w:color w:val="auto"/>
          <w:spacing w:val="6"/>
          <w:highlight w:val="none"/>
          <w:u w:val="single"/>
        </w:rPr>
        <w:t>（项目名称）</w:t>
      </w:r>
      <w:r>
        <w:rPr>
          <w:rFonts w:hint="eastAsia"/>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color w:val="auto"/>
          <w:spacing w:val="6"/>
          <w:highlight w:val="none"/>
        </w:rPr>
      </w:pPr>
      <w:r>
        <w:rPr>
          <w:rFonts w:hint="eastAsia"/>
          <w:color w:val="auto"/>
          <w:spacing w:val="6"/>
          <w:highlight w:val="none"/>
        </w:rPr>
        <w:t>1.</w:t>
      </w:r>
      <w:r>
        <w:rPr>
          <w:rFonts w:hint="eastAsia"/>
          <w:color w:val="auto"/>
          <w:spacing w:val="6"/>
          <w:highlight w:val="none"/>
          <w:u w:val="single"/>
        </w:rPr>
        <w:t>（标的名称）</w:t>
      </w:r>
      <w:r>
        <w:rPr>
          <w:rFonts w:hint="eastAsia"/>
          <w:color w:val="auto"/>
          <w:spacing w:val="6"/>
          <w:highlight w:val="none"/>
        </w:rPr>
        <w:t>，属于</w:t>
      </w:r>
      <w:r>
        <w:rPr>
          <w:rFonts w:hint="eastAsia"/>
          <w:color w:val="auto"/>
          <w:spacing w:val="6"/>
          <w:highlight w:val="none"/>
          <w:u w:val="single"/>
        </w:rPr>
        <w:t>（采购文件中明确的所属行业）</w:t>
      </w:r>
      <w:r>
        <w:rPr>
          <w:rFonts w:hint="eastAsia"/>
          <w:color w:val="auto"/>
          <w:spacing w:val="6"/>
          <w:highlight w:val="none"/>
        </w:rPr>
        <w:t>；承接企业为</w:t>
      </w:r>
      <w:r>
        <w:rPr>
          <w:rFonts w:hint="eastAsia"/>
          <w:color w:val="auto"/>
          <w:spacing w:val="6"/>
          <w:highlight w:val="none"/>
          <w:u w:val="single"/>
        </w:rPr>
        <w:t>（企业名称）</w:t>
      </w:r>
      <w:r>
        <w:rPr>
          <w:rFonts w:hint="eastAsia"/>
          <w:color w:val="auto"/>
          <w:spacing w:val="6"/>
          <w:highlight w:val="none"/>
        </w:rPr>
        <w:t>，从业人员</w:t>
      </w:r>
      <w:r>
        <w:rPr>
          <w:rFonts w:hint="eastAsia"/>
          <w:color w:val="auto"/>
          <w:spacing w:val="6"/>
          <w:highlight w:val="none"/>
          <w:u w:val="single"/>
        </w:rPr>
        <w:t xml:space="preserve">   </w:t>
      </w:r>
      <w:r>
        <w:rPr>
          <w:rFonts w:hint="eastAsia"/>
          <w:color w:val="auto"/>
          <w:spacing w:val="6"/>
          <w:highlight w:val="none"/>
        </w:rPr>
        <w:t>人，营业收入为</w:t>
      </w:r>
      <w:r>
        <w:rPr>
          <w:rFonts w:hint="eastAsia"/>
          <w:color w:val="auto"/>
          <w:spacing w:val="6"/>
          <w:highlight w:val="none"/>
          <w:u w:val="single"/>
        </w:rPr>
        <w:t xml:space="preserve">   </w:t>
      </w:r>
      <w:r>
        <w:rPr>
          <w:rFonts w:hint="eastAsia"/>
          <w:color w:val="auto"/>
          <w:spacing w:val="6"/>
          <w:highlight w:val="none"/>
        </w:rPr>
        <w:t>万元，资产总额为</w:t>
      </w:r>
      <w:r>
        <w:rPr>
          <w:rFonts w:hint="eastAsia"/>
          <w:color w:val="auto"/>
          <w:spacing w:val="6"/>
          <w:highlight w:val="none"/>
          <w:u w:val="single"/>
        </w:rPr>
        <w:t xml:space="preserve">   </w:t>
      </w:r>
      <w:r>
        <w:rPr>
          <w:rFonts w:hint="eastAsia"/>
          <w:color w:val="auto"/>
          <w:spacing w:val="6"/>
          <w:highlight w:val="none"/>
        </w:rPr>
        <w:t>万元，属于</w:t>
      </w:r>
      <w:r>
        <w:rPr>
          <w:rFonts w:hint="eastAsia"/>
          <w:color w:val="auto"/>
          <w:spacing w:val="6"/>
          <w:highlight w:val="none"/>
          <w:u w:val="single"/>
        </w:rPr>
        <w:t xml:space="preserve">   </w:t>
      </w:r>
      <w:r>
        <w:rPr>
          <w:rFonts w:hint="eastAsia"/>
          <w:color w:val="auto"/>
          <w:spacing w:val="6"/>
          <w:highlight w:val="none"/>
        </w:rPr>
        <w:t xml:space="preserve">（中型企业、小型企业、微型企业）； </w:t>
      </w:r>
    </w:p>
    <w:p>
      <w:pPr>
        <w:ind w:firstLine="444" w:firstLineChars="200"/>
        <w:rPr>
          <w:color w:val="auto"/>
          <w:spacing w:val="6"/>
          <w:highlight w:val="none"/>
        </w:rPr>
      </w:pPr>
      <w:r>
        <w:rPr>
          <w:rFonts w:hint="eastAsia"/>
          <w:color w:val="auto"/>
          <w:spacing w:val="6"/>
          <w:highlight w:val="none"/>
        </w:rPr>
        <w:t>2.</w:t>
      </w:r>
      <w:r>
        <w:rPr>
          <w:rFonts w:hint="eastAsia"/>
          <w:color w:val="auto"/>
          <w:spacing w:val="6"/>
          <w:highlight w:val="none"/>
          <w:u w:val="single"/>
        </w:rPr>
        <w:t>（标的名称）</w:t>
      </w:r>
      <w:r>
        <w:rPr>
          <w:rFonts w:hint="eastAsia"/>
          <w:color w:val="auto"/>
          <w:spacing w:val="6"/>
          <w:highlight w:val="none"/>
        </w:rPr>
        <w:t>，属于</w:t>
      </w:r>
      <w:r>
        <w:rPr>
          <w:rFonts w:hint="eastAsia"/>
          <w:color w:val="auto"/>
          <w:spacing w:val="6"/>
          <w:highlight w:val="none"/>
          <w:u w:val="single"/>
        </w:rPr>
        <w:t>（采购文件中明确的所属行业）</w:t>
      </w:r>
      <w:r>
        <w:rPr>
          <w:rFonts w:hint="eastAsia"/>
          <w:color w:val="auto"/>
          <w:spacing w:val="6"/>
          <w:highlight w:val="none"/>
        </w:rPr>
        <w:t>；承接企业为</w:t>
      </w:r>
      <w:r>
        <w:rPr>
          <w:rFonts w:hint="eastAsia"/>
          <w:color w:val="auto"/>
          <w:spacing w:val="6"/>
          <w:highlight w:val="none"/>
          <w:u w:val="single"/>
        </w:rPr>
        <w:t>（企业名称）</w:t>
      </w:r>
      <w:r>
        <w:rPr>
          <w:rFonts w:hint="eastAsia"/>
          <w:color w:val="auto"/>
          <w:spacing w:val="6"/>
          <w:highlight w:val="none"/>
        </w:rPr>
        <w:t>，从业人员</w:t>
      </w:r>
      <w:r>
        <w:rPr>
          <w:rFonts w:hint="eastAsia"/>
          <w:color w:val="auto"/>
          <w:spacing w:val="6"/>
          <w:highlight w:val="none"/>
          <w:u w:val="single"/>
        </w:rPr>
        <w:t xml:space="preserve">   </w:t>
      </w:r>
      <w:r>
        <w:rPr>
          <w:rFonts w:hint="eastAsia"/>
          <w:color w:val="auto"/>
          <w:spacing w:val="6"/>
          <w:highlight w:val="none"/>
        </w:rPr>
        <w:t>人，营业收入为</w:t>
      </w:r>
      <w:r>
        <w:rPr>
          <w:rFonts w:hint="eastAsia"/>
          <w:color w:val="auto"/>
          <w:spacing w:val="6"/>
          <w:highlight w:val="none"/>
          <w:u w:val="single"/>
        </w:rPr>
        <w:t xml:space="preserve">   </w:t>
      </w:r>
      <w:r>
        <w:rPr>
          <w:rFonts w:hint="eastAsia"/>
          <w:color w:val="auto"/>
          <w:spacing w:val="6"/>
          <w:highlight w:val="none"/>
        </w:rPr>
        <w:t>万元，资产总额为</w:t>
      </w:r>
      <w:r>
        <w:rPr>
          <w:rFonts w:hint="eastAsia"/>
          <w:color w:val="auto"/>
          <w:spacing w:val="6"/>
          <w:highlight w:val="none"/>
          <w:u w:val="single"/>
        </w:rPr>
        <w:t xml:space="preserve">   </w:t>
      </w:r>
      <w:r>
        <w:rPr>
          <w:rFonts w:hint="eastAsia"/>
          <w:color w:val="auto"/>
          <w:spacing w:val="6"/>
          <w:highlight w:val="none"/>
        </w:rPr>
        <w:t xml:space="preserve">万元，属于（中型企业、小型企业、微型企业）； </w:t>
      </w:r>
    </w:p>
    <w:p>
      <w:pPr>
        <w:ind w:firstLine="444" w:firstLineChars="200"/>
        <w:rPr>
          <w:color w:val="auto"/>
          <w:spacing w:val="6"/>
          <w:highlight w:val="none"/>
        </w:rPr>
      </w:pPr>
      <w:r>
        <w:rPr>
          <w:rFonts w:hint="eastAsia"/>
          <w:color w:val="auto"/>
          <w:spacing w:val="6"/>
          <w:highlight w:val="none"/>
        </w:rPr>
        <w:t>……</w:t>
      </w:r>
    </w:p>
    <w:p>
      <w:pPr>
        <w:ind w:firstLine="444" w:firstLineChars="200"/>
        <w:rPr>
          <w:color w:val="auto"/>
          <w:spacing w:val="6"/>
          <w:highlight w:val="none"/>
        </w:rPr>
      </w:pPr>
      <w:r>
        <w:rPr>
          <w:rFonts w:hint="eastAsia"/>
          <w:color w:val="auto"/>
          <w:spacing w:val="6"/>
          <w:highlight w:val="none"/>
        </w:rPr>
        <w:t>以上企业，不属于大企业的分支机构，不存在控股股东为大企业的情形，也不存在与大企业的负责人为同一人的情形。</w:t>
      </w:r>
    </w:p>
    <w:p>
      <w:pPr>
        <w:ind w:firstLine="444" w:firstLineChars="200"/>
        <w:rPr>
          <w:color w:val="auto"/>
          <w:spacing w:val="6"/>
          <w:highlight w:val="none"/>
        </w:rPr>
      </w:pPr>
      <w:r>
        <w:rPr>
          <w:rFonts w:hint="eastAsia"/>
          <w:color w:val="auto"/>
          <w:spacing w:val="6"/>
          <w:highlight w:val="none"/>
        </w:rPr>
        <w:t xml:space="preserve">本企业对上述声明内容的真实性负责。如有虚假，将依法承担相应责任。 </w:t>
      </w:r>
    </w:p>
    <w:p>
      <w:pPr>
        <w:ind w:firstLine="444" w:firstLineChars="200"/>
        <w:rPr>
          <w:color w:val="auto"/>
          <w:spacing w:val="6"/>
          <w:highlight w:val="none"/>
        </w:rPr>
      </w:pPr>
    </w:p>
    <w:p>
      <w:pPr>
        <w:ind w:firstLine="444" w:firstLineChars="200"/>
        <w:rPr>
          <w:color w:val="auto"/>
          <w:spacing w:val="6"/>
          <w:highlight w:val="none"/>
        </w:rPr>
      </w:pPr>
    </w:p>
    <w:p>
      <w:pPr>
        <w:ind w:firstLine="444" w:firstLineChars="200"/>
        <w:rPr>
          <w:color w:val="auto"/>
          <w:spacing w:val="6"/>
          <w:highlight w:val="none"/>
        </w:rPr>
      </w:pPr>
    </w:p>
    <w:p>
      <w:pPr>
        <w:ind w:firstLine="444" w:firstLineChars="200"/>
        <w:rPr>
          <w:color w:val="auto"/>
          <w:spacing w:val="6"/>
          <w:highlight w:val="none"/>
        </w:rPr>
      </w:pPr>
      <w:r>
        <w:rPr>
          <w:rFonts w:hint="eastAsia"/>
          <w:color w:val="auto"/>
          <w:spacing w:val="6"/>
          <w:highlight w:val="none"/>
        </w:rPr>
        <w:t xml:space="preserve">企业名称（盖章）： </w:t>
      </w:r>
    </w:p>
    <w:p>
      <w:pPr>
        <w:ind w:firstLine="444" w:firstLineChars="200"/>
        <w:rPr>
          <w:color w:val="auto"/>
          <w:spacing w:val="6"/>
          <w:highlight w:val="none"/>
        </w:rPr>
      </w:pPr>
      <w:r>
        <w:rPr>
          <w:rFonts w:hint="eastAsia"/>
          <w:color w:val="auto"/>
          <w:spacing w:val="6"/>
          <w:highlight w:val="none"/>
        </w:rPr>
        <w:t>日 期：</w:t>
      </w:r>
    </w:p>
    <w:p>
      <w:pPr>
        <w:pStyle w:val="29"/>
        <w:ind w:firstLine="444"/>
        <w:rPr>
          <w:color w:val="auto"/>
          <w:spacing w:val="6"/>
          <w:highlight w:val="none"/>
        </w:rPr>
      </w:pPr>
    </w:p>
    <w:p>
      <w:pPr>
        <w:pStyle w:val="29"/>
        <w:ind w:firstLine="444"/>
        <w:rPr>
          <w:color w:val="auto"/>
          <w:spacing w:val="6"/>
          <w:highlight w:val="none"/>
        </w:rPr>
      </w:pPr>
    </w:p>
    <w:p>
      <w:pPr>
        <w:pStyle w:val="29"/>
        <w:ind w:firstLine="444"/>
        <w:rPr>
          <w:color w:val="auto"/>
          <w:spacing w:val="6"/>
          <w:highlight w:val="none"/>
        </w:rPr>
      </w:pPr>
    </w:p>
    <w:p>
      <w:pPr>
        <w:pStyle w:val="29"/>
        <w:ind w:firstLine="444"/>
        <w:rPr>
          <w:color w:val="auto"/>
          <w:spacing w:val="6"/>
          <w:highlight w:val="none"/>
        </w:rPr>
      </w:pPr>
    </w:p>
    <w:p>
      <w:pPr>
        <w:pStyle w:val="29"/>
        <w:ind w:firstLine="444"/>
        <w:rPr>
          <w:color w:val="auto"/>
          <w:spacing w:val="6"/>
          <w:highlight w:val="none"/>
        </w:rPr>
      </w:pPr>
    </w:p>
    <w:p>
      <w:pPr>
        <w:pStyle w:val="29"/>
        <w:ind w:firstLine="444"/>
        <w:rPr>
          <w:color w:val="auto"/>
          <w:spacing w:val="6"/>
          <w:highlight w:val="none"/>
        </w:rPr>
      </w:pPr>
    </w:p>
    <w:p>
      <w:pPr>
        <w:pStyle w:val="29"/>
        <w:ind w:firstLine="444"/>
        <w:rPr>
          <w:color w:val="auto"/>
          <w:spacing w:val="6"/>
          <w:highlight w:val="none"/>
        </w:rPr>
      </w:pPr>
    </w:p>
    <w:p>
      <w:pPr>
        <w:pStyle w:val="29"/>
        <w:ind w:firstLine="444"/>
        <w:rPr>
          <w:color w:val="auto"/>
          <w:spacing w:val="6"/>
          <w:highlight w:val="none"/>
        </w:rPr>
      </w:pPr>
    </w:p>
    <w:p>
      <w:pPr>
        <w:pStyle w:val="29"/>
        <w:ind w:firstLine="444"/>
        <w:rPr>
          <w:color w:val="auto"/>
          <w:spacing w:val="6"/>
          <w:highlight w:val="none"/>
        </w:rPr>
      </w:pPr>
    </w:p>
    <w:p>
      <w:pPr>
        <w:pStyle w:val="16"/>
        <w:rPr>
          <w:color w:val="auto"/>
          <w:highlight w:val="none"/>
        </w:rPr>
      </w:pPr>
      <w:r>
        <w:rPr>
          <w:color w:val="auto"/>
          <w:highlight w:val="none"/>
        </w:rPr>
        <w:t xml:space="preserve"> </w:t>
      </w:r>
      <w:r>
        <w:rPr>
          <w:rFonts w:hint="eastAsia"/>
          <w:i/>
          <w:iCs/>
          <w:color w:val="auto"/>
          <w:highlight w:val="none"/>
        </w:rPr>
        <w:t>从业人员、营业收入、资产总额填报上一年度数据，无上一年度数据的新成立企业可不填报。</w:t>
      </w:r>
    </w:p>
    <w:p>
      <w:pPr>
        <w:pStyle w:val="29"/>
        <w:ind w:firstLine="444"/>
        <w:rPr>
          <w:color w:val="auto"/>
          <w:spacing w:val="6"/>
          <w:highlight w:val="none"/>
        </w:rPr>
      </w:pPr>
    </w:p>
    <w:p>
      <w:pPr>
        <w:pStyle w:val="29"/>
        <w:ind w:firstLine="444"/>
        <w:rPr>
          <w:color w:val="auto"/>
          <w:spacing w:val="6"/>
          <w:highlight w:val="none"/>
        </w:rPr>
      </w:pPr>
    </w:p>
    <w:p>
      <w:pPr>
        <w:pStyle w:val="29"/>
        <w:ind w:firstLine="444"/>
        <w:rPr>
          <w:color w:val="auto"/>
          <w:spacing w:val="6"/>
          <w:highlight w:val="none"/>
        </w:rPr>
        <w:sectPr>
          <w:pgSz w:w="11906" w:h="16838"/>
          <w:pgMar w:top="1440" w:right="1803" w:bottom="1440" w:left="1803" w:header="851" w:footer="992" w:gutter="0"/>
          <w:cols w:space="720" w:num="1"/>
          <w:docGrid w:linePitch="319" w:charSpace="0"/>
        </w:sectPr>
      </w:pPr>
    </w:p>
    <w:p>
      <w:pPr>
        <w:pStyle w:val="4"/>
        <w:spacing w:before="0" w:after="0"/>
        <w:rPr>
          <w:color w:val="auto"/>
          <w:highlight w:val="none"/>
        </w:rPr>
      </w:pPr>
      <w:r>
        <w:rPr>
          <w:rFonts w:hint="eastAsia"/>
          <w:color w:val="auto"/>
          <w:highlight w:val="none"/>
        </w:rPr>
        <w:t>格式16</w:t>
      </w:r>
    </w:p>
    <w:p>
      <w:pPr>
        <w:pStyle w:val="3"/>
        <w:rPr>
          <w:rFonts w:eastAsia="宋体" w:cs="宋体"/>
          <w:color w:val="auto"/>
          <w:szCs w:val="21"/>
          <w:highlight w:val="none"/>
        </w:rPr>
      </w:pPr>
      <w:bookmarkStart w:id="106" w:name="_Toc29880_WPSOffice_Level2"/>
      <w:bookmarkStart w:id="107" w:name="_Toc13566_WPSOffice_Level2"/>
      <w:r>
        <w:rPr>
          <w:rFonts w:hint="eastAsia"/>
          <w:color w:val="auto"/>
          <w:highlight w:val="none"/>
        </w:rPr>
        <w:t>残疾人福利性单位声明函</w:t>
      </w:r>
      <w:bookmarkEnd w:id="106"/>
      <w:bookmarkEnd w:id="107"/>
    </w:p>
    <w:p>
      <w:pPr>
        <w:adjustRightInd w:val="0"/>
        <w:snapToGrid w:val="0"/>
        <w:ind w:firstLine="420" w:firstLineChars="200"/>
        <w:jc w:val="left"/>
        <w:rPr>
          <w:color w:val="auto"/>
          <w:highlight w:val="none"/>
        </w:rPr>
      </w:pPr>
      <w:r>
        <w:rPr>
          <w:rFonts w:hint="eastAsia"/>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color w:val="auto"/>
          <w:highlight w:val="none"/>
          <w:u w:val="single"/>
        </w:rPr>
        <w:t xml:space="preserve">       </w:t>
      </w:r>
      <w:r>
        <w:rPr>
          <w:rFonts w:hint="eastAsia"/>
          <w:color w:val="auto"/>
          <w:highlight w:val="none"/>
        </w:rPr>
        <w:t>单位的</w:t>
      </w:r>
      <w:r>
        <w:rPr>
          <w:rFonts w:hint="eastAsia"/>
          <w:color w:val="auto"/>
          <w:highlight w:val="none"/>
          <w:u w:val="single"/>
        </w:rPr>
        <w:t xml:space="preserve">     </w:t>
      </w:r>
      <w:r>
        <w:rPr>
          <w:rFonts w:hint="eastAsia"/>
          <w:color w:val="auto"/>
          <w:highlight w:val="none"/>
        </w:rPr>
        <w:t>项目采购活动，由本单位提供</w:t>
      </w:r>
      <w:r>
        <w:rPr>
          <w:rFonts w:hint="eastAsia"/>
          <w:color w:val="auto"/>
          <w:highlight w:val="none"/>
          <w:u w:val="single"/>
        </w:rPr>
        <w:t xml:space="preserve">        </w:t>
      </w:r>
      <w:r>
        <w:rPr>
          <w:rFonts w:hint="eastAsia"/>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color w:val="auto"/>
          <w:highlight w:val="none"/>
        </w:rPr>
      </w:pPr>
      <w:r>
        <w:rPr>
          <w:rFonts w:hint="eastAsia"/>
          <w:color w:val="auto"/>
          <w:highlight w:val="none"/>
        </w:rPr>
        <w:t>本单位对上述声明的真实性负责。如有虚假，将依法承担相应责任。</w:t>
      </w:r>
    </w:p>
    <w:tbl>
      <w:tblPr>
        <w:tblStyle w:val="21"/>
        <w:tblpPr w:leftFromText="180" w:rightFromText="180" w:vertAnchor="text" w:horzAnchor="page" w:tblpX="1873" w:tblpY="40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572" w:type="pct"/>
            <w:vAlign w:val="center"/>
          </w:tcPr>
          <w:p>
            <w:pPr>
              <w:spacing w:line="300" w:lineRule="exact"/>
              <w:jc w:val="center"/>
              <w:rPr>
                <w:color w:val="auto"/>
                <w:highlight w:val="none"/>
              </w:rPr>
            </w:pPr>
            <w:r>
              <w:rPr>
                <w:rFonts w:hint="eastAsia"/>
                <w:color w:val="auto"/>
                <w:highlight w:val="none"/>
              </w:rPr>
              <w:t>序号</w:t>
            </w:r>
          </w:p>
        </w:tc>
        <w:tc>
          <w:tcPr>
            <w:tcW w:w="950" w:type="pct"/>
            <w:vAlign w:val="center"/>
          </w:tcPr>
          <w:p>
            <w:pPr>
              <w:spacing w:line="300" w:lineRule="exact"/>
              <w:jc w:val="center"/>
              <w:rPr>
                <w:color w:val="auto"/>
                <w:highlight w:val="none"/>
              </w:rPr>
            </w:pPr>
            <w:r>
              <w:rPr>
                <w:rFonts w:hint="eastAsia"/>
                <w:color w:val="auto"/>
                <w:highlight w:val="none"/>
              </w:rPr>
              <w:t>品  名</w:t>
            </w:r>
          </w:p>
        </w:tc>
        <w:tc>
          <w:tcPr>
            <w:tcW w:w="953" w:type="pct"/>
            <w:vAlign w:val="center"/>
          </w:tcPr>
          <w:p>
            <w:pPr>
              <w:spacing w:line="300" w:lineRule="exact"/>
              <w:jc w:val="center"/>
              <w:rPr>
                <w:color w:val="auto"/>
                <w:highlight w:val="none"/>
              </w:rPr>
            </w:pPr>
            <w:r>
              <w:rPr>
                <w:rFonts w:hint="eastAsia"/>
                <w:color w:val="auto"/>
                <w:highlight w:val="none"/>
              </w:rPr>
              <w:t>数量</w:t>
            </w:r>
          </w:p>
        </w:tc>
        <w:tc>
          <w:tcPr>
            <w:tcW w:w="857" w:type="pct"/>
            <w:vAlign w:val="center"/>
          </w:tcPr>
          <w:p>
            <w:pPr>
              <w:spacing w:line="300" w:lineRule="exact"/>
              <w:jc w:val="center"/>
              <w:rPr>
                <w:color w:val="auto"/>
                <w:highlight w:val="none"/>
              </w:rPr>
            </w:pPr>
            <w:r>
              <w:rPr>
                <w:rFonts w:hint="eastAsia"/>
                <w:color w:val="auto"/>
                <w:highlight w:val="none"/>
              </w:rPr>
              <w:t>规格</w:t>
            </w:r>
          </w:p>
          <w:p>
            <w:pPr>
              <w:spacing w:line="300" w:lineRule="exact"/>
              <w:jc w:val="center"/>
              <w:rPr>
                <w:color w:val="auto"/>
                <w:highlight w:val="none"/>
              </w:rPr>
            </w:pPr>
            <w:r>
              <w:rPr>
                <w:rFonts w:hint="eastAsia"/>
                <w:color w:val="auto"/>
                <w:highlight w:val="none"/>
              </w:rPr>
              <w:t>型号</w:t>
            </w:r>
          </w:p>
        </w:tc>
        <w:tc>
          <w:tcPr>
            <w:tcW w:w="857" w:type="pct"/>
            <w:vAlign w:val="center"/>
          </w:tcPr>
          <w:p>
            <w:pPr>
              <w:spacing w:line="300" w:lineRule="exact"/>
              <w:jc w:val="center"/>
              <w:rPr>
                <w:color w:val="auto"/>
                <w:highlight w:val="none"/>
              </w:rPr>
            </w:pPr>
            <w:r>
              <w:rPr>
                <w:rFonts w:hint="eastAsia"/>
                <w:color w:val="auto"/>
                <w:highlight w:val="none"/>
              </w:rPr>
              <w:t>生产</w:t>
            </w:r>
          </w:p>
          <w:p>
            <w:pPr>
              <w:spacing w:line="300" w:lineRule="exact"/>
              <w:jc w:val="center"/>
              <w:rPr>
                <w:color w:val="auto"/>
                <w:highlight w:val="none"/>
              </w:rPr>
            </w:pPr>
            <w:r>
              <w:rPr>
                <w:rFonts w:hint="eastAsia"/>
                <w:color w:val="auto"/>
                <w:highlight w:val="none"/>
              </w:rPr>
              <w:t>厂家</w:t>
            </w:r>
          </w:p>
        </w:tc>
        <w:tc>
          <w:tcPr>
            <w:tcW w:w="807" w:type="pct"/>
            <w:vAlign w:val="center"/>
          </w:tcPr>
          <w:p>
            <w:pPr>
              <w:spacing w:line="300" w:lineRule="exact"/>
              <w:jc w:val="center"/>
              <w:rPr>
                <w:color w:val="auto"/>
                <w:highlight w:val="none"/>
              </w:rPr>
            </w:pPr>
            <w:r>
              <w:rPr>
                <w:rFonts w:hint="eastAsia"/>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color w:val="auto"/>
                <w:highlight w:val="none"/>
              </w:rPr>
            </w:pPr>
            <w:r>
              <w:rPr>
                <w:rFonts w:hint="eastAsia"/>
                <w:color w:val="auto"/>
                <w:highlight w:val="none"/>
              </w:rPr>
              <w:t>1</w:t>
            </w:r>
          </w:p>
        </w:tc>
        <w:tc>
          <w:tcPr>
            <w:tcW w:w="950" w:type="pct"/>
            <w:vAlign w:val="center"/>
          </w:tcPr>
          <w:p>
            <w:pPr>
              <w:spacing w:line="300" w:lineRule="exact"/>
              <w:jc w:val="center"/>
              <w:rPr>
                <w:color w:val="auto"/>
                <w:highlight w:val="none"/>
              </w:rPr>
            </w:pPr>
          </w:p>
        </w:tc>
        <w:tc>
          <w:tcPr>
            <w:tcW w:w="953"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07"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color w:val="auto"/>
                <w:highlight w:val="none"/>
              </w:rPr>
            </w:pPr>
            <w:r>
              <w:rPr>
                <w:rFonts w:hint="eastAsia"/>
                <w:color w:val="auto"/>
                <w:highlight w:val="none"/>
              </w:rPr>
              <w:t>2</w:t>
            </w:r>
          </w:p>
        </w:tc>
        <w:tc>
          <w:tcPr>
            <w:tcW w:w="950" w:type="pct"/>
            <w:vAlign w:val="center"/>
          </w:tcPr>
          <w:p>
            <w:pPr>
              <w:spacing w:line="300" w:lineRule="exact"/>
              <w:jc w:val="center"/>
              <w:rPr>
                <w:color w:val="auto"/>
                <w:highlight w:val="none"/>
              </w:rPr>
            </w:pPr>
          </w:p>
        </w:tc>
        <w:tc>
          <w:tcPr>
            <w:tcW w:w="953"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07"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color w:val="auto"/>
                <w:highlight w:val="none"/>
              </w:rPr>
            </w:pPr>
            <w:r>
              <w:rPr>
                <w:rFonts w:hint="eastAsia"/>
                <w:color w:val="auto"/>
                <w:highlight w:val="none"/>
              </w:rPr>
              <w:t>3</w:t>
            </w:r>
          </w:p>
        </w:tc>
        <w:tc>
          <w:tcPr>
            <w:tcW w:w="950" w:type="pct"/>
            <w:vAlign w:val="center"/>
          </w:tcPr>
          <w:p>
            <w:pPr>
              <w:spacing w:line="300" w:lineRule="exact"/>
              <w:jc w:val="center"/>
              <w:rPr>
                <w:color w:val="auto"/>
                <w:highlight w:val="none"/>
              </w:rPr>
            </w:pPr>
          </w:p>
        </w:tc>
        <w:tc>
          <w:tcPr>
            <w:tcW w:w="953"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07"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color w:val="auto"/>
                <w:highlight w:val="none"/>
              </w:rPr>
            </w:pPr>
            <w:r>
              <w:rPr>
                <w:rFonts w:hint="eastAsia"/>
                <w:color w:val="auto"/>
                <w:highlight w:val="none"/>
              </w:rPr>
              <w:t>……</w:t>
            </w:r>
          </w:p>
        </w:tc>
        <w:tc>
          <w:tcPr>
            <w:tcW w:w="950" w:type="pct"/>
            <w:vAlign w:val="center"/>
          </w:tcPr>
          <w:p>
            <w:pPr>
              <w:spacing w:line="300" w:lineRule="exact"/>
              <w:jc w:val="center"/>
              <w:rPr>
                <w:color w:val="auto"/>
                <w:highlight w:val="none"/>
              </w:rPr>
            </w:pPr>
          </w:p>
        </w:tc>
        <w:tc>
          <w:tcPr>
            <w:tcW w:w="953"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07"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5000" w:type="pct"/>
            <w:gridSpan w:val="6"/>
            <w:vAlign w:val="center"/>
          </w:tcPr>
          <w:p>
            <w:pPr>
              <w:spacing w:line="300" w:lineRule="exact"/>
              <w:rPr>
                <w:color w:val="auto"/>
                <w:highlight w:val="none"/>
              </w:rPr>
            </w:pPr>
            <w:r>
              <w:rPr>
                <w:rFonts w:hint="eastAsia"/>
                <w:b/>
                <w:bCs/>
                <w:color w:val="auto"/>
                <w:highlight w:val="none"/>
                <w:lang w:val="zh-CN"/>
              </w:rPr>
              <w:t>投标文件中所提供投标的以上伴随产品为我单位生产的产品，</w:t>
            </w:r>
            <w:r>
              <w:rPr>
                <w:rFonts w:hint="eastAsia"/>
                <w:b/>
                <w:bCs/>
                <w:color w:val="auto"/>
                <w:highlight w:val="none"/>
              </w:rPr>
              <w:t>如有虚假</w:t>
            </w:r>
            <w:r>
              <w:rPr>
                <w:rFonts w:hint="eastAsia"/>
                <w:b/>
                <w:bCs/>
                <w:color w:val="auto"/>
                <w:highlight w:val="none"/>
                <w:lang w:val="zh-CN"/>
              </w:rPr>
              <w:t>，我单位承担由此产生的一切后果。</w:t>
            </w:r>
          </w:p>
        </w:tc>
      </w:tr>
    </w:tbl>
    <w:p>
      <w:pPr>
        <w:rPr>
          <w:color w:val="auto"/>
          <w:highlight w:val="none"/>
        </w:rPr>
      </w:pPr>
      <w:r>
        <w:rPr>
          <w:rFonts w:hint="eastAsia"/>
          <w:color w:val="auto"/>
          <w:highlight w:val="none"/>
        </w:rPr>
        <w:t>注：1、供应商为非残疾人福利性单位的，无需填写此声明函。</w:t>
      </w:r>
    </w:p>
    <w:p>
      <w:pPr>
        <w:rPr>
          <w:color w:val="auto"/>
          <w:highlight w:val="none"/>
        </w:rPr>
      </w:pPr>
      <w:r>
        <w:rPr>
          <w:rFonts w:hint="eastAsia"/>
          <w:color w:val="auto"/>
          <w:highlight w:val="none"/>
        </w:rPr>
        <w:t xml:space="preserve">    2、仅为本项目提供服务，未提供服务所伴随产品的，此表格可不填写。</w:t>
      </w:r>
    </w:p>
    <w:p>
      <w:pPr>
        <w:rPr>
          <w:color w:val="auto"/>
          <w:highlight w:val="none"/>
        </w:rPr>
      </w:pPr>
      <w:r>
        <w:rPr>
          <w:rFonts w:hint="eastAsia"/>
          <w:color w:val="auto"/>
          <w:highlight w:val="none"/>
        </w:rPr>
        <w:t xml:space="preserve">    3、如为本项目提供本单位伴随产品的，请填写此表格。</w:t>
      </w:r>
    </w:p>
    <w:p>
      <w:pPr>
        <w:rPr>
          <w:color w:val="auto"/>
          <w:highlight w:val="none"/>
        </w:rPr>
      </w:pPr>
      <w:r>
        <w:rPr>
          <w:rFonts w:hint="eastAsia"/>
          <w:color w:val="auto"/>
          <w:highlight w:val="none"/>
        </w:rPr>
        <w:t xml:space="preserve">    4、如为本项目提供的伴随产品是其他单位生产的，无需填写此表格，但需生产单位按此格式出具此声明。</w:t>
      </w:r>
    </w:p>
    <w:p>
      <w:pPr>
        <w:ind w:firstLine="420" w:firstLineChars="200"/>
        <w:rPr>
          <w:color w:val="auto"/>
          <w:highlight w:val="none"/>
        </w:rPr>
      </w:pPr>
    </w:p>
    <w:p>
      <w:pPr>
        <w:ind w:firstLine="420" w:firstLineChars="200"/>
        <w:rPr>
          <w:color w:val="auto"/>
          <w:highlight w:val="none"/>
        </w:rPr>
      </w:pPr>
      <w:r>
        <w:rPr>
          <w:rFonts w:hint="eastAsia"/>
          <w:color w:val="auto"/>
          <w:highlight w:val="none"/>
        </w:rPr>
        <w:t>供应商名称（单位公章）：</w:t>
      </w:r>
    </w:p>
    <w:p>
      <w:pPr>
        <w:ind w:firstLine="420" w:firstLineChars="200"/>
        <w:rPr>
          <w:color w:val="auto"/>
          <w:highlight w:val="none"/>
        </w:rPr>
        <w:sectPr>
          <w:pgSz w:w="11906" w:h="16838"/>
          <w:pgMar w:top="1440" w:right="1803" w:bottom="1440" w:left="1803" w:header="851" w:footer="992" w:gutter="0"/>
          <w:cols w:space="720" w:num="1"/>
          <w:docGrid w:linePitch="319" w:charSpace="0"/>
        </w:sectPr>
      </w:pPr>
      <w:r>
        <w:rPr>
          <w:rFonts w:hint="eastAsia"/>
          <w:color w:val="auto"/>
          <w:highlight w:val="none"/>
        </w:rPr>
        <w:t xml:space="preserve">日 期：              </w:t>
      </w:r>
    </w:p>
    <w:p>
      <w:pPr>
        <w:pStyle w:val="4"/>
        <w:spacing w:before="0" w:after="0"/>
        <w:rPr>
          <w:rFonts w:cs="仿宋_GB2312"/>
          <w:color w:val="auto"/>
          <w:szCs w:val="21"/>
          <w:highlight w:val="none"/>
        </w:rPr>
      </w:pPr>
      <w:r>
        <w:rPr>
          <w:rFonts w:hint="eastAsia"/>
          <w:color w:val="auto"/>
          <w:highlight w:val="none"/>
        </w:rPr>
        <w:t>格式17</w:t>
      </w:r>
    </w:p>
    <w:p>
      <w:pPr>
        <w:pStyle w:val="3"/>
        <w:rPr>
          <w:rFonts w:cs="宋体"/>
          <w:color w:val="auto"/>
          <w:sz w:val="24"/>
          <w:highlight w:val="none"/>
        </w:rPr>
      </w:pPr>
      <w:r>
        <w:rPr>
          <w:rFonts w:hint="eastAsia"/>
          <w:color w:val="auto"/>
          <w:highlight w:val="none"/>
        </w:rPr>
        <w:t>监狱企业证明材料</w:t>
      </w:r>
    </w:p>
    <w:p>
      <w:pPr>
        <w:ind w:firstLine="420" w:firstLineChars="200"/>
        <w:rPr>
          <w:color w:val="auto"/>
          <w:highlight w:val="none"/>
        </w:rPr>
      </w:pPr>
      <w:r>
        <w:rPr>
          <w:rFonts w:hint="eastAsia"/>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color w:val="auto"/>
          <w:highlight w:val="none"/>
        </w:rPr>
      </w:pPr>
      <w:r>
        <w:rPr>
          <w:rFonts w:hint="eastAsia"/>
          <w:color w:val="auto"/>
          <w:highlight w:val="none"/>
        </w:rPr>
        <w:t>提供由省级以上监狱管理局、戒毒管理局(含新疆生产建设兵团)出具的属于监狱企业的证明文件。</w:t>
      </w:r>
    </w:p>
    <w:p>
      <w:pPr>
        <w:ind w:firstLine="420" w:firstLineChars="200"/>
        <w:rPr>
          <w:color w:val="auto"/>
          <w:highlight w:val="none"/>
        </w:rPr>
      </w:pPr>
      <w:bookmarkStart w:id="131" w:name="_GoBack"/>
    </w:p>
    <w:p>
      <w:pPr>
        <w:ind w:firstLine="420" w:firstLineChars="200"/>
        <w:rPr>
          <w:color w:val="auto"/>
          <w:highlight w:val="none"/>
        </w:rPr>
      </w:pPr>
      <w:r>
        <w:rPr>
          <w:rFonts w:hint="eastAsia"/>
          <w:color w:val="auto"/>
          <w:highlight w:val="none"/>
        </w:rPr>
        <w:t>特此承诺</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ind w:firstLine="420" w:firstLineChars="200"/>
        <w:jc w:val="left"/>
        <w:rPr>
          <w:rFonts w:cs="宋体"/>
          <w:color w:val="auto"/>
          <w:highlight w:val="none"/>
        </w:rPr>
      </w:pPr>
      <w:r>
        <w:rPr>
          <w:rFonts w:hint="eastAsia" w:cs="宋体"/>
          <w:color w:val="auto"/>
          <w:highlight w:val="none"/>
        </w:rPr>
        <w:t>供应商：               （盖单位章）</w:t>
      </w:r>
    </w:p>
    <w:p>
      <w:pPr>
        <w:ind w:firstLine="420" w:firstLineChars="200"/>
        <w:jc w:val="left"/>
        <w:rPr>
          <w:rFonts w:cs="宋体"/>
          <w:color w:val="auto"/>
          <w:highlight w:val="none"/>
        </w:rPr>
      </w:pPr>
      <w:r>
        <w:rPr>
          <w:rFonts w:hint="eastAsia" w:cs="宋体"/>
          <w:color w:val="auto"/>
          <w:highlight w:val="none"/>
        </w:rPr>
        <w:t>法定代表人或其委托代理人：         （签字或盖章）</w:t>
      </w:r>
    </w:p>
    <w:p>
      <w:pPr>
        <w:ind w:firstLine="409" w:firstLineChars="195"/>
        <w:jc w:val="left"/>
        <w:rPr>
          <w:color w:val="auto"/>
          <w:highlight w:val="none"/>
        </w:rPr>
      </w:pPr>
      <w:r>
        <w:rPr>
          <w:rFonts w:hint="eastAsia"/>
          <w:color w:val="auto"/>
          <w:highlight w:val="none"/>
          <w:u w:val="single"/>
        </w:rPr>
        <w:t xml:space="preserve"> </w:t>
      </w:r>
      <w:r>
        <w:rPr>
          <w:color w:val="auto"/>
          <w:highlight w:val="none"/>
          <w:u w:val="single"/>
        </w:rPr>
        <w:t xml:space="preserve">      </w:t>
      </w:r>
      <w:r>
        <w:rPr>
          <w:color w:val="auto"/>
          <w:highlight w:val="none"/>
        </w:rPr>
        <w:t>年</w:t>
      </w:r>
      <w:r>
        <w:rPr>
          <w:rFonts w:hint="eastAsia"/>
          <w:color w:val="auto"/>
          <w:highlight w:val="none"/>
          <w:u w:val="single"/>
        </w:rPr>
        <w:t xml:space="preserve"> </w:t>
      </w:r>
      <w:r>
        <w:rPr>
          <w:color w:val="auto"/>
          <w:highlight w:val="none"/>
          <w:u w:val="single"/>
        </w:rPr>
        <w:t xml:space="preserve">      </w:t>
      </w:r>
      <w:r>
        <w:rPr>
          <w:color w:val="auto"/>
          <w:highlight w:val="none"/>
        </w:rPr>
        <w:t>月</w:t>
      </w:r>
      <w:r>
        <w:rPr>
          <w:rFonts w:hint="eastAsia"/>
          <w:color w:val="auto"/>
          <w:highlight w:val="none"/>
          <w:u w:val="single"/>
        </w:rPr>
        <w:t xml:space="preserve"> </w:t>
      </w:r>
      <w:r>
        <w:rPr>
          <w:color w:val="auto"/>
          <w:highlight w:val="none"/>
          <w:u w:val="single"/>
        </w:rPr>
        <w:t xml:space="preserve">      </w:t>
      </w:r>
      <w:r>
        <w:rPr>
          <w:color w:val="auto"/>
          <w:highlight w:val="none"/>
        </w:rPr>
        <w:t>日</w:t>
      </w:r>
    </w:p>
    <w:p>
      <w:pPr>
        <w:pStyle w:val="29"/>
        <w:ind w:firstLine="480"/>
        <w:rPr>
          <w:rFonts w:cs="宋体"/>
          <w:color w:val="auto"/>
          <w:sz w:val="24"/>
          <w:szCs w:val="24"/>
          <w:highlight w:val="none"/>
        </w:rPr>
      </w:pPr>
    </w:p>
    <w:p>
      <w:pPr>
        <w:pStyle w:val="29"/>
        <w:ind w:firstLine="480"/>
        <w:rPr>
          <w:rFonts w:cs="宋体"/>
          <w:color w:val="auto"/>
          <w:sz w:val="24"/>
          <w:szCs w:val="24"/>
          <w:highlight w:val="none"/>
        </w:rPr>
      </w:pPr>
    </w:p>
    <w:p>
      <w:pPr>
        <w:pStyle w:val="29"/>
        <w:ind w:firstLine="480"/>
        <w:rPr>
          <w:rFonts w:cs="宋体"/>
          <w:color w:val="auto"/>
          <w:sz w:val="24"/>
          <w:szCs w:val="24"/>
          <w:highlight w:val="none"/>
        </w:rPr>
      </w:pPr>
    </w:p>
    <w:p>
      <w:pPr>
        <w:spacing w:before="200" w:after="200"/>
        <w:jc w:val="center"/>
        <w:rPr>
          <w:rFonts w:eastAsia="仿宋_GB2312" w:cs="仿宋_GB2312"/>
          <w:color w:val="auto"/>
          <w:highlight w:val="none"/>
        </w:rPr>
      </w:pPr>
      <w:r>
        <w:rPr>
          <w:rFonts w:hint="eastAsia" w:cs="宋体"/>
          <w:color w:val="auto"/>
          <w:sz w:val="24"/>
          <w:highlight w:val="none"/>
          <w:u w:val="single"/>
        </w:rPr>
        <w:br w:type="page"/>
      </w:r>
      <w:bookmarkStart w:id="108" w:name="_Toc78902193"/>
      <w:bookmarkStart w:id="109" w:name="_Toc18902"/>
      <w:bookmarkStart w:id="110" w:name="_Toc4498_WPSOffice_Level1"/>
      <w:r>
        <w:rPr>
          <w:rStyle w:val="32"/>
          <w:rFonts w:hint="eastAsia"/>
          <w:color w:val="auto"/>
          <w:highlight w:val="none"/>
        </w:rPr>
        <w:t xml:space="preserve">第三章 </w:t>
      </w:r>
      <w:r>
        <w:rPr>
          <w:rStyle w:val="32"/>
          <w:color w:val="auto"/>
          <w:highlight w:val="none"/>
        </w:rPr>
        <w:t>服务</w:t>
      </w:r>
      <w:r>
        <w:rPr>
          <w:rStyle w:val="32"/>
          <w:rFonts w:hint="eastAsia"/>
          <w:color w:val="auto"/>
          <w:highlight w:val="none"/>
        </w:rPr>
        <w:t>需求</w:t>
      </w:r>
      <w:bookmarkEnd w:id="108"/>
      <w:bookmarkEnd w:id="109"/>
      <w:bookmarkEnd w:id="110"/>
    </w:p>
    <w:p>
      <w:pPr>
        <w:pStyle w:val="20"/>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eastAsia" w:eastAsia="宋体"/>
          <w:b/>
          <w:bCs/>
          <w:color w:val="auto"/>
          <w:highlight w:val="none"/>
          <w:lang w:val="en-US" w:eastAsia="zh-CN"/>
        </w:rPr>
      </w:pPr>
      <w:bookmarkStart w:id="111" w:name="_Toc78902194"/>
      <w:bookmarkStart w:id="112" w:name="_Toc2821_WPSOffice_Level1"/>
      <w:r>
        <w:rPr>
          <w:rFonts w:hint="eastAsia" w:eastAsia="宋体"/>
          <w:b/>
          <w:bCs/>
          <w:color w:val="auto"/>
          <w:highlight w:val="none"/>
          <w:lang w:val="en-US" w:eastAsia="zh-CN"/>
        </w:rPr>
        <w:t>第一包：网络可信身份体系服务项目</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一、项目概述</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为进一步做好税务信息系统安全保障工作，整合现有密码服务组件、双向交互系统及税务数字证书系统，形成网络可信身份认证体系，实现统一的安全策略调度和安全管理标准。拟购买网络可信身份体系服务。</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预算金额为55.05万元。</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bookmarkStart w:id="113" w:name="_Toc93327325"/>
      <w:r>
        <w:rPr>
          <w:rFonts w:hint="eastAsia" w:eastAsia="宋体"/>
          <w:color w:val="auto"/>
          <w:highlight w:val="none"/>
          <w:lang w:val="en-US" w:eastAsia="zh-CN"/>
        </w:rPr>
        <w:t>二、服务要求</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1.对密码服务组件进行升级改造。</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密码服务组件系统通过统一密码设备管理、统一密钥管理、统一密码应用服务的方式，为各税务信息系统提供标准的各类密码应用服务。各税务信息系统根据自身的密码应用需求，选择、配置、调用这些服务，实现安全、合规、高效、便捷密码应用。密码服务组件提供的密码应用服务主要包括：身份认证、安全报文、数据校验、数据加解密、签名及验证、协同签名及验证、可信时钟、数据库存储加密、文件加解密等。在各税务信息系统与密码服务组件系统对接过程中，需要对密码服务组件系统进行升级改造，以便各应用系统能够与密码组件系统无缝对接。</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2.完善双向交互系统功能。</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双向交换系统用于构建税务专网区与互联网区的边界安全与外联网业务承载平台。双向交互系统管理功能主要包括组织机构管理、虚拟机资源分配、用户及权限管理、系统管理、应用管理、分区管理等。由于系统设计不足、程序bug等原因造成的双向交互系统出现故障问题，驻场工程师需对软件出现的问题进行复现测试和确认，排查问题产生原因，提供临时解决方案，并将确认结果反馈局方，同时完善双向交互系统功能。</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3.完善税务数字证书系统相关功能</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密码服务组件系统中密码资源管理服务模块通过接入各种类型的密码设备获得密码运算资源，向税务信息系统提供各类密码应用服务。其中，签名认证服务和协同签名认证服务通过集成税务数字证书系统和集成协同签名服务模块实现。需要对税务数字证书系统进行升级完善，便于密码服务组件系统与数字证书系统顺利对接。</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4.系统资源优化</w:t>
      </w:r>
      <w:bookmarkEnd w:id="113"/>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项目驻场工程师按照省局的硬件设备资源优化需求，对现有密码服务组件、双向交互系统及税务数字证书系统资源优化需求进行评估、资源优化方案撰写、测试及实施工作。同时，项目驻场工程师也通过健康检查结果，从应用系统资源配置、应用系统部署模式、应用系统参数配置情况等方面对省局提出系统资源优化建议，并听取各应用系统运维问题反馈情况后进行资源优化的实施。主要工作内容如下：</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（1）需求评估</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根据省局资源优化需求，对其实际可行性及作用进行评估；</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（2）方案撰写</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根据实际的资源优化需求，撰写资源优化方案，并组织评审。评审通过后进入测试阶段；</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（3）方案测试</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对资源优化方案进行测试；</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（4）方案实施</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驻场工程师于现场实施资源优化方案；</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（5）后续监控及跟踪</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资源优化实施完成后，需在一个业务周期内，对涉及调</w:t>
      </w:r>
      <w:bookmarkEnd w:id="131"/>
      <w:r>
        <w:rPr>
          <w:rFonts w:hint="eastAsia" w:eastAsia="宋体"/>
          <w:color w:val="auto"/>
          <w:highlight w:val="none"/>
          <w:lang w:val="en-US" w:eastAsia="zh-CN"/>
        </w:rPr>
        <w:t>整的应用系统进行监控及跟踪，以验证资源优化的作用。</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bookmarkStart w:id="114" w:name="_Toc93327326"/>
      <w:r>
        <w:rPr>
          <w:rFonts w:hint="eastAsia" w:eastAsia="宋体"/>
          <w:color w:val="auto"/>
          <w:highlight w:val="none"/>
          <w:lang w:val="en-US" w:eastAsia="zh-CN"/>
        </w:rPr>
        <w:t>5.业务系统访问控制策略</w:t>
      </w:r>
      <w:bookmarkEnd w:id="114"/>
      <w:r>
        <w:rPr>
          <w:rFonts w:hint="eastAsia" w:eastAsia="宋体"/>
          <w:color w:val="auto"/>
          <w:highlight w:val="none"/>
          <w:lang w:val="en-US" w:eastAsia="zh-CN"/>
        </w:rPr>
        <w:t>调整</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驻场工程师根据省局应用系统内外网访问控制策略调整的工作部署，对各应用系统访问控制策略调整需求进行调查、调整方案撰写、调整方案测试、实施、支持及后续跟踪监控工作。主要工作内容如下：</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（1）调整前后环境调查</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驻场工程师根据省局各应用系统访问控制策略调整的实际情况，需要对现有各应用系统访问控制策略进行认真梳理及应用系统访问控制策略调整前后环境进行调查，明确调整事项以及注意事项；</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（2）调整方案撰写</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根据实际应用系统访问控制策略调整需求及情况，撰写应用系统访问控制策略调整方案和回退方案，并交予局方确认。以保证应用系统访问控制策略调整方案的可实施性。</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（3）策略实施</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实施应用系统访问控制策略调整。驻场工程师需根据系统应用系统访问控制策略调整方案和回退方案现场实施应用系统访问控制策略调整；</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（4）验证和切换</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应用系统访问控制策略调整实施完成后，需从应用服务的功能和业务数据的完整性、连续性、一致性等方面验证调整是否成功，并于验证成功后，进行应用系统访问控制策略切换；</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（5）后续监控</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应用系统访问控制策略调整的验证和切换完成后，驻场工程师需对访问控制策略调整的应用系统进行一个业务周期内的系统监控，以保证访问控制策略调整后的应用系统的正常运行。</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bookmarkStart w:id="115" w:name="_Toc93327320"/>
      <w:r>
        <w:rPr>
          <w:rFonts w:hint="eastAsia" w:eastAsia="宋体"/>
          <w:color w:val="auto"/>
          <w:highlight w:val="none"/>
          <w:lang w:val="en-US" w:eastAsia="zh-CN"/>
        </w:rPr>
        <w:t>6.系统运行维护</w:t>
      </w:r>
      <w:bookmarkEnd w:id="115"/>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系统运行维护包括密码服务组件系统、双向交换系统和税务数字证书系统的日常巡检、健康检查、紧急问题处理、重大配置变更，补丁升级等工作。</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bookmarkStart w:id="116" w:name="_Toc93327323"/>
      <w:r>
        <w:rPr>
          <w:rFonts w:hint="eastAsia" w:eastAsia="宋体"/>
          <w:color w:val="auto"/>
          <w:highlight w:val="none"/>
          <w:lang w:val="en-US" w:eastAsia="zh-CN"/>
        </w:rPr>
        <w:t>（1）日常巡检</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①包括服务器系统磁盘空间使用率、内存使用率、CPU使用率、SWAP使用率、系统服务进程等。</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②巡检过程中出现故障问题，负责诊断、解决系统故障，对其系统错误及缺陷进行排查，给出故障问题整改建议或方案。</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（2）紧急问题处理</w:t>
      </w:r>
      <w:bookmarkEnd w:id="116"/>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因系统异常造成业务中断、驻场工程师能够随时响应、快速到位，尽可能短时间内恢复的问题按照紧急问题处理流程来进行处理。主要工作内容如下：</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①沟通确认</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对于紧急问题，需要驻场工程师在30分钟内响应，了解问题产生的原因、背景和涉及的业务细节；</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②恢复系统</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通过沟通确认后的紧急问题，首先对于可以远程排查原因的问题，给予远程技术支持，对于必须现场查证、现场处理的紧急问题，驻场工程师尽快赶赴现场，恢复系统，确保业务进行；</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③查找问题原因</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驻场工程师对问题进行分析定位，从根本上查找问题原因以及存在隐患；</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④制定方案</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根据问题出现原因，提出解决方案并予以处置；</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⑤问题跟踪</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问题解决后，对系统运行情况进行跟踪；</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⑥填写问题处理单</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按省局规范填写问题处理单。</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bookmarkStart w:id="117" w:name="_Toc93327324"/>
      <w:r>
        <w:rPr>
          <w:rFonts w:hint="eastAsia" w:eastAsia="宋体"/>
          <w:color w:val="auto"/>
          <w:highlight w:val="none"/>
          <w:lang w:val="en-US" w:eastAsia="zh-CN"/>
        </w:rPr>
        <w:t>（3）重大配置变更</w:t>
      </w:r>
      <w:bookmarkEnd w:id="117"/>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驻场工程师对省级管理人员提出的重大配置变更申请（如应用系统网络、存储、主机、中间件、数据库、操作系统的重大配置调整）进行评估和方案制定，并综合判断重大配置变更执行的风险、回退方案、可行性、所需资源等。主要工作内容如下：</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①变更申请评估</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评估重大配置变更的可行性；</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②变更方案制定及评审</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编制重大配置变更方案及回退方案，并对方案进行测试和评审；</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③变更计划制定</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评估重大配置变更所需资源，并确定详细的实施计划。如时间计划、人员计划、资源计划等；</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④实施和支持</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驻场工程师根据实际情况和需求，对省级重大配置变更进行现场实施或支持；</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⑤变更验证</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验证重大配置变更是否成功；</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⑥监控</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重大配置变更实施成功后，需要在一个业务周期内，对涉及变更调整的应用系统进行监控，保证配置变更未对应用系统造成后续影响，保证应用系统的平稳运行。</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bookmarkStart w:id="118" w:name="_Toc93327328"/>
      <w:r>
        <w:rPr>
          <w:rFonts w:hint="eastAsia" w:eastAsia="宋体"/>
          <w:color w:val="auto"/>
          <w:highlight w:val="none"/>
          <w:lang w:val="en-US" w:eastAsia="zh-CN"/>
        </w:rPr>
        <w:t>（4）健康检查</w:t>
      </w:r>
      <w:bookmarkEnd w:id="118"/>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健康检查是指以现场巡检的方式，针对省局可信应用系统的运行环境、应用配置及业务数据进行检查，以发现存在的问题和隐患。主要工作内容如下：</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①制定健康检查计划</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制定详细的健康检查计划，包含健康检查的时间、地点、范围、方式；</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②制定健康检查方案及脚本</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制定健康检查指标和判定准则并编制指标的采集脚本；</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③健康检查实施</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根据健康检查计划，及健康检查方案及脚本，实施应用系统的健康检查。驻场工程师根据健康检查计划进行健康检查，采集指标信息并进行现场日志分析。</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④出具健康检查统计表</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根据健康检查结果，分析并填写健康检查统计表，每月撰写运维分析报告，向局方反馈健康检查情况，并进行现场解决或给出解决建议。</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bookmarkStart w:id="119" w:name="_Toc93327329"/>
      <w:r>
        <w:rPr>
          <w:rFonts w:hint="eastAsia" w:eastAsia="宋体"/>
          <w:color w:val="auto"/>
          <w:highlight w:val="none"/>
          <w:lang w:val="en-US" w:eastAsia="zh-CN"/>
        </w:rPr>
        <w:t>补丁</w:t>
      </w:r>
      <w:bookmarkEnd w:id="119"/>
      <w:r>
        <w:rPr>
          <w:rFonts w:hint="eastAsia" w:eastAsia="宋体"/>
          <w:color w:val="auto"/>
          <w:highlight w:val="none"/>
          <w:lang w:val="en-US" w:eastAsia="zh-CN"/>
        </w:rPr>
        <w:t>升级</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补丁升级工作是指驻场工程师需要根据总局的补丁发布流程对应用系统新版本或新补丁进行审核、测试、下发、升级和后续的支持、汇总工作。主要工作内容如下：</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①补丁验证</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驻场工程师需要对接收到的应用系统版本或补丁进行审核，审核点主要关注补丁文档是否齐全、是否能够支持升级，补丁升级的时间要求和资源要求是否明确，补丁升级是否会对其他相关应用系统产生影响。</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②经局方审核通过后，对接收到的应用系统版本或补丁进行模拟环境测试，以验证其升级过程是否正确。模拟环境测试通过后，需形成补丁升级测试单。</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③补丁升级实施</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驻场工程师在补丁验证通过后，按照总局补丁升级文件要求完成升级工作。</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④监控系统运行状况</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对应用系统升级完补丁程序后，监测应用系统运行状况，确保应用系统稳定运行。</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bookmarkStart w:id="120" w:name="_Toc93327336"/>
      <w:r>
        <w:rPr>
          <w:rFonts w:hint="eastAsia" w:eastAsia="宋体"/>
          <w:color w:val="auto"/>
          <w:highlight w:val="none"/>
          <w:lang w:val="en-US" w:eastAsia="zh-CN"/>
        </w:rPr>
        <w:t>7.重大任务保障</w:t>
      </w:r>
      <w:bookmarkEnd w:id="120"/>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省局组织实施的重大时间节点安全保障工作，需要驻场工程师全程参与和支持。主要工作是按照省局的总体工作安排，参与重大时间节点的7*24小时现场值守服务工作。</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r>
        <w:rPr>
          <w:rFonts w:hint="eastAsia" w:eastAsia="宋体"/>
          <w:color w:val="auto"/>
          <w:highlight w:val="none"/>
          <w:lang w:val="en-US" w:eastAsia="zh-CN"/>
        </w:rPr>
        <w:t>8.投标人需提供各系统原厂技术支持。</w:t>
      </w:r>
    </w:p>
    <w:p>
      <w:pPr>
        <w:pStyle w:val="20"/>
        <w:keepNext w:val="0"/>
        <w:keepLines w:val="0"/>
        <w:pageBreakBefore w:val="0"/>
        <w:widowControl w:val="0"/>
        <w:kinsoku/>
        <w:wordWrap/>
        <w:overflowPunct/>
        <w:topLinePunct w:val="0"/>
        <w:autoSpaceDE/>
        <w:autoSpaceDN/>
        <w:bidi w:val="0"/>
        <w:adjustRightInd/>
        <w:snapToGrid/>
        <w:spacing w:after="0"/>
        <w:ind w:left="0" w:leftChars="0" w:firstLine="420" w:firstLineChars="200"/>
        <w:textAlignment w:val="auto"/>
        <w:rPr>
          <w:rFonts w:hint="eastAsia" w:eastAsia="宋体"/>
          <w:color w:val="auto"/>
          <w:highlight w:val="none"/>
          <w:lang w:val="en-US" w:eastAsia="zh-CN"/>
        </w:rPr>
      </w:pPr>
    </w:p>
    <w:p>
      <w:pPr>
        <w:rPr>
          <w:rFonts w:ascii="宋体" w:hAnsi="宋体"/>
          <w:color w:val="auto"/>
          <w:sz w:val="24"/>
          <w:highlight w:val="none"/>
        </w:rPr>
      </w:pPr>
      <w:r>
        <w:rPr>
          <w:rFonts w:ascii="宋体" w:hAnsi="宋体"/>
          <w:color w:val="auto"/>
          <w:sz w:val="24"/>
          <w:highlight w:val="none"/>
        </w:rPr>
        <w:br w:type="page"/>
      </w:r>
    </w:p>
    <w:p>
      <w:pPr>
        <w:ind w:firstLine="645"/>
        <w:jc w:val="center"/>
        <w:rPr>
          <w:rFonts w:hint="eastAsia" w:asciiTheme="minorEastAsia" w:hAnsiTheme="minorEastAsia" w:eastAsiaTheme="minorEastAsia" w:cstheme="minorEastAsia"/>
          <w:b/>
          <w:sz w:val="21"/>
          <w:szCs w:val="21"/>
          <w:lang w:val="en-US" w:eastAsia="zh-CN"/>
        </w:rPr>
      </w:pPr>
      <w:r>
        <w:rPr>
          <w:rFonts w:hint="eastAsia" w:asciiTheme="minorEastAsia" w:hAnsiTheme="minorEastAsia" w:eastAsiaTheme="minorEastAsia" w:cstheme="minorEastAsia"/>
          <w:b/>
          <w:sz w:val="21"/>
          <w:szCs w:val="21"/>
          <w:lang w:val="en-US" w:eastAsia="zh-CN"/>
        </w:rPr>
        <w:t>第二包：应用系统数据安全服务项目</w:t>
      </w:r>
    </w:p>
    <w:p>
      <w:pPr>
        <w:pStyle w:val="7"/>
        <w:rPr>
          <w:color w:val="auto"/>
          <w:highlight w:val="none"/>
        </w:rPr>
      </w:pP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一、项目概述</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深入贯彻落实《全流程税费数据安全管理规范（试行）》和《税务电子数据安全保护总体技术框架》工作要求，进一步加强黑龙江省税务局涉税数据的安全管理，强化纳税人（缴费人）商业秘密和个人隐私数据保护，提升数据安全防护能力，拟针对黑龙江税务数据安全管控平台进行二期建设，功能包含数据安全整体风险评估、流动数据安全监测、数据运行安全管理等，采用数据安全管控对数据生命周期全流程进行评估，发现数据风险、威胁、漏洞等问题，通过技术手段进行加固及完善，在数据使用、共享交换等流动过程中，对数据资产、身份和行为进行全面监测及管理，并为数据资产提供运行安全检测和管控，从而保证数据全生命周期的安全防护，构建基于整体数据安全能力为基础的立体化纵深防御体系，结合数据生命周期的安全运营理念形成科学实用的“体系化安全防护能力、规范化安全管理能力、综合化安全运营能力”。</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预算金额为141.36万元。</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二、服务要求</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进行整体数据安全服务协同性，同时方便统一管理及服务功能之间的兼容性，“数据运行安全服务”与“API安全监测与访问控制服务”当中所使用的工具软件须能够实现统一身份认证、统一策略下发以及统一日志管理等。</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2.1数据运行安全管理服务</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1.支持自定义IP和数据库端口方式，自动发现数据库资产。</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2.支持数据库适配类型：Oracle、MySQL、SQL Server、PostgreSQL、MongoDB、Redis、DB2、Cache、达梦、人大金仓、阿里云RDS for MySQL等。</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3.★支持自动识别数据库集群和容灾架构，包括：Oracle RAC/DG/OGG、SQL Server Alwayson、MySQL Cluster/主从/主主、DBRA等，并自动生成拓扑图。</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4.支持Oracle单机、RAC、DG等自动化部署；支持MySQL单机、集群（主从、MGR）等自动化部署。</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5.运行监控内容至少包括：</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（1）数据库连接、监听、实例状态，数据库启停状态。</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（2）表空间、ASM磁盘组、归档日志、闪回空间、数据文件、文件系统状态和变化。</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（3）Oracle RAC/DG/OGG、SQL Server Alwayson、MySQL Cluster/主从/主主、DBRA等集群和容灾状态。</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（4）长事务、大事务运行状态。</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（5）数据库登录、数据库连接、SQL解析、SQL执行、SQL提交状态。</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（6）Processes、Sessions、DB files、Jobs等数据库资源使用状态。</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（7）Lock、Latch、Mutex锁资源状态。</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（8）物理备份和逻辑备份状态。</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6.支持聚合监控大屏，显示内容至少包括：</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（1）显示全局或指定业务系统的健康度、繁忙度、可用度指数。</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（2）显示Top5告警数、变更数、会话数、健康度、过去7天可用度、繁忙度的数据库资产。</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（3）显示多实例的正常/异常状态，并可以下钻到指定实例或集群大屏。</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（4）显示待处理告警列表。</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支持从数据库可用性、资源就绪、可靠性、变化、作业等维度，完成对数据库资产的轻量级检查；通过设定上班、下班时间，自动执行日常巡检，并支持基于上班时间点和下班时间点的巡检结果比对，掌握数据库系统变化。</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8.支持从数据库可用性、空间管理、安全性、可靠性、性能、错误、主机资源、数据库资源、数据库软件、数据库参数、系统参数等维度，完成对数据库资产的全面深度检查。</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9.支持基于主机、数据库资源和sql性能指标的分析下钻，智能定位性能瓶颈点，应用上线后，可自动获取指定时间窗口的Top SQL，并对SQL语句提供在线诊断，输出诊断报告，诊断报告内容至少包括：SQL ID、SQL文本、SQL执行计划和SQL优化建议。</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10.支持自动获取AWR报告，支持AWR报告全中文解读，解读内容至少包括：主机资源、数据库资源、会话登录、SQL解析、SQL执行、事务提交、RAC统计和数据库参数等，并根据数据库的性能状况给出专业分析，对数据库存在的性能瓶颈进行定位，对异常指标提供优化建议。</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11.提供常见运维场景的编排模版，实现从告警到故障处理的自动化运维，要求至少提供2个以上运维编排模版。</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12.变更追溯信息要求包括：主机配置、主机资源、数据库用户、数据库应用、数据库对象、数据库配置、数据库空间等维度。</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13.提供自动锁处理工具、DB-LINK分析工具、归档日志清理工具、DUMP文件导出工具、主机连接检测工具、数据库SCN检测等工具。</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14.支持识别真实应用及SQL管理工具的MD5值，防止假冒应用及假冒SQL管理工具违规访问数据库。</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15.支持数据库运维工具免密登陆功能，当数据库管理人员通过Toad或SQL DEVELOPER等工具登陆运维数据库时，通过数据库账号与数字证书的绑定，数据库管理员在运维PC工具中无需输入数据库用户名密码即可登陆已授权访问的数据库，避免运维数据库用户和密码泄漏，保障账号安全。</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16.至少支持oracle、SQL server、mysql、DB2数据库的误删除恢复，当使用DROP命令误删除敏感数据时，系统应及时记录操作的时间、数据库名称、操作类型、操作的对象类型、SCHEMA名称、对象名称、当前状态、使用的SQL语句等信息，并提供一键恢复的功能，辅助完成数据的快速恢复，以支持系统恢复正常。</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17.★该服务须能够与用户方现有数据安全平台进行有效对接，实现统一身份认证、统一策略下发以及统一日志管理等。</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18.★投标人须提供3人的技术团队成员进行现场服务，保证服务过程数据不离场。同时重大节日及特殊时期安排1人确保7*24小时安全值守。并在一年服务期内提供1名驻场运维人员负责数据安全监控及运维工作。（投标人须提供服务承诺）</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2.2API安全监测与访问控制服务</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1.该项服务需要能够提供至少支持200M标准API流量的服务能力。</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2.提供数据流转安全态势大屏，统计展示数据访问量、业务流转、应用访问热度、API台账、应用涉敏接口、流动防护等。</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3.★支持通过镜像流量自动识别请求和返回中数据的API资产，包括但不限于API的接口信息、参数信息、请求方法等。</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4.支持通过API资产的发现时间、活跃时间、访问次数、请求方法进行关联分析，识别已知API、未知API。</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5.至少包含500种业务类型，可根据不同业务类型对数据进行自动分类，业务类型包括个人信息、地理信息、组织机构信息、企业信息、行业相关信息、基础信息、商品物资信息、设备信息、通用类型等。</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6.AI赋能安全，通过梳理身份标签、访问关系拓扑、上下文访问链路等建立身份画像，通过身份基线比对，实现风险身份的自动化智能监测。</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7.支持AI算法检测，通过实时检测进行建模训练，形成风险检测模型，识别异常行为。</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8.★支持自动识别API流量中的弱口令，防止暴力破解行为；支持对API流量中的敏感数据进行识别，包括但不限于身份证号、手机号、银行卡号等。</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9.支持通过预设敏感词类型、敏感词以及自定义敏感词，根据配置对报文进行检测，对检测到配置中的敏感词执行处理动作。</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10.支持针对API接口访问频次、单日请求次数、单日获取敏感数据次数等维度设置API安全访问策略。</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11.支持API访问策略关联设置到具体的API接口资产。</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12.支持将采集的安全事件信息进行展示，提供事后安全审计追溯能力。并对安全事件进行合并去重。</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13.支持以安全事件发生时间、关键字等要素对安全事件进行快速检索。</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14.通过大屏展示数据安全整体情况，包括：数据资产，敏感数据，数据运维使用、数据共享开放、风险事件、数据地图、风险区、数据热力图、敏感数据事件、敏感数据分布等。</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15.具备风险中心监测视图，主要包含风险等级、风险事件总量、已处理事件数、未处理事件数、事件详情等展示。</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16.该服务须能够与用户方现有数据安全平台进行有效对接，实现统一身份认证、统一策略下发以及统一日志管理等。</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2.3数据安全风险评估服务</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1.可提供针对各类型业务系统数据资产的数据安全风险评估服务，对管理风险、综合安全风险以及数据安全性进行评估，检查风险点，并针对风险点提出整改措施和建议。</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 风险评估过程应以数据资产盘点和现状调研结果，综合评估数据库安全基线及风险、用户组织数据安全能力、数据安全合规风险以及数据资产全生命周期的安全风险现状，以便针对性地及时处置，增强安全防范能力。</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针对风险评估系统范围的各类数据库进行安全基线检查、漏洞扫描，发现存在的安全漏洞和薄弱环节；从数据机密性、完整性、可用性、可控性等方面出发，识别本单位数据安全能力与数据安全目标之间存在的差距，形成GAP分析结果，量化差距大小。</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 针对本单位的数据安全管理组织、数据安全制度体系、数据分类分级管理、人员安全管理、数据合作方管理、数据安全风险评估、数据安全应急管理、举报投诉管理、个人信息保护、重要数据处理安全等方面，遵照数据安全风险评估内容，从安全管理制度、流程规范、过程记录、安全合规等方面，识别本单位在数据安全管理方面所存在的安全风险。</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 能够在数据安全鉴别与访问控制、安全审计、数据安全风险鉴别、数据脱敏、数据防泄漏、接口安全管理、个人信息保护等方面，遵照数据安全风险评估内容，从安全管理制度、流程规范、过程记录、安全合规、技术能力与功能等方面，识别本单位在数据安全技术方面所存在的安全风险。</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 能够综合分析数据资产价值、数据处理活动、数据安全脆弱性、数据安全威胁、及已有安全措施之间的关系，并从影响数据安全合规、数据保密性、完整性、可用性和数据处理合理性角度分析各项脆弱性可能带来的数据安全风险，形成数据安全风险清单，并采用适当的方法与工具确定数据资产脆弱性发生的危害程度及可能性，完成数据安全的量化分析。</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能够根据风险分析结论，分别就数据资产、数据处理活动、数据安全管理、数据安全技术等多方面给出风险评估系统范围的安全改进建议。安全整改建议需根据安全风险的严重程度、加固措施实施的难易程度、降低风险的时间紧迫程度、所投入的人员力量及资金成本等因素综合考虑，形成数据安全风险报告。</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8. 能够提供《数据安全风险清单》：记录内容需涵盖被评估系统名称、资产名称、资产价值、脆弱性、脆弱性描述、安全事件发生后的损失、威胁类型、威胁频率、威胁发生可能性、安全事件发生的可能性、数据安全风险等级等内容。</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9. 能够提供《数据安全风险评估报告》风险评估报告：报告内容包含评估对象、数据安全风险评估方法、数据资产、数据安全威胁、脆弱性识别结果、风险分析、风险统计和结论等内容。</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10. 根据组织实际情况，规范数据安全应急管理机制，用于数据遭到篡改、破坏、泄漏、丢失、转移或者被非法获取、非法利用等的风险，以及个人信息权益维护的渠道等的应急响应和应急预案。并输出《数据安全应急管理制度》、《数据安全应急演练方案》、7*24小时数据应急响应服务等内容。</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11.为保障服务实施效率和评估结果准确性，投标人应在服务过程中提供自研的综合评估分析工具（必须是正版），并在项目实施期间使用，无需额外付费。综合评估分析工具应具备数据资产梳理、数据权限梳理、安全现状分析、数据合规基线分析、安全能力差距分析、数据安全风险分析等能力。（提供服务功能截图和计算机软件著作权登记证书扫描件并加盖服务原厂商公章）</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12.服务中所提供的风险评估工具支持与数据分类分级系统直连获取结果数据，自动化获取数据资产清单，包括但不限于数据源系统名、数据资产名称、资产注释、数据资产分级结果等信息。</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13.服务中所提供的风险评估工具支持通过数据安全能力分析模型进行关联分析，支持在作业流中自由根据能力目标、分析颗粒度和图标模板等，选择生成数据安全能力差距差距分析清单及图表等结果，并支持对自动分析结果进行人工评价。</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14.服务中所提供的风险评估工具支持根据数据风险评估前序步骤结果，通过风险计算引擎，自动计算出数据资产的生命周期风险系数及风险等级，并支持报表查看。</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2.4其他要求</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1.服务要求中带“★”号为必须满足功能的必备指标，不允许负偏离。</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2.项目周期为一年，在项目周期内完成项目服务内容及项目终验，主要包括项目启动、部署安装、系统运行调试、系统验收等环节。</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3.本项目建设需要与我省核心征管系统，社保费系统，电子税务局系统等重要应用系统数据库进行对接，保障本省特色软件和总局统推软件的数据安全。</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4.软件具有较强的扩展性，能够根据未来业务发展要求，提供扩展能力，同时根据需求方的实际工作需要，对软件功能进行优化升级。</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5.投标供应商必须向招标方提供软、硬件产品原厂商3年质保服务及三年软件、硬件升级维护服务。投标供应商在应答时应详细阐述免费技术支持的内容与范围。</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6.投标供应商必须向招标方提供7×24小时技术支持服务。帮助招标方诊断、解决平台故障，接到用户请求后，0.5小时内给出实质性响应，需要现场维护的，2小时内到达现场，并提供7×24小时的电话技术支持。</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7.投标供应商必须向招标方提供现场技术培训。主要对设备和软件的安装调试、运行状态检查、使用方法等内容进行培训。</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8.项目实施后，应至少提供下述技术文档：</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（1）项目采购的所有相关设备、软件的技术文档、技术说明书、使用说明书等。</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实施文档。至少包括：项目实施计划、项目实施的详细操作步骤、详细的实施方案、系统配置方案、操作步骤和命令、系统维护指南、参数配置文档、软件安装调试时所需的设计资料、系统规划文档等技术资料。</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（3）项目维修计划、具体联系人和保修流程等等维修资料。</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（4）验收文档。软件产品验收和最终验收报告。</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（5）项目实施过程中形成的其他资料。</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9.数据安全保障。本项目实施过程中，严格遵守《中华人民共和国网络安全法》《中华人民共和国数据安全法》《中华人民共和国个人信息保护法》等法律关于数据安全管理的规定，规范处理税务网络数据，严禁导出、抄写、拍摄税务相关数据，造成税务数据泄露的，将严肃追责问责，同时将中标单位列入税务系统失信人名单，三年内不得从事税务系统信息化项目。</w:t>
      </w:r>
    </w:p>
    <w:p>
      <w:pPr>
        <w:pStyle w:val="8"/>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pPr>
        <w:pStyle w:val="8"/>
        <w:jc w:val="left"/>
        <w:rPr>
          <w:rFonts w:hint="eastAsia" w:ascii="Times New Roman" w:hAnsi="Times New Roman" w:eastAsia="宋体" w:cs="Times New Roman"/>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color w:val="auto"/>
          <w:highlight w:val="none"/>
        </w:rPr>
      </w:pPr>
      <w:bookmarkStart w:id="121" w:name="_Toc17739"/>
      <w:r>
        <w:rPr>
          <w:rStyle w:val="32"/>
          <w:rFonts w:hint="eastAsia"/>
          <w:color w:val="auto"/>
          <w:highlight w:val="none"/>
        </w:rPr>
        <w:t>第四章 评标方法</w:t>
      </w:r>
      <w:bookmarkEnd w:id="111"/>
      <w:bookmarkEnd w:id="112"/>
      <w:bookmarkEnd w:id="121"/>
    </w:p>
    <w:p>
      <w:pPr>
        <w:adjustRightInd w:val="0"/>
        <w:snapToGrid w:val="0"/>
        <w:ind w:firstLine="422" w:firstLineChars="200"/>
        <w:rPr>
          <w:rFonts w:cs="宋体"/>
          <w:b/>
          <w:color w:val="auto"/>
          <w:kern w:val="0"/>
          <w:highlight w:val="none"/>
        </w:rPr>
      </w:pPr>
      <w:bookmarkStart w:id="122" w:name="_Toc22313_WPSOffice_Level2"/>
      <w:r>
        <w:rPr>
          <w:rFonts w:hint="eastAsia" w:cs="宋体"/>
          <w:b/>
          <w:color w:val="auto"/>
          <w:kern w:val="0"/>
          <w:highlight w:val="none"/>
        </w:rPr>
        <w:t>一、评标方法</w:t>
      </w:r>
      <w:bookmarkEnd w:id="122"/>
    </w:p>
    <w:p>
      <w:pPr>
        <w:adjustRightInd w:val="0"/>
        <w:snapToGrid w:val="0"/>
        <w:ind w:firstLine="420" w:firstLineChars="200"/>
        <w:textAlignment w:val="baseline"/>
        <w:rPr>
          <w:color w:val="auto"/>
          <w:highlight w:val="none"/>
        </w:rPr>
      </w:pPr>
      <w:bookmarkStart w:id="123" w:name="_Toc21368_WPSOffice_Level2"/>
      <w:r>
        <w:rPr>
          <w:rFonts w:hint="eastAsia"/>
          <w:color w:val="auto"/>
          <w:highlight w:val="none"/>
        </w:rPr>
        <w:t>本项目将按照招标文件第一章 供应商须知的相关要求及本章的规定评标。</w:t>
      </w:r>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二、评标原则及程序</w:t>
      </w:r>
      <w:bookmarkEnd w:id="123"/>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（一）评标原则</w:t>
      </w:r>
    </w:p>
    <w:p>
      <w:pPr>
        <w:adjustRightInd w:val="0"/>
        <w:snapToGrid w:val="0"/>
        <w:ind w:firstLine="420" w:firstLineChars="200"/>
        <w:textAlignment w:val="baseline"/>
        <w:rPr>
          <w:rFonts w:cs="宋体"/>
          <w:b/>
          <w:color w:val="auto"/>
          <w:kern w:val="0"/>
          <w:highlight w:val="none"/>
        </w:rPr>
      </w:pPr>
      <w:r>
        <w:rPr>
          <w:rFonts w:hint="eastAsia"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（二）评标程序</w:t>
      </w:r>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★1、资格审查</w:t>
      </w:r>
    </w:p>
    <w:p>
      <w:pPr>
        <w:adjustRightInd w:val="0"/>
        <w:snapToGrid w:val="0"/>
        <w:ind w:firstLine="420" w:firstLineChars="200"/>
        <w:textAlignment w:val="baseline"/>
        <w:rPr>
          <w:rFonts w:cs="宋体"/>
          <w:color w:val="auto"/>
          <w:kern w:val="0"/>
          <w:highlight w:val="none"/>
        </w:rPr>
      </w:pPr>
      <w:r>
        <w:rPr>
          <w:rFonts w:hint="eastAsia" w:cs="宋体"/>
          <w:color w:val="auto"/>
          <w:kern w:val="0"/>
          <w:highlight w:val="none"/>
        </w:rPr>
        <w:t>1.1详见供应商须知22条。资格评审表详见本章附件1。</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w:t>
      </w:r>
      <w:r>
        <w:rPr>
          <w:rFonts w:hint="eastAsia" w:cs="宋体"/>
          <w:b/>
          <w:bCs/>
          <w:color w:val="auto"/>
          <w:kern w:val="0"/>
          <w:highlight w:val="none"/>
        </w:rPr>
        <w:t>2、符合性审查</w:t>
      </w:r>
    </w:p>
    <w:p>
      <w:pPr>
        <w:adjustRightInd w:val="0"/>
        <w:snapToGrid w:val="0"/>
        <w:ind w:firstLine="420" w:firstLineChars="200"/>
        <w:rPr>
          <w:rFonts w:cs="宋体"/>
          <w:color w:val="auto"/>
          <w:kern w:val="0"/>
          <w:highlight w:val="none"/>
        </w:rPr>
      </w:pPr>
      <w:r>
        <w:rPr>
          <w:rFonts w:hint="eastAsia" w:cs="宋体"/>
          <w:color w:val="auto"/>
          <w:kern w:val="0"/>
          <w:highlight w:val="none"/>
        </w:rPr>
        <w:t>2.1详见供应商须知23条。符合性审查表详见本章附件2。</w:t>
      </w:r>
    </w:p>
    <w:p>
      <w:pPr>
        <w:adjustRightInd w:val="0"/>
        <w:snapToGrid w:val="0"/>
        <w:ind w:firstLine="422" w:firstLineChars="200"/>
        <w:rPr>
          <w:rFonts w:cs="宋体"/>
          <w:b/>
          <w:bCs/>
          <w:color w:val="auto"/>
          <w:kern w:val="0"/>
          <w:highlight w:val="none"/>
        </w:rPr>
      </w:pPr>
      <w:r>
        <w:rPr>
          <w:rFonts w:hint="eastAsia" w:cs="宋体"/>
          <w:b/>
          <w:bCs/>
          <w:color w:val="auto"/>
          <w:kern w:val="0"/>
          <w:highlight w:val="none"/>
        </w:rPr>
        <w:t>3、演示</w:t>
      </w:r>
    </w:p>
    <w:p>
      <w:pPr>
        <w:adjustRightInd w:val="0"/>
        <w:snapToGrid w:val="0"/>
        <w:ind w:firstLine="420" w:firstLineChars="200"/>
        <w:rPr>
          <w:rFonts w:cs="宋体"/>
          <w:color w:val="auto"/>
          <w:highlight w:val="none"/>
        </w:rPr>
      </w:pPr>
      <w:r>
        <w:rPr>
          <w:rFonts w:hint="eastAsia" w:cs="宋体"/>
          <w:color w:val="auto"/>
          <w:highlight w:val="none"/>
        </w:rPr>
        <w:t>3.1</w:t>
      </w:r>
      <w:r>
        <w:rPr>
          <w:rFonts w:hint="eastAsia" w:cs="宋体"/>
          <w:color w:val="auto"/>
          <w:kern w:val="0"/>
          <w:highlight w:val="none"/>
        </w:rPr>
        <w:t>供应商须知表11.3条</w:t>
      </w:r>
      <w:r>
        <w:rPr>
          <w:rFonts w:hint="eastAsia" w:cs="宋体"/>
          <w:color w:val="auto"/>
          <w:highlight w:val="none"/>
        </w:rPr>
        <w:t>中要求供应商提供演示的，按照</w:t>
      </w:r>
      <w:r>
        <w:rPr>
          <w:rFonts w:hint="eastAsia" w:cs="宋体"/>
          <w:color w:val="auto"/>
          <w:kern w:val="0"/>
          <w:highlight w:val="none"/>
        </w:rPr>
        <w:t>供应商须知表25.1条</w:t>
      </w:r>
      <w:r>
        <w:rPr>
          <w:rFonts w:hint="eastAsia" w:cs="宋体"/>
          <w:color w:val="auto"/>
          <w:highlight w:val="none"/>
        </w:rPr>
        <w:t>中确定的评审方法以及评审标准进行评审。</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★4</w:t>
      </w:r>
      <w:r>
        <w:rPr>
          <w:rFonts w:hint="eastAsia" w:cs="宋体"/>
          <w:b/>
          <w:bCs/>
          <w:color w:val="auto"/>
          <w:kern w:val="0"/>
          <w:highlight w:val="none"/>
        </w:rPr>
        <w:t>、比较及评价</w:t>
      </w:r>
    </w:p>
    <w:p>
      <w:pPr>
        <w:adjustRightInd w:val="0"/>
        <w:snapToGrid w:val="0"/>
        <w:ind w:firstLine="420" w:firstLineChars="200"/>
        <w:rPr>
          <w:rFonts w:cs="宋体"/>
          <w:color w:val="auto"/>
          <w:kern w:val="0"/>
          <w:highlight w:val="none"/>
        </w:rPr>
      </w:pPr>
      <w:r>
        <w:rPr>
          <w:rFonts w:hint="eastAsia" w:cs="宋体"/>
          <w:color w:val="auto"/>
          <w:kern w:val="0"/>
          <w:highlight w:val="none"/>
        </w:rPr>
        <w:t>4.1评标委员会对通过符合性审查的投标文件进行比较和评价。</w:t>
      </w:r>
    </w:p>
    <w:p>
      <w:pPr>
        <w:adjustRightInd w:val="0"/>
        <w:snapToGrid w:val="0"/>
        <w:ind w:firstLine="420" w:firstLineChars="200"/>
        <w:rPr>
          <w:rFonts w:cs="宋体"/>
          <w:color w:val="auto"/>
          <w:kern w:val="0"/>
          <w:highlight w:val="none"/>
        </w:rPr>
      </w:pPr>
      <w:r>
        <w:rPr>
          <w:rFonts w:hint="eastAsia" w:cs="宋体"/>
          <w:color w:val="auto"/>
          <w:kern w:val="0"/>
          <w:highlight w:val="none"/>
        </w:rPr>
        <w:t>4.2在评标期间，对投标文件的澄清按供应商须知24条内容执行。</w:t>
      </w:r>
    </w:p>
    <w:p>
      <w:pPr>
        <w:adjustRightInd w:val="0"/>
        <w:snapToGrid w:val="0"/>
        <w:ind w:firstLine="420" w:firstLineChars="200"/>
        <w:rPr>
          <w:rFonts w:cs="宋体"/>
          <w:color w:val="auto"/>
          <w:highlight w:val="none"/>
        </w:rPr>
      </w:pPr>
      <w:r>
        <w:rPr>
          <w:rFonts w:hint="eastAsia" w:cs="宋体"/>
          <w:color w:val="auto"/>
          <w:highlight w:val="none"/>
        </w:rPr>
        <w:t>4.3评标委员会认为供应商的报价明显低于其他通过符合性审查的供应商报价，有可能影响</w:t>
      </w:r>
      <w:r>
        <w:rPr>
          <w:rFonts w:cs="宋体"/>
          <w:color w:val="auto"/>
          <w:highlight w:val="none"/>
        </w:rPr>
        <w:t>服务</w:t>
      </w:r>
      <w:r>
        <w:rPr>
          <w:rFonts w:hint="eastAsia" w:cs="宋体"/>
          <w:color w:val="auto"/>
          <w:highlight w:val="none"/>
        </w:rPr>
        <w:t>质量或者不能诚信履约的，评标委员会应当要求其在评标现场合理的时间内提供书面说明，并提交相关证明材料，</w:t>
      </w:r>
      <w:r>
        <w:rPr>
          <w:rFonts w:hint="eastAsia" w:cs="宋体"/>
          <w:color w:val="auto"/>
          <w:kern w:val="0"/>
          <w:highlight w:val="none"/>
        </w:rPr>
        <w:t>供应商不能证明其报价合理性的，评标委员会应当将</w:t>
      </w:r>
      <w:r>
        <w:rPr>
          <w:rFonts w:hint="eastAsia" w:cs="宋体"/>
          <w:color w:val="auto"/>
          <w:highlight w:val="none"/>
        </w:rPr>
        <w:t>其投标作为</w:t>
      </w:r>
      <w:r>
        <w:rPr>
          <w:rFonts w:hint="eastAsia" w:cs="宋体"/>
          <w:b/>
          <w:bCs/>
          <w:color w:val="auto"/>
          <w:highlight w:val="none"/>
        </w:rPr>
        <w:t>无效投标处理</w:t>
      </w:r>
      <w:r>
        <w:rPr>
          <w:rFonts w:hint="eastAsia" w:cs="宋体"/>
          <w:color w:val="auto"/>
          <w:highlight w:val="none"/>
        </w:rPr>
        <w:t>。</w:t>
      </w:r>
    </w:p>
    <w:p>
      <w:pPr>
        <w:adjustRightInd w:val="0"/>
        <w:snapToGrid w:val="0"/>
        <w:ind w:firstLine="420" w:firstLineChars="200"/>
        <w:rPr>
          <w:rFonts w:cs="宋体"/>
          <w:color w:val="auto"/>
          <w:highlight w:val="none"/>
        </w:rPr>
      </w:pPr>
      <w:r>
        <w:rPr>
          <w:rFonts w:hint="eastAsia"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cs="宋体"/>
          <w:color w:val="auto"/>
          <w:highlight w:val="none"/>
        </w:rPr>
      </w:pPr>
      <w:r>
        <w:rPr>
          <w:rFonts w:hint="eastAsia"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cs="宋体"/>
          <w:color w:val="auto"/>
          <w:highlight w:val="none"/>
        </w:rPr>
      </w:pPr>
      <w:r>
        <w:rPr>
          <w:rFonts w:hint="eastAsia" w:cs="宋体"/>
          <w:color w:val="auto"/>
          <w:highlight w:val="none"/>
        </w:rPr>
        <w:t>供应商提供书面说明后，评标委员会应当结合采购项目</w:t>
      </w:r>
      <w:r>
        <w:rPr>
          <w:rFonts w:cs="宋体"/>
          <w:color w:val="auto"/>
          <w:highlight w:val="none"/>
        </w:rPr>
        <w:t>服务</w:t>
      </w:r>
      <w:r>
        <w:rPr>
          <w:rFonts w:hint="eastAsia" w:cs="宋体"/>
          <w:color w:val="auto"/>
          <w:highlight w:val="none"/>
        </w:rPr>
        <w:t>需求、专业实际情况、供应商财务状况报告、与其他供应商比较情况等就供应商的书面说明进行审查评价。供应商如有下列情况的，评标委员会应当将其投标文件作为无效处理：</w:t>
      </w:r>
    </w:p>
    <w:p>
      <w:pPr>
        <w:numPr>
          <w:ilvl w:val="0"/>
          <w:numId w:val="5"/>
        </w:numPr>
        <w:adjustRightInd w:val="0"/>
        <w:snapToGrid w:val="0"/>
        <w:ind w:firstLine="420" w:firstLineChars="200"/>
        <w:rPr>
          <w:rFonts w:cs="宋体"/>
          <w:color w:val="auto"/>
          <w:highlight w:val="none"/>
        </w:rPr>
      </w:pPr>
      <w:r>
        <w:rPr>
          <w:rFonts w:hint="eastAsia" w:cs="宋体"/>
          <w:color w:val="auto"/>
          <w:highlight w:val="none"/>
        </w:rPr>
        <w:t>拒绝或者变相拒绝提供有效书面说明；</w:t>
      </w:r>
    </w:p>
    <w:p>
      <w:pPr>
        <w:numPr>
          <w:ilvl w:val="0"/>
          <w:numId w:val="5"/>
        </w:numPr>
        <w:adjustRightInd w:val="0"/>
        <w:snapToGrid w:val="0"/>
        <w:ind w:firstLine="420" w:firstLineChars="200"/>
        <w:rPr>
          <w:rFonts w:cs="宋体"/>
          <w:color w:val="auto"/>
          <w:highlight w:val="none"/>
        </w:rPr>
      </w:pPr>
      <w:r>
        <w:rPr>
          <w:rFonts w:hint="eastAsia" w:cs="宋体"/>
          <w:color w:val="auto"/>
          <w:highlight w:val="none"/>
        </w:rPr>
        <w:t>书面说明不能证明其报价合理性的；</w:t>
      </w:r>
    </w:p>
    <w:p>
      <w:pPr>
        <w:numPr>
          <w:ilvl w:val="0"/>
          <w:numId w:val="5"/>
        </w:numPr>
        <w:adjustRightInd w:val="0"/>
        <w:snapToGrid w:val="0"/>
        <w:ind w:firstLine="420" w:firstLineChars="200"/>
        <w:rPr>
          <w:rFonts w:cs="宋体"/>
          <w:color w:val="auto"/>
          <w:highlight w:val="none"/>
        </w:rPr>
      </w:pPr>
      <w:r>
        <w:rPr>
          <w:rFonts w:hint="eastAsia" w:cs="宋体"/>
          <w:color w:val="auto"/>
          <w:highlight w:val="none"/>
        </w:rPr>
        <w:t>未在规定时间内递交有效书面说明书的。</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★5</w:t>
      </w:r>
      <w:r>
        <w:rPr>
          <w:rFonts w:hint="eastAsia" w:cs="宋体"/>
          <w:b/>
          <w:bCs/>
          <w:color w:val="auto"/>
          <w:kern w:val="0"/>
          <w:highlight w:val="none"/>
        </w:rPr>
        <w:t>、需落实的政府采购政策性规定：</w:t>
      </w:r>
    </w:p>
    <w:p>
      <w:pPr>
        <w:adjustRightInd w:val="0"/>
        <w:snapToGrid w:val="0"/>
        <w:ind w:firstLine="422" w:firstLineChars="200"/>
        <w:rPr>
          <w:rFonts w:cs="宋体"/>
          <w:b/>
          <w:color w:val="auto"/>
          <w:kern w:val="0"/>
          <w:highlight w:val="none"/>
        </w:rPr>
      </w:pPr>
      <w:r>
        <w:rPr>
          <w:rFonts w:hint="eastAsia" w:cs="宋体"/>
          <w:b/>
          <w:color w:val="auto"/>
          <w:kern w:val="0"/>
          <w:highlight w:val="none"/>
        </w:rPr>
        <w:t>5.1对于中小微企业（含监狱企业）的相关规定</w:t>
      </w:r>
    </w:p>
    <w:p>
      <w:pPr>
        <w:adjustRightInd w:val="0"/>
        <w:ind w:firstLine="420" w:firstLineChars="200"/>
        <w:jc w:val="left"/>
        <w:rPr>
          <w:rFonts w:cs="仿宋_GB2312"/>
          <w:b/>
          <w:color w:val="auto"/>
          <w:highlight w:val="none"/>
          <w:u w:val="single"/>
        </w:rPr>
      </w:pPr>
      <w:r>
        <w:rPr>
          <w:rFonts w:hint="eastAsia" w:cs="仿宋_GB2312"/>
          <w:color w:val="auto"/>
          <w:highlight w:val="none"/>
        </w:rPr>
        <w:t>对于非专门面向中小企业的项目，在满足价格扣除条件且在响应文件中按要求提交了《中小企业声明函》、《制造商企业（单位）类型声明函》</w:t>
      </w:r>
      <w:r>
        <w:rPr>
          <w:rFonts w:hint="eastAsia" w:cs="仿宋_GB2312"/>
          <w:color w:val="auto"/>
          <w:kern w:val="0"/>
          <w:highlight w:val="none"/>
        </w:rPr>
        <w:t>（</w:t>
      </w:r>
      <w:r>
        <w:rPr>
          <w:rFonts w:hint="eastAsia" w:cs="仿宋_GB2312"/>
          <w:color w:val="auto"/>
          <w:highlight w:val="none"/>
        </w:rPr>
        <w:t>响应</w:t>
      </w:r>
      <w:r>
        <w:rPr>
          <w:rFonts w:hint="eastAsia" w:cs="仿宋_GB2312"/>
          <w:color w:val="auto"/>
          <w:kern w:val="0"/>
          <w:highlight w:val="none"/>
        </w:rPr>
        <w:t>产品非供应商生产制造的须提供）</w:t>
      </w:r>
      <w:r>
        <w:rPr>
          <w:rFonts w:hint="eastAsia" w:cs="仿宋_GB2312"/>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cs="仿宋_GB2312"/>
          <w:color w:val="auto"/>
          <w:highlight w:val="none"/>
        </w:rPr>
      </w:pPr>
      <w:r>
        <w:rPr>
          <w:rFonts w:hint="eastAsia" w:cs="仿宋_GB2312"/>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cs="仿宋_GB2312"/>
          <w:color w:val="auto"/>
          <w:highlight w:val="none"/>
        </w:rPr>
      </w:pPr>
      <w:r>
        <w:rPr>
          <w:rFonts w:hint="eastAsia" w:cs="仿宋_GB2312"/>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cs="宋体"/>
          <w:b/>
          <w:color w:val="auto"/>
          <w:kern w:val="0"/>
          <w:highlight w:val="none"/>
        </w:rPr>
      </w:pPr>
      <w:r>
        <w:rPr>
          <w:rFonts w:hint="eastAsia" w:cs="宋体"/>
          <w:b/>
          <w:color w:val="auto"/>
          <w:kern w:val="0"/>
          <w:highlight w:val="none"/>
        </w:rPr>
        <w:t>5.2对于促进残疾人就业政府采购政策的相关规定</w:t>
      </w:r>
    </w:p>
    <w:p>
      <w:pPr>
        <w:adjustRightInd w:val="0"/>
        <w:snapToGrid w:val="0"/>
        <w:ind w:firstLine="420" w:firstLineChars="200"/>
        <w:jc w:val="left"/>
        <w:rPr>
          <w:rFonts w:cs="宋体"/>
          <w:color w:val="auto"/>
          <w:highlight w:val="none"/>
        </w:rPr>
      </w:pPr>
      <w:r>
        <w:rPr>
          <w:rFonts w:hint="eastAsia" w:cs="宋体"/>
          <w:color w:val="auto"/>
          <w:kern w:val="0"/>
          <w:highlight w:val="none"/>
        </w:rPr>
        <w:t>（1）</w:t>
      </w:r>
      <w:r>
        <w:rPr>
          <w:rFonts w:hint="eastAsia" w:cs="宋体"/>
          <w:color w:val="auto"/>
          <w:highlight w:val="none"/>
        </w:rPr>
        <w:t>残疾人福利性单位视同小型、微型企业，对残疾人福利性单位的产品价格给</w:t>
      </w:r>
      <w:r>
        <w:rPr>
          <w:rFonts w:hint="eastAsia" w:cs="宋体"/>
          <w:color w:val="auto"/>
          <w:kern w:val="0"/>
          <w:highlight w:val="none"/>
        </w:rPr>
        <w:t>予相同的价格扣除，用扣除后的价格参与评审。</w:t>
      </w:r>
    </w:p>
    <w:p>
      <w:pPr>
        <w:adjustRightInd w:val="0"/>
        <w:snapToGrid w:val="0"/>
        <w:ind w:firstLine="420" w:firstLineChars="200"/>
        <w:rPr>
          <w:rFonts w:cs="宋体"/>
          <w:color w:val="auto"/>
          <w:highlight w:val="none"/>
        </w:rPr>
      </w:pPr>
      <w:r>
        <w:rPr>
          <w:rFonts w:hint="eastAsia" w:cs="宋体"/>
          <w:color w:val="auto"/>
          <w:kern w:val="0"/>
          <w:highlight w:val="none"/>
        </w:rPr>
        <w:t>（2）投标文件中必须提供《残疾人福利性单位声明函》（详见第二章 投标文件内容及格式），否则不予享受该政策性优惠，并对声明的真实性负责</w:t>
      </w:r>
      <w:r>
        <w:rPr>
          <w:rFonts w:hint="eastAsia" w:cs="宋体"/>
          <w:color w:val="auto"/>
          <w:highlight w:val="none"/>
        </w:rPr>
        <w:t>，如《残疾人福利性单位声明函》与事实不符的，将依照《</w:t>
      </w:r>
      <w:r>
        <w:rPr>
          <w:rFonts w:hint="eastAsia"/>
          <w:color w:val="auto"/>
          <w:highlight w:val="none"/>
        </w:rPr>
        <w:t>中华人民共和国</w:t>
      </w:r>
      <w:r>
        <w:rPr>
          <w:rFonts w:hint="eastAsia" w:cs="宋体"/>
          <w:color w:val="auto"/>
          <w:highlight w:val="none"/>
        </w:rPr>
        <w:t>政府采购法》第七十七条第一款的规定追究法律责任。</w:t>
      </w:r>
    </w:p>
    <w:p>
      <w:pPr>
        <w:adjustRightInd w:val="0"/>
        <w:snapToGrid w:val="0"/>
        <w:ind w:firstLine="422" w:firstLineChars="200"/>
        <w:rPr>
          <w:rFonts w:cs="宋体"/>
          <w:b/>
          <w:color w:val="auto"/>
          <w:highlight w:val="none"/>
        </w:rPr>
      </w:pPr>
      <w:r>
        <w:rPr>
          <w:rFonts w:hint="eastAsia" w:cs="宋体"/>
          <w:b/>
          <w:color w:val="auto"/>
          <w:highlight w:val="none"/>
        </w:rPr>
        <w:t>（3）残疾人福利性单位属于小型、微型企业的，不重复享受政策。</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★6</w:t>
      </w:r>
      <w:r>
        <w:rPr>
          <w:rFonts w:hint="eastAsia" w:cs="宋体"/>
          <w:b/>
          <w:bCs/>
          <w:color w:val="auto"/>
          <w:kern w:val="0"/>
          <w:highlight w:val="none"/>
        </w:rPr>
        <w:t>、废标情况详见供应商须知28条。</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★7</w:t>
      </w:r>
      <w:r>
        <w:rPr>
          <w:rFonts w:hint="eastAsia" w:cs="宋体"/>
          <w:b/>
          <w:bCs/>
          <w:color w:val="auto"/>
          <w:kern w:val="0"/>
          <w:highlight w:val="none"/>
        </w:rPr>
        <w:t>、推荐中标候选人的原则</w:t>
      </w:r>
    </w:p>
    <w:p>
      <w:pPr>
        <w:adjustRightInd w:val="0"/>
        <w:snapToGrid w:val="0"/>
        <w:ind w:firstLine="420" w:firstLineChars="200"/>
        <w:rPr>
          <w:rFonts w:cs="宋体"/>
          <w:color w:val="auto"/>
          <w:kern w:val="0"/>
          <w:highlight w:val="none"/>
        </w:rPr>
      </w:pPr>
      <w:r>
        <w:rPr>
          <w:rFonts w:hint="eastAsia" w:cs="宋体"/>
          <w:color w:val="auto"/>
          <w:kern w:val="0"/>
          <w:highlight w:val="none"/>
        </w:rPr>
        <w:t>详见第一章供应商须知第29条，报价相同的处理办法如下：</w:t>
      </w:r>
    </w:p>
    <w:p>
      <w:pPr>
        <w:numPr>
          <w:ilvl w:val="0"/>
          <w:numId w:val="6"/>
        </w:numPr>
        <w:adjustRightInd w:val="0"/>
        <w:snapToGrid w:val="0"/>
        <w:ind w:firstLine="420" w:firstLineChars="200"/>
        <w:rPr>
          <w:rFonts w:cs="宋体"/>
          <w:color w:val="auto"/>
          <w:highlight w:val="none"/>
        </w:rPr>
      </w:pPr>
      <w:r>
        <w:rPr>
          <w:rFonts w:hint="eastAsia" w:cs="宋体"/>
          <w:color w:val="auto"/>
          <w:highlight w:val="none"/>
        </w:rPr>
        <w:t>采用最低评标价法的：</w:t>
      </w:r>
    </w:p>
    <w:p>
      <w:pPr>
        <w:adjustRightInd w:val="0"/>
        <w:snapToGrid w:val="0"/>
        <w:ind w:firstLine="420" w:firstLineChars="200"/>
        <w:rPr>
          <w:rFonts w:cs="宋体"/>
          <w:color w:val="auto"/>
          <w:highlight w:val="none"/>
        </w:rPr>
      </w:pPr>
      <w:r>
        <w:rPr>
          <w:rFonts w:hint="eastAsia" w:cs="宋体"/>
          <w:color w:val="auto"/>
          <w:highlight w:val="none"/>
        </w:rPr>
        <w:t>扣除后的投标报价相同时，按投标报价由低至高排序；</w:t>
      </w:r>
    </w:p>
    <w:p>
      <w:pPr>
        <w:adjustRightInd w:val="0"/>
        <w:snapToGrid w:val="0"/>
        <w:ind w:firstLine="420" w:firstLineChars="200"/>
        <w:rPr>
          <w:rFonts w:cs="宋体"/>
          <w:color w:val="auto"/>
          <w:highlight w:val="none"/>
        </w:rPr>
      </w:pPr>
      <w:r>
        <w:rPr>
          <w:rFonts w:hint="eastAsia" w:cs="宋体"/>
          <w:color w:val="auto"/>
          <w:highlight w:val="none"/>
        </w:rPr>
        <w:t>按前款不能区分的，优先采购节能产品、环境标志产品；</w:t>
      </w:r>
    </w:p>
    <w:p>
      <w:pPr>
        <w:adjustRightInd w:val="0"/>
        <w:snapToGrid w:val="0"/>
        <w:ind w:firstLine="420" w:firstLineChars="200"/>
        <w:rPr>
          <w:rFonts w:cs="宋体"/>
          <w:color w:val="auto"/>
          <w:highlight w:val="none"/>
        </w:rPr>
      </w:pPr>
      <w:r>
        <w:rPr>
          <w:rFonts w:hint="eastAsia" w:cs="宋体"/>
          <w:color w:val="auto"/>
          <w:highlight w:val="none"/>
        </w:rPr>
        <w:t>按前款不能区分的，按技术指标优劣排序；</w:t>
      </w:r>
    </w:p>
    <w:p>
      <w:pPr>
        <w:adjustRightInd w:val="0"/>
        <w:snapToGrid w:val="0"/>
        <w:ind w:firstLine="420" w:firstLineChars="200"/>
        <w:rPr>
          <w:rFonts w:cs="宋体"/>
          <w:color w:val="auto"/>
          <w:highlight w:val="none"/>
        </w:rPr>
      </w:pPr>
      <w:r>
        <w:rPr>
          <w:rFonts w:hint="eastAsia" w:cs="宋体"/>
          <w:color w:val="auto"/>
          <w:highlight w:val="none"/>
        </w:rPr>
        <w:t>其他情况，由评标委员会集体研究处理。</w:t>
      </w:r>
    </w:p>
    <w:p>
      <w:pPr>
        <w:numPr>
          <w:ilvl w:val="0"/>
          <w:numId w:val="6"/>
        </w:numPr>
        <w:adjustRightInd w:val="0"/>
        <w:snapToGrid w:val="0"/>
        <w:ind w:firstLine="420" w:firstLineChars="200"/>
        <w:rPr>
          <w:rFonts w:cs="宋体"/>
          <w:color w:val="auto"/>
          <w:highlight w:val="none"/>
        </w:rPr>
      </w:pPr>
      <w:r>
        <w:rPr>
          <w:rFonts w:hint="eastAsia" w:cs="宋体"/>
          <w:color w:val="auto"/>
          <w:highlight w:val="none"/>
        </w:rPr>
        <w:t>采用综合评分法的：</w:t>
      </w:r>
    </w:p>
    <w:p>
      <w:pPr>
        <w:adjustRightInd w:val="0"/>
        <w:snapToGrid w:val="0"/>
        <w:ind w:firstLine="420" w:firstLineChars="200"/>
        <w:rPr>
          <w:rFonts w:cs="宋体"/>
          <w:color w:val="auto"/>
          <w:highlight w:val="none"/>
        </w:rPr>
      </w:pPr>
      <w:r>
        <w:rPr>
          <w:rFonts w:hint="eastAsia" w:cs="宋体"/>
          <w:color w:val="auto"/>
          <w:highlight w:val="none"/>
        </w:rPr>
        <w:t>得分相同的，按扣除后的投标报价由低到高顺序排列；</w:t>
      </w:r>
    </w:p>
    <w:p>
      <w:pPr>
        <w:adjustRightInd w:val="0"/>
        <w:snapToGrid w:val="0"/>
        <w:ind w:firstLine="420" w:firstLineChars="200"/>
        <w:rPr>
          <w:rFonts w:cs="宋体"/>
          <w:color w:val="auto"/>
          <w:highlight w:val="none"/>
        </w:rPr>
      </w:pPr>
      <w:r>
        <w:rPr>
          <w:rFonts w:hint="eastAsia" w:cs="宋体"/>
          <w:color w:val="auto"/>
          <w:highlight w:val="none"/>
        </w:rPr>
        <w:t>按前款不能区分的，按投标报价由低至高顺序排序；</w:t>
      </w:r>
    </w:p>
    <w:p>
      <w:pPr>
        <w:adjustRightInd w:val="0"/>
        <w:snapToGrid w:val="0"/>
        <w:ind w:firstLine="420" w:firstLineChars="200"/>
        <w:rPr>
          <w:rFonts w:cs="宋体"/>
          <w:color w:val="auto"/>
          <w:highlight w:val="none"/>
        </w:rPr>
      </w:pPr>
      <w:r>
        <w:rPr>
          <w:rFonts w:hint="eastAsia" w:cs="宋体"/>
          <w:color w:val="auto"/>
          <w:highlight w:val="none"/>
        </w:rPr>
        <w:t>按前款不能区分的，按技术指标优劣排序；</w:t>
      </w:r>
    </w:p>
    <w:p>
      <w:pPr>
        <w:adjustRightInd w:val="0"/>
        <w:snapToGrid w:val="0"/>
        <w:ind w:firstLine="420" w:firstLineChars="200"/>
        <w:rPr>
          <w:rFonts w:cs="宋体"/>
          <w:color w:val="auto"/>
          <w:sz w:val="24"/>
          <w:highlight w:val="none"/>
        </w:rPr>
      </w:pPr>
      <w:r>
        <w:rPr>
          <w:rFonts w:hint="eastAsia" w:cs="宋体"/>
          <w:color w:val="auto"/>
          <w:highlight w:val="none"/>
        </w:rPr>
        <w:t>其他情况，由评标委员会集体研究处理。</w:t>
      </w:r>
    </w:p>
    <w:p>
      <w:pPr>
        <w:adjustRightInd w:val="0"/>
        <w:snapToGrid w:val="0"/>
        <w:ind w:firstLine="422" w:firstLineChars="200"/>
        <w:rPr>
          <w:rFonts w:cs="宋体"/>
          <w:b/>
          <w:color w:val="auto"/>
          <w:kern w:val="0"/>
          <w:highlight w:val="none"/>
        </w:rPr>
      </w:pPr>
      <w:bookmarkStart w:id="124" w:name="_Toc30297_WPSOffice_Level2"/>
      <w:r>
        <w:rPr>
          <w:rFonts w:hint="eastAsia" w:cs="宋体"/>
          <w:b/>
          <w:color w:val="auto"/>
          <w:highlight w:val="none"/>
        </w:rPr>
        <w:t>三、</w:t>
      </w:r>
      <w:r>
        <w:rPr>
          <w:rFonts w:hint="eastAsia" w:cs="宋体"/>
          <w:b/>
          <w:color w:val="auto"/>
          <w:kern w:val="0"/>
          <w:highlight w:val="none"/>
        </w:rPr>
        <w:t>确定中标人</w:t>
      </w:r>
      <w:bookmarkEnd w:id="124"/>
    </w:p>
    <w:p>
      <w:pPr>
        <w:adjustRightInd w:val="0"/>
        <w:snapToGrid w:val="0"/>
        <w:ind w:firstLine="420" w:firstLineChars="200"/>
        <w:rPr>
          <w:rFonts w:cs="宋体"/>
          <w:color w:val="auto"/>
          <w:highlight w:val="none"/>
        </w:rPr>
      </w:pPr>
      <w:r>
        <w:rPr>
          <w:rFonts w:hint="eastAsia"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cs="宋体"/>
          <w:color w:val="auto"/>
          <w:highlight w:val="none"/>
        </w:rPr>
      </w:pPr>
      <w:r>
        <w:rPr>
          <w:rFonts w:hint="eastAsia" w:cs="宋体"/>
          <w:color w:val="auto"/>
          <w:highlight w:val="none"/>
        </w:rPr>
        <w:t>采购人按照评标报告确定的中标候选人名单按顺序确定中标人，或由采购人委托评标委员会按照第一章供应商须知第31条规定的方式确定中标人。</w:t>
      </w:r>
    </w:p>
    <w:p>
      <w:pPr>
        <w:pStyle w:val="3"/>
        <w:adjustRightInd w:val="0"/>
        <w:snapToGrid w:val="0"/>
        <w:spacing w:before="0" w:after="0" w:line="240" w:lineRule="auto"/>
        <w:jc w:val="left"/>
        <w:rPr>
          <w:rFonts w:eastAsia="仿宋_GB2312" w:cs="仿宋_GB2312"/>
          <w:color w:val="auto"/>
          <w:szCs w:val="28"/>
          <w:highlight w:val="none"/>
        </w:rPr>
      </w:pPr>
      <w:r>
        <w:rPr>
          <w:color w:val="auto"/>
          <w:highlight w:val="none"/>
        </w:rPr>
        <w:br w:type="page"/>
      </w:r>
      <w:bookmarkStart w:id="125" w:name="_Toc32318_WPSOffice_Level2"/>
      <w:r>
        <w:rPr>
          <w:rStyle w:val="34"/>
          <w:rFonts w:hint="eastAsia"/>
          <w:color w:val="auto"/>
          <w:highlight w:val="none"/>
        </w:rPr>
        <w:t xml:space="preserve">附件1 </w:t>
      </w:r>
      <w:r>
        <w:rPr>
          <w:rFonts w:hint="eastAsia" w:eastAsia="仿宋_GB2312" w:cs="仿宋_GB2312"/>
          <w:color w:val="auto"/>
          <w:szCs w:val="28"/>
          <w:highlight w:val="none"/>
        </w:rPr>
        <w:t xml:space="preserve">              </w:t>
      </w:r>
    </w:p>
    <w:p>
      <w:pPr>
        <w:pStyle w:val="3"/>
        <w:spacing w:before="0" w:after="0"/>
        <w:rPr>
          <w:color w:val="auto"/>
          <w:highlight w:val="none"/>
        </w:rPr>
      </w:pPr>
      <w:r>
        <w:rPr>
          <w:rFonts w:hint="eastAsia"/>
          <w:color w:val="auto"/>
          <w:highlight w:val="none"/>
        </w:rPr>
        <w:t>资格</w:t>
      </w:r>
      <w:r>
        <w:rPr>
          <w:color w:val="auto"/>
          <w:highlight w:val="none"/>
        </w:rPr>
        <w:t>评审</w:t>
      </w:r>
      <w:r>
        <w:rPr>
          <w:rFonts w:hint="eastAsia"/>
          <w:color w:val="auto"/>
          <w:highlight w:val="none"/>
        </w:rPr>
        <w:t>表</w:t>
      </w:r>
      <w:bookmarkEnd w:id="125"/>
    </w:p>
    <w:tbl>
      <w:tblPr>
        <w:tblStyle w:val="2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94" w:type="pct"/>
            <w:vMerge w:val="restart"/>
            <w:vAlign w:val="center"/>
          </w:tcPr>
          <w:p>
            <w:pPr>
              <w:spacing w:line="300" w:lineRule="exact"/>
              <w:jc w:val="center"/>
              <w:rPr>
                <w:b/>
                <w:bCs/>
                <w:color w:val="auto"/>
                <w:highlight w:val="none"/>
              </w:rPr>
            </w:pPr>
            <w:r>
              <w:rPr>
                <w:rFonts w:hint="eastAsia"/>
                <w:b/>
                <w:bCs/>
                <w:color w:val="auto"/>
                <w:highlight w:val="none"/>
              </w:rPr>
              <w:t>序号</w:t>
            </w:r>
          </w:p>
        </w:tc>
        <w:tc>
          <w:tcPr>
            <w:tcW w:w="2142" w:type="pct"/>
            <w:vMerge w:val="restart"/>
            <w:vAlign w:val="center"/>
          </w:tcPr>
          <w:p>
            <w:pPr>
              <w:spacing w:line="300" w:lineRule="exact"/>
              <w:jc w:val="center"/>
              <w:rPr>
                <w:b/>
                <w:bCs/>
                <w:color w:val="auto"/>
                <w:highlight w:val="none"/>
              </w:rPr>
            </w:pPr>
            <w:r>
              <w:rPr>
                <w:rFonts w:hint="eastAsia"/>
                <w:b/>
                <w:bCs/>
                <w:color w:val="auto"/>
                <w:highlight w:val="none"/>
              </w:rPr>
              <w:t>评审因素</w:t>
            </w:r>
          </w:p>
        </w:tc>
        <w:tc>
          <w:tcPr>
            <w:tcW w:w="1152" w:type="pct"/>
            <w:vMerge w:val="restart"/>
            <w:vAlign w:val="center"/>
          </w:tcPr>
          <w:p>
            <w:pPr>
              <w:spacing w:line="300" w:lineRule="exact"/>
              <w:jc w:val="center"/>
              <w:rPr>
                <w:b/>
                <w:bCs/>
                <w:color w:val="auto"/>
                <w:highlight w:val="none"/>
              </w:rPr>
            </w:pPr>
            <w:r>
              <w:rPr>
                <w:rFonts w:hint="eastAsia"/>
                <w:b/>
                <w:bCs/>
                <w:color w:val="auto"/>
                <w:highlight w:val="none"/>
              </w:rPr>
              <w:t>评审标准</w:t>
            </w:r>
          </w:p>
        </w:tc>
        <w:tc>
          <w:tcPr>
            <w:tcW w:w="1410" w:type="pct"/>
            <w:gridSpan w:val="3"/>
            <w:vAlign w:val="center"/>
          </w:tcPr>
          <w:p>
            <w:pPr>
              <w:spacing w:line="300" w:lineRule="exact"/>
              <w:jc w:val="center"/>
              <w:rPr>
                <w:b/>
                <w:bCs/>
                <w:color w:val="auto"/>
                <w:highlight w:val="none"/>
              </w:rPr>
            </w:pPr>
            <w:r>
              <w:rPr>
                <w:rFonts w:hint="eastAsia"/>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94" w:type="pct"/>
            <w:vMerge w:val="continue"/>
            <w:vAlign w:val="center"/>
          </w:tcPr>
          <w:p>
            <w:pPr>
              <w:spacing w:line="300" w:lineRule="exact"/>
              <w:rPr>
                <w:color w:val="auto"/>
                <w:highlight w:val="none"/>
              </w:rPr>
            </w:pPr>
          </w:p>
        </w:tc>
        <w:tc>
          <w:tcPr>
            <w:tcW w:w="2142" w:type="pct"/>
            <w:vMerge w:val="continue"/>
            <w:vAlign w:val="center"/>
          </w:tcPr>
          <w:p>
            <w:pPr>
              <w:spacing w:line="300" w:lineRule="exact"/>
              <w:rPr>
                <w:color w:val="auto"/>
                <w:highlight w:val="none"/>
              </w:rPr>
            </w:pPr>
          </w:p>
        </w:tc>
        <w:tc>
          <w:tcPr>
            <w:tcW w:w="1152" w:type="pct"/>
            <w:vMerge w:val="continue"/>
            <w:vAlign w:val="center"/>
          </w:tcPr>
          <w:p>
            <w:pPr>
              <w:spacing w:line="300" w:lineRule="exact"/>
              <w:rPr>
                <w:color w:val="auto"/>
                <w:highlight w:val="none"/>
              </w:rPr>
            </w:pPr>
          </w:p>
        </w:tc>
        <w:tc>
          <w:tcPr>
            <w:tcW w:w="408" w:type="pct"/>
            <w:vAlign w:val="center"/>
          </w:tcPr>
          <w:p>
            <w:pPr>
              <w:spacing w:line="300" w:lineRule="exact"/>
              <w:rPr>
                <w:color w:val="auto"/>
                <w:highlight w:val="none"/>
              </w:rPr>
            </w:pPr>
          </w:p>
        </w:tc>
        <w:tc>
          <w:tcPr>
            <w:tcW w:w="520" w:type="pct"/>
            <w:vAlign w:val="center"/>
          </w:tcPr>
          <w:p>
            <w:pPr>
              <w:spacing w:line="300" w:lineRule="exact"/>
              <w:rPr>
                <w:color w:val="auto"/>
                <w:highlight w:val="none"/>
              </w:rPr>
            </w:pPr>
          </w:p>
        </w:tc>
        <w:tc>
          <w:tcPr>
            <w:tcW w:w="482" w:type="pct"/>
            <w:vAlign w:val="center"/>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1</w:t>
            </w:r>
          </w:p>
        </w:tc>
        <w:tc>
          <w:tcPr>
            <w:tcW w:w="2142" w:type="pct"/>
            <w:vAlign w:val="center"/>
          </w:tcPr>
          <w:p>
            <w:pPr>
              <w:spacing w:line="300" w:lineRule="exact"/>
              <w:rPr>
                <w:color w:val="auto"/>
                <w:highlight w:val="none"/>
              </w:rPr>
            </w:pPr>
            <w:r>
              <w:rPr>
                <w:rFonts w:hint="eastAsia"/>
                <w:color w:val="auto"/>
                <w:highlight w:val="none"/>
              </w:rPr>
              <w:t>营业执照或事业单位法人证书或执业许可证等证明文件或自然人的身份证明</w:t>
            </w:r>
          </w:p>
        </w:tc>
        <w:tc>
          <w:tcPr>
            <w:tcW w:w="1152" w:type="pct"/>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408" w:type="pct"/>
            <w:vAlign w:val="center"/>
          </w:tcPr>
          <w:p>
            <w:pPr>
              <w:spacing w:line="300" w:lineRule="exact"/>
              <w:rPr>
                <w:color w:val="auto"/>
                <w:highlight w:val="none"/>
              </w:rPr>
            </w:pPr>
          </w:p>
        </w:tc>
        <w:tc>
          <w:tcPr>
            <w:tcW w:w="520" w:type="pct"/>
            <w:vAlign w:val="center"/>
          </w:tcPr>
          <w:p>
            <w:pPr>
              <w:spacing w:line="300" w:lineRule="exact"/>
              <w:rPr>
                <w:color w:val="auto"/>
                <w:highlight w:val="none"/>
              </w:rPr>
            </w:pPr>
          </w:p>
        </w:tc>
        <w:tc>
          <w:tcPr>
            <w:tcW w:w="482" w:type="pct"/>
            <w:vAlign w:val="center"/>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94" w:type="pct"/>
            <w:vAlign w:val="center"/>
          </w:tcPr>
          <w:p>
            <w:pPr>
              <w:spacing w:line="300" w:lineRule="exact"/>
              <w:rPr>
                <w:color w:val="auto"/>
                <w:highlight w:val="none"/>
              </w:rPr>
            </w:pPr>
            <w:r>
              <w:rPr>
                <w:rFonts w:hint="eastAsia"/>
                <w:color w:val="auto"/>
                <w:highlight w:val="none"/>
              </w:rPr>
              <w:t>2</w:t>
            </w:r>
          </w:p>
        </w:tc>
        <w:tc>
          <w:tcPr>
            <w:tcW w:w="2142" w:type="pct"/>
            <w:vAlign w:val="center"/>
          </w:tcPr>
          <w:p>
            <w:pPr>
              <w:spacing w:line="300" w:lineRule="exact"/>
              <w:rPr>
                <w:color w:val="auto"/>
                <w:highlight w:val="none"/>
              </w:rPr>
            </w:pPr>
            <w:r>
              <w:rPr>
                <w:rFonts w:hint="eastAsia"/>
                <w:color w:val="auto"/>
                <w:highlight w:val="none"/>
              </w:rPr>
              <w:t>法定代表人（或非法人组织负责人）身份证明书</w:t>
            </w:r>
          </w:p>
        </w:tc>
        <w:tc>
          <w:tcPr>
            <w:tcW w:w="1152" w:type="pct"/>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3</w:t>
            </w:r>
          </w:p>
        </w:tc>
        <w:tc>
          <w:tcPr>
            <w:tcW w:w="2142" w:type="pct"/>
            <w:vAlign w:val="center"/>
          </w:tcPr>
          <w:p>
            <w:pPr>
              <w:spacing w:line="300" w:lineRule="exact"/>
              <w:rPr>
                <w:color w:val="auto"/>
                <w:highlight w:val="none"/>
              </w:rPr>
            </w:pPr>
            <w:r>
              <w:rPr>
                <w:rFonts w:hint="eastAsia"/>
                <w:color w:val="auto"/>
                <w:highlight w:val="none"/>
              </w:rPr>
              <w:t>法定代表人（或非法人组织负责人）授权委托书（授权委托人参加投标的须提供）</w:t>
            </w:r>
          </w:p>
        </w:tc>
        <w:tc>
          <w:tcPr>
            <w:tcW w:w="1152" w:type="pct"/>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4</w:t>
            </w:r>
          </w:p>
        </w:tc>
        <w:tc>
          <w:tcPr>
            <w:tcW w:w="2142" w:type="pct"/>
            <w:vAlign w:val="center"/>
          </w:tcPr>
          <w:p>
            <w:pPr>
              <w:spacing w:line="300" w:lineRule="exact"/>
              <w:rPr>
                <w:color w:val="auto"/>
                <w:highlight w:val="none"/>
              </w:rPr>
            </w:pPr>
            <w:r>
              <w:rPr>
                <w:rFonts w:hint="eastAsia"/>
                <w:color w:val="auto"/>
                <w:highlight w:val="none"/>
              </w:rPr>
              <w:t>具有良好的商业信誉和健全的财务会计制度的证明文件</w:t>
            </w:r>
          </w:p>
        </w:tc>
        <w:tc>
          <w:tcPr>
            <w:tcW w:w="1152" w:type="pct"/>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5</w:t>
            </w:r>
          </w:p>
        </w:tc>
        <w:tc>
          <w:tcPr>
            <w:tcW w:w="2142" w:type="pct"/>
            <w:vAlign w:val="center"/>
          </w:tcPr>
          <w:p>
            <w:pPr>
              <w:spacing w:line="300" w:lineRule="exact"/>
              <w:rPr>
                <w:color w:val="auto"/>
                <w:highlight w:val="none"/>
              </w:rPr>
            </w:pPr>
            <w:r>
              <w:rPr>
                <w:rFonts w:hint="eastAsia"/>
                <w:color w:val="auto"/>
                <w:highlight w:val="none"/>
              </w:rPr>
              <w:t>开标时间前一年内任一个月的依法缴纳税收的缴款凭据</w:t>
            </w:r>
          </w:p>
        </w:tc>
        <w:tc>
          <w:tcPr>
            <w:tcW w:w="1152" w:type="pct"/>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294" w:type="pct"/>
            <w:vAlign w:val="center"/>
          </w:tcPr>
          <w:p>
            <w:pPr>
              <w:spacing w:line="300" w:lineRule="exact"/>
              <w:rPr>
                <w:color w:val="auto"/>
                <w:highlight w:val="none"/>
              </w:rPr>
            </w:pPr>
            <w:r>
              <w:rPr>
                <w:rFonts w:hint="eastAsia"/>
                <w:color w:val="auto"/>
                <w:highlight w:val="none"/>
              </w:rPr>
              <w:t>6</w:t>
            </w:r>
          </w:p>
        </w:tc>
        <w:tc>
          <w:tcPr>
            <w:tcW w:w="2142" w:type="pct"/>
            <w:vAlign w:val="center"/>
          </w:tcPr>
          <w:p>
            <w:pPr>
              <w:spacing w:line="300" w:lineRule="exact"/>
              <w:rPr>
                <w:color w:val="auto"/>
                <w:highlight w:val="none"/>
              </w:rPr>
            </w:pPr>
            <w:r>
              <w:rPr>
                <w:rFonts w:hint="eastAsia"/>
                <w:color w:val="auto"/>
                <w:highlight w:val="none"/>
              </w:rPr>
              <w:t>开标时间前一年内任一个月的依法缴纳社会保障资金的缴款凭据</w:t>
            </w:r>
          </w:p>
        </w:tc>
        <w:tc>
          <w:tcPr>
            <w:tcW w:w="1152" w:type="pct"/>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7</w:t>
            </w:r>
          </w:p>
        </w:tc>
        <w:tc>
          <w:tcPr>
            <w:tcW w:w="2142" w:type="pct"/>
            <w:vAlign w:val="center"/>
          </w:tcPr>
          <w:p>
            <w:pPr>
              <w:spacing w:line="300" w:lineRule="exact"/>
              <w:rPr>
                <w:color w:val="auto"/>
                <w:highlight w:val="none"/>
              </w:rPr>
            </w:pPr>
            <w:r>
              <w:rPr>
                <w:rFonts w:hint="eastAsia"/>
                <w:color w:val="auto"/>
                <w:highlight w:val="none"/>
              </w:rPr>
              <w:t>具备履行合同所必需的设备和专业技术能力声明函</w:t>
            </w:r>
          </w:p>
        </w:tc>
        <w:tc>
          <w:tcPr>
            <w:tcW w:w="1152" w:type="pct"/>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8</w:t>
            </w:r>
          </w:p>
        </w:tc>
        <w:tc>
          <w:tcPr>
            <w:tcW w:w="2142" w:type="pct"/>
            <w:vAlign w:val="center"/>
          </w:tcPr>
          <w:p>
            <w:pPr>
              <w:spacing w:line="300" w:lineRule="exact"/>
              <w:rPr>
                <w:color w:val="auto"/>
                <w:highlight w:val="none"/>
              </w:rPr>
            </w:pPr>
            <w:r>
              <w:rPr>
                <w:rFonts w:hint="eastAsia"/>
                <w:color w:val="auto"/>
                <w:highlight w:val="none"/>
              </w:rPr>
              <w:t>参加政府采购活动前3年内在经营活动中没有重大违法记录的书面声明</w:t>
            </w:r>
          </w:p>
        </w:tc>
        <w:tc>
          <w:tcPr>
            <w:tcW w:w="1152" w:type="pct"/>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94" w:type="pct"/>
            <w:vAlign w:val="center"/>
          </w:tcPr>
          <w:p>
            <w:pPr>
              <w:spacing w:line="300" w:lineRule="exact"/>
              <w:rPr>
                <w:color w:val="auto"/>
                <w:highlight w:val="none"/>
              </w:rPr>
            </w:pPr>
            <w:r>
              <w:rPr>
                <w:rFonts w:hint="eastAsia"/>
                <w:color w:val="auto"/>
                <w:highlight w:val="none"/>
              </w:rPr>
              <w:t>9</w:t>
            </w:r>
          </w:p>
        </w:tc>
        <w:tc>
          <w:tcPr>
            <w:tcW w:w="2142" w:type="pct"/>
            <w:vAlign w:val="center"/>
          </w:tcPr>
          <w:p>
            <w:pPr>
              <w:spacing w:line="300" w:lineRule="exact"/>
              <w:rPr>
                <w:color w:val="auto"/>
                <w:highlight w:val="none"/>
              </w:rPr>
            </w:pPr>
            <w:r>
              <w:rPr>
                <w:rFonts w:hint="eastAsia"/>
                <w:color w:val="auto"/>
                <w:highlight w:val="none"/>
              </w:rPr>
              <w:t>其它资格证明文件（如适用，按供应商须知表1.3.4要求描述）</w:t>
            </w:r>
          </w:p>
        </w:tc>
        <w:tc>
          <w:tcPr>
            <w:tcW w:w="1152" w:type="pct"/>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10</w:t>
            </w:r>
          </w:p>
        </w:tc>
        <w:tc>
          <w:tcPr>
            <w:tcW w:w="2142" w:type="pct"/>
            <w:vAlign w:val="center"/>
          </w:tcPr>
          <w:p>
            <w:pPr>
              <w:spacing w:line="300" w:lineRule="exact"/>
              <w:rPr>
                <w:color w:val="auto"/>
                <w:highlight w:val="none"/>
              </w:rPr>
            </w:pPr>
            <w:r>
              <w:rPr>
                <w:rFonts w:hint="eastAsia"/>
                <w:color w:val="auto"/>
                <w:highlight w:val="none"/>
              </w:rPr>
              <w:t>信用记录（按照招标文件规定的审查期间内进行查询）</w:t>
            </w:r>
          </w:p>
        </w:tc>
        <w:tc>
          <w:tcPr>
            <w:tcW w:w="1152" w:type="pct"/>
          </w:tcPr>
          <w:p>
            <w:pPr>
              <w:spacing w:line="300" w:lineRule="exact"/>
              <w:rPr>
                <w:color w:val="auto"/>
                <w:highlight w:val="none"/>
              </w:rPr>
            </w:pPr>
            <w:r>
              <w:rPr>
                <w:rFonts w:hint="eastAsia"/>
                <w:color w:val="auto"/>
                <w:highlight w:val="none"/>
              </w:rPr>
              <w:t>无投标须知22.2.1所述的不良记录</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3589" w:type="pct"/>
            <w:gridSpan w:val="3"/>
            <w:vAlign w:val="center"/>
          </w:tcPr>
          <w:p>
            <w:pPr>
              <w:spacing w:line="300" w:lineRule="exact"/>
              <w:jc w:val="center"/>
              <w:rPr>
                <w:color w:val="auto"/>
                <w:highlight w:val="none"/>
              </w:rPr>
            </w:pPr>
            <w:r>
              <w:rPr>
                <w:rFonts w:hint="eastAsia"/>
                <w:color w:val="auto"/>
                <w:highlight w:val="none"/>
              </w:rPr>
              <w:t>结论</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bl>
    <w:p>
      <w:pPr>
        <w:rPr>
          <w:b/>
          <w:bCs/>
          <w:color w:val="auto"/>
          <w:highlight w:val="none"/>
        </w:rPr>
      </w:pPr>
      <w:r>
        <w:rPr>
          <w:rFonts w:hint="eastAsia"/>
          <w:b/>
          <w:bCs/>
          <w:color w:val="auto"/>
          <w:highlight w:val="none"/>
        </w:rPr>
        <w:t>填表说明：1、每项审查内容中填写“</w:t>
      </w:r>
      <w:r>
        <w:rPr>
          <w:b/>
          <w:bCs/>
          <w:color w:val="auto"/>
          <w:highlight w:val="none"/>
        </w:rPr>
        <w:t>√</w:t>
      </w:r>
      <w:r>
        <w:rPr>
          <w:rFonts w:hint="eastAsia"/>
          <w:b/>
          <w:bCs/>
          <w:color w:val="auto"/>
          <w:highlight w:val="none"/>
        </w:rPr>
        <w:t>”或“</w:t>
      </w:r>
      <w:r>
        <w:rPr>
          <w:b/>
          <w:bCs/>
          <w:color w:val="auto"/>
          <w:highlight w:val="none"/>
        </w:rPr>
        <w:t>×</w:t>
      </w:r>
      <w:r>
        <w:rPr>
          <w:rFonts w:hint="eastAsia"/>
          <w:b/>
          <w:bCs/>
          <w:color w:val="auto"/>
          <w:highlight w:val="none"/>
        </w:rPr>
        <w:t>”</w:t>
      </w:r>
    </w:p>
    <w:p>
      <w:pPr>
        <w:rPr>
          <w:b/>
          <w:bCs/>
          <w:color w:val="auto"/>
          <w:highlight w:val="none"/>
        </w:rPr>
      </w:pPr>
      <w:r>
        <w:rPr>
          <w:rFonts w:hint="eastAsia"/>
          <w:b/>
          <w:bCs/>
          <w:color w:val="auto"/>
          <w:highlight w:val="none"/>
        </w:rPr>
        <w:t xml:space="preserve">          2、结论填写“通过”或“不通过”</w:t>
      </w:r>
    </w:p>
    <w:p>
      <w:pPr>
        <w:keepNext/>
        <w:keepLines/>
        <w:adjustRightInd w:val="0"/>
        <w:snapToGrid w:val="0"/>
        <w:jc w:val="left"/>
        <w:rPr>
          <w:rFonts w:eastAsia="仿宋_GB2312" w:cs="仿宋_GB2312"/>
          <w:b/>
          <w:color w:val="auto"/>
          <w:highlight w:val="none"/>
        </w:rPr>
      </w:pPr>
    </w:p>
    <w:p>
      <w:pPr>
        <w:pStyle w:val="18"/>
        <w:widowControl w:val="0"/>
        <w:snapToGrid w:val="0"/>
        <w:spacing w:before="0" w:beforeAutospacing="0" w:after="0" w:afterAutospacing="0"/>
        <w:jc w:val="both"/>
        <w:rPr>
          <w:rFonts w:ascii="Times New Roman" w:eastAsia="仿宋_GB2312" w:cs="仿宋_GB2312"/>
          <w:color w:val="auto"/>
          <w:szCs w:val="28"/>
          <w:highlight w:val="none"/>
        </w:rPr>
      </w:pPr>
      <w:r>
        <w:rPr>
          <w:rFonts w:hint="eastAsia" w:ascii="Times New Roman" w:eastAsia="仿宋_GB2312" w:cs="仿宋_GB2312"/>
          <w:b/>
          <w:color w:val="auto"/>
          <w:sz w:val="21"/>
          <w:highlight w:val="none"/>
        </w:rPr>
        <w:br w:type="page"/>
      </w:r>
      <w:bookmarkStart w:id="126" w:name="_Toc11558_WPSOffice_Level2"/>
      <w:r>
        <w:rPr>
          <w:rStyle w:val="34"/>
          <w:rFonts w:hint="eastAsia" w:ascii="Times New Roman" w:cs="Times New Roman"/>
          <w:color w:val="auto"/>
          <w:highlight w:val="none"/>
        </w:rPr>
        <w:t>附件2</w:t>
      </w:r>
      <w:r>
        <w:rPr>
          <w:rFonts w:hint="eastAsia" w:ascii="Times New Roman" w:eastAsia="仿宋_GB2312" w:cs="仿宋_GB2312"/>
          <w:color w:val="auto"/>
          <w:szCs w:val="28"/>
          <w:highlight w:val="none"/>
        </w:rPr>
        <w:t xml:space="preserve">             </w:t>
      </w:r>
    </w:p>
    <w:p>
      <w:pPr>
        <w:pStyle w:val="18"/>
        <w:widowControl w:val="0"/>
        <w:snapToGrid w:val="0"/>
        <w:spacing w:before="0" w:beforeAutospacing="0" w:after="0" w:afterAutospacing="0"/>
        <w:jc w:val="center"/>
        <w:rPr>
          <w:rFonts w:ascii="Times New Roman" w:eastAsia="仿宋_GB2312" w:cs="仿宋_GB2312"/>
          <w:color w:val="auto"/>
          <w:highlight w:val="none"/>
        </w:rPr>
      </w:pPr>
      <w:r>
        <w:rPr>
          <w:rFonts w:hint="eastAsia" w:ascii="Times New Roman" w:eastAsia="仿宋_GB2312" w:cs="仿宋_GB2312"/>
          <w:color w:val="auto"/>
          <w:szCs w:val="28"/>
          <w:highlight w:val="none"/>
        </w:rPr>
        <w:t xml:space="preserve">    </w:t>
      </w:r>
      <w:r>
        <w:rPr>
          <w:rStyle w:val="33"/>
          <w:rFonts w:hint="eastAsia"/>
          <w:color w:val="auto"/>
          <w:highlight w:val="none"/>
        </w:rPr>
        <w:t xml:space="preserve"> 符合性审查表</w:t>
      </w:r>
      <w:bookmarkEnd w:id="126"/>
    </w:p>
    <w:tbl>
      <w:tblPr>
        <w:tblStyle w:val="2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373" w:type="pct"/>
            <w:vMerge w:val="restart"/>
            <w:vAlign w:val="center"/>
          </w:tcPr>
          <w:p>
            <w:pPr>
              <w:spacing w:line="300" w:lineRule="exact"/>
              <w:jc w:val="center"/>
              <w:rPr>
                <w:color w:val="auto"/>
                <w:highlight w:val="none"/>
              </w:rPr>
            </w:pPr>
            <w:r>
              <w:rPr>
                <w:rFonts w:hint="eastAsia"/>
                <w:color w:val="auto"/>
                <w:highlight w:val="none"/>
              </w:rPr>
              <w:t>序号</w:t>
            </w:r>
          </w:p>
        </w:tc>
        <w:tc>
          <w:tcPr>
            <w:tcW w:w="1326" w:type="pct"/>
            <w:vMerge w:val="restart"/>
            <w:vAlign w:val="center"/>
          </w:tcPr>
          <w:p>
            <w:pPr>
              <w:spacing w:line="300" w:lineRule="exact"/>
              <w:jc w:val="center"/>
              <w:rPr>
                <w:color w:val="auto"/>
                <w:highlight w:val="none"/>
              </w:rPr>
            </w:pPr>
            <w:r>
              <w:rPr>
                <w:rFonts w:hint="eastAsia"/>
                <w:color w:val="auto"/>
                <w:highlight w:val="none"/>
              </w:rPr>
              <w:t>评审因素</w:t>
            </w:r>
          </w:p>
        </w:tc>
        <w:tc>
          <w:tcPr>
            <w:tcW w:w="1617" w:type="pct"/>
            <w:vMerge w:val="restart"/>
            <w:vAlign w:val="center"/>
          </w:tcPr>
          <w:p>
            <w:pPr>
              <w:spacing w:line="300" w:lineRule="exact"/>
              <w:jc w:val="center"/>
              <w:rPr>
                <w:color w:val="auto"/>
                <w:highlight w:val="none"/>
              </w:rPr>
            </w:pPr>
            <w:r>
              <w:rPr>
                <w:rFonts w:hint="eastAsia"/>
                <w:color w:val="auto"/>
                <w:highlight w:val="none"/>
              </w:rPr>
              <w:t>评审标准</w:t>
            </w:r>
          </w:p>
        </w:tc>
        <w:tc>
          <w:tcPr>
            <w:tcW w:w="1682" w:type="pct"/>
            <w:gridSpan w:val="3"/>
            <w:vAlign w:val="center"/>
          </w:tcPr>
          <w:p>
            <w:pPr>
              <w:pStyle w:val="3"/>
              <w:adjustRightInd w:val="0"/>
              <w:snapToGrid w:val="0"/>
              <w:spacing w:before="0" w:after="0" w:line="300" w:lineRule="exact"/>
              <w:rPr>
                <w:rFonts w:eastAsia="宋体"/>
                <w:color w:val="auto"/>
                <w:sz w:val="21"/>
                <w:szCs w:val="21"/>
                <w:highlight w:val="none"/>
              </w:rPr>
            </w:pPr>
            <w:r>
              <w:rPr>
                <w:rFonts w:hint="eastAsia" w:eastAsia="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373" w:type="pct"/>
            <w:vMerge w:val="continue"/>
            <w:vAlign w:val="center"/>
          </w:tcPr>
          <w:p>
            <w:pPr>
              <w:spacing w:line="300" w:lineRule="exact"/>
              <w:jc w:val="center"/>
              <w:rPr>
                <w:color w:val="auto"/>
                <w:highlight w:val="none"/>
              </w:rPr>
            </w:pPr>
          </w:p>
        </w:tc>
        <w:tc>
          <w:tcPr>
            <w:tcW w:w="1326" w:type="pct"/>
            <w:vMerge w:val="continue"/>
            <w:vAlign w:val="center"/>
          </w:tcPr>
          <w:p>
            <w:pPr>
              <w:spacing w:line="300" w:lineRule="exact"/>
              <w:rPr>
                <w:color w:val="auto"/>
                <w:highlight w:val="none"/>
              </w:rPr>
            </w:pPr>
          </w:p>
        </w:tc>
        <w:tc>
          <w:tcPr>
            <w:tcW w:w="1617" w:type="pct"/>
            <w:vMerge w:val="continue"/>
            <w:vAlign w:val="center"/>
          </w:tcPr>
          <w:p>
            <w:pPr>
              <w:spacing w:line="300" w:lineRule="exact"/>
              <w:rPr>
                <w:color w:val="auto"/>
                <w:highlight w:val="none"/>
              </w:rPr>
            </w:pPr>
          </w:p>
        </w:tc>
        <w:tc>
          <w:tcPr>
            <w:tcW w:w="584" w:type="pct"/>
            <w:vAlign w:val="center"/>
          </w:tcPr>
          <w:p>
            <w:pPr>
              <w:pStyle w:val="3"/>
              <w:adjustRightInd w:val="0"/>
              <w:snapToGrid w:val="0"/>
              <w:spacing w:before="0" w:after="0" w:line="300" w:lineRule="exact"/>
              <w:rPr>
                <w:rFonts w:eastAsia="宋体"/>
                <w:color w:val="auto"/>
                <w:sz w:val="21"/>
                <w:szCs w:val="21"/>
                <w:highlight w:val="none"/>
              </w:rPr>
            </w:pPr>
          </w:p>
        </w:tc>
        <w:tc>
          <w:tcPr>
            <w:tcW w:w="569" w:type="pct"/>
            <w:vAlign w:val="center"/>
          </w:tcPr>
          <w:p>
            <w:pPr>
              <w:pStyle w:val="3"/>
              <w:adjustRightInd w:val="0"/>
              <w:snapToGrid w:val="0"/>
              <w:spacing w:before="0" w:after="0" w:line="300" w:lineRule="exact"/>
              <w:rPr>
                <w:rFonts w:eastAsia="宋体"/>
                <w:color w:val="auto"/>
                <w:sz w:val="21"/>
                <w:szCs w:val="21"/>
                <w:highlight w:val="none"/>
              </w:rPr>
            </w:pPr>
          </w:p>
        </w:tc>
        <w:tc>
          <w:tcPr>
            <w:tcW w:w="529" w:type="pct"/>
            <w:vAlign w:val="center"/>
          </w:tcPr>
          <w:p>
            <w:pPr>
              <w:pStyle w:val="3"/>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color w:val="auto"/>
                <w:highlight w:val="none"/>
              </w:rPr>
            </w:pPr>
            <w:r>
              <w:rPr>
                <w:rFonts w:hint="eastAsia"/>
                <w:color w:val="auto"/>
                <w:highlight w:val="none"/>
              </w:rPr>
              <w:t>1</w:t>
            </w:r>
          </w:p>
        </w:tc>
        <w:tc>
          <w:tcPr>
            <w:tcW w:w="1326" w:type="pct"/>
            <w:vAlign w:val="center"/>
          </w:tcPr>
          <w:p>
            <w:pPr>
              <w:spacing w:line="300" w:lineRule="exact"/>
              <w:rPr>
                <w:color w:val="auto"/>
                <w:highlight w:val="none"/>
              </w:rPr>
            </w:pPr>
            <w:r>
              <w:rPr>
                <w:rFonts w:hint="eastAsia"/>
                <w:color w:val="auto"/>
                <w:highlight w:val="none"/>
              </w:rPr>
              <w:t>投标函</w:t>
            </w:r>
          </w:p>
        </w:tc>
        <w:tc>
          <w:tcPr>
            <w:tcW w:w="1617" w:type="pct"/>
          </w:tcPr>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spacing w:line="300" w:lineRule="exact"/>
              <w:jc w:val="left"/>
              <w:rPr>
                <w:b/>
                <w:color w:val="auto"/>
                <w:highlight w:val="none"/>
              </w:rPr>
            </w:pPr>
            <w:r>
              <w:rPr>
                <w:rFonts w:hint="eastAsia"/>
                <w:b/>
                <w:color w:val="auto"/>
                <w:highlight w:val="none"/>
              </w:rPr>
              <w:t>2、响应招标文件实质性要求</w:t>
            </w:r>
          </w:p>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584" w:type="pct"/>
            <w:vAlign w:val="center"/>
          </w:tcPr>
          <w:p>
            <w:pPr>
              <w:pStyle w:val="3"/>
              <w:adjustRightInd w:val="0"/>
              <w:snapToGrid w:val="0"/>
              <w:spacing w:before="0" w:after="0" w:line="300" w:lineRule="exact"/>
              <w:rPr>
                <w:rFonts w:eastAsia="宋体"/>
                <w:color w:val="auto"/>
                <w:sz w:val="21"/>
                <w:szCs w:val="21"/>
                <w:highlight w:val="none"/>
              </w:rPr>
            </w:pPr>
          </w:p>
        </w:tc>
        <w:tc>
          <w:tcPr>
            <w:tcW w:w="569" w:type="pct"/>
            <w:vAlign w:val="center"/>
          </w:tcPr>
          <w:p>
            <w:pPr>
              <w:pStyle w:val="3"/>
              <w:adjustRightInd w:val="0"/>
              <w:snapToGrid w:val="0"/>
              <w:spacing w:before="0" w:after="0" w:line="300" w:lineRule="exact"/>
              <w:rPr>
                <w:rFonts w:eastAsia="宋体"/>
                <w:color w:val="auto"/>
                <w:sz w:val="21"/>
                <w:szCs w:val="21"/>
                <w:highlight w:val="none"/>
              </w:rPr>
            </w:pPr>
          </w:p>
        </w:tc>
        <w:tc>
          <w:tcPr>
            <w:tcW w:w="529" w:type="pct"/>
            <w:vAlign w:val="center"/>
          </w:tcPr>
          <w:p>
            <w:pPr>
              <w:pStyle w:val="3"/>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373" w:type="pct"/>
            <w:vAlign w:val="center"/>
          </w:tcPr>
          <w:p>
            <w:pPr>
              <w:spacing w:line="300" w:lineRule="exact"/>
              <w:jc w:val="center"/>
              <w:rPr>
                <w:color w:val="auto"/>
                <w:highlight w:val="none"/>
              </w:rPr>
            </w:pPr>
            <w:r>
              <w:rPr>
                <w:rFonts w:hint="eastAsia"/>
                <w:color w:val="auto"/>
                <w:highlight w:val="none"/>
              </w:rPr>
              <w:t>2</w:t>
            </w:r>
          </w:p>
        </w:tc>
        <w:tc>
          <w:tcPr>
            <w:tcW w:w="1326" w:type="pct"/>
            <w:vAlign w:val="center"/>
          </w:tcPr>
          <w:p>
            <w:pPr>
              <w:spacing w:line="300" w:lineRule="exact"/>
              <w:rPr>
                <w:color w:val="auto"/>
                <w:highlight w:val="none"/>
              </w:rPr>
            </w:pPr>
            <w:r>
              <w:rPr>
                <w:rFonts w:hint="eastAsia"/>
                <w:color w:val="auto"/>
                <w:highlight w:val="none"/>
              </w:rPr>
              <w:t>递交投标保证金证明</w:t>
            </w:r>
          </w:p>
        </w:tc>
        <w:tc>
          <w:tcPr>
            <w:tcW w:w="1617" w:type="pct"/>
          </w:tcPr>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1、按要求提供</w:t>
            </w:r>
          </w:p>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2、合法有效</w:t>
            </w:r>
          </w:p>
        </w:tc>
        <w:tc>
          <w:tcPr>
            <w:tcW w:w="584" w:type="pct"/>
          </w:tcPr>
          <w:p>
            <w:pPr>
              <w:pStyle w:val="3"/>
              <w:adjustRightInd w:val="0"/>
              <w:snapToGrid w:val="0"/>
              <w:spacing w:before="0" w:after="0" w:line="300" w:lineRule="exact"/>
              <w:rPr>
                <w:rFonts w:eastAsia="宋体"/>
                <w:color w:val="auto"/>
                <w:sz w:val="21"/>
                <w:szCs w:val="21"/>
                <w:highlight w:val="none"/>
              </w:rPr>
            </w:pPr>
          </w:p>
        </w:tc>
        <w:tc>
          <w:tcPr>
            <w:tcW w:w="569" w:type="pct"/>
          </w:tcPr>
          <w:p>
            <w:pPr>
              <w:pStyle w:val="3"/>
              <w:adjustRightInd w:val="0"/>
              <w:snapToGrid w:val="0"/>
              <w:spacing w:before="0" w:after="0" w:line="300" w:lineRule="exact"/>
              <w:rPr>
                <w:rFonts w:eastAsia="宋体"/>
                <w:color w:val="auto"/>
                <w:sz w:val="21"/>
                <w:szCs w:val="21"/>
                <w:highlight w:val="none"/>
              </w:rPr>
            </w:pPr>
          </w:p>
        </w:tc>
        <w:tc>
          <w:tcPr>
            <w:tcW w:w="529" w:type="pct"/>
          </w:tcPr>
          <w:p>
            <w:pPr>
              <w:pStyle w:val="3"/>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color w:val="auto"/>
                <w:highlight w:val="none"/>
              </w:rPr>
            </w:pPr>
            <w:r>
              <w:rPr>
                <w:rFonts w:hint="eastAsia"/>
                <w:color w:val="auto"/>
                <w:highlight w:val="none"/>
              </w:rPr>
              <w:t>3</w:t>
            </w:r>
          </w:p>
        </w:tc>
        <w:tc>
          <w:tcPr>
            <w:tcW w:w="1326" w:type="pct"/>
            <w:vAlign w:val="center"/>
          </w:tcPr>
          <w:p>
            <w:pPr>
              <w:spacing w:line="300" w:lineRule="exact"/>
              <w:rPr>
                <w:color w:val="auto"/>
                <w:highlight w:val="none"/>
              </w:rPr>
            </w:pPr>
            <w:r>
              <w:rPr>
                <w:rFonts w:hint="eastAsia"/>
                <w:color w:val="auto"/>
                <w:highlight w:val="none"/>
              </w:rPr>
              <w:t>开标一览表</w:t>
            </w:r>
          </w:p>
        </w:tc>
        <w:tc>
          <w:tcPr>
            <w:tcW w:w="1617" w:type="pct"/>
          </w:tcPr>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spacing w:line="300" w:lineRule="exact"/>
              <w:jc w:val="left"/>
              <w:rPr>
                <w:b/>
                <w:color w:val="auto"/>
                <w:highlight w:val="none"/>
              </w:rPr>
            </w:pPr>
            <w:r>
              <w:rPr>
                <w:rFonts w:hint="eastAsia"/>
                <w:b/>
                <w:color w:val="auto"/>
                <w:highlight w:val="none"/>
              </w:rPr>
              <w:t>2、响应招标文件实质性要求</w:t>
            </w:r>
          </w:p>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584" w:type="pct"/>
          </w:tcPr>
          <w:p>
            <w:pPr>
              <w:pStyle w:val="3"/>
              <w:adjustRightInd w:val="0"/>
              <w:snapToGrid w:val="0"/>
              <w:spacing w:before="0" w:after="0" w:line="300" w:lineRule="exact"/>
              <w:rPr>
                <w:rFonts w:eastAsia="宋体"/>
                <w:color w:val="auto"/>
                <w:sz w:val="21"/>
                <w:szCs w:val="21"/>
                <w:highlight w:val="none"/>
              </w:rPr>
            </w:pPr>
          </w:p>
        </w:tc>
        <w:tc>
          <w:tcPr>
            <w:tcW w:w="569" w:type="pct"/>
          </w:tcPr>
          <w:p>
            <w:pPr>
              <w:pStyle w:val="3"/>
              <w:adjustRightInd w:val="0"/>
              <w:snapToGrid w:val="0"/>
              <w:spacing w:before="0" w:after="0" w:line="300" w:lineRule="exact"/>
              <w:rPr>
                <w:rFonts w:eastAsia="宋体"/>
                <w:color w:val="auto"/>
                <w:sz w:val="21"/>
                <w:szCs w:val="21"/>
                <w:highlight w:val="none"/>
              </w:rPr>
            </w:pPr>
          </w:p>
        </w:tc>
        <w:tc>
          <w:tcPr>
            <w:tcW w:w="529" w:type="pct"/>
          </w:tcPr>
          <w:p>
            <w:pPr>
              <w:pStyle w:val="3"/>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color w:val="auto"/>
                <w:highlight w:val="none"/>
              </w:rPr>
            </w:pPr>
            <w:r>
              <w:rPr>
                <w:rFonts w:hint="eastAsia"/>
                <w:color w:val="auto"/>
                <w:highlight w:val="none"/>
              </w:rPr>
              <w:t>4</w:t>
            </w:r>
          </w:p>
        </w:tc>
        <w:tc>
          <w:tcPr>
            <w:tcW w:w="1326" w:type="pct"/>
            <w:vAlign w:val="center"/>
          </w:tcPr>
          <w:p>
            <w:pPr>
              <w:spacing w:line="300" w:lineRule="exact"/>
              <w:rPr>
                <w:color w:val="auto"/>
                <w:highlight w:val="none"/>
              </w:rPr>
            </w:pPr>
            <w:r>
              <w:rPr>
                <w:rFonts w:hint="eastAsia"/>
                <w:color w:val="auto"/>
                <w:highlight w:val="none"/>
              </w:rPr>
              <w:t>服务价格明细报价表</w:t>
            </w:r>
          </w:p>
        </w:tc>
        <w:tc>
          <w:tcPr>
            <w:tcW w:w="1617" w:type="pct"/>
          </w:tcPr>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spacing w:line="300" w:lineRule="exact"/>
              <w:jc w:val="left"/>
              <w:rPr>
                <w:b/>
                <w:color w:val="auto"/>
                <w:highlight w:val="none"/>
              </w:rPr>
            </w:pPr>
            <w:r>
              <w:rPr>
                <w:rFonts w:hint="eastAsia"/>
                <w:b/>
                <w:color w:val="auto"/>
                <w:highlight w:val="none"/>
              </w:rPr>
              <w:t>2、响应招标文件实质性要求</w:t>
            </w:r>
          </w:p>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584" w:type="pct"/>
          </w:tcPr>
          <w:p>
            <w:pPr>
              <w:pStyle w:val="3"/>
              <w:adjustRightInd w:val="0"/>
              <w:snapToGrid w:val="0"/>
              <w:spacing w:before="0" w:after="0" w:line="300" w:lineRule="exact"/>
              <w:rPr>
                <w:rFonts w:eastAsia="宋体"/>
                <w:color w:val="auto"/>
                <w:sz w:val="21"/>
                <w:szCs w:val="21"/>
                <w:highlight w:val="none"/>
              </w:rPr>
            </w:pPr>
          </w:p>
        </w:tc>
        <w:tc>
          <w:tcPr>
            <w:tcW w:w="569" w:type="pct"/>
          </w:tcPr>
          <w:p>
            <w:pPr>
              <w:pStyle w:val="3"/>
              <w:adjustRightInd w:val="0"/>
              <w:snapToGrid w:val="0"/>
              <w:spacing w:before="0" w:after="0" w:line="300" w:lineRule="exact"/>
              <w:rPr>
                <w:rFonts w:eastAsia="宋体"/>
                <w:color w:val="auto"/>
                <w:sz w:val="21"/>
                <w:szCs w:val="21"/>
                <w:highlight w:val="none"/>
              </w:rPr>
            </w:pPr>
          </w:p>
        </w:tc>
        <w:tc>
          <w:tcPr>
            <w:tcW w:w="529" w:type="pct"/>
          </w:tcPr>
          <w:p>
            <w:pPr>
              <w:pStyle w:val="3"/>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pPr>
              <w:spacing w:line="300" w:lineRule="exact"/>
              <w:jc w:val="center"/>
              <w:rPr>
                <w:color w:val="auto"/>
                <w:highlight w:val="none"/>
              </w:rPr>
            </w:pPr>
            <w:r>
              <w:rPr>
                <w:rFonts w:hint="eastAsia"/>
                <w:color w:val="auto"/>
                <w:highlight w:val="none"/>
              </w:rPr>
              <w:t>5</w:t>
            </w:r>
          </w:p>
        </w:tc>
        <w:tc>
          <w:tcPr>
            <w:tcW w:w="1326" w:type="pct"/>
            <w:vAlign w:val="center"/>
          </w:tcPr>
          <w:p>
            <w:pPr>
              <w:spacing w:line="300" w:lineRule="exact"/>
              <w:rPr>
                <w:color w:val="auto"/>
                <w:highlight w:val="none"/>
              </w:rPr>
            </w:pPr>
            <w:r>
              <w:rPr>
                <w:rFonts w:hint="eastAsia"/>
                <w:color w:val="auto"/>
                <w:highlight w:val="none"/>
              </w:rPr>
              <w:t>服务需求响应表</w:t>
            </w:r>
          </w:p>
        </w:tc>
        <w:tc>
          <w:tcPr>
            <w:tcW w:w="1617" w:type="pct"/>
          </w:tcPr>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1、按给定格式及填表要求填写</w:t>
            </w:r>
          </w:p>
          <w:p>
            <w:pPr>
              <w:spacing w:line="300" w:lineRule="exact"/>
              <w:jc w:val="left"/>
              <w:rPr>
                <w:b/>
                <w:color w:val="auto"/>
                <w:highlight w:val="none"/>
              </w:rPr>
            </w:pPr>
            <w:r>
              <w:rPr>
                <w:rFonts w:hint="eastAsia"/>
                <w:b/>
                <w:color w:val="auto"/>
                <w:highlight w:val="none"/>
              </w:rPr>
              <w:t>2、响应招标文件实质性要求</w:t>
            </w:r>
          </w:p>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584" w:type="pct"/>
          </w:tcPr>
          <w:p>
            <w:pPr>
              <w:pStyle w:val="3"/>
              <w:adjustRightInd w:val="0"/>
              <w:snapToGrid w:val="0"/>
              <w:spacing w:before="0" w:after="0" w:line="300" w:lineRule="exact"/>
              <w:rPr>
                <w:rFonts w:eastAsia="宋体"/>
                <w:color w:val="auto"/>
                <w:sz w:val="21"/>
                <w:szCs w:val="21"/>
                <w:highlight w:val="none"/>
              </w:rPr>
            </w:pPr>
          </w:p>
        </w:tc>
        <w:tc>
          <w:tcPr>
            <w:tcW w:w="569" w:type="pct"/>
          </w:tcPr>
          <w:p>
            <w:pPr>
              <w:pStyle w:val="3"/>
              <w:adjustRightInd w:val="0"/>
              <w:snapToGrid w:val="0"/>
              <w:spacing w:before="0" w:after="0" w:line="300" w:lineRule="exact"/>
              <w:rPr>
                <w:rFonts w:eastAsia="宋体"/>
                <w:color w:val="auto"/>
                <w:sz w:val="21"/>
                <w:szCs w:val="21"/>
                <w:highlight w:val="none"/>
              </w:rPr>
            </w:pPr>
          </w:p>
        </w:tc>
        <w:tc>
          <w:tcPr>
            <w:tcW w:w="529" w:type="pct"/>
          </w:tcPr>
          <w:p>
            <w:pPr>
              <w:pStyle w:val="3"/>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pPr>
              <w:spacing w:line="300" w:lineRule="exact"/>
              <w:jc w:val="center"/>
              <w:rPr>
                <w:color w:val="auto"/>
                <w:highlight w:val="none"/>
              </w:rPr>
            </w:pPr>
            <w:r>
              <w:rPr>
                <w:rFonts w:hint="eastAsia"/>
                <w:color w:val="auto"/>
                <w:highlight w:val="none"/>
              </w:rPr>
              <w:t>6</w:t>
            </w:r>
          </w:p>
        </w:tc>
        <w:tc>
          <w:tcPr>
            <w:tcW w:w="1326" w:type="pct"/>
            <w:vAlign w:val="center"/>
          </w:tcPr>
          <w:p>
            <w:pPr>
              <w:spacing w:line="300" w:lineRule="exact"/>
              <w:rPr>
                <w:color w:val="auto"/>
                <w:highlight w:val="none"/>
              </w:rPr>
            </w:pPr>
            <w:r>
              <w:rPr>
                <w:rFonts w:hint="eastAsia"/>
                <w:color w:val="auto"/>
                <w:highlight w:val="none"/>
              </w:rPr>
              <w:t>商务条款偏离表</w:t>
            </w:r>
          </w:p>
        </w:tc>
        <w:tc>
          <w:tcPr>
            <w:tcW w:w="1617" w:type="pct"/>
          </w:tcPr>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1、按给定格式及填表要求填写</w:t>
            </w:r>
          </w:p>
          <w:p>
            <w:pPr>
              <w:spacing w:line="300" w:lineRule="exact"/>
              <w:jc w:val="left"/>
              <w:rPr>
                <w:b/>
                <w:color w:val="auto"/>
                <w:highlight w:val="none"/>
              </w:rPr>
            </w:pPr>
            <w:r>
              <w:rPr>
                <w:rFonts w:hint="eastAsia"/>
                <w:b/>
                <w:color w:val="auto"/>
                <w:highlight w:val="none"/>
              </w:rPr>
              <w:t>2、响应招标文件实质性要求</w:t>
            </w:r>
          </w:p>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584" w:type="pct"/>
          </w:tcPr>
          <w:p>
            <w:pPr>
              <w:pStyle w:val="3"/>
              <w:adjustRightInd w:val="0"/>
              <w:snapToGrid w:val="0"/>
              <w:spacing w:before="0" w:after="0" w:line="300" w:lineRule="exact"/>
              <w:rPr>
                <w:rFonts w:eastAsia="宋体"/>
                <w:color w:val="auto"/>
                <w:sz w:val="21"/>
                <w:szCs w:val="21"/>
                <w:highlight w:val="none"/>
              </w:rPr>
            </w:pPr>
          </w:p>
        </w:tc>
        <w:tc>
          <w:tcPr>
            <w:tcW w:w="569" w:type="pct"/>
          </w:tcPr>
          <w:p>
            <w:pPr>
              <w:pStyle w:val="3"/>
              <w:adjustRightInd w:val="0"/>
              <w:snapToGrid w:val="0"/>
              <w:spacing w:before="0" w:after="0" w:line="300" w:lineRule="exact"/>
              <w:rPr>
                <w:rFonts w:eastAsia="宋体"/>
                <w:color w:val="auto"/>
                <w:sz w:val="21"/>
                <w:szCs w:val="21"/>
                <w:highlight w:val="none"/>
              </w:rPr>
            </w:pPr>
          </w:p>
        </w:tc>
        <w:tc>
          <w:tcPr>
            <w:tcW w:w="529" w:type="pct"/>
          </w:tcPr>
          <w:p>
            <w:pPr>
              <w:pStyle w:val="3"/>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pPr>
              <w:spacing w:line="300" w:lineRule="exact"/>
              <w:jc w:val="center"/>
              <w:rPr>
                <w:color w:val="auto"/>
                <w:highlight w:val="none"/>
              </w:rPr>
            </w:pPr>
            <w:r>
              <w:rPr>
                <w:rFonts w:hint="eastAsia"/>
                <w:color w:val="auto"/>
                <w:highlight w:val="none"/>
              </w:rPr>
              <w:t>7</w:t>
            </w:r>
          </w:p>
        </w:tc>
        <w:tc>
          <w:tcPr>
            <w:tcW w:w="1326" w:type="pct"/>
            <w:vAlign w:val="center"/>
          </w:tcPr>
          <w:p>
            <w:pPr>
              <w:spacing w:line="300" w:lineRule="exact"/>
              <w:rPr>
                <w:color w:val="auto"/>
                <w:highlight w:val="none"/>
              </w:rPr>
            </w:pPr>
            <w:r>
              <w:rPr>
                <w:rFonts w:hint="eastAsia"/>
                <w:color w:val="auto"/>
                <w:highlight w:val="none"/>
              </w:rPr>
              <w:t>供应商关联单位说明</w:t>
            </w:r>
          </w:p>
        </w:tc>
        <w:tc>
          <w:tcPr>
            <w:tcW w:w="1617" w:type="pct"/>
          </w:tcPr>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2、按规定签章</w:t>
            </w:r>
          </w:p>
        </w:tc>
        <w:tc>
          <w:tcPr>
            <w:tcW w:w="584" w:type="pct"/>
          </w:tcPr>
          <w:p>
            <w:pPr>
              <w:pStyle w:val="3"/>
              <w:adjustRightInd w:val="0"/>
              <w:snapToGrid w:val="0"/>
              <w:spacing w:before="0" w:after="0" w:line="300" w:lineRule="exact"/>
              <w:rPr>
                <w:rFonts w:eastAsia="宋体"/>
                <w:color w:val="auto"/>
                <w:sz w:val="21"/>
                <w:szCs w:val="21"/>
                <w:highlight w:val="none"/>
              </w:rPr>
            </w:pPr>
          </w:p>
        </w:tc>
        <w:tc>
          <w:tcPr>
            <w:tcW w:w="569" w:type="pct"/>
          </w:tcPr>
          <w:p>
            <w:pPr>
              <w:pStyle w:val="3"/>
              <w:adjustRightInd w:val="0"/>
              <w:snapToGrid w:val="0"/>
              <w:spacing w:before="0" w:after="0" w:line="300" w:lineRule="exact"/>
              <w:rPr>
                <w:rFonts w:eastAsia="宋体"/>
                <w:color w:val="auto"/>
                <w:sz w:val="21"/>
                <w:szCs w:val="21"/>
                <w:highlight w:val="none"/>
              </w:rPr>
            </w:pPr>
          </w:p>
        </w:tc>
        <w:tc>
          <w:tcPr>
            <w:tcW w:w="529" w:type="pct"/>
          </w:tcPr>
          <w:p>
            <w:pPr>
              <w:pStyle w:val="3"/>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pPr>
              <w:spacing w:line="300" w:lineRule="exact"/>
              <w:jc w:val="center"/>
              <w:rPr>
                <w:color w:val="auto"/>
                <w:highlight w:val="none"/>
              </w:rPr>
            </w:pPr>
            <w:r>
              <w:rPr>
                <w:rFonts w:hint="eastAsia"/>
                <w:color w:val="auto"/>
                <w:highlight w:val="none"/>
              </w:rPr>
              <w:t>8</w:t>
            </w:r>
          </w:p>
        </w:tc>
        <w:tc>
          <w:tcPr>
            <w:tcW w:w="1326" w:type="pct"/>
            <w:vAlign w:val="center"/>
          </w:tcPr>
          <w:p>
            <w:pPr>
              <w:spacing w:line="300" w:lineRule="exact"/>
              <w:rPr>
                <w:color w:val="auto"/>
                <w:highlight w:val="none"/>
              </w:rPr>
            </w:pPr>
            <w:r>
              <w:rPr>
                <w:rFonts w:hint="eastAsia"/>
                <w:color w:val="auto"/>
                <w:highlight w:val="none"/>
              </w:rPr>
              <w:t>投标报价</w:t>
            </w:r>
          </w:p>
        </w:tc>
        <w:tc>
          <w:tcPr>
            <w:tcW w:w="1617" w:type="pct"/>
          </w:tcPr>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1、响应招标文件实质性要求</w:t>
            </w:r>
          </w:p>
          <w:p>
            <w:pPr>
              <w:pStyle w:val="3"/>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2、无投标须知26.2所述情形</w:t>
            </w:r>
          </w:p>
        </w:tc>
        <w:tc>
          <w:tcPr>
            <w:tcW w:w="584" w:type="pct"/>
          </w:tcPr>
          <w:p>
            <w:pPr>
              <w:pStyle w:val="3"/>
              <w:adjustRightInd w:val="0"/>
              <w:snapToGrid w:val="0"/>
              <w:spacing w:before="0" w:after="0" w:line="300" w:lineRule="exact"/>
              <w:rPr>
                <w:rFonts w:eastAsia="宋体"/>
                <w:color w:val="auto"/>
                <w:sz w:val="21"/>
                <w:szCs w:val="21"/>
                <w:highlight w:val="none"/>
              </w:rPr>
            </w:pPr>
          </w:p>
        </w:tc>
        <w:tc>
          <w:tcPr>
            <w:tcW w:w="569" w:type="pct"/>
          </w:tcPr>
          <w:p>
            <w:pPr>
              <w:pStyle w:val="3"/>
              <w:adjustRightInd w:val="0"/>
              <w:snapToGrid w:val="0"/>
              <w:spacing w:before="0" w:after="0" w:line="300" w:lineRule="exact"/>
              <w:rPr>
                <w:rFonts w:eastAsia="宋体"/>
                <w:color w:val="auto"/>
                <w:sz w:val="21"/>
                <w:szCs w:val="21"/>
                <w:highlight w:val="none"/>
              </w:rPr>
            </w:pPr>
          </w:p>
        </w:tc>
        <w:tc>
          <w:tcPr>
            <w:tcW w:w="529" w:type="pct"/>
          </w:tcPr>
          <w:p>
            <w:pPr>
              <w:pStyle w:val="3"/>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3317" w:type="pct"/>
            <w:gridSpan w:val="3"/>
            <w:vAlign w:val="center"/>
          </w:tcPr>
          <w:p>
            <w:pPr>
              <w:pStyle w:val="3"/>
              <w:adjustRightInd w:val="0"/>
              <w:snapToGrid w:val="0"/>
              <w:spacing w:before="0" w:after="0" w:line="300" w:lineRule="exact"/>
              <w:rPr>
                <w:rFonts w:eastAsia="宋体"/>
                <w:color w:val="auto"/>
                <w:sz w:val="21"/>
                <w:szCs w:val="21"/>
                <w:highlight w:val="none"/>
              </w:rPr>
            </w:pPr>
            <w:r>
              <w:rPr>
                <w:rFonts w:hint="eastAsia" w:eastAsia="宋体"/>
                <w:color w:val="auto"/>
                <w:sz w:val="21"/>
                <w:highlight w:val="none"/>
              </w:rPr>
              <w:t>结论</w:t>
            </w:r>
          </w:p>
        </w:tc>
        <w:tc>
          <w:tcPr>
            <w:tcW w:w="584" w:type="pct"/>
          </w:tcPr>
          <w:p>
            <w:pPr>
              <w:pStyle w:val="3"/>
              <w:adjustRightInd w:val="0"/>
              <w:snapToGrid w:val="0"/>
              <w:spacing w:before="0" w:after="0" w:line="300" w:lineRule="exact"/>
              <w:rPr>
                <w:rFonts w:eastAsia="宋体"/>
                <w:color w:val="auto"/>
                <w:sz w:val="21"/>
                <w:szCs w:val="21"/>
                <w:highlight w:val="none"/>
              </w:rPr>
            </w:pPr>
          </w:p>
        </w:tc>
        <w:tc>
          <w:tcPr>
            <w:tcW w:w="569" w:type="pct"/>
          </w:tcPr>
          <w:p>
            <w:pPr>
              <w:pStyle w:val="3"/>
              <w:adjustRightInd w:val="0"/>
              <w:snapToGrid w:val="0"/>
              <w:spacing w:before="0" w:after="0" w:line="300" w:lineRule="exact"/>
              <w:rPr>
                <w:rFonts w:eastAsia="宋体"/>
                <w:color w:val="auto"/>
                <w:sz w:val="21"/>
                <w:szCs w:val="21"/>
                <w:highlight w:val="none"/>
              </w:rPr>
            </w:pPr>
          </w:p>
        </w:tc>
        <w:tc>
          <w:tcPr>
            <w:tcW w:w="529" w:type="pct"/>
          </w:tcPr>
          <w:p>
            <w:pPr>
              <w:pStyle w:val="3"/>
              <w:adjustRightInd w:val="0"/>
              <w:snapToGrid w:val="0"/>
              <w:spacing w:before="0" w:after="0" w:line="300" w:lineRule="exact"/>
              <w:rPr>
                <w:rFonts w:eastAsia="宋体"/>
                <w:color w:val="auto"/>
                <w:sz w:val="21"/>
                <w:szCs w:val="21"/>
                <w:highlight w:val="none"/>
              </w:rPr>
            </w:pPr>
          </w:p>
        </w:tc>
      </w:tr>
    </w:tbl>
    <w:p>
      <w:pPr>
        <w:rPr>
          <w:b/>
          <w:bCs/>
          <w:color w:val="auto"/>
          <w:highlight w:val="none"/>
        </w:rPr>
      </w:pPr>
      <w:r>
        <w:rPr>
          <w:rFonts w:hint="eastAsia"/>
          <w:b/>
          <w:bCs/>
          <w:color w:val="auto"/>
          <w:highlight w:val="none"/>
        </w:rPr>
        <w:t>填表说明：1、每项审查内容中填写“有”或“无”</w:t>
      </w:r>
    </w:p>
    <w:p>
      <w:pPr>
        <w:rPr>
          <w:b/>
          <w:bCs/>
          <w:color w:val="auto"/>
          <w:highlight w:val="none"/>
        </w:rPr>
      </w:pPr>
      <w:r>
        <w:rPr>
          <w:rFonts w:hint="eastAsia"/>
          <w:b/>
          <w:bCs/>
          <w:color w:val="auto"/>
          <w:highlight w:val="none"/>
        </w:rPr>
        <w:t xml:space="preserve">          2、结论填写“通过”或“不通过”</w:t>
      </w:r>
    </w:p>
    <w:p>
      <w:pPr>
        <w:pStyle w:val="18"/>
        <w:widowControl w:val="0"/>
        <w:snapToGrid w:val="0"/>
        <w:spacing w:before="0" w:beforeAutospacing="0" w:after="0" w:afterAutospacing="0"/>
        <w:ind w:left="5880" w:hanging="5903" w:hangingChars="2800"/>
        <w:rPr>
          <w:rFonts w:ascii="Times New Roman" w:eastAsia="仿宋_GB2312" w:cs="仿宋_GB2312"/>
          <w:b/>
          <w:color w:val="auto"/>
          <w:sz w:val="21"/>
          <w:highlight w:val="none"/>
        </w:rPr>
      </w:pPr>
    </w:p>
    <w:p>
      <w:pPr>
        <w:pStyle w:val="18"/>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r>
        <w:rPr>
          <w:rFonts w:ascii="Times New Roman" w:eastAsia="仿宋_GB2312" w:cs="仿宋_GB2312"/>
          <w:b/>
          <w:color w:val="auto"/>
          <w:sz w:val="28"/>
          <w:szCs w:val="28"/>
          <w:highlight w:val="none"/>
        </w:rPr>
        <w:br w:type="page"/>
      </w:r>
    </w:p>
    <w:p>
      <w:pPr>
        <w:pStyle w:val="18"/>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p>
    <w:p>
      <w:pPr>
        <w:pStyle w:val="18"/>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p>
    <w:p>
      <w:pPr>
        <w:pStyle w:val="3"/>
        <w:adjustRightInd w:val="0"/>
        <w:snapToGrid w:val="0"/>
        <w:spacing w:before="0" w:after="0" w:line="240" w:lineRule="auto"/>
        <w:jc w:val="left"/>
        <w:rPr>
          <w:rFonts w:eastAsia="宋体" w:cs="宋体"/>
          <w:color w:val="auto"/>
          <w:highlight w:val="none"/>
        </w:rPr>
      </w:pPr>
      <w:bookmarkStart w:id="127" w:name="_Toc17433_WPSOffice_Level2"/>
      <w:r>
        <w:rPr>
          <w:rStyle w:val="34"/>
          <w:rFonts w:hint="eastAsia"/>
          <w:color w:val="auto"/>
          <w:highlight w:val="none"/>
        </w:rPr>
        <w:t>附件</w:t>
      </w:r>
      <w:r>
        <w:rPr>
          <w:rStyle w:val="34"/>
          <w:color w:val="auto"/>
          <w:highlight w:val="none"/>
        </w:rPr>
        <w:t>3</w:t>
      </w:r>
      <w:r>
        <w:rPr>
          <w:rFonts w:eastAsia="仿宋_GB2312" w:cs="仿宋_GB2312"/>
          <w:color w:val="auto"/>
          <w:szCs w:val="28"/>
          <w:highlight w:val="none"/>
        </w:rPr>
        <w:t xml:space="preserve">  </w:t>
      </w:r>
      <w:r>
        <w:rPr>
          <w:rFonts w:hint="eastAsia" w:eastAsia="仿宋_GB2312" w:cs="仿宋_GB2312"/>
          <w:color w:val="auto"/>
          <w:szCs w:val="28"/>
          <w:highlight w:val="none"/>
        </w:rPr>
        <w:t xml:space="preserve">               </w:t>
      </w:r>
      <w:r>
        <w:rPr>
          <w:rFonts w:hint="eastAsia" w:eastAsia="宋体" w:cs="宋体"/>
          <w:color w:val="auto"/>
          <w:szCs w:val="28"/>
          <w:highlight w:val="none"/>
        </w:rPr>
        <w:t xml:space="preserve">   </w:t>
      </w:r>
      <w:r>
        <w:rPr>
          <w:rFonts w:hint="eastAsia" w:eastAsia="宋体" w:cs="宋体"/>
          <w:color w:val="auto"/>
          <w:highlight w:val="none"/>
        </w:rPr>
        <w:t xml:space="preserve"> </w:t>
      </w:r>
    </w:p>
    <w:p>
      <w:pPr>
        <w:pStyle w:val="3"/>
        <w:spacing w:before="0" w:after="0"/>
        <w:rPr>
          <w:rFonts w:hint="eastAsia" w:eastAsia="黑体" w:cs="宋体"/>
          <w:color w:val="auto"/>
          <w:highlight w:val="none"/>
          <w:lang w:eastAsia="zh-CN"/>
        </w:rPr>
      </w:pPr>
      <w:r>
        <w:rPr>
          <w:rFonts w:hint="eastAsia"/>
          <w:color w:val="auto"/>
          <w:highlight w:val="none"/>
        </w:rPr>
        <w:t>评分细则</w:t>
      </w:r>
      <w:bookmarkEnd w:id="127"/>
      <w:r>
        <w:rPr>
          <w:rFonts w:hint="eastAsia"/>
          <w:color w:val="auto"/>
          <w:highlight w:val="none"/>
          <w:lang w:eastAsia="zh-CN"/>
        </w:rPr>
        <w:t>（</w:t>
      </w:r>
      <w:r>
        <w:rPr>
          <w:rFonts w:hint="eastAsia"/>
          <w:color w:val="auto"/>
          <w:highlight w:val="none"/>
          <w:lang w:val="en-US" w:eastAsia="zh-CN"/>
        </w:rPr>
        <w:t>包1</w:t>
      </w:r>
      <w:r>
        <w:rPr>
          <w:rFonts w:hint="eastAsia"/>
          <w:color w:val="auto"/>
          <w:highlight w:val="none"/>
          <w:lang w:eastAsia="zh-CN"/>
        </w:rPr>
        <w:t>）</w:t>
      </w:r>
    </w:p>
    <w:tbl>
      <w:tblPr>
        <w:tblStyle w:val="21"/>
        <w:tblW w:w="96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1"/>
        <w:gridCol w:w="1056"/>
        <w:gridCol w:w="992"/>
        <w:gridCol w:w="992"/>
        <w:gridCol w:w="59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691"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序号</w:t>
            </w:r>
          </w:p>
        </w:tc>
        <w:tc>
          <w:tcPr>
            <w:tcW w:w="1056" w:type="dxa"/>
            <w:noWrap w:val="0"/>
            <w:vAlign w:val="center"/>
          </w:tcPr>
          <w:p>
            <w:pPr>
              <w:pStyle w:val="48"/>
              <w:adjustRightInd w:val="0"/>
              <w:jc w:val="center"/>
              <w:rPr>
                <w:rFonts w:hint="eastAsia" w:ascii="宋体" w:hAnsi="宋体" w:eastAsia="宋体" w:cs="宋体"/>
                <w:spacing w:val="-10"/>
                <w:sz w:val="21"/>
                <w:szCs w:val="21"/>
              </w:rPr>
            </w:pPr>
            <w:r>
              <w:rPr>
                <w:rFonts w:hint="eastAsia" w:ascii="宋体" w:hAnsi="宋体" w:eastAsia="宋体" w:cs="宋体"/>
                <w:sz w:val="21"/>
                <w:szCs w:val="21"/>
              </w:rPr>
              <w:t>评审项目</w:t>
            </w:r>
          </w:p>
        </w:tc>
        <w:tc>
          <w:tcPr>
            <w:tcW w:w="992" w:type="dxa"/>
            <w:noWrap w:val="0"/>
            <w:vAlign w:val="center"/>
          </w:tcPr>
          <w:p>
            <w:pPr>
              <w:pStyle w:val="48"/>
              <w:adjustRightInd w:val="0"/>
              <w:jc w:val="center"/>
              <w:rPr>
                <w:rFonts w:hint="eastAsia" w:ascii="宋体" w:hAnsi="宋体" w:eastAsia="宋体" w:cs="宋体"/>
                <w:spacing w:val="-10"/>
                <w:sz w:val="21"/>
                <w:szCs w:val="21"/>
              </w:rPr>
            </w:pPr>
            <w:r>
              <w:rPr>
                <w:rFonts w:hint="eastAsia" w:ascii="宋体" w:hAnsi="宋体" w:eastAsia="宋体" w:cs="宋体"/>
                <w:sz w:val="21"/>
                <w:szCs w:val="21"/>
              </w:rPr>
              <w:t>分项</w:t>
            </w:r>
          </w:p>
        </w:tc>
        <w:tc>
          <w:tcPr>
            <w:tcW w:w="992" w:type="dxa"/>
            <w:noWrap w:val="0"/>
            <w:vAlign w:val="center"/>
          </w:tcPr>
          <w:p>
            <w:pPr>
              <w:pStyle w:val="48"/>
              <w:adjustRightInd w:val="0"/>
              <w:jc w:val="center"/>
              <w:rPr>
                <w:rFonts w:hint="eastAsia" w:ascii="宋体" w:hAnsi="宋体" w:eastAsia="宋体" w:cs="宋体"/>
                <w:spacing w:val="-10"/>
                <w:sz w:val="21"/>
                <w:szCs w:val="21"/>
              </w:rPr>
            </w:pPr>
            <w:r>
              <w:rPr>
                <w:rFonts w:hint="eastAsia" w:ascii="宋体" w:hAnsi="宋体" w:eastAsia="宋体" w:cs="宋体"/>
                <w:sz w:val="21"/>
                <w:szCs w:val="21"/>
              </w:rPr>
              <w:t>分值</w:t>
            </w:r>
          </w:p>
        </w:tc>
        <w:tc>
          <w:tcPr>
            <w:tcW w:w="5940"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指标要求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691"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1</w:t>
            </w:r>
          </w:p>
        </w:tc>
        <w:tc>
          <w:tcPr>
            <w:tcW w:w="1056"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响应报价（</w:t>
            </w:r>
            <w:r>
              <w:rPr>
                <w:rFonts w:hint="eastAsia" w:ascii="宋体" w:hAnsi="宋体" w:eastAsia="宋体" w:cs="宋体"/>
                <w:spacing w:val="-10"/>
                <w:sz w:val="21"/>
                <w:szCs w:val="21"/>
                <w:lang w:val="en-US" w:eastAsia="zh-CN"/>
              </w:rPr>
              <w:t>3</w:t>
            </w:r>
            <w:r>
              <w:rPr>
                <w:rFonts w:hint="eastAsia" w:ascii="宋体" w:hAnsi="宋体" w:eastAsia="宋体" w:cs="宋体"/>
                <w:spacing w:val="-10"/>
                <w:sz w:val="21"/>
                <w:szCs w:val="21"/>
              </w:rPr>
              <w:t>0分）</w:t>
            </w:r>
          </w:p>
        </w:tc>
        <w:tc>
          <w:tcPr>
            <w:tcW w:w="992" w:type="dxa"/>
            <w:noWrap w:val="0"/>
            <w:vAlign w:val="center"/>
          </w:tcPr>
          <w:p>
            <w:pPr>
              <w:keepNext w:val="0"/>
              <w:keepLines w:val="0"/>
              <w:pageBreakBefore w:val="0"/>
              <w:widowControl w:val="0"/>
              <w:kinsoku/>
              <w:wordWrap/>
              <w:overflowPunct/>
              <w:topLinePunct w:val="0"/>
              <w:bidi w:val="0"/>
              <w:spacing w:line="240" w:lineRule="auto"/>
              <w:ind w:firstLine="190" w:firstLineChars="100"/>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spacing w:val="-10"/>
                <w:sz w:val="21"/>
                <w:szCs w:val="21"/>
              </w:rPr>
              <w:t>报价</w:t>
            </w:r>
          </w:p>
        </w:tc>
        <w:tc>
          <w:tcPr>
            <w:tcW w:w="992" w:type="dxa"/>
            <w:noWrap w:val="0"/>
            <w:vAlign w:val="center"/>
          </w:tcPr>
          <w:p>
            <w:pPr>
              <w:keepNext w:val="0"/>
              <w:keepLines w:val="0"/>
              <w:pageBreakBefore w:val="0"/>
              <w:widowControl w:val="0"/>
              <w:kinsoku/>
              <w:wordWrap/>
              <w:overflowPunct/>
              <w:topLinePunct w:val="0"/>
              <w:bidi w:val="0"/>
              <w:spacing w:line="240" w:lineRule="auto"/>
              <w:ind w:firstLine="190" w:firstLineChars="100"/>
              <w:textAlignment w:val="auto"/>
              <w:rPr>
                <w:rFonts w:hint="eastAsia" w:ascii="宋体" w:hAnsi="宋体" w:eastAsia="宋体" w:cs="宋体"/>
                <w:spacing w:val="-10"/>
                <w:sz w:val="21"/>
                <w:szCs w:val="21"/>
                <w:lang w:val="en-US" w:eastAsia="zh-CN"/>
              </w:rPr>
            </w:pPr>
            <w:r>
              <w:rPr>
                <w:rFonts w:hint="eastAsia" w:ascii="宋体" w:hAnsi="宋体" w:eastAsia="宋体" w:cs="宋体"/>
                <w:spacing w:val="-10"/>
                <w:sz w:val="21"/>
                <w:szCs w:val="21"/>
                <w:lang w:val="en-US" w:eastAsia="zh-CN"/>
              </w:rPr>
              <w:t>30</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采用低价优先法计算，即满足</w:t>
            </w:r>
            <w:r>
              <w:rPr>
                <w:rFonts w:hint="eastAsia" w:ascii="宋体" w:hAnsi="宋体" w:eastAsia="宋体" w:cs="宋体"/>
                <w:spacing w:val="-10"/>
                <w:sz w:val="21"/>
                <w:szCs w:val="21"/>
                <w:lang w:eastAsia="zh-CN"/>
              </w:rPr>
              <w:t>招标文件</w:t>
            </w:r>
            <w:r>
              <w:rPr>
                <w:rFonts w:hint="eastAsia" w:ascii="宋体" w:hAnsi="宋体" w:eastAsia="宋体" w:cs="宋体"/>
                <w:spacing w:val="-10"/>
                <w:sz w:val="21"/>
                <w:szCs w:val="21"/>
              </w:rPr>
              <w:t>要求且响应价格最低的报价为评标基准价，其价格分为满分，其他供应商的价格分统一按照下列公式计算：响应报价得分=（评标基准价/评标价）×价格权值×100</w:t>
            </w:r>
          </w:p>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注明：</w:t>
            </w:r>
            <w:r>
              <w:rPr>
                <w:rFonts w:hint="eastAsia" w:ascii="宋体" w:hAnsi="宋体" w:eastAsia="宋体" w:cs="宋体"/>
                <w:spacing w:val="-10"/>
                <w:sz w:val="21"/>
                <w:szCs w:val="21"/>
                <w:lang w:eastAsia="zh-CN"/>
              </w:rPr>
              <w:t>评标委员会</w:t>
            </w:r>
            <w:r>
              <w:rPr>
                <w:rFonts w:hint="eastAsia" w:ascii="宋体" w:hAnsi="宋体" w:eastAsia="宋体" w:cs="宋体"/>
                <w:spacing w:val="-10"/>
                <w:sz w:val="21"/>
                <w:szCs w:val="21"/>
              </w:rPr>
              <w:t>认为供应商的报价明显低于其他通过符合性审查供应商的报价，有可能影响产品质量或者不能诚信履约的，可要求其在评审现场合理的时间内提供书面说明，必要时提交相关证明材料；如不能证明其报价合理性的，</w:t>
            </w:r>
            <w:r>
              <w:rPr>
                <w:rFonts w:hint="eastAsia" w:ascii="宋体" w:hAnsi="宋体" w:eastAsia="宋体" w:cs="宋体"/>
                <w:spacing w:val="-10"/>
                <w:sz w:val="21"/>
                <w:szCs w:val="21"/>
                <w:lang w:eastAsia="zh-CN"/>
              </w:rPr>
              <w:t>评标委员会</w:t>
            </w:r>
            <w:r>
              <w:rPr>
                <w:rFonts w:hint="eastAsia" w:ascii="宋体" w:hAnsi="宋体" w:eastAsia="宋体" w:cs="宋体"/>
                <w:spacing w:val="-10"/>
                <w:sz w:val="21"/>
                <w:szCs w:val="21"/>
              </w:rPr>
              <w:t>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8" w:hRule="atLeast"/>
          <w:jc w:val="center"/>
        </w:trPr>
        <w:tc>
          <w:tcPr>
            <w:tcW w:w="691" w:type="dxa"/>
            <w:vMerge w:val="restart"/>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2</w:t>
            </w:r>
          </w:p>
        </w:tc>
        <w:tc>
          <w:tcPr>
            <w:tcW w:w="1056" w:type="dxa"/>
            <w:vMerge w:val="restart"/>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商务部分（</w:t>
            </w:r>
            <w:r>
              <w:rPr>
                <w:rFonts w:hint="eastAsia" w:ascii="宋体" w:hAnsi="宋体" w:eastAsia="宋体" w:cs="宋体"/>
                <w:spacing w:val="-10"/>
                <w:sz w:val="21"/>
                <w:szCs w:val="21"/>
                <w:lang w:val="en-US" w:eastAsia="zh-CN"/>
              </w:rPr>
              <w:t>20</w:t>
            </w:r>
            <w:r>
              <w:rPr>
                <w:rFonts w:hint="eastAsia" w:ascii="宋体" w:hAnsi="宋体" w:eastAsia="宋体" w:cs="宋体"/>
                <w:spacing w:val="-10"/>
                <w:sz w:val="21"/>
                <w:szCs w:val="21"/>
              </w:rPr>
              <w:t>分）</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售后服务承诺</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4</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根据供应商提供的售后服务承诺进行打分，内容包括服务大纲、故障响应、服务应答、保障线路稳定所需要备机备件等方面，以上内容每具备一项且无缺陷得</w:t>
            </w:r>
            <w:r>
              <w:rPr>
                <w:rFonts w:hint="eastAsia" w:ascii="宋体" w:hAnsi="宋体" w:eastAsia="宋体" w:cs="宋体"/>
                <w:sz w:val="21"/>
                <w:szCs w:val="21"/>
                <w:lang w:val="en-US" w:eastAsia="zh-CN"/>
              </w:rPr>
              <w:t>1</w:t>
            </w:r>
            <w:r>
              <w:rPr>
                <w:rFonts w:hint="eastAsia" w:ascii="宋体" w:hAnsi="宋体" w:eastAsia="宋体" w:cs="宋体"/>
                <w:sz w:val="21"/>
                <w:szCs w:val="21"/>
              </w:rPr>
              <w:t>分，最多得</w:t>
            </w:r>
            <w:r>
              <w:rPr>
                <w:rFonts w:hint="eastAsia" w:ascii="宋体" w:hAnsi="宋体" w:eastAsia="宋体" w:cs="宋体"/>
                <w:sz w:val="21"/>
                <w:szCs w:val="21"/>
                <w:lang w:val="en-US" w:eastAsia="zh-CN"/>
              </w:rPr>
              <w:t>4</w:t>
            </w:r>
            <w:r>
              <w:rPr>
                <w:rFonts w:hint="eastAsia" w:ascii="宋体" w:hAnsi="宋体" w:eastAsia="宋体" w:cs="宋体"/>
                <w:sz w:val="21"/>
                <w:szCs w:val="21"/>
              </w:rPr>
              <w:t>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供应商实力</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6</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重点考核供应商保证本项目履约能力的相关企业资质证书。根据供应商提供的资质证明，包括但不限于质量管理体系认证（ISO9001）、信息安全管理体系认证（ISO27001）、信息技术服务管理体系认证（ISO20000）等，每提供一个得2分；满分6分。（提供证书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供应商类似项目业绩</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6</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提供20</w:t>
            </w:r>
            <w:r>
              <w:rPr>
                <w:rFonts w:hint="eastAsia" w:ascii="宋体" w:hAnsi="宋体" w:cs="宋体"/>
                <w:kern w:val="2"/>
                <w:sz w:val="21"/>
                <w:szCs w:val="21"/>
                <w:lang w:val="en-US" w:eastAsia="zh-CN" w:bidi="ar-SA"/>
              </w:rPr>
              <w:t>20</w:t>
            </w:r>
            <w:r>
              <w:rPr>
                <w:rFonts w:hint="eastAsia" w:ascii="宋体" w:hAnsi="宋体" w:eastAsia="宋体" w:cs="宋体"/>
                <w:kern w:val="2"/>
                <w:sz w:val="21"/>
                <w:szCs w:val="21"/>
                <w:lang w:val="en-US" w:eastAsia="zh-CN" w:bidi="ar-SA"/>
              </w:rPr>
              <w:t>年1月1日之后供应商类似网络可信身份体系服务项目合同，以合同个数为准，每提供一个合同得2分，最多得6分。时间以签订合同时间为准。</w:t>
            </w:r>
          </w:p>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提供清晰的合同扫描件装订到响应文件中，否则不予计算。（提供合同复印件，原件备查）。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adjustRightInd w:val="0"/>
              <w:snapToGrid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供应商资信证明</w:t>
            </w:r>
          </w:p>
        </w:tc>
        <w:tc>
          <w:tcPr>
            <w:tcW w:w="992" w:type="dxa"/>
            <w:noWrap w:val="0"/>
            <w:vAlign w:val="center"/>
          </w:tcPr>
          <w:p>
            <w:pPr>
              <w:keepNext w:val="0"/>
              <w:keepLines w:val="0"/>
              <w:pageBreakBefore w:val="0"/>
              <w:widowControl w:val="0"/>
              <w:kinsoku/>
              <w:wordWrap/>
              <w:overflowPunct/>
              <w:topLinePunct w:val="0"/>
              <w:bidi w:val="0"/>
              <w:adjustRightInd w:val="0"/>
              <w:snapToGrid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4</w:t>
            </w:r>
          </w:p>
        </w:tc>
        <w:tc>
          <w:tcPr>
            <w:tcW w:w="5940" w:type="dxa"/>
            <w:noWrap w:val="0"/>
            <w:vAlign w:val="center"/>
          </w:tcPr>
          <w:p>
            <w:pPr>
              <w:keepNext w:val="0"/>
              <w:keepLines w:val="0"/>
              <w:pageBreakBefore w:val="0"/>
              <w:widowControl w:val="0"/>
              <w:kinsoku/>
              <w:wordWrap/>
              <w:overflowPunct/>
              <w:topLinePunct w:val="0"/>
              <w:autoSpaceDE w:val="0"/>
              <w:autoSpaceDN w:val="0"/>
              <w:bidi w:val="0"/>
              <w:adjustRightInd w:val="0"/>
              <w:spacing w:line="240" w:lineRule="auto"/>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提供服务团队员工202</w:t>
            </w:r>
            <w:r>
              <w:rPr>
                <w:rFonts w:hint="eastAsia" w:ascii="宋体" w:hAnsi="宋体" w:eastAsia="宋体" w:cs="宋体"/>
                <w:sz w:val="21"/>
                <w:szCs w:val="21"/>
                <w:lang w:val="en-US" w:eastAsia="zh-CN"/>
              </w:rPr>
              <w:t>2</w:t>
            </w:r>
            <w:r>
              <w:rPr>
                <w:rFonts w:hint="eastAsia" w:ascii="宋体" w:hAnsi="宋体" w:eastAsia="宋体" w:cs="宋体"/>
                <w:sz w:val="21"/>
                <w:szCs w:val="21"/>
              </w:rPr>
              <w:t>年以来任意月份的社保缴纳证明得</w:t>
            </w:r>
            <w:r>
              <w:rPr>
                <w:rFonts w:hint="eastAsia" w:ascii="宋体" w:hAnsi="宋体" w:eastAsia="宋体" w:cs="宋体"/>
                <w:sz w:val="21"/>
                <w:szCs w:val="21"/>
                <w:lang w:val="en-US" w:eastAsia="zh-CN"/>
              </w:rPr>
              <w:t>4</w:t>
            </w:r>
            <w:r>
              <w:rPr>
                <w:rFonts w:hint="eastAsia" w:ascii="宋体" w:hAnsi="宋体" w:eastAsia="宋体" w:cs="宋体"/>
                <w:sz w:val="21"/>
                <w:szCs w:val="21"/>
              </w:rPr>
              <w:t>分。（提供原始缴纳凭证备查）。不提供不得分。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91" w:type="dxa"/>
            <w:vMerge w:val="restart"/>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3</w:t>
            </w:r>
          </w:p>
        </w:tc>
        <w:tc>
          <w:tcPr>
            <w:tcW w:w="1056" w:type="dxa"/>
            <w:vMerge w:val="restart"/>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lang w:eastAsia="zh-CN"/>
              </w:rPr>
            </w:pPr>
            <w:r>
              <w:rPr>
                <w:rFonts w:hint="eastAsia" w:ascii="宋体" w:hAnsi="宋体" w:eastAsia="宋体" w:cs="宋体"/>
                <w:spacing w:val="-10"/>
                <w:sz w:val="21"/>
                <w:szCs w:val="21"/>
              </w:rPr>
              <w:t>技术</w:t>
            </w:r>
            <w:r>
              <w:rPr>
                <w:rFonts w:hint="eastAsia" w:ascii="宋体" w:hAnsi="宋体" w:eastAsia="宋体" w:cs="宋体"/>
                <w:spacing w:val="-10"/>
                <w:sz w:val="21"/>
                <w:szCs w:val="21"/>
                <w:lang w:val="en-US" w:eastAsia="zh-CN"/>
              </w:rPr>
              <w:t>部分</w:t>
            </w:r>
          </w:p>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w:t>
            </w:r>
            <w:r>
              <w:rPr>
                <w:rFonts w:hint="eastAsia" w:ascii="宋体" w:hAnsi="宋体" w:eastAsia="宋体" w:cs="宋体"/>
                <w:spacing w:val="-10"/>
                <w:sz w:val="21"/>
                <w:szCs w:val="21"/>
                <w:lang w:val="en-US" w:eastAsia="zh-CN"/>
              </w:rPr>
              <w:t>50</w:t>
            </w:r>
            <w:r>
              <w:rPr>
                <w:rFonts w:hint="eastAsia" w:ascii="宋体" w:hAnsi="宋体" w:eastAsia="宋体" w:cs="宋体"/>
                <w:spacing w:val="-10"/>
                <w:sz w:val="21"/>
                <w:szCs w:val="21"/>
              </w:rPr>
              <w:t>分）</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color w:val="auto"/>
                <w:kern w:val="0"/>
                <w:sz w:val="21"/>
                <w:szCs w:val="21"/>
              </w:rPr>
              <w:t>需求理解</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lang w:val="en-US" w:eastAsia="zh-CN"/>
              </w:rPr>
            </w:pPr>
            <w:r>
              <w:rPr>
                <w:rFonts w:hint="eastAsia" w:ascii="宋体" w:hAnsi="宋体" w:eastAsia="宋体" w:cs="宋体"/>
                <w:spacing w:val="-10"/>
                <w:sz w:val="21"/>
                <w:szCs w:val="21"/>
                <w:lang w:val="en-US" w:eastAsia="zh-CN"/>
              </w:rPr>
              <w:t>16</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lang w:eastAsia="zh-CN"/>
              </w:rPr>
            </w:pPr>
            <w:r>
              <w:rPr>
                <w:rFonts w:hint="eastAsia" w:ascii="宋体" w:hAnsi="宋体" w:eastAsia="宋体" w:cs="宋体"/>
                <w:sz w:val="21"/>
                <w:szCs w:val="21"/>
              </w:rPr>
              <w:t>根据供应商的</w:t>
            </w:r>
            <w:r>
              <w:rPr>
                <w:rFonts w:hint="eastAsia" w:ascii="宋体" w:hAnsi="宋体" w:eastAsia="宋体" w:cs="宋体"/>
                <w:sz w:val="21"/>
                <w:szCs w:val="21"/>
                <w:lang w:val="en-US" w:eastAsia="zh-CN"/>
              </w:rPr>
              <w:t>需</w:t>
            </w:r>
            <w:r>
              <w:rPr>
                <w:rFonts w:hint="eastAsia" w:ascii="宋体" w:hAnsi="宋体" w:eastAsia="宋体" w:cs="宋体"/>
                <w:sz w:val="21"/>
                <w:szCs w:val="21"/>
              </w:rPr>
              <w:t>求理解进行打分，内容包括工作任务、基本要求、工作思路、重点难点分析。以上内容每具备一项且无缺陷</w:t>
            </w:r>
            <w:r>
              <w:rPr>
                <w:rFonts w:hint="eastAsia" w:ascii="宋体" w:hAnsi="宋体" w:eastAsia="宋体" w:cs="宋体"/>
                <w:spacing w:val="-10"/>
                <w:sz w:val="21"/>
                <w:szCs w:val="21"/>
              </w:rPr>
              <w:t>得</w:t>
            </w:r>
            <w:r>
              <w:rPr>
                <w:rFonts w:hint="eastAsia" w:ascii="宋体" w:hAnsi="宋体" w:eastAsia="宋体" w:cs="宋体"/>
                <w:spacing w:val="-10"/>
                <w:sz w:val="21"/>
                <w:szCs w:val="21"/>
                <w:lang w:val="en-US" w:eastAsia="zh-CN"/>
              </w:rPr>
              <w:t>4</w:t>
            </w:r>
            <w:r>
              <w:rPr>
                <w:rFonts w:hint="eastAsia" w:ascii="宋体" w:hAnsi="宋体" w:eastAsia="宋体" w:cs="宋体"/>
                <w:spacing w:val="-10"/>
                <w:sz w:val="21"/>
                <w:szCs w:val="21"/>
              </w:rPr>
              <w:t>分，最多得</w:t>
            </w:r>
            <w:r>
              <w:rPr>
                <w:rFonts w:hint="eastAsia" w:ascii="宋体" w:hAnsi="宋体" w:eastAsia="宋体" w:cs="宋体"/>
                <w:spacing w:val="-10"/>
                <w:sz w:val="21"/>
                <w:szCs w:val="21"/>
                <w:lang w:val="en-US" w:eastAsia="zh-CN"/>
              </w:rPr>
              <w:t>16</w:t>
            </w:r>
            <w:r>
              <w:rPr>
                <w:rFonts w:hint="eastAsia" w:ascii="宋体" w:hAnsi="宋体" w:eastAsia="宋体" w:cs="宋体"/>
                <w:spacing w:val="-10"/>
                <w:sz w:val="21"/>
                <w:szCs w:val="21"/>
              </w:rPr>
              <w:t>分。</w:t>
            </w:r>
            <w:r>
              <w:rPr>
                <w:rFonts w:hint="eastAsia" w:ascii="宋体" w:hAnsi="宋体" w:cs="宋体"/>
                <w:spacing w:val="-10"/>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color w:val="auto"/>
                <w:sz w:val="21"/>
                <w:szCs w:val="21"/>
              </w:rPr>
              <w:t>项目管理及实施方案</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lang w:val="en-US" w:eastAsia="zh-CN"/>
              </w:rPr>
            </w:pPr>
            <w:r>
              <w:rPr>
                <w:rFonts w:hint="eastAsia" w:ascii="宋体" w:hAnsi="宋体" w:eastAsia="宋体" w:cs="宋体"/>
                <w:spacing w:val="-10"/>
                <w:sz w:val="21"/>
                <w:szCs w:val="21"/>
                <w:lang w:val="en-US" w:eastAsia="zh-CN"/>
              </w:rPr>
              <w:t>16</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r>
              <w:rPr>
                <w:rFonts w:hint="eastAsia" w:ascii="宋体" w:hAnsi="宋体" w:eastAsia="宋体" w:cs="宋体"/>
                <w:sz w:val="21"/>
                <w:szCs w:val="21"/>
              </w:rPr>
              <w:t>根据供应商的项目管理及实施方案进行打分，内容包括管理流程、人员管理、安全管理措施、验收方案。以上内容每具备一项且无缺陷</w:t>
            </w:r>
            <w:r>
              <w:rPr>
                <w:rFonts w:hint="eastAsia" w:ascii="宋体" w:hAnsi="宋体" w:eastAsia="宋体" w:cs="宋体"/>
                <w:spacing w:val="-10"/>
                <w:sz w:val="21"/>
                <w:szCs w:val="21"/>
              </w:rPr>
              <w:t>得</w:t>
            </w:r>
            <w:r>
              <w:rPr>
                <w:rFonts w:hint="eastAsia" w:ascii="宋体" w:hAnsi="宋体" w:eastAsia="宋体" w:cs="宋体"/>
                <w:spacing w:val="-10"/>
                <w:sz w:val="21"/>
                <w:szCs w:val="21"/>
                <w:lang w:val="en-US" w:eastAsia="zh-CN"/>
              </w:rPr>
              <w:t>4</w:t>
            </w:r>
            <w:r>
              <w:rPr>
                <w:rFonts w:hint="eastAsia" w:ascii="宋体" w:hAnsi="宋体" w:eastAsia="宋体" w:cs="宋体"/>
                <w:spacing w:val="-10"/>
                <w:sz w:val="21"/>
                <w:szCs w:val="21"/>
              </w:rPr>
              <w:t>分，最多得</w:t>
            </w:r>
            <w:r>
              <w:rPr>
                <w:rFonts w:hint="eastAsia" w:ascii="宋体" w:hAnsi="宋体" w:eastAsia="宋体" w:cs="宋体"/>
                <w:spacing w:val="-10"/>
                <w:sz w:val="21"/>
                <w:szCs w:val="21"/>
                <w:lang w:val="en-US" w:eastAsia="zh-CN"/>
              </w:rPr>
              <w:t>16</w:t>
            </w:r>
            <w:r>
              <w:rPr>
                <w:rFonts w:hint="eastAsia" w:ascii="宋体" w:hAnsi="宋体" w:eastAsia="宋体" w:cs="宋体"/>
                <w:spacing w:val="-10"/>
                <w:sz w:val="21"/>
                <w:szCs w:val="21"/>
              </w:rPr>
              <w:t>分。</w:t>
            </w:r>
            <w:r>
              <w:rPr>
                <w:rFonts w:hint="eastAsia" w:ascii="宋体" w:hAnsi="宋体" w:cs="宋体"/>
                <w:spacing w:val="-10"/>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color w:val="auto"/>
                <w:sz w:val="21"/>
                <w:szCs w:val="21"/>
              </w:rPr>
              <w:t>服务质量控制保证措施</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lang w:val="en-US" w:eastAsia="zh-CN"/>
              </w:rPr>
            </w:pPr>
            <w:r>
              <w:rPr>
                <w:rFonts w:hint="eastAsia" w:ascii="宋体" w:hAnsi="宋体" w:eastAsia="宋体" w:cs="宋体"/>
                <w:spacing w:val="-10"/>
                <w:sz w:val="21"/>
                <w:szCs w:val="21"/>
                <w:lang w:val="en-US" w:eastAsia="zh-CN"/>
              </w:rPr>
              <w:t>8</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r>
              <w:rPr>
                <w:rFonts w:hint="eastAsia" w:ascii="宋体" w:hAnsi="宋体" w:eastAsia="宋体" w:cs="宋体"/>
                <w:sz w:val="21"/>
                <w:szCs w:val="21"/>
              </w:rPr>
              <w:t>根据供应商提供的服务质量控制保证措施进行打分，内容包括质量控制</w:t>
            </w:r>
            <w:r>
              <w:rPr>
                <w:rFonts w:hint="eastAsia" w:ascii="宋体" w:hAnsi="宋体" w:eastAsia="宋体" w:cs="宋体"/>
                <w:sz w:val="21"/>
                <w:szCs w:val="21"/>
                <w:lang w:val="en-US" w:eastAsia="zh-CN"/>
              </w:rPr>
              <w:t>标准</w:t>
            </w:r>
            <w:r>
              <w:rPr>
                <w:rFonts w:hint="eastAsia" w:ascii="宋体" w:hAnsi="宋体" w:eastAsia="宋体" w:cs="宋体"/>
                <w:sz w:val="21"/>
                <w:szCs w:val="21"/>
              </w:rPr>
              <w:t>、</w:t>
            </w:r>
            <w:r>
              <w:rPr>
                <w:rFonts w:hint="eastAsia" w:ascii="宋体" w:hAnsi="宋体" w:eastAsia="宋体" w:cs="宋体"/>
                <w:sz w:val="21"/>
                <w:szCs w:val="21"/>
                <w:lang w:val="en-US" w:eastAsia="zh-CN"/>
              </w:rPr>
              <w:t>质量控制措施</w:t>
            </w:r>
            <w:r>
              <w:rPr>
                <w:rFonts w:hint="eastAsia" w:ascii="宋体" w:hAnsi="宋体" w:eastAsia="宋体" w:cs="宋体"/>
                <w:sz w:val="21"/>
                <w:szCs w:val="21"/>
              </w:rPr>
              <w:t>。以上内容每具备一项且无缺陷</w:t>
            </w:r>
            <w:r>
              <w:rPr>
                <w:rFonts w:hint="eastAsia" w:ascii="宋体" w:hAnsi="宋体" w:eastAsia="宋体" w:cs="宋体"/>
                <w:spacing w:val="-10"/>
                <w:sz w:val="21"/>
                <w:szCs w:val="21"/>
              </w:rPr>
              <w:t>得</w:t>
            </w:r>
            <w:r>
              <w:rPr>
                <w:rFonts w:hint="eastAsia" w:ascii="宋体" w:hAnsi="宋体" w:eastAsia="宋体" w:cs="宋体"/>
                <w:spacing w:val="-10"/>
                <w:sz w:val="21"/>
                <w:szCs w:val="21"/>
                <w:lang w:val="en-US" w:eastAsia="zh-CN"/>
              </w:rPr>
              <w:t>4</w:t>
            </w:r>
            <w:r>
              <w:rPr>
                <w:rFonts w:hint="eastAsia" w:ascii="宋体" w:hAnsi="宋体" w:eastAsia="宋体" w:cs="宋体"/>
                <w:spacing w:val="-10"/>
                <w:sz w:val="21"/>
                <w:szCs w:val="21"/>
              </w:rPr>
              <w:t>分，最多得</w:t>
            </w:r>
            <w:r>
              <w:rPr>
                <w:rFonts w:hint="eastAsia" w:ascii="宋体" w:hAnsi="宋体" w:eastAsia="宋体" w:cs="宋体"/>
                <w:spacing w:val="-10"/>
                <w:sz w:val="21"/>
                <w:szCs w:val="21"/>
                <w:lang w:val="en-US" w:eastAsia="zh-CN"/>
              </w:rPr>
              <w:t>8</w:t>
            </w:r>
            <w:r>
              <w:rPr>
                <w:rFonts w:hint="eastAsia" w:ascii="宋体" w:hAnsi="宋体" w:eastAsia="宋体" w:cs="宋体"/>
                <w:spacing w:val="-10"/>
                <w:sz w:val="21"/>
                <w:szCs w:val="21"/>
              </w:rPr>
              <w:t>分。</w:t>
            </w:r>
            <w:r>
              <w:rPr>
                <w:rFonts w:hint="eastAsia" w:ascii="宋体" w:hAnsi="宋体" w:cs="宋体"/>
                <w:spacing w:val="-10"/>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p>
        </w:tc>
        <w:tc>
          <w:tcPr>
            <w:tcW w:w="992" w:type="dxa"/>
            <w:vMerge w:val="restart"/>
            <w:noWrap w:val="0"/>
            <w:vAlign w:val="center"/>
          </w:tcPr>
          <w:p>
            <w:pPr>
              <w:spacing w:line="240" w:lineRule="auto"/>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人员能力</w:t>
            </w:r>
          </w:p>
        </w:tc>
        <w:tc>
          <w:tcPr>
            <w:tcW w:w="992" w:type="dxa"/>
            <w:noWrap w:val="0"/>
            <w:vAlign w:val="center"/>
          </w:tcPr>
          <w:p>
            <w:pPr>
              <w:spacing w:line="240" w:lineRule="auto"/>
              <w:jc w:val="center"/>
              <w:rPr>
                <w:rFonts w:hint="eastAsia" w:ascii="宋体" w:hAnsi="宋体" w:eastAsia="宋体" w:cs="宋体"/>
                <w:color w:val="auto"/>
                <w:kern w:val="2"/>
                <w:sz w:val="21"/>
                <w:szCs w:val="21"/>
                <w:lang w:val="en-US" w:eastAsia="zh-CN" w:bidi="ar-SA"/>
              </w:rPr>
            </w:pPr>
            <w:r>
              <w:rPr>
                <w:rFonts w:hint="eastAsia" w:ascii="宋体" w:hAnsi="宋体" w:cs="宋体"/>
                <w:color w:val="auto"/>
                <w:sz w:val="21"/>
                <w:szCs w:val="21"/>
                <w:lang w:val="en-US" w:eastAsia="zh-CN"/>
              </w:rPr>
              <w:t>6</w:t>
            </w:r>
          </w:p>
        </w:tc>
        <w:tc>
          <w:tcPr>
            <w:tcW w:w="5940" w:type="dxa"/>
            <w:noWrap w:val="0"/>
            <w:vAlign w:val="center"/>
          </w:tcPr>
          <w:p>
            <w:pPr>
              <w:spacing w:line="240" w:lineRule="auto"/>
              <w:jc w:val="left"/>
              <w:rPr>
                <w:rFonts w:hint="default" w:ascii="宋体" w:hAnsi="宋体" w:eastAsia="宋体" w:cs="宋体"/>
                <w:color w:val="auto"/>
                <w:kern w:val="2"/>
                <w:sz w:val="21"/>
                <w:szCs w:val="21"/>
                <w:lang w:val="en-US" w:eastAsia="zh-CN" w:bidi="ar-SA"/>
              </w:rPr>
            </w:pPr>
            <w:r>
              <w:rPr>
                <w:rFonts w:hint="eastAsia" w:ascii="宋体" w:hAnsi="宋体" w:cs="宋体"/>
                <w:color w:val="auto"/>
                <w:sz w:val="21"/>
                <w:szCs w:val="21"/>
                <w:lang w:val="en-US" w:eastAsia="zh-CN"/>
              </w:rPr>
              <w:t>驻场</w:t>
            </w:r>
            <w:r>
              <w:rPr>
                <w:rFonts w:hint="eastAsia" w:ascii="宋体" w:hAnsi="宋体" w:eastAsia="宋体" w:cs="宋体"/>
                <w:color w:val="auto"/>
                <w:sz w:val="21"/>
                <w:szCs w:val="21"/>
              </w:rPr>
              <w:t>工程师需承诺真实出现在本次项目中，具备三年以上工作经验，具备系统运维能力，提供合同证明及社保证明，</w:t>
            </w:r>
            <w:r>
              <w:rPr>
                <w:rFonts w:hint="eastAsia" w:ascii="宋体" w:hAnsi="宋体" w:cs="宋体"/>
                <w:color w:val="auto"/>
                <w:sz w:val="21"/>
                <w:szCs w:val="21"/>
                <w:lang w:val="en-US" w:eastAsia="zh-CN"/>
              </w:rPr>
              <w:t>每提供一名得3分，最多</w:t>
            </w:r>
            <w:r>
              <w:rPr>
                <w:rFonts w:hint="eastAsia" w:ascii="宋体" w:hAnsi="宋体" w:eastAsia="宋体" w:cs="宋体"/>
                <w:color w:val="auto"/>
                <w:sz w:val="21"/>
                <w:szCs w:val="21"/>
              </w:rPr>
              <w:t>得</w:t>
            </w:r>
            <w:r>
              <w:rPr>
                <w:rFonts w:hint="eastAsia" w:ascii="宋体" w:hAnsi="宋体" w:cs="宋体"/>
                <w:color w:val="auto"/>
                <w:sz w:val="21"/>
                <w:szCs w:val="21"/>
                <w:lang w:val="en-US" w:eastAsia="zh-CN"/>
              </w:rPr>
              <w:t>6</w:t>
            </w:r>
            <w:r>
              <w:rPr>
                <w:rFonts w:hint="eastAsia" w:ascii="宋体" w:hAnsi="宋体" w:eastAsia="宋体" w:cs="宋体"/>
                <w:color w:val="auto"/>
                <w:sz w:val="21"/>
                <w:szCs w:val="21"/>
              </w:rPr>
              <w:t>分。</w:t>
            </w:r>
            <w:r>
              <w:rPr>
                <w:rFonts w:hint="eastAsia" w:ascii="宋体" w:hAnsi="宋体" w:cs="宋体"/>
                <w:color w:val="auto"/>
                <w:sz w:val="21"/>
                <w:szCs w:val="21"/>
                <w:lang w:val="en-US" w:eastAsia="zh-CN"/>
              </w:rPr>
              <w:t>缺项或不满足不得分。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p>
        </w:tc>
        <w:tc>
          <w:tcPr>
            <w:tcW w:w="992"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kern w:val="2"/>
                <w:sz w:val="21"/>
                <w:szCs w:val="21"/>
                <w:lang w:val="en-US" w:eastAsia="zh-CN" w:bidi="ar-SA"/>
              </w:rPr>
            </w:pPr>
          </w:p>
        </w:tc>
        <w:tc>
          <w:tcPr>
            <w:tcW w:w="992" w:type="dxa"/>
            <w:noWrap w:val="0"/>
            <w:vAlign w:val="center"/>
          </w:tcPr>
          <w:p>
            <w:pPr>
              <w:spacing w:line="240" w:lineRule="auto"/>
              <w:jc w:val="center"/>
              <w:rPr>
                <w:rFonts w:hint="eastAsia" w:ascii="宋体" w:hAnsi="宋体" w:eastAsia="宋体" w:cs="宋体"/>
                <w:color w:val="auto"/>
                <w:kern w:val="2"/>
                <w:sz w:val="21"/>
                <w:szCs w:val="21"/>
                <w:lang w:val="en-US" w:eastAsia="zh-CN" w:bidi="ar-SA"/>
              </w:rPr>
            </w:pPr>
            <w:r>
              <w:rPr>
                <w:rFonts w:hint="eastAsia" w:ascii="宋体" w:hAnsi="宋体" w:cs="宋体"/>
                <w:color w:val="auto"/>
                <w:sz w:val="21"/>
                <w:szCs w:val="21"/>
                <w:lang w:val="en-US" w:eastAsia="zh-CN"/>
              </w:rPr>
              <w:t>4</w:t>
            </w:r>
          </w:p>
        </w:tc>
        <w:tc>
          <w:tcPr>
            <w:tcW w:w="5940" w:type="dxa"/>
            <w:noWrap w:val="0"/>
            <w:vAlign w:val="center"/>
          </w:tcPr>
          <w:p>
            <w:pPr>
              <w:spacing w:line="240" w:lineRule="auto"/>
              <w:jc w:val="left"/>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承诺护网期间能提供7*24小时安全值守人员的，得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分，不能提供的，不得分。承诺书格式自拟加盖公章装订在响应文件中。</w:t>
            </w:r>
          </w:p>
        </w:tc>
      </w:tr>
    </w:tbl>
    <w:p>
      <w:pPr>
        <w:pStyle w:val="3"/>
        <w:spacing w:before="0" w:after="0"/>
        <w:rPr>
          <w:rFonts w:hint="eastAsia"/>
          <w:color w:val="auto"/>
          <w:highlight w:val="none"/>
        </w:rPr>
      </w:pPr>
    </w:p>
    <w:p>
      <w:pPr>
        <w:pStyle w:val="3"/>
        <w:spacing w:before="0" w:after="0"/>
        <w:rPr>
          <w:rFonts w:hint="eastAsia"/>
          <w:color w:val="auto"/>
          <w:highlight w:val="none"/>
          <w:lang w:eastAsia="zh-CN"/>
        </w:rPr>
      </w:pPr>
      <w:r>
        <w:rPr>
          <w:rFonts w:hint="eastAsia"/>
          <w:color w:val="auto"/>
          <w:highlight w:val="none"/>
        </w:rPr>
        <w:t>评分细则</w:t>
      </w:r>
      <w:r>
        <w:rPr>
          <w:rFonts w:hint="eastAsia"/>
          <w:color w:val="auto"/>
          <w:highlight w:val="none"/>
          <w:lang w:eastAsia="zh-CN"/>
        </w:rPr>
        <w:t>（</w:t>
      </w:r>
      <w:r>
        <w:rPr>
          <w:rFonts w:hint="eastAsia"/>
          <w:color w:val="auto"/>
          <w:highlight w:val="none"/>
          <w:lang w:val="en-US" w:eastAsia="zh-CN"/>
        </w:rPr>
        <w:t>包2</w:t>
      </w:r>
      <w:r>
        <w:rPr>
          <w:rFonts w:hint="eastAsia"/>
          <w:color w:val="auto"/>
          <w:highlight w:val="none"/>
          <w:lang w:eastAsia="zh-CN"/>
        </w:rPr>
        <w:t>）</w:t>
      </w:r>
    </w:p>
    <w:tbl>
      <w:tblPr>
        <w:tblStyle w:val="21"/>
        <w:tblW w:w="96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1"/>
        <w:gridCol w:w="1056"/>
        <w:gridCol w:w="992"/>
        <w:gridCol w:w="992"/>
        <w:gridCol w:w="59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691"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序号</w:t>
            </w:r>
          </w:p>
        </w:tc>
        <w:tc>
          <w:tcPr>
            <w:tcW w:w="1056" w:type="dxa"/>
            <w:noWrap w:val="0"/>
            <w:vAlign w:val="center"/>
          </w:tcPr>
          <w:p>
            <w:pPr>
              <w:pStyle w:val="48"/>
              <w:keepNext w:val="0"/>
              <w:keepLines w:val="0"/>
              <w:pageBreakBefore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z w:val="21"/>
                <w:szCs w:val="21"/>
              </w:rPr>
              <w:t>评审项目</w:t>
            </w:r>
          </w:p>
        </w:tc>
        <w:tc>
          <w:tcPr>
            <w:tcW w:w="992" w:type="dxa"/>
            <w:noWrap w:val="0"/>
            <w:vAlign w:val="center"/>
          </w:tcPr>
          <w:p>
            <w:pPr>
              <w:pStyle w:val="48"/>
              <w:keepNext w:val="0"/>
              <w:keepLines w:val="0"/>
              <w:pageBreakBefore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z w:val="21"/>
                <w:szCs w:val="21"/>
              </w:rPr>
              <w:t>分项</w:t>
            </w:r>
          </w:p>
        </w:tc>
        <w:tc>
          <w:tcPr>
            <w:tcW w:w="992" w:type="dxa"/>
            <w:noWrap w:val="0"/>
            <w:vAlign w:val="center"/>
          </w:tcPr>
          <w:p>
            <w:pPr>
              <w:pStyle w:val="48"/>
              <w:keepNext w:val="0"/>
              <w:keepLines w:val="0"/>
              <w:pageBreakBefore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z w:val="21"/>
                <w:szCs w:val="21"/>
              </w:rPr>
              <w:t>分值</w:t>
            </w:r>
          </w:p>
        </w:tc>
        <w:tc>
          <w:tcPr>
            <w:tcW w:w="5940"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指标要求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691"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1</w:t>
            </w:r>
          </w:p>
        </w:tc>
        <w:tc>
          <w:tcPr>
            <w:tcW w:w="1056"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响应报价（</w:t>
            </w:r>
            <w:r>
              <w:rPr>
                <w:rFonts w:hint="eastAsia" w:ascii="宋体" w:hAnsi="宋体" w:eastAsia="宋体" w:cs="宋体"/>
                <w:spacing w:val="-10"/>
                <w:sz w:val="21"/>
                <w:szCs w:val="21"/>
                <w:lang w:val="en-US" w:eastAsia="zh-CN"/>
              </w:rPr>
              <w:t>3</w:t>
            </w:r>
            <w:r>
              <w:rPr>
                <w:rFonts w:hint="eastAsia" w:ascii="宋体" w:hAnsi="宋体" w:eastAsia="宋体" w:cs="宋体"/>
                <w:spacing w:val="-10"/>
                <w:sz w:val="21"/>
                <w:szCs w:val="21"/>
              </w:rPr>
              <w:t>0分）</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spacing w:val="-10"/>
                <w:sz w:val="21"/>
                <w:szCs w:val="21"/>
              </w:rPr>
              <w:t>报价</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lang w:val="en-US" w:eastAsia="zh-CN"/>
              </w:rPr>
            </w:pPr>
            <w:r>
              <w:rPr>
                <w:rFonts w:hint="eastAsia" w:ascii="宋体" w:hAnsi="宋体" w:eastAsia="宋体" w:cs="宋体"/>
                <w:spacing w:val="-10"/>
                <w:sz w:val="21"/>
                <w:szCs w:val="21"/>
                <w:lang w:val="en-US" w:eastAsia="zh-CN"/>
              </w:rPr>
              <w:t>30</w:t>
            </w:r>
          </w:p>
        </w:tc>
        <w:tc>
          <w:tcPr>
            <w:tcW w:w="5940"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采用低价优先法计算，即满足</w:t>
            </w:r>
            <w:r>
              <w:rPr>
                <w:rFonts w:hint="eastAsia" w:ascii="宋体" w:hAnsi="宋体" w:eastAsia="宋体" w:cs="宋体"/>
                <w:spacing w:val="-10"/>
                <w:sz w:val="21"/>
                <w:szCs w:val="21"/>
                <w:lang w:eastAsia="zh-CN"/>
              </w:rPr>
              <w:t>招标文件</w:t>
            </w:r>
            <w:r>
              <w:rPr>
                <w:rFonts w:hint="eastAsia" w:ascii="宋体" w:hAnsi="宋体" w:eastAsia="宋体" w:cs="宋体"/>
                <w:spacing w:val="-10"/>
                <w:sz w:val="21"/>
                <w:szCs w:val="21"/>
              </w:rPr>
              <w:t>要求且响应价格最低的报价为评标基准价，其价格分为满分，其他供应商的价格分统一按照下列公式计算：响应报价得分=（评标基准价/评标价）×价格权值×100</w:t>
            </w:r>
          </w:p>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注明：</w:t>
            </w:r>
            <w:r>
              <w:rPr>
                <w:rFonts w:hint="eastAsia" w:ascii="宋体" w:hAnsi="宋体" w:eastAsia="宋体" w:cs="宋体"/>
                <w:spacing w:val="-10"/>
                <w:sz w:val="21"/>
                <w:szCs w:val="21"/>
                <w:lang w:eastAsia="zh-CN"/>
              </w:rPr>
              <w:t>评标委员会</w:t>
            </w:r>
            <w:r>
              <w:rPr>
                <w:rFonts w:hint="eastAsia" w:ascii="宋体" w:hAnsi="宋体" w:eastAsia="宋体" w:cs="宋体"/>
                <w:spacing w:val="-10"/>
                <w:sz w:val="21"/>
                <w:szCs w:val="21"/>
              </w:rPr>
              <w:t>认为供应商的报价明显低于其他通过符合性审查供应商的报价，有可能影响产品质量或者不能诚信履约的，可要求其在评审现场合理的时间内提供书面说明，必要时提交相关证明材料；如不能证明其报价合理性的，</w:t>
            </w:r>
            <w:r>
              <w:rPr>
                <w:rFonts w:hint="eastAsia" w:ascii="宋体" w:hAnsi="宋体" w:eastAsia="宋体" w:cs="宋体"/>
                <w:spacing w:val="-10"/>
                <w:sz w:val="21"/>
                <w:szCs w:val="21"/>
                <w:lang w:eastAsia="zh-CN"/>
              </w:rPr>
              <w:t>评标委员会</w:t>
            </w:r>
            <w:r>
              <w:rPr>
                <w:rFonts w:hint="eastAsia" w:ascii="宋体" w:hAnsi="宋体" w:eastAsia="宋体" w:cs="宋体"/>
                <w:spacing w:val="-10"/>
                <w:sz w:val="21"/>
                <w:szCs w:val="21"/>
              </w:rPr>
              <w:t>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8" w:hRule="atLeast"/>
          <w:jc w:val="center"/>
        </w:trPr>
        <w:tc>
          <w:tcPr>
            <w:tcW w:w="691" w:type="dxa"/>
            <w:vMerge w:val="restart"/>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2</w:t>
            </w:r>
          </w:p>
        </w:tc>
        <w:tc>
          <w:tcPr>
            <w:tcW w:w="1056" w:type="dxa"/>
            <w:vMerge w:val="restart"/>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商务部分（</w:t>
            </w:r>
            <w:r>
              <w:rPr>
                <w:rFonts w:hint="eastAsia" w:ascii="宋体" w:hAnsi="宋体" w:eastAsia="宋体" w:cs="宋体"/>
                <w:spacing w:val="-10"/>
                <w:sz w:val="21"/>
                <w:szCs w:val="21"/>
                <w:lang w:val="en-US" w:eastAsia="zh-CN"/>
              </w:rPr>
              <w:t>20</w:t>
            </w:r>
            <w:r>
              <w:rPr>
                <w:rFonts w:hint="eastAsia" w:ascii="宋体" w:hAnsi="宋体" w:eastAsia="宋体" w:cs="宋体"/>
                <w:spacing w:val="-10"/>
                <w:sz w:val="21"/>
                <w:szCs w:val="21"/>
              </w:rPr>
              <w:t>分）</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售后服务</w:t>
            </w:r>
            <w:r>
              <w:rPr>
                <w:rFonts w:hint="eastAsia" w:ascii="宋体" w:hAnsi="宋体" w:eastAsia="宋体" w:cs="宋体"/>
                <w:sz w:val="21"/>
                <w:szCs w:val="21"/>
                <w:lang w:val="en-US" w:eastAsia="zh-CN"/>
              </w:rPr>
              <w:t>方案</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4</w:t>
            </w:r>
          </w:p>
        </w:tc>
        <w:tc>
          <w:tcPr>
            <w:tcW w:w="5940"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根据供应商的售后服务方案进行打分，内容包括服务方式、服务内容、服务标准</w:t>
            </w:r>
            <w:r>
              <w:rPr>
                <w:rFonts w:hint="eastAsia" w:ascii="宋体" w:hAnsi="宋体" w:eastAsia="宋体" w:cs="宋体"/>
                <w:sz w:val="21"/>
                <w:szCs w:val="21"/>
                <w:lang w:eastAsia="zh-CN"/>
              </w:rPr>
              <w:t>、</w:t>
            </w:r>
            <w:r>
              <w:rPr>
                <w:rFonts w:hint="eastAsia" w:ascii="宋体" w:hAnsi="宋体" w:eastAsia="宋体" w:cs="宋体"/>
                <w:sz w:val="21"/>
                <w:szCs w:val="21"/>
              </w:rPr>
              <w:t>时间响应程度。以上内容每具备一项且无缺陷得</w:t>
            </w:r>
            <w:r>
              <w:rPr>
                <w:rFonts w:hint="eastAsia" w:ascii="宋体" w:hAnsi="宋体" w:eastAsia="宋体" w:cs="宋体"/>
                <w:sz w:val="21"/>
                <w:szCs w:val="21"/>
                <w:lang w:val="en-US" w:eastAsia="zh-CN"/>
              </w:rPr>
              <w:t>1</w:t>
            </w:r>
            <w:r>
              <w:rPr>
                <w:rFonts w:hint="eastAsia" w:ascii="宋体" w:hAnsi="宋体" w:eastAsia="宋体" w:cs="宋体"/>
                <w:sz w:val="21"/>
                <w:szCs w:val="21"/>
              </w:rPr>
              <w:t>分，最多得</w:t>
            </w:r>
            <w:r>
              <w:rPr>
                <w:rFonts w:hint="eastAsia" w:ascii="宋体" w:hAnsi="宋体" w:eastAsia="宋体" w:cs="宋体"/>
                <w:sz w:val="21"/>
                <w:szCs w:val="21"/>
                <w:lang w:val="en-US" w:eastAsia="zh-CN"/>
              </w:rPr>
              <w:t>4</w:t>
            </w:r>
            <w:r>
              <w:rPr>
                <w:rFonts w:hint="eastAsia" w:ascii="宋体" w:hAnsi="宋体" w:eastAsia="宋体" w:cs="宋体"/>
                <w:sz w:val="21"/>
                <w:szCs w:val="21"/>
              </w:rPr>
              <w:t>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供应商实力</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6</w:t>
            </w:r>
          </w:p>
        </w:tc>
        <w:tc>
          <w:tcPr>
            <w:tcW w:w="5940"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重点考核供应商保证本项目履约能力的相关企业资质证书。根据供应商提供的资质证明，包括但不限于质量管理体系认证（ISO9001）、信息安全管理体系认证（ISO27001）、信息技术服务管理体系认证（ISO20000）等，每提供一个得2分；满分6分。（提供证书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供应商类似项目业绩</w:t>
            </w: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6</w:t>
            </w:r>
          </w:p>
        </w:tc>
        <w:tc>
          <w:tcPr>
            <w:tcW w:w="5940"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提供20</w:t>
            </w:r>
            <w:r>
              <w:rPr>
                <w:rFonts w:hint="eastAsia" w:ascii="宋体" w:hAnsi="宋体" w:cs="宋体"/>
                <w:kern w:val="2"/>
                <w:sz w:val="21"/>
                <w:szCs w:val="21"/>
                <w:lang w:val="en-US" w:eastAsia="zh-CN" w:bidi="ar-SA"/>
              </w:rPr>
              <w:t>20</w:t>
            </w:r>
            <w:r>
              <w:rPr>
                <w:rFonts w:hint="eastAsia" w:ascii="宋体" w:hAnsi="宋体" w:eastAsia="宋体" w:cs="宋体"/>
                <w:kern w:val="2"/>
                <w:sz w:val="21"/>
                <w:szCs w:val="21"/>
                <w:lang w:val="en-US" w:eastAsia="zh-CN" w:bidi="ar-SA"/>
              </w:rPr>
              <w:t>年1月1日之后供应商类似应用系统数据安全服务项目合同，以合同个数为准，每提供一个合同得2分，最多得6分。时间以签订合同时间为准。</w:t>
            </w:r>
          </w:p>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提供清晰的合同扫描件装订到响应文件中，否则不予计算。（提供合同复印件，原件备查）。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供应商资信证明</w:t>
            </w:r>
          </w:p>
        </w:tc>
        <w:tc>
          <w:tcPr>
            <w:tcW w:w="992" w:type="dxa"/>
            <w:noWrap w:val="0"/>
            <w:vAlign w:val="center"/>
          </w:tcPr>
          <w:p>
            <w:pPr>
              <w:keepNext w:val="0"/>
              <w:keepLines w:val="0"/>
              <w:pageBreakBefore w:val="0"/>
              <w:widowControl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4</w:t>
            </w:r>
          </w:p>
        </w:tc>
        <w:tc>
          <w:tcPr>
            <w:tcW w:w="594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提供服务团队员工202</w:t>
            </w:r>
            <w:r>
              <w:rPr>
                <w:rFonts w:hint="eastAsia" w:ascii="宋体" w:hAnsi="宋体" w:eastAsia="宋体" w:cs="宋体"/>
                <w:sz w:val="21"/>
                <w:szCs w:val="21"/>
                <w:lang w:val="en-US" w:eastAsia="zh-CN"/>
              </w:rPr>
              <w:t>2</w:t>
            </w:r>
            <w:r>
              <w:rPr>
                <w:rFonts w:hint="eastAsia" w:ascii="宋体" w:hAnsi="宋体" w:eastAsia="宋体" w:cs="宋体"/>
                <w:sz w:val="21"/>
                <w:szCs w:val="21"/>
              </w:rPr>
              <w:t>年以来任意月份的社保缴纳证明得</w:t>
            </w:r>
            <w:r>
              <w:rPr>
                <w:rFonts w:hint="eastAsia" w:ascii="宋体" w:hAnsi="宋体" w:eastAsia="宋体" w:cs="宋体"/>
                <w:sz w:val="21"/>
                <w:szCs w:val="21"/>
                <w:lang w:val="en-US" w:eastAsia="zh-CN"/>
              </w:rPr>
              <w:t>4</w:t>
            </w:r>
            <w:r>
              <w:rPr>
                <w:rFonts w:hint="eastAsia" w:ascii="宋体" w:hAnsi="宋体" w:eastAsia="宋体" w:cs="宋体"/>
                <w:sz w:val="21"/>
                <w:szCs w:val="21"/>
              </w:rPr>
              <w:t>分。（提供原始缴纳凭证备查）。不提供不得分。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atLeast"/>
          <w:jc w:val="center"/>
        </w:trPr>
        <w:tc>
          <w:tcPr>
            <w:tcW w:w="691" w:type="dxa"/>
            <w:vMerge w:val="restart"/>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3</w:t>
            </w:r>
          </w:p>
        </w:tc>
        <w:tc>
          <w:tcPr>
            <w:tcW w:w="1056" w:type="dxa"/>
            <w:vMerge w:val="restart"/>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技术部分（</w:t>
            </w:r>
            <w:r>
              <w:rPr>
                <w:rFonts w:hint="eastAsia" w:ascii="宋体" w:hAnsi="宋体" w:eastAsia="宋体" w:cs="宋体"/>
                <w:spacing w:val="-10"/>
                <w:sz w:val="21"/>
                <w:szCs w:val="21"/>
                <w:lang w:val="en-US" w:eastAsia="zh-CN"/>
              </w:rPr>
              <w:t>50</w:t>
            </w:r>
            <w:r>
              <w:rPr>
                <w:rFonts w:hint="eastAsia" w:ascii="宋体" w:hAnsi="宋体" w:eastAsia="宋体" w:cs="宋体"/>
                <w:spacing w:val="-10"/>
                <w:sz w:val="21"/>
                <w:szCs w:val="21"/>
              </w:rPr>
              <w:t>分）</w:t>
            </w:r>
          </w:p>
        </w:tc>
        <w:tc>
          <w:tcPr>
            <w:tcW w:w="992" w:type="dxa"/>
            <w:noWrap w:val="0"/>
            <w:vAlign w:val="center"/>
          </w:tcPr>
          <w:p>
            <w:pPr>
              <w:keepNext w:val="0"/>
              <w:keepLines w:val="0"/>
              <w:pageBreakBefore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lang w:val="en-US" w:eastAsia="zh-CN"/>
              </w:rPr>
            </w:pPr>
            <w:r>
              <w:rPr>
                <w:rFonts w:hint="eastAsia" w:ascii="宋体" w:hAnsi="宋体" w:eastAsia="宋体" w:cs="宋体"/>
                <w:color w:val="auto"/>
                <w:sz w:val="21"/>
                <w:szCs w:val="21"/>
              </w:rPr>
              <w:t>功能符合度</w:t>
            </w:r>
          </w:p>
        </w:tc>
        <w:tc>
          <w:tcPr>
            <w:tcW w:w="992" w:type="dxa"/>
            <w:noWrap w:val="0"/>
            <w:vAlign w:val="center"/>
          </w:tcPr>
          <w:p>
            <w:pPr>
              <w:keepNext w:val="0"/>
              <w:keepLines w:val="0"/>
              <w:pageBreakBefore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lang w:val="en-US" w:eastAsia="zh-CN"/>
              </w:rPr>
            </w:pPr>
            <w:r>
              <w:rPr>
                <w:rFonts w:hint="eastAsia" w:ascii="宋体" w:hAnsi="宋体" w:eastAsia="宋体" w:cs="宋体"/>
                <w:color w:val="auto"/>
                <w:sz w:val="21"/>
                <w:szCs w:val="21"/>
              </w:rPr>
              <w:t>20</w:t>
            </w:r>
          </w:p>
        </w:tc>
        <w:tc>
          <w:tcPr>
            <w:tcW w:w="5940" w:type="dxa"/>
            <w:noWrap w:val="0"/>
            <w:vAlign w:val="center"/>
          </w:tcPr>
          <w:p>
            <w:pPr>
              <w:pStyle w:val="27"/>
              <w:keepNext w:val="0"/>
              <w:keepLines w:val="0"/>
              <w:pageBreakBefore w:val="0"/>
              <w:kinsoku/>
              <w:wordWrap/>
              <w:overflowPunct/>
              <w:topLinePunct w:val="0"/>
              <w:bidi w:val="0"/>
              <w:snapToGrid/>
              <w:spacing w:before="0" w:after="0" w:line="240" w:lineRule="auto"/>
              <w:ind w:firstLine="0" w:firstLineChars="0"/>
              <w:textAlignment w:val="auto"/>
              <w:rPr>
                <w:rFonts w:hint="eastAsia" w:ascii="宋体" w:hAnsi="宋体" w:eastAsia="宋体" w:cs="宋体"/>
                <w:sz w:val="21"/>
                <w:szCs w:val="21"/>
              </w:rPr>
            </w:pPr>
            <w:r>
              <w:rPr>
                <w:rFonts w:hint="eastAsia" w:ascii="宋体" w:hAnsi="宋体" w:eastAsia="宋体" w:cs="宋体"/>
                <w:color w:val="auto"/>
                <w:sz w:val="21"/>
                <w:szCs w:val="21"/>
              </w:rPr>
              <w:t>根据投标文件第三章 服务需求中的“二、服务要求”进行打分，“★”号为必备指标，出现负偏离的，投标将被否决；非“★”号条款每出现一项负偏离扣</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分。最多扣20分。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0"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kinsoku/>
              <w:wordWrap/>
              <w:overflowPunct/>
              <w:topLinePunct w:val="0"/>
              <w:bidi w:val="0"/>
              <w:snapToGrid/>
              <w:spacing w:line="240" w:lineRule="auto"/>
              <w:ind w:firstLine="0" w:firstLineChars="0"/>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建设方案</w:t>
            </w:r>
          </w:p>
        </w:tc>
        <w:tc>
          <w:tcPr>
            <w:tcW w:w="992" w:type="dxa"/>
            <w:noWrap w:val="0"/>
            <w:vAlign w:val="center"/>
          </w:tcPr>
          <w:p>
            <w:pPr>
              <w:keepNext w:val="0"/>
              <w:keepLines w:val="0"/>
              <w:pageBreakBefore w:val="0"/>
              <w:kinsoku/>
              <w:wordWrap/>
              <w:overflowPunct/>
              <w:topLinePunct w:val="0"/>
              <w:bidi w:val="0"/>
              <w:snapToGrid/>
              <w:spacing w:line="240" w:lineRule="auto"/>
              <w:ind w:firstLine="0" w:firstLineChars="0"/>
              <w:jc w:val="center"/>
              <w:textAlignment w:val="auto"/>
              <w:rPr>
                <w:rFonts w:hint="default" w:ascii="宋体" w:hAnsi="宋体" w:eastAsia="宋体" w:cs="宋体"/>
                <w:color w:val="auto"/>
                <w:kern w:val="2"/>
                <w:sz w:val="21"/>
                <w:szCs w:val="21"/>
                <w:lang w:val="en-US" w:eastAsia="zh-CN" w:bidi="ar-SA"/>
              </w:rPr>
            </w:pPr>
            <w:r>
              <w:rPr>
                <w:rFonts w:hint="eastAsia" w:ascii="宋体" w:hAnsi="宋体" w:cs="宋体"/>
                <w:color w:val="auto"/>
                <w:sz w:val="21"/>
                <w:szCs w:val="21"/>
                <w:lang w:val="en-US" w:eastAsia="zh-CN"/>
              </w:rPr>
              <w:t>12</w:t>
            </w:r>
          </w:p>
        </w:tc>
        <w:tc>
          <w:tcPr>
            <w:tcW w:w="5940" w:type="dxa"/>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z w:val="21"/>
                <w:szCs w:val="21"/>
              </w:rPr>
            </w:pPr>
            <w:r>
              <w:rPr>
                <w:rFonts w:hint="eastAsia" w:ascii="宋体" w:hAnsi="宋体" w:eastAsia="宋体" w:cs="宋体"/>
                <w:color w:val="auto"/>
                <w:sz w:val="21"/>
                <w:szCs w:val="21"/>
              </w:rPr>
              <w:t>根据供应商建设方案进行打分，内容包括项目目标、建设内容、业务现状、数据安全差距分析、功能结构图、功能清单</w:t>
            </w:r>
            <w:r>
              <w:rPr>
                <w:rFonts w:hint="eastAsia" w:ascii="宋体" w:hAnsi="宋体" w:eastAsia="宋体" w:cs="宋体"/>
                <w:sz w:val="21"/>
                <w:szCs w:val="21"/>
              </w:rPr>
              <w:t>。以上内容每具备一项且无缺陷</w:t>
            </w:r>
            <w:r>
              <w:rPr>
                <w:rFonts w:hint="eastAsia" w:ascii="宋体" w:hAnsi="宋体" w:eastAsia="宋体" w:cs="宋体"/>
                <w:spacing w:val="-10"/>
                <w:sz w:val="21"/>
                <w:szCs w:val="21"/>
              </w:rPr>
              <w:t>得</w:t>
            </w:r>
            <w:r>
              <w:rPr>
                <w:rFonts w:hint="eastAsia" w:ascii="宋体" w:hAnsi="宋体" w:eastAsia="宋体" w:cs="宋体"/>
                <w:spacing w:val="-10"/>
                <w:sz w:val="21"/>
                <w:szCs w:val="21"/>
                <w:lang w:val="en-US" w:eastAsia="zh-CN"/>
              </w:rPr>
              <w:t>2</w:t>
            </w:r>
            <w:r>
              <w:rPr>
                <w:rFonts w:hint="eastAsia" w:ascii="宋体" w:hAnsi="宋体" w:eastAsia="宋体" w:cs="宋体"/>
                <w:spacing w:val="-10"/>
                <w:sz w:val="21"/>
                <w:szCs w:val="21"/>
              </w:rPr>
              <w:t>分，最多得</w:t>
            </w:r>
            <w:r>
              <w:rPr>
                <w:rFonts w:hint="eastAsia" w:ascii="宋体" w:hAnsi="宋体" w:eastAsia="宋体" w:cs="宋体"/>
                <w:spacing w:val="-10"/>
                <w:sz w:val="21"/>
                <w:szCs w:val="21"/>
                <w:lang w:val="en-US" w:eastAsia="zh-CN"/>
              </w:rPr>
              <w:t>1</w:t>
            </w:r>
            <w:r>
              <w:rPr>
                <w:rFonts w:hint="eastAsia" w:ascii="宋体" w:hAnsi="宋体" w:cs="宋体"/>
                <w:spacing w:val="-10"/>
                <w:sz w:val="21"/>
                <w:szCs w:val="21"/>
                <w:lang w:val="en-US" w:eastAsia="zh-CN"/>
              </w:rPr>
              <w:t>2</w:t>
            </w:r>
            <w:r>
              <w:rPr>
                <w:rFonts w:hint="eastAsia" w:ascii="宋体" w:hAnsi="宋体" w:eastAsia="宋体" w:cs="宋体"/>
                <w:spacing w:val="-10"/>
                <w:sz w:val="21"/>
                <w:szCs w:val="21"/>
              </w:rPr>
              <w:t>分。</w:t>
            </w:r>
            <w:r>
              <w:rPr>
                <w:rFonts w:hint="eastAsia" w:ascii="宋体" w:hAnsi="宋体" w:cs="宋体"/>
                <w:spacing w:val="-10"/>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kinsoku/>
              <w:wordWrap/>
              <w:overflowPunct/>
              <w:topLinePunct w:val="0"/>
              <w:bidi w:val="0"/>
              <w:snapToGrid/>
              <w:spacing w:line="240" w:lineRule="auto"/>
              <w:ind w:firstLine="0" w:firstLineChars="0"/>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技术力量投入</w:t>
            </w:r>
          </w:p>
        </w:tc>
        <w:tc>
          <w:tcPr>
            <w:tcW w:w="992" w:type="dxa"/>
            <w:noWrap w:val="0"/>
            <w:vAlign w:val="center"/>
          </w:tcPr>
          <w:p>
            <w:pPr>
              <w:keepNext w:val="0"/>
              <w:keepLines w:val="0"/>
              <w:pageBreakBefore w:val="0"/>
              <w:kinsoku/>
              <w:wordWrap/>
              <w:overflowPunct/>
              <w:topLinePunct w:val="0"/>
              <w:bidi w:val="0"/>
              <w:snapToGrid/>
              <w:spacing w:line="240" w:lineRule="auto"/>
              <w:ind w:firstLine="0" w:firstLineChars="0"/>
              <w:jc w:val="center"/>
              <w:textAlignment w:val="auto"/>
              <w:rPr>
                <w:rFonts w:hint="default" w:ascii="宋体" w:hAnsi="宋体" w:eastAsia="宋体" w:cs="宋体"/>
                <w:color w:val="auto"/>
                <w:kern w:val="2"/>
                <w:sz w:val="21"/>
                <w:szCs w:val="21"/>
                <w:lang w:val="en-US" w:eastAsia="zh-CN" w:bidi="ar-SA"/>
              </w:rPr>
            </w:pPr>
            <w:r>
              <w:rPr>
                <w:rFonts w:hint="eastAsia" w:ascii="宋体" w:hAnsi="宋体" w:cs="宋体"/>
                <w:color w:val="auto"/>
                <w:sz w:val="21"/>
                <w:szCs w:val="21"/>
                <w:lang w:val="en-US" w:eastAsia="zh-CN"/>
              </w:rPr>
              <w:t>12</w:t>
            </w:r>
          </w:p>
        </w:tc>
        <w:tc>
          <w:tcPr>
            <w:tcW w:w="5940" w:type="dxa"/>
            <w:noWrap w:val="0"/>
            <w:vAlign w:val="center"/>
          </w:tcPr>
          <w:p>
            <w:pPr>
              <w:pStyle w:val="41"/>
              <w:keepNext w:val="0"/>
              <w:keepLines w:val="0"/>
              <w:pageBreakBefore w:val="0"/>
              <w:tabs>
                <w:tab w:val="left" w:pos="312"/>
              </w:tabs>
              <w:kinsoku/>
              <w:wordWrap/>
              <w:overflowPunct/>
              <w:topLinePunct w:val="0"/>
              <w:autoSpaceDE/>
              <w:autoSpaceDN/>
              <w:bidi w:val="0"/>
              <w:adjustRightInd/>
              <w:snapToGrid/>
              <w:spacing w:line="240" w:lineRule="auto"/>
              <w:textAlignment w:val="auto"/>
              <w:rPr>
                <w:rFonts w:hint="eastAsia" w:ascii="宋体" w:hAnsi="宋体" w:eastAsia="宋体" w:cs="宋体"/>
                <w:snapToGrid/>
                <w:color w:val="auto"/>
                <w:kern w:val="2"/>
                <w:sz w:val="21"/>
                <w:szCs w:val="21"/>
                <w:lang w:val="en-US" w:eastAsia="zh-CN" w:bidi="ar-SA"/>
              </w:rPr>
            </w:pPr>
            <w:r>
              <w:rPr>
                <w:rFonts w:hint="eastAsia" w:ascii="宋体" w:hAnsi="宋体" w:eastAsia="宋体" w:cs="宋体"/>
                <w:snapToGrid/>
                <w:color w:val="auto"/>
                <w:kern w:val="2"/>
                <w:sz w:val="21"/>
                <w:szCs w:val="21"/>
                <w:lang w:val="en-US" w:eastAsia="zh-CN" w:bidi="ar-SA"/>
              </w:rPr>
              <w:t>投标人提供</w:t>
            </w:r>
            <w:r>
              <w:rPr>
                <w:rFonts w:hint="eastAsia" w:ascii="宋体" w:hAnsi="宋体" w:eastAsia="宋体" w:cs="宋体"/>
                <w:snapToGrid/>
                <w:color w:val="auto"/>
                <w:kern w:val="2"/>
                <w:sz w:val="21"/>
                <w:szCs w:val="21"/>
                <w:lang w:val="en-US" w:eastAsia="zh-Hans" w:bidi="ar-SA"/>
              </w:rPr>
              <w:t>的</w:t>
            </w:r>
            <w:r>
              <w:rPr>
                <w:rFonts w:hint="eastAsia" w:ascii="宋体" w:hAnsi="宋体" w:eastAsia="宋体" w:cs="宋体"/>
                <w:snapToGrid/>
                <w:color w:val="auto"/>
                <w:kern w:val="2"/>
                <w:sz w:val="21"/>
                <w:szCs w:val="21"/>
                <w:lang w:val="en-US" w:eastAsia="zh-CN" w:bidi="ar-SA"/>
              </w:rPr>
              <w:t>技术</w:t>
            </w:r>
            <w:r>
              <w:rPr>
                <w:rFonts w:hint="eastAsia" w:ascii="宋体" w:hAnsi="宋体" w:eastAsia="宋体" w:cs="宋体"/>
                <w:snapToGrid/>
                <w:color w:val="auto"/>
                <w:kern w:val="2"/>
                <w:sz w:val="21"/>
                <w:szCs w:val="21"/>
                <w:lang w:val="en-US" w:eastAsia="zh-Hans" w:bidi="ar-SA"/>
              </w:rPr>
              <w:t>团队</w:t>
            </w:r>
            <w:r>
              <w:rPr>
                <w:rFonts w:hint="eastAsia" w:ascii="宋体" w:hAnsi="宋体" w:eastAsia="宋体" w:cs="宋体"/>
                <w:snapToGrid/>
                <w:color w:val="auto"/>
                <w:kern w:val="2"/>
                <w:sz w:val="21"/>
                <w:szCs w:val="21"/>
                <w:lang w:val="en-US" w:eastAsia="zh-CN" w:bidi="ar-SA"/>
              </w:rPr>
              <w:t>服务人员，同时具备以下五种认证中的任意</w:t>
            </w:r>
            <w:r>
              <w:rPr>
                <w:rFonts w:hint="eastAsia" w:cs="宋体"/>
                <w:snapToGrid/>
                <w:color w:val="auto"/>
                <w:kern w:val="2"/>
                <w:sz w:val="21"/>
                <w:szCs w:val="21"/>
                <w:lang w:val="en-US" w:eastAsia="zh-CN" w:bidi="ar-SA"/>
              </w:rPr>
              <w:t>三</w:t>
            </w:r>
            <w:r>
              <w:rPr>
                <w:rFonts w:hint="eastAsia" w:ascii="宋体" w:hAnsi="宋体" w:eastAsia="宋体" w:cs="宋体"/>
                <w:snapToGrid/>
                <w:color w:val="auto"/>
                <w:kern w:val="2"/>
                <w:sz w:val="21"/>
                <w:szCs w:val="21"/>
                <w:lang w:val="en-US" w:eastAsia="zh-CN" w:bidi="ar-SA"/>
              </w:rPr>
              <w:t>种认证，所有人员提供有效证书复印件、身份证复印件及近6个月社保缴纳明细（人员社保缴纳单位须与投标人名称一致），每提供1人得4分，最高得12分，要求投标文件中出具证书人员与用户现场实施人员为同一人，并提供承诺函，</w:t>
            </w:r>
            <w:r>
              <w:rPr>
                <w:rFonts w:hint="eastAsia" w:cs="宋体"/>
                <w:snapToGrid/>
                <w:color w:val="auto"/>
                <w:kern w:val="2"/>
                <w:sz w:val="21"/>
                <w:szCs w:val="21"/>
                <w:lang w:val="en-US" w:eastAsia="zh-CN" w:bidi="ar-SA"/>
              </w:rPr>
              <w:t>缺项或</w:t>
            </w:r>
            <w:r>
              <w:rPr>
                <w:rFonts w:hint="eastAsia" w:ascii="宋体" w:hAnsi="宋体" w:eastAsia="宋体" w:cs="宋体"/>
                <w:snapToGrid/>
                <w:color w:val="auto"/>
                <w:kern w:val="2"/>
                <w:sz w:val="21"/>
                <w:szCs w:val="21"/>
                <w:lang w:val="en-US" w:eastAsia="zh-CN" w:bidi="ar-SA"/>
              </w:rPr>
              <w:t>不提供不得分。</w:t>
            </w:r>
          </w:p>
          <w:p>
            <w:pPr>
              <w:pStyle w:val="41"/>
              <w:keepNext w:val="0"/>
              <w:keepLines w:val="0"/>
              <w:pageBreakBefore w:val="0"/>
              <w:tabs>
                <w:tab w:val="left" w:pos="312"/>
              </w:tabs>
              <w:kinsoku/>
              <w:wordWrap/>
              <w:overflowPunct/>
              <w:topLinePunct w:val="0"/>
              <w:autoSpaceDE/>
              <w:autoSpaceDN/>
              <w:bidi w:val="0"/>
              <w:adjustRightInd/>
              <w:snapToGrid/>
              <w:spacing w:line="240" w:lineRule="auto"/>
              <w:textAlignment w:val="auto"/>
              <w:rPr>
                <w:rFonts w:hint="eastAsia" w:ascii="宋体" w:hAnsi="宋体" w:eastAsia="宋体" w:cs="宋体"/>
                <w:snapToGrid/>
                <w:color w:val="auto"/>
                <w:kern w:val="2"/>
                <w:sz w:val="21"/>
                <w:szCs w:val="21"/>
                <w:lang w:val="en-US" w:eastAsia="zh-CN" w:bidi="ar-SA"/>
              </w:rPr>
            </w:pPr>
            <w:r>
              <w:rPr>
                <w:rFonts w:hint="eastAsia" w:ascii="宋体" w:hAnsi="宋体" w:eastAsia="宋体" w:cs="宋体"/>
                <w:snapToGrid/>
                <w:color w:val="auto"/>
                <w:kern w:val="2"/>
                <w:sz w:val="21"/>
                <w:szCs w:val="21"/>
                <w:lang w:val="en-US" w:eastAsia="zh-CN" w:bidi="ar-SA"/>
              </w:rPr>
              <w:t>1、《注册信息安全专业人员（CISP）》认证证书；</w:t>
            </w:r>
          </w:p>
          <w:p>
            <w:pPr>
              <w:pStyle w:val="41"/>
              <w:keepNext w:val="0"/>
              <w:keepLines w:val="0"/>
              <w:pageBreakBefore w:val="0"/>
              <w:tabs>
                <w:tab w:val="left" w:pos="312"/>
              </w:tabs>
              <w:kinsoku/>
              <w:wordWrap/>
              <w:overflowPunct/>
              <w:topLinePunct w:val="0"/>
              <w:autoSpaceDE/>
              <w:autoSpaceDN/>
              <w:bidi w:val="0"/>
              <w:adjustRightInd/>
              <w:snapToGrid/>
              <w:spacing w:line="240" w:lineRule="auto"/>
              <w:textAlignment w:val="auto"/>
              <w:rPr>
                <w:rFonts w:hint="eastAsia" w:ascii="宋体" w:hAnsi="宋体" w:eastAsia="宋体" w:cs="宋体"/>
                <w:snapToGrid/>
                <w:color w:val="auto"/>
                <w:kern w:val="2"/>
                <w:sz w:val="21"/>
                <w:szCs w:val="21"/>
                <w:lang w:val="en-US" w:eastAsia="zh-CN" w:bidi="ar-SA"/>
              </w:rPr>
            </w:pPr>
            <w:r>
              <w:rPr>
                <w:rFonts w:hint="eastAsia" w:ascii="宋体" w:hAnsi="宋体" w:eastAsia="宋体" w:cs="宋体"/>
                <w:snapToGrid/>
                <w:color w:val="auto"/>
                <w:kern w:val="2"/>
                <w:sz w:val="21"/>
                <w:szCs w:val="21"/>
                <w:lang w:val="en-US" w:eastAsia="zh-CN" w:bidi="ar-SA"/>
              </w:rPr>
              <w:t>2、由CCRC颁发的《信息安全保障人员认证证书（风险管理专业级）》；</w:t>
            </w:r>
          </w:p>
          <w:p>
            <w:pPr>
              <w:pStyle w:val="41"/>
              <w:keepNext w:val="0"/>
              <w:keepLines w:val="0"/>
              <w:pageBreakBefore w:val="0"/>
              <w:tabs>
                <w:tab w:val="left" w:pos="312"/>
              </w:tabs>
              <w:kinsoku/>
              <w:wordWrap/>
              <w:overflowPunct/>
              <w:topLinePunct w:val="0"/>
              <w:autoSpaceDE/>
              <w:autoSpaceDN/>
              <w:bidi w:val="0"/>
              <w:adjustRightInd/>
              <w:snapToGrid/>
              <w:spacing w:line="240" w:lineRule="auto"/>
              <w:textAlignment w:val="auto"/>
              <w:rPr>
                <w:rFonts w:hint="eastAsia" w:ascii="宋体" w:hAnsi="宋体" w:eastAsia="宋体" w:cs="宋体"/>
                <w:snapToGrid/>
                <w:color w:val="auto"/>
                <w:kern w:val="2"/>
                <w:sz w:val="21"/>
                <w:szCs w:val="21"/>
                <w:lang w:val="en-US" w:eastAsia="zh-CN" w:bidi="ar-SA"/>
              </w:rPr>
            </w:pPr>
            <w:r>
              <w:rPr>
                <w:rFonts w:hint="eastAsia" w:ascii="宋体" w:hAnsi="宋体" w:eastAsia="宋体" w:cs="宋体"/>
                <w:snapToGrid/>
                <w:color w:val="auto"/>
                <w:kern w:val="2"/>
                <w:sz w:val="21"/>
                <w:szCs w:val="21"/>
                <w:lang w:val="en-US" w:eastAsia="zh-CN" w:bidi="ar-SA"/>
              </w:rPr>
              <w:t>3、由CCRC颁发的《信息安全保障人员认证证书（应急服务专业级）》或《网络安全应急响应工程师证书》；</w:t>
            </w:r>
          </w:p>
          <w:p>
            <w:pPr>
              <w:pStyle w:val="41"/>
              <w:keepNext w:val="0"/>
              <w:keepLines w:val="0"/>
              <w:pageBreakBefore w:val="0"/>
              <w:tabs>
                <w:tab w:val="left" w:pos="312"/>
              </w:tabs>
              <w:kinsoku/>
              <w:wordWrap/>
              <w:overflowPunct/>
              <w:topLinePunct w:val="0"/>
              <w:autoSpaceDE/>
              <w:autoSpaceDN/>
              <w:bidi w:val="0"/>
              <w:adjustRightInd/>
              <w:snapToGrid/>
              <w:spacing w:line="240" w:lineRule="auto"/>
              <w:textAlignment w:val="auto"/>
              <w:rPr>
                <w:rFonts w:hint="eastAsia" w:ascii="宋体" w:hAnsi="宋体" w:eastAsia="宋体" w:cs="宋体"/>
                <w:snapToGrid/>
                <w:color w:val="auto"/>
                <w:kern w:val="2"/>
                <w:sz w:val="21"/>
                <w:szCs w:val="21"/>
                <w:lang w:val="en-US" w:eastAsia="zh-CN" w:bidi="ar-SA"/>
              </w:rPr>
            </w:pPr>
            <w:r>
              <w:rPr>
                <w:rFonts w:hint="eastAsia" w:ascii="宋体" w:hAnsi="宋体" w:eastAsia="宋体" w:cs="宋体"/>
                <w:snapToGrid/>
                <w:color w:val="auto"/>
                <w:kern w:val="2"/>
                <w:sz w:val="21"/>
                <w:szCs w:val="21"/>
                <w:lang w:val="en-US" w:eastAsia="zh-CN" w:bidi="ar-SA"/>
              </w:rPr>
              <w:t>4、《信息安全等级保护安全建设专业技术人员证书》；</w:t>
            </w:r>
          </w:p>
          <w:p>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sz w:val="21"/>
                <w:szCs w:val="21"/>
                <w:lang w:eastAsia="zh-CN"/>
              </w:rPr>
            </w:pPr>
            <w:r>
              <w:rPr>
                <w:rFonts w:hint="eastAsia" w:ascii="宋体" w:hAnsi="宋体" w:eastAsia="宋体" w:cs="宋体"/>
                <w:snapToGrid/>
                <w:color w:val="auto"/>
                <w:kern w:val="2"/>
                <w:sz w:val="21"/>
                <w:szCs w:val="21"/>
                <w:lang w:val="en-US" w:eastAsia="zh-CN" w:bidi="ar-SA"/>
              </w:rPr>
              <w:t>5、由工业和信息化部颁发的《高级网络信息安全工程师》或《高级网络工程师》认证证书。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kinsoku/>
              <w:wordWrap/>
              <w:overflowPunct/>
              <w:topLinePunct w:val="0"/>
              <w:bidi w:val="0"/>
              <w:snapToGrid/>
              <w:spacing w:line="240" w:lineRule="auto"/>
              <w:ind w:firstLine="0" w:firstLineChars="0"/>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培训方案</w:t>
            </w:r>
          </w:p>
        </w:tc>
        <w:tc>
          <w:tcPr>
            <w:tcW w:w="992" w:type="dxa"/>
            <w:noWrap w:val="0"/>
            <w:vAlign w:val="center"/>
          </w:tcPr>
          <w:p>
            <w:pPr>
              <w:keepNext w:val="0"/>
              <w:keepLines w:val="0"/>
              <w:pageBreakBefore w:val="0"/>
              <w:kinsoku/>
              <w:wordWrap/>
              <w:overflowPunct/>
              <w:topLinePunct w:val="0"/>
              <w:bidi w:val="0"/>
              <w:snapToGrid/>
              <w:spacing w:line="240" w:lineRule="auto"/>
              <w:ind w:firstLine="0" w:firstLineChars="0"/>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3</w:t>
            </w:r>
          </w:p>
        </w:tc>
        <w:tc>
          <w:tcPr>
            <w:tcW w:w="5940" w:type="dxa"/>
            <w:noWrap w:val="0"/>
            <w:vAlign w:val="center"/>
          </w:tcPr>
          <w:p>
            <w:pPr>
              <w:pStyle w:val="41"/>
              <w:keepNext w:val="0"/>
              <w:keepLines w:val="0"/>
              <w:pageBreakBefore w:val="0"/>
              <w:kinsoku/>
              <w:wordWrap/>
              <w:overflowPunct/>
              <w:topLinePunct w:val="0"/>
              <w:bidi w:val="0"/>
              <w:snapToGrid/>
              <w:ind w:firstLine="0" w:firstLineChars="0"/>
              <w:jc w:val="both"/>
              <w:textAlignment w:val="auto"/>
              <w:rPr>
                <w:rFonts w:hint="eastAsia" w:ascii="宋体" w:hAnsi="宋体" w:eastAsia="宋体" w:cs="宋体"/>
                <w:snapToGrid/>
                <w:color w:val="auto"/>
                <w:kern w:val="2"/>
                <w:sz w:val="21"/>
                <w:szCs w:val="21"/>
                <w:lang w:val="ru-RU" w:eastAsia="zh-CN" w:bidi="ar-SA"/>
              </w:rPr>
            </w:pPr>
            <w:r>
              <w:rPr>
                <w:rFonts w:hint="eastAsia" w:ascii="宋体" w:hAnsi="宋体" w:eastAsia="宋体" w:cs="宋体"/>
                <w:snapToGrid/>
                <w:color w:val="auto"/>
                <w:kern w:val="2"/>
                <w:sz w:val="21"/>
                <w:szCs w:val="21"/>
                <w:lang w:val="ru-RU" w:eastAsia="zh-CN" w:bidi="ar-SA"/>
              </w:rPr>
              <w:t>根据供应商的培训服务方案进行打分，内容包括培训方案的针对性、培训课程设置及培训讲义内容。</w:t>
            </w:r>
            <w:r>
              <w:rPr>
                <w:rFonts w:hint="eastAsia" w:ascii="宋体" w:hAnsi="宋体" w:eastAsia="宋体" w:cs="宋体"/>
                <w:sz w:val="21"/>
                <w:szCs w:val="21"/>
              </w:rPr>
              <w:t>以上内容每具备一项且无缺陷</w:t>
            </w:r>
            <w:r>
              <w:rPr>
                <w:rFonts w:hint="eastAsia" w:ascii="宋体" w:hAnsi="宋体" w:eastAsia="宋体" w:cs="宋体"/>
                <w:spacing w:val="-10"/>
                <w:sz w:val="21"/>
                <w:szCs w:val="21"/>
              </w:rPr>
              <w:t>得</w:t>
            </w:r>
            <w:r>
              <w:rPr>
                <w:rFonts w:hint="eastAsia" w:ascii="宋体" w:hAnsi="宋体" w:eastAsia="宋体" w:cs="宋体"/>
                <w:spacing w:val="-10"/>
                <w:sz w:val="21"/>
                <w:szCs w:val="21"/>
                <w:lang w:val="en-US" w:eastAsia="zh-CN"/>
              </w:rPr>
              <w:t>1</w:t>
            </w:r>
            <w:r>
              <w:rPr>
                <w:rFonts w:hint="eastAsia" w:ascii="宋体" w:hAnsi="宋体" w:eastAsia="宋体" w:cs="宋体"/>
                <w:spacing w:val="-10"/>
                <w:sz w:val="21"/>
                <w:szCs w:val="21"/>
              </w:rPr>
              <w:t>分，最多得</w:t>
            </w:r>
            <w:r>
              <w:rPr>
                <w:rFonts w:hint="eastAsia" w:ascii="宋体" w:hAnsi="宋体" w:eastAsia="宋体" w:cs="宋体"/>
                <w:spacing w:val="-10"/>
                <w:sz w:val="21"/>
                <w:szCs w:val="21"/>
                <w:lang w:val="en-US" w:eastAsia="zh-CN"/>
              </w:rPr>
              <w:t>3</w:t>
            </w:r>
            <w:r>
              <w:rPr>
                <w:rFonts w:hint="eastAsia" w:ascii="宋体" w:hAnsi="宋体" w:eastAsia="宋体" w:cs="宋体"/>
                <w:spacing w:val="-10"/>
                <w:sz w:val="21"/>
                <w:szCs w:val="21"/>
              </w:rPr>
              <w:t>分。</w:t>
            </w:r>
            <w:r>
              <w:rPr>
                <w:rFonts w:hint="eastAsia" w:cs="宋体"/>
                <w:spacing w:val="-10"/>
                <w:sz w:val="21"/>
                <w:szCs w:val="21"/>
                <w:lang w:eastAsia="zh-CN"/>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691"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i w:val="0"/>
                <w:iCs w:val="0"/>
                <w:snapToGrid/>
                <w:color w:val="000000"/>
                <w:kern w:val="0"/>
                <w:sz w:val="21"/>
                <w:szCs w:val="21"/>
                <w:u w:val="none"/>
                <w:lang w:val="en-US" w:eastAsia="zh-CN" w:bidi="ar"/>
              </w:rPr>
              <w:t>安全保障</w:t>
            </w:r>
          </w:p>
        </w:tc>
        <w:tc>
          <w:tcPr>
            <w:tcW w:w="992" w:type="dxa"/>
            <w:noWrap w:val="0"/>
            <w:vAlign w:val="center"/>
          </w:tcPr>
          <w:p>
            <w:pPr>
              <w:keepNext w:val="0"/>
              <w:keepLines w:val="0"/>
              <w:pageBreakBefore w:val="0"/>
              <w:kinsoku/>
              <w:wordWrap/>
              <w:overflowPunct/>
              <w:topLinePunct w:val="0"/>
              <w:bidi w:val="0"/>
              <w:snapToGrid/>
              <w:spacing w:line="240" w:lineRule="auto"/>
              <w:ind w:firstLine="0" w:firstLineChars="0"/>
              <w:jc w:val="center"/>
              <w:textAlignment w:val="auto"/>
              <w:rPr>
                <w:rFonts w:hint="eastAsia" w:ascii="宋体" w:hAnsi="宋体" w:eastAsia="宋体" w:cs="宋体"/>
                <w:color w:val="auto"/>
                <w:kern w:val="2"/>
                <w:sz w:val="21"/>
                <w:szCs w:val="21"/>
                <w:lang w:val="en-US" w:eastAsia="zh-CN" w:bidi="ar-SA"/>
              </w:rPr>
            </w:pPr>
            <w:r>
              <w:rPr>
                <w:rFonts w:hint="eastAsia" w:ascii="宋体" w:hAnsi="宋体" w:cs="宋体"/>
                <w:color w:val="auto"/>
                <w:sz w:val="21"/>
                <w:szCs w:val="21"/>
                <w:lang w:val="en-US" w:eastAsia="zh-CN"/>
              </w:rPr>
              <w:t>3</w:t>
            </w:r>
          </w:p>
        </w:tc>
        <w:tc>
          <w:tcPr>
            <w:tcW w:w="5940" w:type="dxa"/>
            <w:noWrap w:val="0"/>
            <w:vAlign w:val="center"/>
          </w:tcPr>
          <w:p>
            <w:pPr>
              <w:keepNext w:val="0"/>
              <w:keepLines w:val="0"/>
              <w:pageBreakBefore w:val="0"/>
              <w:kinsoku/>
              <w:wordWrap/>
              <w:overflowPunct/>
              <w:topLinePunct w:val="0"/>
              <w:bidi w:val="0"/>
              <w:snapToGrid/>
              <w:spacing w:line="240" w:lineRule="auto"/>
              <w:ind w:firstLine="0" w:firstLineChars="0"/>
              <w:jc w:val="left"/>
              <w:textAlignment w:val="auto"/>
              <w:rPr>
                <w:rFonts w:hint="eastAsia" w:ascii="宋体" w:hAnsi="宋体" w:eastAsia="宋体" w:cs="宋体"/>
                <w:color w:val="auto"/>
                <w:kern w:val="2"/>
                <w:sz w:val="21"/>
                <w:szCs w:val="21"/>
                <w:lang w:val="ru-RU" w:eastAsia="zh-CN" w:bidi="ar-SA"/>
              </w:rPr>
            </w:pPr>
            <w:r>
              <w:rPr>
                <w:rFonts w:hint="eastAsia" w:ascii="宋体" w:hAnsi="宋体" w:eastAsia="宋体" w:cs="宋体"/>
                <w:color w:val="auto"/>
                <w:sz w:val="21"/>
                <w:szCs w:val="21"/>
              </w:rPr>
              <w:t>承诺护网期间能提供7*24小时安全值守人员的，得</w:t>
            </w:r>
            <w:r>
              <w:rPr>
                <w:rFonts w:hint="eastAsia" w:ascii="宋体" w:hAnsi="宋体" w:cs="宋体"/>
                <w:color w:val="auto"/>
                <w:sz w:val="21"/>
                <w:szCs w:val="21"/>
                <w:lang w:val="en-US" w:eastAsia="zh-CN"/>
              </w:rPr>
              <w:t>3</w:t>
            </w:r>
            <w:r>
              <w:rPr>
                <w:rFonts w:hint="eastAsia" w:ascii="宋体" w:hAnsi="宋体" w:eastAsia="宋体" w:cs="宋体"/>
                <w:color w:val="auto"/>
                <w:sz w:val="21"/>
                <w:szCs w:val="21"/>
              </w:rPr>
              <w:t>分，不能提供的，不得分。承诺书格式自拟加盖公章装订在响应文件中。</w:t>
            </w:r>
          </w:p>
        </w:tc>
      </w:tr>
    </w:tbl>
    <w:p>
      <w:pPr>
        <w:rPr>
          <w:rFonts w:hint="eastAsia"/>
          <w:color w:val="auto"/>
          <w:highlight w:val="none"/>
          <w:lang w:eastAsia="zh-CN"/>
        </w:rPr>
      </w:pPr>
    </w:p>
    <w:p>
      <w:pPr>
        <w:pStyle w:val="28"/>
        <w:rPr>
          <w:rFonts w:hint="eastAsia"/>
          <w:color w:val="auto"/>
          <w:highlight w:val="none"/>
          <w:lang w:eastAsia="zh-CN"/>
        </w:rPr>
      </w:pPr>
    </w:p>
    <w:p>
      <w:pPr>
        <w:pStyle w:val="28"/>
        <w:rPr>
          <w:rFonts w:hint="eastAsia"/>
          <w:color w:val="auto"/>
          <w:highlight w:val="none"/>
          <w:lang w:eastAsia="zh-CN"/>
        </w:rPr>
      </w:pPr>
    </w:p>
    <w:p>
      <w:pPr>
        <w:pStyle w:val="28"/>
        <w:rPr>
          <w:rFonts w:hint="eastAsia"/>
          <w:color w:val="auto"/>
          <w:highlight w:val="none"/>
          <w:lang w:eastAsia="zh-CN"/>
        </w:rPr>
      </w:pPr>
    </w:p>
    <w:p>
      <w:pPr>
        <w:pStyle w:val="27"/>
        <w:ind w:firstLine="420"/>
        <w:rPr>
          <w:color w:val="auto"/>
          <w:highlight w:val="none"/>
        </w:rPr>
      </w:pPr>
    </w:p>
    <w:p>
      <w:pPr>
        <w:wordWrap w:val="0"/>
        <w:adjustRightInd w:val="0"/>
        <w:snapToGrid w:val="0"/>
        <w:jc w:val="right"/>
        <w:rPr>
          <w:rFonts w:eastAsia="仿宋_GB2312" w:cs="仿宋_GB2312"/>
          <w:color w:val="auto"/>
          <w:highlight w:val="none"/>
        </w:rPr>
      </w:pPr>
      <w:r>
        <w:rPr>
          <w:rFonts w:hint="eastAsia" w:eastAsia="仿宋_GB2312" w:cs="仿宋_GB2312"/>
          <w:color w:val="auto"/>
          <w:highlight w:val="none"/>
        </w:rPr>
        <w:br w:type="page"/>
      </w:r>
    </w:p>
    <w:p>
      <w:pPr>
        <w:rPr>
          <w:color w:val="auto"/>
          <w:highlight w:val="none"/>
        </w:rPr>
      </w:pPr>
      <w:bookmarkStart w:id="128" w:name="_Toc25922_WPSOffice_Level1"/>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pStyle w:val="2"/>
        <w:rPr>
          <w:rFonts w:eastAsia="宋体" w:cs="宋体"/>
          <w:color w:val="auto"/>
          <w:highlight w:val="none"/>
        </w:rPr>
      </w:pPr>
      <w:bookmarkStart w:id="129" w:name="_Toc25807"/>
      <w:bookmarkStart w:id="130" w:name="_Toc78902195"/>
      <w:r>
        <w:rPr>
          <w:rFonts w:hint="eastAsia"/>
          <w:color w:val="auto"/>
          <w:highlight w:val="none"/>
        </w:rPr>
        <w:t>第五章 政府采购合同条款</w:t>
      </w:r>
      <w:bookmarkEnd w:id="128"/>
      <w:r>
        <w:rPr>
          <w:rFonts w:hint="eastAsia"/>
          <w:color w:val="auto"/>
          <w:highlight w:val="none"/>
        </w:rPr>
        <w:t>及格式</w:t>
      </w:r>
      <w:bookmarkEnd w:id="129"/>
      <w:bookmarkEnd w:id="130"/>
    </w:p>
    <w:p>
      <w:pPr>
        <w:rPr>
          <w:b/>
          <w:color w:val="auto"/>
          <w:sz w:val="36"/>
          <w:highlight w:val="none"/>
        </w:rPr>
      </w:pPr>
      <w:r>
        <w:rPr>
          <w:rFonts w:hint="eastAsia" w:cs="宋体"/>
          <w:color w:val="auto"/>
          <w:highlight w:val="none"/>
        </w:rPr>
        <w:br w:type="page"/>
      </w:r>
    </w:p>
    <w:p>
      <w:pPr>
        <w:rPr>
          <w:rFonts w:hint="eastAsia"/>
          <w:b/>
          <w:color w:val="000000"/>
          <w:sz w:val="36"/>
        </w:rPr>
      </w:pPr>
    </w:p>
    <w:p>
      <w:pPr>
        <w:rPr>
          <w:rFonts w:hint="eastAsia"/>
          <w:b/>
          <w:sz w:val="52"/>
        </w:rPr>
      </w:pPr>
    </w:p>
    <w:p>
      <w:pPr>
        <w:rPr>
          <w:rFonts w:hint="eastAsia"/>
          <w:b/>
          <w:sz w:val="52"/>
        </w:rPr>
      </w:pPr>
    </w:p>
    <w:p>
      <w:pPr>
        <w:spacing w:line="600" w:lineRule="auto"/>
        <w:jc w:val="center"/>
        <w:rPr>
          <w:rFonts w:hint="eastAsia"/>
          <w:b/>
          <w:sz w:val="48"/>
        </w:rPr>
      </w:pPr>
      <w:r>
        <w:rPr>
          <w:rFonts w:hint="eastAsia"/>
          <w:b/>
          <w:sz w:val="48"/>
        </w:rPr>
        <w:t>国家税务总局黑龙江省税务局</w:t>
      </w:r>
    </w:p>
    <w:p>
      <w:pPr>
        <w:spacing w:line="600" w:lineRule="auto"/>
        <w:jc w:val="center"/>
        <w:rPr>
          <w:rFonts w:hint="eastAsia"/>
          <w:b/>
          <w:sz w:val="48"/>
        </w:rPr>
      </w:pPr>
      <w:r>
        <w:rPr>
          <w:rFonts w:hint="eastAsia"/>
          <w:b/>
          <w:sz w:val="48"/>
        </w:rPr>
        <w:t>(项目名称)政府采购合同</w:t>
      </w:r>
    </w:p>
    <w:p>
      <w:pPr>
        <w:jc w:val="center"/>
        <w:rPr>
          <w:rFonts w:hint="eastAsia"/>
          <w:b/>
          <w:sz w:val="48"/>
        </w:rPr>
      </w:pPr>
    </w:p>
    <w:p>
      <w:pPr>
        <w:jc w:val="center"/>
        <w:rPr>
          <w:rFonts w:hint="eastAsia"/>
          <w:b/>
          <w:sz w:val="48"/>
        </w:rPr>
      </w:pPr>
    </w:p>
    <w:p>
      <w:pPr>
        <w:jc w:val="center"/>
        <w:rPr>
          <w:rFonts w:hint="eastAsia"/>
          <w:b/>
          <w:sz w:val="48"/>
        </w:rPr>
      </w:pPr>
    </w:p>
    <w:p>
      <w:pPr>
        <w:jc w:val="center"/>
        <w:rPr>
          <w:rFonts w:hint="eastAsia"/>
          <w:b/>
          <w:sz w:val="48"/>
        </w:rPr>
      </w:pPr>
    </w:p>
    <w:p>
      <w:pPr>
        <w:jc w:val="center"/>
        <w:rPr>
          <w:rFonts w:hint="eastAsia"/>
          <w:b/>
          <w:sz w:val="48"/>
        </w:rPr>
      </w:pPr>
    </w:p>
    <w:p>
      <w:pPr>
        <w:jc w:val="center"/>
        <w:rPr>
          <w:rFonts w:hint="eastAsia"/>
          <w:b/>
          <w:sz w:val="48"/>
        </w:rPr>
      </w:pPr>
    </w:p>
    <w:p>
      <w:pPr>
        <w:jc w:val="center"/>
        <w:rPr>
          <w:b/>
          <w:sz w:val="48"/>
        </w:rPr>
      </w:pPr>
    </w:p>
    <w:p>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  年   月   日</w:t>
      </w:r>
    </w:p>
    <w:p>
      <w:pPr>
        <w:pStyle w:val="27"/>
        <w:ind w:firstLine="420"/>
      </w:pPr>
      <w:r>
        <w:br w:type="page"/>
      </w:r>
    </w:p>
    <w:p>
      <w:pPr>
        <w:rPr>
          <w:rFonts w:ascii="宋体" w:hAnsi="宋体"/>
          <w:i/>
          <w:sz w:val="24"/>
        </w:rPr>
      </w:pPr>
      <w:r>
        <w:rPr>
          <w:rFonts w:hint="eastAsia" w:ascii="宋体" w:hAnsi="宋体"/>
          <w:sz w:val="24"/>
        </w:rPr>
        <w:t>甲方：【国家税务总局黑龙江省税务局】</w:t>
      </w:r>
    </w:p>
    <w:p>
      <w:pPr>
        <w:rPr>
          <w:rFonts w:ascii="宋体" w:hAnsi="宋体"/>
          <w:sz w:val="24"/>
        </w:rPr>
      </w:pPr>
    </w:p>
    <w:p>
      <w:pPr>
        <w:rPr>
          <w:rFonts w:ascii="宋体" w:hAnsi="宋体"/>
          <w:sz w:val="24"/>
        </w:rPr>
      </w:pPr>
      <w:r>
        <w:rPr>
          <w:rFonts w:hint="eastAsia" w:ascii="宋体" w:hAnsi="宋体"/>
          <w:sz w:val="24"/>
        </w:rPr>
        <w:t>乙方：【                】</w:t>
      </w:r>
    </w:p>
    <w:p>
      <w:pPr>
        <w:rPr>
          <w:rFonts w:ascii="宋体" w:hAnsi="宋体"/>
          <w:sz w:val="24"/>
        </w:rPr>
      </w:pPr>
    </w:p>
    <w:p>
      <w:pPr>
        <w:spacing w:line="432" w:lineRule="auto"/>
        <w:ind w:firstLine="480" w:firstLineChars="200"/>
        <w:rPr>
          <w:rFonts w:ascii="宋体" w:hAnsi="宋体"/>
          <w:sz w:val="24"/>
        </w:rPr>
      </w:pPr>
      <w:r>
        <w:rPr>
          <w:rFonts w:hint="eastAsia" w:ascii="宋体" w:hAnsi="宋体"/>
          <w:sz w:val="24"/>
        </w:rPr>
        <w:t>国家税务总局黑龙江省税务局组织的</w:t>
      </w:r>
      <w:r>
        <w:rPr>
          <w:rFonts w:ascii="宋体" w:hAnsi="宋体"/>
          <w:sz w:val="24"/>
        </w:rPr>
        <w:t>(</w:t>
      </w:r>
      <w:r>
        <w:rPr>
          <w:rFonts w:ascii="宋体" w:hAnsi="宋体"/>
          <w:sz w:val="24"/>
          <w:u w:val="single"/>
        </w:rPr>
        <w:t>*</w:t>
      </w:r>
      <w:r>
        <w:rPr>
          <w:rFonts w:hint="eastAsia" w:ascii="宋体" w:hAnsi="宋体"/>
          <w:sz w:val="24"/>
          <w:u w:val="single"/>
        </w:rPr>
        <w:t>项目名称</w:t>
      </w:r>
      <w:r>
        <w:rPr>
          <w:rFonts w:ascii="宋体" w:hAnsi="宋体"/>
          <w:sz w:val="24"/>
        </w:rPr>
        <w:t>)</w:t>
      </w:r>
      <w:r>
        <w:rPr>
          <w:rFonts w:hint="eastAsia" w:ascii="宋体" w:hAnsi="宋体"/>
          <w:sz w:val="24"/>
        </w:rPr>
        <w:t>项目（招标编号：</w:t>
      </w:r>
      <w:r>
        <w:rPr>
          <w:rFonts w:ascii="宋体" w:hAnsi="宋体"/>
          <w:sz w:val="24"/>
        </w:rPr>
        <w:t xml:space="preserve">        </w:t>
      </w:r>
      <w:r>
        <w:rPr>
          <w:rFonts w:hint="eastAsia" w:ascii="宋体" w:hAnsi="宋体"/>
          <w:sz w:val="24"/>
        </w:rPr>
        <w:t>）</w:t>
      </w:r>
      <w:r>
        <w:rPr>
          <w:rFonts w:ascii="宋体" w:hAnsi="宋体"/>
          <w:sz w:val="24"/>
        </w:rPr>
        <w:t xml:space="preserve">              </w:t>
      </w:r>
      <w:r>
        <w:rPr>
          <w:rFonts w:hint="eastAsia" w:ascii="宋体" w:hAnsi="宋体"/>
          <w:sz w:val="24"/>
        </w:rPr>
        <w:t>经黑龙江省招标公司国内公开招标，(</w:t>
      </w:r>
      <w:r>
        <w:rPr>
          <w:rFonts w:hint="eastAsia" w:ascii="宋体" w:hAnsi="宋体"/>
          <w:sz w:val="24"/>
          <w:u w:val="single"/>
        </w:rPr>
        <w:t>*乙方名称</w:t>
      </w:r>
      <w:r>
        <w:rPr>
          <w:rFonts w:hint="eastAsia" w:ascii="宋体" w:hAnsi="宋体"/>
          <w:sz w:val="24"/>
        </w:rPr>
        <w:t>)为中标单位。根据《中华人民共和国政府采购法》、《中华人民共和国民法典》等法律、法规规定，按照招投标文件规定条款和中标供应商承诺，经平等自愿协商达成一致，甲乙双方签订本合同。</w:t>
      </w:r>
    </w:p>
    <w:p>
      <w:pPr>
        <w:ind w:firstLine="420"/>
        <w:rPr>
          <w:rFonts w:hint="eastAsia" w:ascii="宋体" w:hAnsi="宋体"/>
          <w:sz w:val="24"/>
        </w:rPr>
      </w:pPr>
      <w:r>
        <w:rPr>
          <w:rFonts w:hint="eastAsia" w:ascii="宋体" w:hAnsi="宋体"/>
          <w:sz w:val="24"/>
        </w:rPr>
        <w:t>甲乙双方本着相互信任、真诚合作、共同发展的原则，在友好协商的基础上共同制定如下合同内容。</w:t>
      </w:r>
    </w:p>
    <w:p>
      <w:pPr>
        <w:pStyle w:val="27"/>
        <w:rPr>
          <w:rFonts w:hint="eastAsia" w:ascii="宋体" w:hAnsi="宋体"/>
          <w:sz w:val="24"/>
        </w:rPr>
      </w:pPr>
    </w:p>
    <w:p>
      <w:pPr>
        <w:pStyle w:val="3"/>
        <w:rPr>
          <w:rFonts w:hint="eastAsia" w:ascii="宋体" w:hAnsi="宋体"/>
          <w:sz w:val="24"/>
          <w:szCs w:val="24"/>
        </w:rPr>
      </w:pPr>
      <w:r>
        <w:rPr>
          <w:rFonts w:hint="eastAsia" w:ascii="宋体" w:hAnsi="宋体"/>
          <w:sz w:val="24"/>
          <w:szCs w:val="24"/>
        </w:rPr>
        <w:t>第一条  总则</w:t>
      </w:r>
    </w:p>
    <w:p>
      <w:pPr>
        <w:rPr>
          <w:rFonts w:hint="eastAsia" w:ascii="宋体" w:hAnsi="宋体"/>
          <w:sz w:val="24"/>
        </w:rPr>
      </w:pPr>
      <w:r>
        <w:rPr>
          <w:rFonts w:hint="eastAsia" w:ascii="宋体" w:hAnsi="宋体"/>
          <w:sz w:val="24"/>
        </w:rPr>
        <w:t>1．定义</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pPr>
        <w:rPr>
          <w:rFonts w:hint="eastAsia" w:ascii="宋体" w:hAnsi="宋体"/>
          <w:sz w:val="24"/>
        </w:rPr>
      </w:pPr>
      <w:r>
        <w:rPr>
          <w:rFonts w:hint="eastAsia" w:ascii="宋体" w:hAnsi="宋体"/>
          <w:sz w:val="24"/>
        </w:rPr>
        <w:t>2．合同生效</w:t>
      </w:r>
    </w:p>
    <w:p>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pPr>
        <w:rPr>
          <w:rFonts w:hint="eastAsia" w:ascii="宋体" w:hAnsi="宋体"/>
          <w:sz w:val="24"/>
        </w:rPr>
      </w:pPr>
      <w:r>
        <w:rPr>
          <w:rFonts w:hint="eastAsia" w:ascii="宋体" w:hAnsi="宋体"/>
          <w:sz w:val="24"/>
        </w:rPr>
        <w:t>3．合同修改</w:t>
      </w:r>
    </w:p>
    <w:p>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pPr>
        <w:rPr>
          <w:rFonts w:hint="eastAsia" w:ascii="宋体" w:hAnsi="宋体"/>
          <w:sz w:val="24"/>
        </w:rPr>
      </w:pPr>
      <w:r>
        <w:rPr>
          <w:rFonts w:hint="eastAsia" w:ascii="宋体" w:hAnsi="宋体"/>
          <w:sz w:val="24"/>
        </w:rPr>
        <w:t>4．补充条款</w:t>
      </w:r>
    </w:p>
    <w:p>
      <w:pPr>
        <w:rPr>
          <w:rFonts w:hint="eastAsia" w:ascii="宋体" w:hAnsi="宋体"/>
          <w:sz w:val="24"/>
        </w:rPr>
      </w:pPr>
      <w:r>
        <w:rPr>
          <w:rFonts w:hint="eastAsia" w:ascii="宋体" w:hAnsi="宋体"/>
          <w:sz w:val="24"/>
        </w:rPr>
        <w:t>本合同生效后，经双方共同协商，可以达成书面补充协议，补充协议与本合同具有同等效力。</w:t>
      </w:r>
    </w:p>
    <w:p>
      <w:pPr>
        <w:rPr>
          <w:rFonts w:hint="eastAsia" w:ascii="宋体" w:hAnsi="宋体"/>
          <w:sz w:val="24"/>
        </w:rPr>
      </w:pPr>
      <w:r>
        <w:rPr>
          <w:rFonts w:hint="eastAsia" w:ascii="宋体" w:hAnsi="宋体"/>
          <w:sz w:val="24"/>
        </w:rPr>
        <w:t>5．告知</w:t>
      </w:r>
    </w:p>
    <w:p>
      <w:pPr>
        <w:rPr>
          <w:rFonts w:hint="eastAsia" w:ascii="宋体" w:hAnsi="宋体"/>
          <w:sz w:val="24"/>
        </w:rPr>
      </w:pPr>
      <w:r>
        <w:rPr>
          <w:rFonts w:hint="eastAsia" w:ascii="宋体" w:hAnsi="宋体"/>
          <w:sz w:val="24"/>
        </w:rPr>
        <w:t xml:space="preserve">涉及本合同的一切事宜均以书面形式提交，对方应及时响应。 </w:t>
      </w:r>
    </w:p>
    <w:p>
      <w:pPr>
        <w:rPr>
          <w:rFonts w:hint="eastAsia" w:ascii="宋体" w:hAnsi="宋体"/>
          <w:sz w:val="24"/>
        </w:rPr>
      </w:pPr>
      <w:r>
        <w:rPr>
          <w:rFonts w:hint="eastAsia" w:ascii="宋体" w:hAnsi="宋体"/>
          <w:sz w:val="24"/>
        </w:rPr>
        <w:t>6．保密责任</w:t>
      </w:r>
    </w:p>
    <w:p>
      <w:pPr>
        <w:rPr>
          <w:rFonts w:hint="eastAsia" w:ascii="宋体" w:hAnsi="宋体"/>
          <w:sz w:val="24"/>
        </w:rPr>
      </w:pPr>
      <w:r>
        <w:rPr>
          <w:rFonts w:hint="eastAsia" w:ascii="宋体" w:hAnsi="宋体"/>
          <w:sz w:val="24"/>
        </w:rPr>
        <w:t>双方共同恪守对技术及对项目的保密责任。</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pPr>
        <w:rPr>
          <w:rFonts w:hint="eastAsia" w:ascii="宋体" w:hAnsi="宋体"/>
          <w:sz w:val="24"/>
        </w:rPr>
      </w:pPr>
    </w:p>
    <w:p>
      <w:pPr>
        <w:pStyle w:val="3"/>
        <w:rPr>
          <w:rFonts w:hint="eastAsia" w:ascii="宋体" w:hAnsi="宋体"/>
          <w:sz w:val="24"/>
          <w:szCs w:val="24"/>
        </w:rPr>
      </w:pPr>
      <w:r>
        <w:rPr>
          <w:rFonts w:hint="eastAsia" w:ascii="宋体" w:hAnsi="宋体"/>
          <w:sz w:val="24"/>
          <w:szCs w:val="24"/>
        </w:rPr>
        <w:t>第二条服务内容及相关事项</w:t>
      </w:r>
    </w:p>
    <w:tbl>
      <w:tblPr>
        <w:tblStyle w:val="21"/>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9" w:type="dxa"/>
            <w:noWrap w:val="0"/>
            <w:vAlign w:val="center"/>
          </w:tcPr>
          <w:p>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noWrap w:val="0"/>
            <w:vAlign w:val="center"/>
          </w:tcPr>
          <w:p>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noWrap w:val="0"/>
            <w:vAlign w:val="center"/>
          </w:tcPr>
          <w:p>
            <w:pPr>
              <w:jc w:val="center"/>
              <w:rPr>
                <w:rFonts w:ascii="宋体" w:hAnsi="宋体"/>
                <w:b/>
                <w:sz w:val="24"/>
              </w:rPr>
            </w:pPr>
            <w:r>
              <w:rPr>
                <w:rFonts w:hint="eastAsia" w:ascii="宋体" w:hAnsi="宋体"/>
                <w:b/>
                <w:sz w:val="24"/>
              </w:rPr>
              <w:t>服务条款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restart"/>
            <w:noWrap w:val="0"/>
            <w:vAlign w:val="center"/>
          </w:tcPr>
          <w:p>
            <w:pPr>
              <w:rPr>
                <w:rFonts w:hint="eastAsia" w:ascii="宋体" w:hAnsi="宋体"/>
                <w:sz w:val="24"/>
              </w:rPr>
            </w:pPr>
            <w:r>
              <w:rPr>
                <w:rFonts w:hint="eastAsia" w:ascii="宋体" w:hAnsi="宋体"/>
                <w:sz w:val="24"/>
              </w:rPr>
              <w:t>国家税务总局黑龙江省</w:t>
            </w:r>
          </w:p>
          <w:p>
            <w:pPr>
              <w:rPr>
                <w:rFonts w:ascii="宋体" w:hAnsi="宋体"/>
                <w:sz w:val="24"/>
              </w:rPr>
            </w:pPr>
            <w:r>
              <w:rPr>
                <w:rFonts w:hint="eastAsia" w:ascii="宋体" w:hAnsi="宋体"/>
                <w:sz w:val="24"/>
              </w:rPr>
              <w:t>税务局</w:t>
            </w:r>
            <w:r>
              <w:rPr>
                <w:rFonts w:ascii="宋体" w:hAnsi="宋体"/>
                <w:sz w:val="24"/>
              </w:rPr>
              <w:t>(</w:t>
            </w:r>
            <w:r>
              <w:rPr>
                <w:rFonts w:ascii="宋体" w:hAnsi="宋体"/>
                <w:sz w:val="24"/>
                <w:u w:val="single"/>
              </w:rPr>
              <w:t>*</w:t>
            </w:r>
            <w:r>
              <w:rPr>
                <w:rFonts w:hint="eastAsia" w:ascii="宋体" w:hAnsi="宋体"/>
                <w:sz w:val="24"/>
                <w:u w:val="single"/>
              </w:rPr>
              <w:t>项目名称</w:t>
            </w:r>
            <w:r>
              <w:rPr>
                <w:rFonts w:ascii="宋体" w:hAnsi="宋体"/>
                <w:sz w:val="24"/>
              </w:rPr>
              <w:t>)</w:t>
            </w: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left"/>
              <w:rPr>
                <w:rFonts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right w:val="single" w:color="auto" w:sz="4" w:space="0"/>
            </w:tcBorders>
            <w:noWrap w:val="0"/>
            <w:vAlign w:val="top"/>
          </w:tcPr>
          <w:p>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noWrap w:val="0"/>
            <w:vAlign w:val="center"/>
          </w:tcPr>
          <w:p>
            <w:pPr>
              <w:rPr>
                <w:rFonts w:ascii="宋体" w:hAnsi="宋体"/>
                <w:sz w:val="24"/>
              </w:rPr>
            </w:pPr>
          </w:p>
        </w:tc>
      </w:tr>
    </w:tbl>
    <w:p>
      <w:pPr>
        <w:rPr>
          <w:rFonts w:hint="eastAsia" w:ascii="宋体" w:hAnsi="宋体"/>
          <w:sz w:val="24"/>
        </w:rPr>
      </w:pPr>
    </w:p>
    <w:p>
      <w:pPr>
        <w:pStyle w:val="2"/>
        <w:spacing w:before="200" w:after="200" w:line="240" w:lineRule="auto"/>
        <w:rPr>
          <w:rFonts w:hint="eastAsia" w:ascii="宋体" w:hAnsi="宋体"/>
          <w:kern w:val="2"/>
          <w:sz w:val="24"/>
          <w:szCs w:val="24"/>
        </w:rPr>
      </w:pPr>
      <w:r>
        <w:rPr>
          <w:rFonts w:hint="eastAsia" w:ascii="宋体" w:hAnsi="宋体"/>
          <w:kern w:val="2"/>
          <w:sz w:val="24"/>
          <w:szCs w:val="24"/>
        </w:rPr>
        <w:t xml:space="preserve">第三条  </w:t>
      </w:r>
      <w:r>
        <w:rPr>
          <w:rFonts w:hint="eastAsia" w:ascii="宋体" w:hAnsi="宋体"/>
          <w:kern w:val="2"/>
          <w:sz w:val="24"/>
          <w:szCs w:val="24"/>
          <w:lang w:eastAsia="zh-CN"/>
        </w:rPr>
        <w:t>服务</w:t>
      </w:r>
      <w:r>
        <w:rPr>
          <w:rFonts w:hint="eastAsia" w:ascii="宋体" w:hAnsi="宋体"/>
          <w:kern w:val="2"/>
          <w:sz w:val="24"/>
          <w:szCs w:val="24"/>
        </w:rPr>
        <w:t>内容</w:t>
      </w:r>
    </w:p>
    <w:p>
      <w:pPr>
        <w:numPr>
          <w:ilvl w:val="0"/>
          <w:numId w:val="7"/>
        </w:numPr>
        <w:rPr>
          <w:rFonts w:hint="eastAsia" w:ascii="宋体" w:hAnsi="宋体"/>
          <w:sz w:val="24"/>
        </w:rPr>
      </w:pPr>
      <w:r>
        <w:rPr>
          <w:rFonts w:hint="eastAsia" w:ascii="宋体" w:hAnsi="宋体"/>
          <w:sz w:val="24"/>
        </w:rPr>
        <w:t>在一年服务期内，乙方为完成“</w:t>
      </w:r>
      <w:r>
        <w:rPr>
          <w:rFonts w:hint="eastAsia" w:ascii="宋体" w:hAnsi="宋体"/>
          <w:sz w:val="24"/>
          <w:u w:val="single"/>
        </w:rPr>
        <w:t>（项目名称）</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pPr>
        <w:numPr>
          <w:ilvl w:val="0"/>
          <w:numId w:val="7"/>
        </w:numPr>
        <w:rPr>
          <w:rFonts w:hint="eastAsia" w:ascii="宋体" w:hAnsi="宋体"/>
          <w:sz w:val="24"/>
        </w:rPr>
      </w:pPr>
      <w:r>
        <w:rPr>
          <w:rFonts w:hint="eastAsia" w:ascii="宋体" w:hAnsi="宋体"/>
          <w:sz w:val="24"/>
        </w:rPr>
        <w:t>乙方委派。</w:t>
      </w:r>
    </w:p>
    <w:p>
      <w:pPr>
        <w:pStyle w:val="27"/>
        <w:ind w:firstLine="420"/>
        <w:rPr>
          <w:rFonts w:hint="eastAsia"/>
        </w:rPr>
      </w:pPr>
      <w:r>
        <w:rPr>
          <w:rFonts w:hint="eastAsia"/>
        </w:rPr>
        <w:t>（同“附件2”人员）</w:t>
      </w:r>
    </w:p>
    <w:p>
      <w:pPr>
        <w:numPr>
          <w:ilvl w:val="0"/>
          <w:numId w:val="7"/>
        </w:numPr>
        <w:rPr>
          <w:rFonts w:hint="eastAsia" w:ascii="宋体" w:hAnsi="宋体"/>
          <w:sz w:val="24"/>
        </w:rPr>
      </w:pPr>
      <w:r>
        <w:rPr>
          <w:rFonts w:hint="eastAsia" w:ascii="宋体" w:hAnsi="宋体"/>
          <w:sz w:val="24"/>
        </w:rPr>
        <w:t>服务电话。</w:t>
      </w:r>
    </w:p>
    <w:p>
      <w:pPr>
        <w:pStyle w:val="27"/>
        <w:rPr>
          <w:rFonts w:hint="eastAsia" w:ascii="宋体" w:hAnsi="宋体"/>
          <w:sz w:val="24"/>
        </w:rPr>
      </w:pPr>
      <w:r>
        <w:rPr>
          <w:rFonts w:hint="eastAsia" w:ascii="宋体" w:hAnsi="宋体"/>
          <w:sz w:val="24"/>
        </w:rPr>
        <w:t>（售后电话，必填项）</w:t>
      </w:r>
    </w:p>
    <w:p>
      <w:pPr>
        <w:pStyle w:val="2"/>
        <w:spacing w:before="200" w:after="200" w:line="240" w:lineRule="auto"/>
        <w:rPr>
          <w:rFonts w:ascii="宋体" w:hAnsi="宋体"/>
          <w:kern w:val="2"/>
          <w:sz w:val="24"/>
          <w:szCs w:val="24"/>
        </w:rPr>
      </w:pPr>
      <w:r>
        <w:rPr>
          <w:rFonts w:hint="eastAsia" w:ascii="宋体" w:hAnsi="宋体"/>
          <w:kern w:val="2"/>
          <w:sz w:val="24"/>
          <w:szCs w:val="24"/>
        </w:rPr>
        <w:t>第四条  服务期限及服务生效时间</w:t>
      </w:r>
    </w:p>
    <w:p>
      <w:pPr>
        <w:ind w:firstLine="240" w:firstLineChars="100"/>
        <w:rPr>
          <w:rFonts w:hint="eastAsia" w:ascii="宋体" w:hAnsi="宋体"/>
          <w:color w:val="000000"/>
          <w:sz w:val="24"/>
        </w:rPr>
      </w:pPr>
      <w:r>
        <w:rPr>
          <w:rFonts w:hint="eastAsia" w:ascii="宋体" w:hAnsi="宋体"/>
          <w:color w:val="000000"/>
          <w:sz w:val="24"/>
        </w:rPr>
        <w:t>1丶本合同有效期一年，自＿年  ＿月＿日起至＿年＿月＿日止。</w:t>
      </w:r>
    </w:p>
    <w:p>
      <w:pPr>
        <w:ind w:firstLine="240" w:firstLineChars="100"/>
        <w:rPr>
          <w:rFonts w:hint="eastAsia" w:ascii="宋体" w:hAnsi="宋体"/>
          <w:color w:val="000000"/>
          <w:sz w:val="24"/>
        </w:rPr>
      </w:pPr>
      <w:r>
        <w:rPr>
          <w:rFonts w:hint="eastAsia" w:ascii="宋体" w:hAnsi="宋体"/>
          <w:color w:val="000000"/>
          <w:sz w:val="24"/>
        </w:rPr>
        <w:t>2丶本项目为政府采购服务类采购项目，按照《财政部关于推进和完善服务项目政府采购有关问题的通知》（财库2014  37号）文件要求，采购结果最多__3__年沿用，合同一年一考核一续签。是否续签，由甲方视财政预算安排及乙方供应商资质条件（是否符合《政府采购法》第二十二条规定等）、服务质量、服务内容、服务满意度等绩效考核情况确定。</w:t>
      </w:r>
    </w:p>
    <w:p>
      <w:pPr>
        <w:pStyle w:val="27"/>
        <w:rPr>
          <w:rFonts w:ascii="宋体" w:hAnsi="宋体"/>
          <w:sz w:val="24"/>
        </w:rPr>
      </w:pPr>
    </w:p>
    <w:p>
      <w:pPr>
        <w:pStyle w:val="2"/>
        <w:spacing w:before="200" w:after="200" w:line="240" w:lineRule="auto"/>
        <w:rPr>
          <w:rFonts w:hint="eastAsia" w:ascii="宋体" w:hAnsi="宋体"/>
          <w:kern w:val="2"/>
          <w:sz w:val="24"/>
          <w:szCs w:val="24"/>
        </w:rPr>
      </w:pPr>
      <w:r>
        <w:rPr>
          <w:rFonts w:hint="eastAsia" w:ascii="宋体" w:hAnsi="宋体"/>
          <w:kern w:val="2"/>
          <w:sz w:val="24"/>
          <w:szCs w:val="24"/>
        </w:rPr>
        <w:t>第五条 具体服务项目计费标准</w:t>
      </w:r>
    </w:p>
    <w:tbl>
      <w:tblPr>
        <w:tblStyle w:val="21"/>
        <w:tblpPr w:leftFromText="180" w:rightFromText="180" w:vertAnchor="text" w:horzAnchor="page" w:tblpX="1402" w:tblpY="50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left"/>
              <w:rPr>
                <w:rFonts w:ascii="宋体" w:hAnsi="宋体"/>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pPr>
        <w:pStyle w:val="2"/>
        <w:spacing w:before="200" w:after="200" w:line="240" w:lineRule="auto"/>
        <w:rPr>
          <w:rFonts w:hint="eastAsia" w:ascii="宋体" w:hAnsi="宋体"/>
          <w:kern w:val="2"/>
          <w:sz w:val="24"/>
          <w:szCs w:val="24"/>
        </w:rPr>
      </w:pPr>
      <w:r>
        <w:rPr>
          <w:rFonts w:hint="eastAsia" w:ascii="宋体" w:hAnsi="宋体"/>
          <w:kern w:val="2"/>
          <w:sz w:val="24"/>
          <w:szCs w:val="24"/>
        </w:rPr>
        <w:t>第六条 费用支付方式</w:t>
      </w:r>
    </w:p>
    <w:p>
      <w:pPr>
        <w:ind w:firstLine="420"/>
        <w:rPr>
          <w:rFonts w:hint="eastAsia" w:ascii="宋体" w:hAnsi="宋体"/>
          <w:iCs/>
          <w:sz w:val="24"/>
          <w:lang w:val="en-US" w:eastAsia="zh-CN"/>
        </w:rPr>
      </w:pPr>
      <w:r>
        <w:rPr>
          <w:rFonts w:hint="eastAsia" w:ascii="宋体" w:hAnsi="宋体"/>
          <w:sz w:val="24"/>
        </w:rPr>
        <w:t>合同标的服务费金额为</w:t>
      </w:r>
      <w:r>
        <w:rPr>
          <w:rFonts w:hint="eastAsia" w:ascii="宋体" w:hAnsi="宋体"/>
          <w:iCs/>
          <w:sz w:val="24"/>
        </w:rPr>
        <w:t>人民币</w:t>
      </w:r>
      <w:r>
        <w:rPr>
          <w:rFonts w:hint="eastAsia" w:ascii="宋体" w:hAnsi="宋体"/>
          <w:iCs/>
          <w:sz w:val="24"/>
          <w:u w:val="single"/>
        </w:rPr>
        <w:t xml:space="preserve">   </w:t>
      </w:r>
      <w:r>
        <w:rPr>
          <w:rFonts w:hint="eastAsia" w:ascii="宋体" w:hAnsi="宋体"/>
          <w:iCs/>
          <w:sz w:val="24"/>
        </w:rPr>
        <w:t>万元（大写：</w:t>
      </w:r>
      <w:r>
        <w:rPr>
          <w:rFonts w:hint="eastAsia" w:ascii="宋体" w:hAnsi="宋体"/>
          <w:spacing w:val="4"/>
          <w:sz w:val="24"/>
          <w:u w:val="single"/>
        </w:rPr>
        <w:t xml:space="preserve">     </w:t>
      </w:r>
      <w:r>
        <w:rPr>
          <w:rFonts w:hint="eastAsia" w:ascii="宋体" w:hAnsi="宋体"/>
          <w:spacing w:val="4"/>
          <w:sz w:val="24"/>
        </w:rPr>
        <w:t>整</w:t>
      </w:r>
      <w:r>
        <w:rPr>
          <w:rFonts w:hint="eastAsia" w:ascii="宋体" w:hAnsi="宋体"/>
          <w:iCs/>
          <w:sz w:val="24"/>
        </w:rPr>
        <w:t>）。合同签订后，</w:t>
      </w:r>
      <w:r>
        <w:rPr>
          <w:rFonts w:hint="eastAsia" w:ascii="宋体" w:hAnsi="宋体"/>
          <w:iCs/>
          <w:sz w:val="24"/>
          <w:lang w:val="en-US" w:eastAsia="zh-CN"/>
        </w:rPr>
        <w:t>（</w:t>
      </w:r>
      <w:r>
        <w:rPr>
          <w:rFonts w:hint="eastAsia" w:ascii="宋体" w:hAnsi="宋体"/>
          <w:iCs/>
          <w:sz w:val="24"/>
        </w:rPr>
        <w:t>甲方以银行转账形式支付乙方价款，乙方需在甲方转帐前10日内提供符合甲方要求的等额票据</w:t>
      </w:r>
      <w:r>
        <w:rPr>
          <w:rFonts w:hint="eastAsia" w:ascii="宋体" w:hAnsi="宋体"/>
          <w:iCs/>
          <w:sz w:val="24"/>
          <w:lang w:val="en-US" w:eastAsia="zh-CN"/>
        </w:rPr>
        <w:t>）</w:t>
      </w:r>
      <w:r>
        <w:rPr>
          <w:rFonts w:hint="eastAsia" w:ascii="宋体" w:hAnsi="宋体"/>
          <w:sz w:val="24"/>
        </w:rPr>
        <w:t>甲方支付给乙方合同价款的</w:t>
      </w:r>
      <w:r>
        <w:rPr>
          <w:rFonts w:hint="eastAsia" w:ascii="宋体" w:hAnsi="宋体"/>
          <w:spacing w:val="4"/>
          <w:sz w:val="24"/>
          <w:u w:val="single"/>
        </w:rPr>
        <w:t xml:space="preserve">  </w:t>
      </w:r>
      <w:r>
        <w:rPr>
          <w:rFonts w:hint="eastAsia" w:ascii="宋体" w:hAnsi="宋体"/>
          <w:spacing w:val="4"/>
          <w:sz w:val="24"/>
        </w:rPr>
        <w:t>%，</w:t>
      </w:r>
      <w:r>
        <w:rPr>
          <w:rFonts w:hint="eastAsia" w:ascii="宋体" w:hAnsi="宋体"/>
          <w:sz w:val="24"/>
        </w:rPr>
        <w:t>人民币</w:t>
      </w:r>
      <w:r>
        <w:rPr>
          <w:rFonts w:hint="eastAsia" w:ascii="宋体" w:hAnsi="宋体"/>
          <w:iCs/>
          <w:sz w:val="24"/>
          <w:u w:val="single"/>
        </w:rPr>
        <w:t xml:space="preserve">   </w:t>
      </w:r>
      <w:r>
        <w:rPr>
          <w:rFonts w:hint="eastAsia" w:ascii="宋体" w:hAnsi="宋体"/>
          <w:iCs/>
          <w:sz w:val="24"/>
        </w:rPr>
        <w:t>万元</w:t>
      </w:r>
      <w:r>
        <w:rPr>
          <w:rFonts w:hint="eastAsia" w:ascii="宋体" w:hAnsi="宋体"/>
          <w:spacing w:val="4"/>
          <w:sz w:val="24"/>
        </w:rPr>
        <w:t>（大写：</w:t>
      </w:r>
      <w:r>
        <w:rPr>
          <w:rFonts w:hint="eastAsia" w:ascii="宋体" w:hAnsi="宋体"/>
          <w:spacing w:val="4"/>
          <w:sz w:val="24"/>
          <w:u w:val="single"/>
        </w:rPr>
        <w:t xml:space="preserve">      </w:t>
      </w:r>
      <w:r>
        <w:rPr>
          <w:rFonts w:hint="eastAsia" w:ascii="宋体" w:hAnsi="宋体"/>
          <w:spacing w:val="4"/>
          <w:sz w:val="24"/>
        </w:rPr>
        <w:t>元整）；项目终</w:t>
      </w:r>
      <w:r>
        <w:rPr>
          <w:rFonts w:hint="eastAsia" w:ascii="宋体" w:hAnsi="宋体"/>
          <w:sz w:val="24"/>
        </w:rPr>
        <w:t>期验收合格10个工作日内，甲方支付给乙方人民币合同价款的</w:t>
      </w:r>
      <w:r>
        <w:rPr>
          <w:rFonts w:hint="eastAsia" w:ascii="宋体" w:hAnsi="宋体"/>
          <w:spacing w:val="4"/>
          <w:sz w:val="24"/>
          <w:u w:val="single"/>
        </w:rPr>
        <w:t xml:space="preserve">   </w:t>
      </w:r>
      <w:r>
        <w:rPr>
          <w:rFonts w:hint="eastAsia" w:ascii="宋体" w:hAnsi="宋体"/>
          <w:spacing w:val="4"/>
          <w:sz w:val="24"/>
        </w:rPr>
        <w:t>%，</w:t>
      </w:r>
      <w:r>
        <w:rPr>
          <w:rFonts w:hint="eastAsia" w:ascii="宋体" w:hAnsi="宋体"/>
          <w:sz w:val="24"/>
        </w:rPr>
        <w:t>人民币</w:t>
      </w:r>
      <w:r>
        <w:rPr>
          <w:rFonts w:hint="eastAsia" w:ascii="宋体" w:hAnsi="宋体"/>
          <w:iCs/>
          <w:sz w:val="24"/>
          <w:u w:val="single"/>
        </w:rPr>
        <w:t xml:space="preserve">   </w:t>
      </w:r>
      <w:r>
        <w:rPr>
          <w:rFonts w:hint="eastAsia" w:ascii="宋体" w:hAnsi="宋体"/>
          <w:iCs/>
          <w:sz w:val="24"/>
        </w:rPr>
        <w:t>万元</w:t>
      </w:r>
      <w:r>
        <w:rPr>
          <w:rFonts w:hint="eastAsia" w:ascii="宋体" w:hAnsi="宋体"/>
          <w:spacing w:val="4"/>
          <w:sz w:val="24"/>
        </w:rPr>
        <w:t>（大写：</w:t>
      </w:r>
      <w:r>
        <w:rPr>
          <w:rFonts w:hint="eastAsia" w:ascii="宋体" w:hAnsi="宋体"/>
          <w:spacing w:val="4"/>
          <w:sz w:val="24"/>
          <w:u w:val="single"/>
        </w:rPr>
        <w:t xml:space="preserve">      </w:t>
      </w:r>
      <w:r>
        <w:rPr>
          <w:rFonts w:hint="eastAsia" w:ascii="宋体" w:hAnsi="宋体"/>
          <w:spacing w:val="4"/>
          <w:sz w:val="24"/>
        </w:rPr>
        <w:t>元整）；服务期满</w:t>
      </w:r>
      <w:r>
        <w:rPr>
          <w:rFonts w:hint="eastAsia" w:ascii="宋体" w:hAnsi="宋体"/>
          <w:sz w:val="24"/>
        </w:rPr>
        <w:t>10个工作日后，甲方支付合同价款的</w:t>
      </w:r>
      <w:r>
        <w:rPr>
          <w:rFonts w:hint="eastAsia" w:ascii="宋体" w:hAnsi="宋体"/>
          <w:iCs/>
          <w:sz w:val="24"/>
          <w:u w:val="single"/>
        </w:rPr>
        <w:t>10</w:t>
      </w:r>
      <w:r>
        <w:rPr>
          <w:rFonts w:hint="eastAsia" w:ascii="宋体" w:hAnsi="宋体"/>
          <w:iCs/>
          <w:sz w:val="24"/>
        </w:rPr>
        <w:t>%，</w:t>
      </w:r>
      <w:r>
        <w:rPr>
          <w:rFonts w:hint="eastAsia" w:ascii="宋体" w:hAnsi="宋体"/>
          <w:sz w:val="24"/>
        </w:rPr>
        <w:t>人民币</w:t>
      </w:r>
      <w:r>
        <w:rPr>
          <w:rFonts w:hint="eastAsia" w:ascii="宋体" w:hAnsi="宋体"/>
          <w:iCs/>
          <w:sz w:val="24"/>
          <w:u w:val="single"/>
        </w:rPr>
        <w:t xml:space="preserve">   </w:t>
      </w:r>
      <w:r>
        <w:rPr>
          <w:rFonts w:hint="eastAsia" w:ascii="宋体" w:hAnsi="宋体"/>
          <w:iCs/>
          <w:sz w:val="24"/>
        </w:rPr>
        <w:t>万元</w:t>
      </w:r>
      <w:r>
        <w:rPr>
          <w:rFonts w:hint="eastAsia" w:ascii="宋体" w:hAnsi="宋体"/>
          <w:spacing w:val="4"/>
          <w:sz w:val="24"/>
        </w:rPr>
        <w:t>（大写：</w:t>
      </w:r>
      <w:r>
        <w:rPr>
          <w:rFonts w:hint="eastAsia" w:ascii="宋体" w:hAnsi="宋体"/>
          <w:spacing w:val="4"/>
          <w:sz w:val="24"/>
          <w:u w:val="single"/>
        </w:rPr>
        <w:t xml:space="preserve">      </w:t>
      </w:r>
      <w:r>
        <w:rPr>
          <w:rFonts w:hint="eastAsia" w:ascii="宋体" w:hAnsi="宋体"/>
          <w:spacing w:val="4"/>
          <w:sz w:val="24"/>
        </w:rPr>
        <w:t>元整）</w:t>
      </w:r>
      <w:r>
        <w:rPr>
          <w:rFonts w:hint="eastAsia" w:ascii="宋体" w:hAnsi="宋体"/>
          <w:iCs/>
          <w:sz w:val="24"/>
        </w:rPr>
        <w:t>。</w:t>
      </w:r>
      <w:r>
        <w:rPr>
          <w:rFonts w:hint="eastAsia" w:ascii="宋体" w:hAnsi="宋体"/>
          <w:iCs/>
          <w:sz w:val="24"/>
          <w:lang w:val="en-US" w:eastAsia="zh-CN"/>
        </w:rPr>
        <w:t xml:space="preserve"> </w:t>
      </w:r>
    </w:p>
    <w:p>
      <w:pPr>
        <w:ind w:firstLine="420"/>
        <w:rPr>
          <w:rFonts w:hint="eastAsia" w:ascii="宋体" w:hAnsi="宋体"/>
          <w:iCs/>
          <w:sz w:val="24"/>
        </w:rPr>
      </w:pPr>
    </w:p>
    <w:p>
      <w:pPr>
        <w:rPr>
          <w:rFonts w:ascii="宋体" w:hAnsi="宋体"/>
          <w:sz w:val="24"/>
        </w:rPr>
      </w:pPr>
      <w:r>
        <w:rPr>
          <w:rFonts w:hint="eastAsia" w:ascii="宋体" w:hAnsi="宋体"/>
          <w:sz w:val="24"/>
        </w:rPr>
        <w:t>乙方指定收款账户如下：</w:t>
      </w:r>
    </w:p>
    <w:p>
      <w:pPr>
        <w:rPr>
          <w:rFonts w:hint="eastAsia" w:ascii="宋体" w:hAnsi="宋体"/>
          <w:sz w:val="24"/>
        </w:rPr>
      </w:pPr>
      <w:r>
        <w:rPr>
          <w:rFonts w:hint="eastAsia" w:ascii="宋体" w:hAnsi="宋体"/>
          <w:sz w:val="24"/>
        </w:rPr>
        <w:t xml:space="preserve">单位全称： </w:t>
      </w:r>
    </w:p>
    <w:p>
      <w:pPr>
        <w:rPr>
          <w:rFonts w:hint="eastAsia" w:ascii="宋体" w:hAnsi="宋体"/>
          <w:sz w:val="24"/>
        </w:rPr>
      </w:pPr>
      <w:r>
        <w:rPr>
          <w:rFonts w:hint="eastAsia" w:ascii="宋体" w:hAnsi="宋体"/>
          <w:sz w:val="24"/>
        </w:rPr>
        <w:t xml:space="preserve">开 户 行： </w:t>
      </w:r>
    </w:p>
    <w:p>
      <w:pPr>
        <w:rPr>
          <w:rFonts w:hint="eastAsia" w:ascii="宋体" w:hAnsi="宋体"/>
          <w:sz w:val="24"/>
        </w:rPr>
      </w:pPr>
      <w:r>
        <w:rPr>
          <w:rFonts w:hint="eastAsia" w:ascii="宋体" w:hAnsi="宋体"/>
          <w:sz w:val="24"/>
        </w:rPr>
        <w:t xml:space="preserve">帐    号： </w:t>
      </w:r>
    </w:p>
    <w:p>
      <w:pPr>
        <w:pStyle w:val="2"/>
        <w:spacing w:before="200" w:after="200" w:line="240" w:lineRule="auto"/>
        <w:rPr>
          <w:rFonts w:ascii="宋体" w:hAnsi="宋体"/>
          <w:kern w:val="2"/>
          <w:sz w:val="24"/>
          <w:szCs w:val="24"/>
        </w:rPr>
      </w:pPr>
      <w:r>
        <w:rPr>
          <w:rFonts w:hint="eastAsia" w:ascii="宋体" w:hAnsi="宋体"/>
          <w:kern w:val="2"/>
          <w:sz w:val="24"/>
          <w:szCs w:val="24"/>
        </w:rPr>
        <w:t>第七条 甲乙双方责任与义务</w:t>
      </w:r>
    </w:p>
    <w:p>
      <w:pPr>
        <w:rPr>
          <w:rFonts w:hint="eastAsia" w:ascii="宋体" w:hAnsi="宋体"/>
          <w:color w:val="000000"/>
          <w:sz w:val="24"/>
        </w:rPr>
      </w:pPr>
      <w:r>
        <w:rPr>
          <w:rFonts w:hint="eastAsia" w:ascii="宋体" w:hAnsi="宋体"/>
          <w:color w:val="000000"/>
          <w:sz w:val="24"/>
        </w:rPr>
        <w:t>甲方责任：</w:t>
      </w:r>
    </w:p>
    <w:p>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乙方责任：</w:t>
      </w:r>
    </w:p>
    <w:p>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pPr>
        <w:rPr>
          <w:rFonts w:hint="eastAsia" w:ascii="宋体" w:hAnsi="宋体"/>
          <w:color w:val="000000"/>
          <w:sz w:val="24"/>
        </w:rPr>
      </w:pPr>
      <w:r>
        <w:rPr>
          <w:rFonts w:hint="eastAsia" w:ascii="宋体" w:hAnsi="宋体"/>
          <w:color w:val="000000"/>
          <w:sz w:val="24"/>
        </w:rPr>
        <w:t>2. 严格遵守甲方安全保密制度和规定，签署保密协议。</w:t>
      </w:r>
    </w:p>
    <w:p>
      <w:pPr>
        <w:rPr>
          <w:rFonts w:hint="eastAsia" w:ascii="宋体" w:hAnsi="宋体"/>
          <w:color w:val="000000"/>
          <w:sz w:val="24"/>
        </w:rPr>
      </w:pPr>
      <w:r>
        <w:rPr>
          <w:rFonts w:hint="eastAsia" w:ascii="宋体" w:hAnsi="宋体"/>
          <w:color w:val="000000"/>
          <w:sz w:val="24"/>
        </w:rPr>
        <w:t>3. 严格按照甲方的管理维护制度要求进行相关工作。</w:t>
      </w:r>
    </w:p>
    <w:p>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 、解决方法及预防故障发生的措施或建议等。</w:t>
      </w:r>
    </w:p>
    <w:p>
      <w:pPr>
        <w:rPr>
          <w:rFonts w:hint="eastAsia" w:ascii="宋体" w:hAnsi="宋体"/>
          <w:color w:val="000000"/>
          <w:sz w:val="24"/>
        </w:rPr>
      </w:pPr>
      <w:r>
        <w:rPr>
          <w:rFonts w:hint="eastAsia" w:ascii="宋体" w:hAnsi="宋体"/>
          <w:color w:val="000000"/>
          <w:sz w:val="24"/>
        </w:rPr>
        <w:t>5. 及时填写各类维护记录，保证每次维护工作可进行有效追踪和核查。</w:t>
      </w:r>
    </w:p>
    <w:p>
      <w:pPr>
        <w:rPr>
          <w:rFonts w:hint="eastAsia" w:ascii="宋体" w:hAnsi="宋体"/>
          <w:color w:val="000000"/>
          <w:sz w:val="24"/>
        </w:rPr>
      </w:pPr>
      <w:r>
        <w:rPr>
          <w:rFonts w:hint="eastAsia" w:ascii="宋体" w:hAnsi="宋体"/>
          <w:color w:val="000000"/>
          <w:sz w:val="24"/>
        </w:rPr>
        <w:t>6. 甲方对聘用人员进行工作考核，对不符合要求的人员随时要求乙方进行撤换。</w:t>
      </w:r>
    </w:p>
    <w:p>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pPr>
        <w:rPr>
          <w:rFonts w:hint="eastAsia" w:ascii="宋体" w:hAnsi="宋体"/>
          <w:color w:val="000000"/>
          <w:sz w:val="24"/>
        </w:rPr>
      </w:pPr>
      <w:r>
        <w:rPr>
          <w:rFonts w:hint="eastAsia" w:ascii="宋体" w:hAnsi="宋体"/>
          <w:color w:val="000000"/>
          <w:sz w:val="24"/>
        </w:rPr>
        <w:t>8. 未经甲方批准，获聘单位不准随意更换聘用人员。</w:t>
      </w:r>
    </w:p>
    <w:p>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pPr>
        <w:rPr>
          <w:rFonts w:ascii="宋体" w:hAnsi="宋体"/>
          <w:color w:val="000000"/>
          <w:sz w:val="24"/>
        </w:rPr>
      </w:pPr>
    </w:p>
    <w:p>
      <w:pPr>
        <w:pStyle w:val="3"/>
        <w:rPr>
          <w:rFonts w:hint="eastAsia" w:ascii="宋体" w:hAnsi="宋体"/>
          <w:sz w:val="24"/>
          <w:szCs w:val="24"/>
        </w:rPr>
      </w:pPr>
      <w:r>
        <w:rPr>
          <w:rFonts w:hint="eastAsia" w:ascii="宋体" w:hAnsi="宋体"/>
          <w:sz w:val="24"/>
          <w:szCs w:val="24"/>
        </w:rPr>
        <w:t>第八条 违约责任</w:t>
      </w:r>
    </w:p>
    <w:p>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pPr>
        <w:rPr>
          <w:rFonts w:hint="eastAsia" w:ascii="宋体" w:hAnsi="宋体"/>
          <w:sz w:val="24"/>
        </w:rPr>
      </w:pPr>
      <w:r>
        <w:rPr>
          <w:rFonts w:hint="eastAsia" w:ascii="宋体" w:hAnsi="宋体"/>
          <w:sz w:val="24"/>
        </w:rPr>
        <w:t>2、除乙方违约情况下，甲方无故未按合同约定的时间和金额向乙方支付应付款项，则自本合同约定的付款之日起，每延迟一天，甲方应向乙方支付本合同应付而未付金额的万分之一的违约金，违约金最高不得超过未付金额的百分之三。</w:t>
      </w:r>
    </w:p>
    <w:p>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3、如因乙方责任造成项目延期，则自项目应完成之日起，每延迟一天，乙方应向甲方支付未完成部分的合同金额的万分之一。</w:t>
      </w:r>
    </w:p>
    <w:p>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pPr>
        <w:rPr>
          <w:rFonts w:hint="eastAsia" w:ascii="宋体" w:hAnsi="宋体"/>
          <w:sz w:val="24"/>
        </w:rPr>
      </w:pPr>
      <w:r>
        <w:rPr>
          <w:rFonts w:hint="eastAsia" w:ascii="宋体" w:hAnsi="宋体"/>
          <w:sz w:val="24"/>
        </w:rPr>
        <w:t>5、除乙方根本违约等法定解除条件成就或其他违约行为导致本合同不能履行外，对本合同项下某一条款的争议，不应影响合同双方对其他条款的履行。</w:t>
      </w:r>
    </w:p>
    <w:p>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p>
    <w:p>
      <w:pPr>
        <w:rPr>
          <w:rFonts w:hint="eastAsia" w:ascii="宋体" w:hAnsi="宋体"/>
          <w:sz w:val="24"/>
        </w:rPr>
      </w:pPr>
      <w:r>
        <w:rPr>
          <w:rFonts w:hint="eastAsia" w:ascii="宋体" w:hAnsi="宋体"/>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上述事故半年内联系发生二次以上的，甲方可单方解除本合同，仅支付乙方已发生的成本费用，其他损失乙方自行承担，因此给甲方造成的损失，乙方应予赔偿，该损失包含甲方可得利益损失。</w:t>
      </w:r>
    </w:p>
    <w:p>
      <w:pPr>
        <w:rPr>
          <w:rFonts w:hint="eastAsia" w:ascii="宋体" w:hAnsi="宋体"/>
          <w:sz w:val="24"/>
        </w:rPr>
      </w:pPr>
      <w:r>
        <w:rPr>
          <w:rFonts w:hint="eastAsia" w:ascii="宋体" w:hAnsi="宋体"/>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pPr>
        <w:rPr>
          <w:rFonts w:hint="eastAsia" w:ascii="宋体" w:hAnsi="宋体"/>
          <w:sz w:val="24"/>
        </w:rPr>
      </w:pPr>
      <w:r>
        <w:rPr>
          <w:rFonts w:hint="eastAsia" w:ascii="宋体" w:hAnsi="宋体"/>
          <w:sz w:val="24"/>
        </w:rPr>
        <w:t>9、乙方运维人员工作时间，严格遵守局方工作制度和工作纪律要求，包括节假日在内的各类加班和值班。否则，按照每天5%人月费用从运维费用中扣除。</w:t>
      </w:r>
    </w:p>
    <w:p>
      <w:pPr>
        <w:rPr>
          <w:rFonts w:hint="eastAsia" w:ascii="宋体" w:hAnsi="宋体"/>
          <w:sz w:val="24"/>
        </w:rPr>
      </w:pPr>
      <w:r>
        <w:rPr>
          <w:rFonts w:hint="eastAsia" w:ascii="宋体" w:hAnsi="宋体"/>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pPr>
        <w:pStyle w:val="27"/>
        <w:ind w:firstLine="0" w:firstLineChars="0"/>
        <w:rPr>
          <w:rFonts w:hint="eastAsia"/>
        </w:rPr>
      </w:pPr>
    </w:p>
    <w:p>
      <w:pPr>
        <w:pStyle w:val="3"/>
        <w:rPr>
          <w:rFonts w:ascii="宋体" w:hAnsi="宋体"/>
          <w:sz w:val="24"/>
          <w:szCs w:val="24"/>
        </w:rPr>
      </w:pPr>
      <w:r>
        <w:rPr>
          <w:rFonts w:hint="eastAsia" w:ascii="宋体" w:hAnsi="宋体"/>
          <w:sz w:val="24"/>
          <w:szCs w:val="24"/>
        </w:rPr>
        <w:t>第九条 合同终止</w:t>
      </w:r>
    </w:p>
    <w:p>
      <w:pPr>
        <w:rPr>
          <w:rFonts w:ascii="宋体" w:hAnsi="宋体"/>
          <w:color w:val="000000"/>
          <w:sz w:val="24"/>
        </w:rPr>
      </w:pPr>
      <w:r>
        <w:rPr>
          <w:rFonts w:hint="eastAsia" w:ascii="宋体" w:hAnsi="宋体"/>
          <w:color w:val="000000"/>
          <w:sz w:val="24"/>
        </w:rPr>
        <w:t>1、甲方逾期付款超过90日，乙方将有权利单方终止本合同。</w:t>
      </w:r>
    </w:p>
    <w:p>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pPr>
        <w:pStyle w:val="27"/>
        <w:rPr>
          <w:rFonts w:hint="eastAsia" w:ascii="宋体" w:hAnsi="宋体"/>
          <w:sz w:val="24"/>
        </w:rPr>
      </w:pPr>
    </w:p>
    <w:p>
      <w:pPr>
        <w:pStyle w:val="3"/>
        <w:rPr>
          <w:rFonts w:hint="eastAsia" w:ascii="宋体" w:hAnsi="宋体"/>
          <w:sz w:val="24"/>
          <w:szCs w:val="24"/>
        </w:rPr>
      </w:pPr>
      <w:r>
        <w:rPr>
          <w:rFonts w:hint="eastAsia" w:ascii="宋体" w:hAnsi="宋体"/>
          <w:sz w:val="24"/>
          <w:szCs w:val="24"/>
        </w:rPr>
        <w:t>第十条 免责条款</w:t>
      </w:r>
    </w:p>
    <w:p>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pPr>
        <w:pStyle w:val="3"/>
        <w:rPr>
          <w:rFonts w:ascii="宋体" w:hAnsi="宋体"/>
          <w:sz w:val="24"/>
          <w:szCs w:val="24"/>
        </w:rPr>
      </w:pPr>
      <w:r>
        <w:rPr>
          <w:rFonts w:hint="eastAsia" w:ascii="宋体" w:hAnsi="宋体"/>
          <w:sz w:val="24"/>
          <w:szCs w:val="24"/>
        </w:rPr>
        <w:t>第十一条 其他</w:t>
      </w:r>
    </w:p>
    <w:p>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甲方所在地人民法院提起诉讼。本合同的履行地为甲方所在地。</w:t>
      </w:r>
    </w:p>
    <w:p>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1"/>
        <w:tblW w:w="8752" w:type="dxa"/>
        <w:jc w:val="center"/>
        <w:tblLayout w:type="fixed"/>
        <w:tblCellMar>
          <w:top w:w="567" w:type="dxa"/>
          <w:left w:w="105" w:type="dxa"/>
          <w:bottom w:w="567" w:type="dxa"/>
          <w:right w:w="105" w:type="dxa"/>
        </w:tblCellMar>
      </w:tblPr>
      <w:tblGrid>
        <w:gridCol w:w="4074"/>
        <w:gridCol w:w="4678"/>
      </w:tblGrid>
      <w:tr>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ascii="方正宋黑简体" w:eastAsia="方正宋黑简体"/>
                <w:color w:val="000000"/>
                <w:kern w:val="0"/>
                <w:sz w:val="24"/>
              </w:rPr>
              <w:br w:type="page"/>
            </w:r>
            <w:r>
              <w:rPr>
                <w:rFonts w:hint="eastAsia" w:ascii="方正宋黑简体" w:hAnsi="微软雅黑" w:eastAsia="方正宋黑简体" w:cs="宋体"/>
                <w:color w:val="000000"/>
                <w:kern w:val="0"/>
                <w:sz w:val="24"/>
              </w:rPr>
              <w:t>甲方（章）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r>
              <w:rPr>
                <w:rFonts w:ascii="方正宋黑简体" w:hAnsi="微软雅黑" w:eastAsia="方正宋黑简体" w:cs="宋体"/>
                <w:color w:val="000000"/>
                <w:kern w:val="0"/>
                <w:sz w:val="24"/>
              </w:rPr>
              <w:t>0451-53611198</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开户银行：中国建设银行股份有限公司黑龙江省分行营业部</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r>
              <w:rPr>
                <w:rFonts w:ascii="方正宋黑简体" w:hAnsi="微软雅黑" w:eastAsia="方正宋黑简体" w:cs="宋体"/>
                <w:color w:val="000000"/>
                <w:kern w:val="0"/>
                <w:sz w:val="24"/>
              </w:rPr>
              <w:t>23001868851050517697</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pPr>
        <w:rPr>
          <w:rFonts w:hint="eastAsia" w:ascii="宋体" w:hAnsi="宋体"/>
          <w:color w:val="000000"/>
          <w:sz w:val="24"/>
        </w:rPr>
      </w:pP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附件:</w:t>
      </w:r>
    </w:p>
    <w:p>
      <w:pPr>
        <w:rPr>
          <w:rFonts w:hint="eastAsia" w:ascii="宋体" w:hAnsi="宋体"/>
          <w:color w:val="000000"/>
          <w:sz w:val="24"/>
        </w:rPr>
      </w:pPr>
      <w:r>
        <w:rPr>
          <w:rFonts w:hint="eastAsia" w:ascii="宋体" w:hAnsi="宋体"/>
          <w:color w:val="000000"/>
          <w:sz w:val="24"/>
        </w:rPr>
        <w:t>1、售后服务承诺</w:t>
      </w:r>
    </w:p>
    <w:p>
      <w:pPr>
        <w:rPr>
          <w:rFonts w:hint="eastAsia" w:ascii="宋体" w:hAnsi="宋体"/>
          <w:color w:val="000000"/>
          <w:sz w:val="24"/>
        </w:rPr>
      </w:pPr>
      <w:r>
        <w:rPr>
          <w:rFonts w:hint="eastAsia" w:ascii="宋体" w:hAnsi="宋体"/>
          <w:color w:val="000000"/>
          <w:sz w:val="24"/>
        </w:rPr>
        <w:t>2、服务队伍</w:t>
      </w:r>
    </w:p>
    <w:p>
      <w:r>
        <w:rPr>
          <w:rFonts w:hint="eastAsia" w:ascii="宋体" w:hAnsi="宋体"/>
          <w:color w:val="000000"/>
          <w:sz w:val="24"/>
        </w:rPr>
        <w:t>3、中标通知书</w:t>
      </w:r>
    </w:p>
    <w:p>
      <w:pPr>
        <w:rPr>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Bookman Old Style">
    <w:panose1 w:val="02050604050505020204"/>
    <w:charset w:val="00"/>
    <w:family w:val="roman"/>
    <w:pitch w:val="default"/>
    <w:sig w:usb0="00000287" w:usb1="00000000" w:usb2="00000000" w:usb3="00000000" w:csb0="2000009F" w:csb1="DFD70000"/>
  </w:font>
  <w:font w:name="Lucida Sans Unicode">
    <w:panose1 w:val="020B0602030504020204"/>
    <w:charset w:val="00"/>
    <w:family w:val="swiss"/>
    <w:pitch w:val="default"/>
    <w:sig w:usb0="80001AFF" w:usb1="0000396B" w:usb2="00000000" w:usb3="00000000" w:csb0="200000BF" w:csb1="D7F70000"/>
  </w:font>
  <w:font w:name="MS Gothic">
    <w:panose1 w:val="020B0609070205080204"/>
    <w:charset w:val="80"/>
    <w:family w:val="modern"/>
    <w:pitch w:val="default"/>
    <w:sig w:usb0="E00002FF" w:usb1="6AC7FDFB" w:usb2="08000012" w:usb3="00000000" w:csb0="4002009F" w:csb1="DFD70000"/>
  </w:font>
  <w:font w:name="方正宋黑简体">
    <w:altName w:val="宋体"/>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3"/>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pPr>
                      <w:pStyle w:val="13"/>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3"/>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pPr>
                      <w:pStyle w:val="13"/>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3"/>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pPr>
                      <w:pStyle w:val="13"/>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45"/>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3">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5">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6">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5"/>
  </w:num>
  <w:num w:numId="3">
    <w:abstractNumId w:val="0"/>
  </w:num>
  <w:num w:numId="4">
    <w:abstractNumId w:val="1"/>
  </w:num>
  <w:num w:numId="5">
    <w:abstractNumId w:val="4"/>
  </w:num>
  <w:num w:numId="6">
    <w:abstractNumId w:val="6"/>
  </w:num>
  <w:num w:numId="7">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994E80"/>
    <w:rsid w:val="038C7237"/>
    <w:rsid w:val="03B24C65"/>
    <w:rsid w:val="055174C8"/>
    <w:rsid w:val="05594FD2"/>
    <w:rsid w:val="07861826"/>
    <w:rsid w:val="08B573AC"/>
    <w:rsid w:val="0D1A4228"/>
    <w:rsid w:val="0E7D42BB"/>
    <w:rsid w:val="0EE71081"/>
    <w:rsid w:val="103F356B"/>
    <w:rsid w:val="115F1A85"/>
    <w:rsid w:val="13533D6F"/>
    <w:rsid w:val="13593647"/>
    <w:rsid w:val="14FE49FC"/>
    <w:rsid w:val="18807C4B"/>
    <w:rsid w:val="18BC6A4A"/>
    <w:rsid w:val="19D626B5"/>
    <w:rsid w:val="1BE64FC7"/>
    <w:rsid w:val="1FBC673A"/>
    <w:rsid w:val="23F07DC3"/>
    <w:rsid w:val="28DA283E"/>
    <w:rsid w:val="2AEB3A8A"/>
    <w:rsid w:val="2B821B32"/>
    <w:rsid w:val="2F611A30"/>
    <w:rsid w:val="30BD213F"/>
    <w:rsid w:val="3533276E"/>
    <w:rsid w:val="36B31F5F"/>
    <w:rsid w:val="38B16276"/>
    <w:rsid w:val="392F341B"/>
    <w:rsid w:val="398D59F8"/>
    <w:rsid w:val="3A197CA5"/>
    <w:rsid w:val="40137CA8"/>
    <w:rsid w:val="40A73D35"/>
    <w:rsid w:val="423A6C9B"/>
    <w:rsid w:val="42A62ACD"/>
    <w:rsid w:val="446723D4"/>
    <w:rsid w:val="459314F7"/>
    <w:rsid w:val="4B262FC3"/>
    <w:rsid w:val="4B6F4E42"/>
    <w:rsid w:val="4C242C23"/>
    <w:rsid w:val="4EFF6BD2"/>
    <w:rsid w:val="53C92CD5"/>
    <w:rsid w:val="54AF23FC"/>
    <w:rsid w:val="57182A2A"/>
    <w:rsid w:val="581A4428"/>
    <w:rsid w:val="59DF6221"/>
    <w:rsid w:val="5A6E105D"/>
    <w:rsid w:val="5DA7155A"/>
    <w:rsid w:val="5DC53457"/>
    <w:rsid w:val="5F4468FD"/>
    <w:rsid w:val="610B60EE"/>
    <w:rsid w:val="61CD6F76"/>
    <w:rsid w:val="627333FC"/>
    <w:rsid w:val="6A144077"/>
    <w:rsid w:val="6FF006A6"/>
    <w:rsid w:val="70B1597A"/>
    <w:rsid w:val="71815530"/>
    <w:rsid w:val="72BD75D3"/>
    <w:rsid w:val="74FD35B0"/>
    <w:rsid w:val="77E73431"/>
    <w:rsid w:val="78916B04"/>
    <w:rsid w:val="7AA83FCF"/>
    <w:rsid w:val="7E8E4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32"/>
    <w:qFormat/>
    <w:uiPriority w:val="0"/>
    <w:pPr>
      <w:keepNext/>
      <w:keepLines/>
      <w:spacing w:before="200" w:after="200"/>
      <w:jc w:val="center"/>
      <w:outlineLvl w:val="0"/>
    </w:pPr>
    <w:rPr>
      <w:rFonts w:eastAsia="黑体"/>
      <w:kern w:val="44"/>
      <w:sz w:val="44"/>
      <w:szCs w:val="44"/>
    </w:rPr>
  </w:style>
  <w:style w:type="paragraph" w:styleId="3">
    <w:name w:val="heading 2"/>
    <w:basedOn w:val="1"/>
    <w:next w:val="1"/>
    <w:link w:val="33"/>
    <w:qFormat/>
    <w:uiPriority w:val="0"/>
    <w:pPr>
      <w:keepNext/>
      <w:keepLines/>
      <w:spacing w:before="200" w:after="200"/>
      <w:jc w:val="center"/>
      <w:outlineLvl w:val="1"/>
    </w:pPr>
    <w:rPr>
      <w:rFonts w:eastAsia="黑体"/>
      <w:sz w:val="32"/>
      <w:szCs w:val="32"/>
    </w:rPr>
  </w:style>
  <w:style w:type="paragraph" w:styleId="4">
    <w:name w:val="heading 3"/>
    <w:basedOn w:val="1"/>
    <w:next w:val="1"/>
    <w:link w:val="34"/>
    <w:qFormat/>
    <w:uiPriority w:val="0"/>
    <w:pPr>
      <w:keepNext/>
      <w:keepLines/>
      <w:spacing w:before="200" w:after="200"/>
      <w:outlineLvl w:val="2"/>
    </w:pPr>
    <w:rPr>
      <w:rFonts w:eastAsia="黑体"/>
      <w:sz w:val="28"/>
      <w:szCs w:val="28"/>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ind w:firstLine="420" w:firstLineChars="200"/>
    </w:pPr>
  </w:style>
  <w:style w:type="paragraph" w:styleId="6">
    <w:name w:val="annotation text"/>
    <w:basedOn w:val="1"/>
    <w:qFormat/>
    <w:uiPriority w:val="0"/>
    <w:pPr>
      <w:jc w:val="left"/>
    </w:pPr>
  </w:style>
  <w:style w:type="paragraph" w:styleId="7">
    <w:name w:val="Body Text"/>
    <w:basedOn w:val="1"/>
    <w:next w:val="8"/>
    <w:qFormat/>
    <w:uiPriority w:val="0"/>
    <w:pPr>
      <w:adjustRightInd w:val="0"/>
      <w:spacing w:line="360" w:lineRule="atLeast"/>
      <w:jc w:val="center"/>
      <w:textAlignment w:val="baseline"/>
    </w:pPr>
    <w:rPr>
      <w:kern w:val="0"/>
      <w:sz w:val="24"/>
      <w:szCs w:val="20"/>
    </w:rPr>
  </w:style>
  <w:style w:type="paragraph" w:styleId="8">
    <w:name w:val="Body Text 2"/>
    <w:basedOn w:val="1"/>
    <w:qFormat/>
    <w:uiPriority w:val="0"/>
    <w:pPr>
      <w:spacing w:after="120" w:line="480" w:lineRule="auto"/>
    </w:pPr>
  </w:style>
  <w:style w:type="paragraph" w:styleId="9">
    <w:name w:val="Body Text Indent"/>
    <w:basedOn w:val="1"/>
    <w:qFormat/>
    <w:uiPriority w:val="0"/>
    <w:pPr>
      <w:spacing w:after="120"/>
      <w:ind w:left="420" w:leftChars="200"/>
    </w:pPr>
  </w:style>
  <w:style w:type="paragraph" w:styleId="10">
    <w:name w:val="index 4"/>
    <w:basedOn w:val="1"/>
    <w:next w:val="1"/>
    <w:unhideWhenUsed/>
    <w:qFormat/>
    <w:uiPriority w:val="99"/>
    <w:pPr>
      <w:ind w:left="600" w:leftChars="600"/>
    </w:pPr>
  </w:style>
  <w:style w:type="paragraph" w:styleId="11">
    <w:name w:val="Plain Text"/>
    <w:basedOn w:val="1"/>
    <w:qFormat/>
    <w:uiPriority w:val="0"/>
    <w:rPr>
      <w:rFonts w:ascii="宋体" w:hAnsi="宋体" w:cs="Courier New"/>
    </w:rPr>
  </w:style>
  <w:style w:type="paragraph" w:styleId="12">
    <w:name w:val="Balloon Text"/>
    <w:basedOn w:val="1"/>
    <w:link w:val="43"/>
    <w:qFormat/>
    <w:uiPriority w:val="0"/>
    <w:pPr>
      <w:spacing w:line="240" w:lineRule="auto"/>
    </w:pPr>
    <w:rPr>
      <w:sz w:val="18"/>
      <w:szCs w:val="18"/>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bottom w:val="single" w:color="auto" w:sz="4" w:space="1"/>
      </w:pBdr>
      <w:tabs>
        <w:tab w:val="center" w:pos="4153"/>
        <w:tab w:val="right" w:pos="8306"/>
      </w:tabs>
      <w:snapToGrid w:val="0"/>
    </w:pPr>
    <w:rPr>
      <w:sz w:val="18"/>
    </w:rPr>
  </w:style>
  <w:style w:type="paragraph" w:styleId="15">
    <w:name w:val="toc 1"/>
    <w:basedOn w:val="1"/>
    <w:next w:val="1"/>
    <w:qFormat/>
    <w:uiPriority w:val="0"/>
    <w:pPr>
      <w:spacing w:before="120" w:after="120"/>
      <w:jc w:val="left"/>
    </w:pPr>
    <w:rPr>
      <w:rFonts w:ascii="等线" w:eastAsia="等线"/>
      <w:b/>
      <w:bCs/>
      <w:caps/>
      <w:sz w:val="20"/>
      <w:szCs w:val="20"/>
    </w:rPr>
  </w:style>
  <w:style w:type="paragraph" w:styleId="16">
    <w:name w:val="footnote text"/>
    <w:basedOn w:val="1"/>
    <w:qFormat/>
    <w:uiPriority w:val="0"/>
    <w:pPr>
      <w:snapToGrid w:val="0"/>
      <w:jc w:val="left"/>
    </w:pPr>
    <w:rPr>
      <w:sz w:val="18"/>
    </w:rPr>
  </w:style>
  <w:style w:type="paragraph" w:styleId="17">
    <w:name w:val="index 9"/>
    <w:basedOn w:val="1"/>
    <w:next w:val="1"/>
    <w:qFormat/>
    <w:uiPriority w:val="0"/>
    <w:pPr>
      <w:ind w:left="3360"/>
    </w:pPr>
  </w:style>
  <w:style w:type="paragraph" w:styleId="18">
    <w:name w:val="Normal (Web)"/>
    <w:basedOn w:val="1"/>
    <w:qFormat/>
    <w:uiPriority w:val="0"/>
    <w:pPr>
      <w:widowControl/>
      <w:spacing w:before="100" w:beforeAutospacing="1" w:after="100" w:afterAutospacing="1"/>
      <w:jc w:val="left"/>
    </w:pPr>
    <w:rPr>
      <w:rFonts w:ascii="宋体" w:cs="宋体"/>
      <w:kern w:val="0"/>
      <w:sz w:val="24"/>
    </w:rPr>
  </w:style>
  <w:style w:type="paragraph" w:styleId="19">
    <w:name w:val="Body Text First Indent"/>
    <w:basedOn w:val="1"/>
    <w:unhideWhenUsed/>
    <w:qFormat/>
    <w:uiPriority w:val="99"/>
    <w:pPr>
      <w:adjustRightInd/>
      <w:spacing w:after="120" w:line="240" w:lineRule="auto"/>
      <w:ind w:firstLine="420" w:firstLineChars="100"/>
      <w:jc w:val="both"/>
      <w:textAlignment w:val="auto"/>
    </w:pPr>
    <w:rPr>
      <w:kern w:val="2"/>
      <w:sz w:val="21"/>
      <w:szCs w:val="24"/>
    </w:rPr>
  </w:style>
  <w:style w:type="paragraph" w:styleId="20">
    <w:name w:val="Body Text First Indent 2"/>
    <w:basedOn w:val="9"/>
    <w:qFormat/>
    <w:uiPriority w:val="0"/>
    <w:pPr>
      <w:ind w:firstLine="420" w:firstLineChars="200"/>
    </w:pPr>
  </w:style>
  <w:style w:type="table" w:styleId="22">
    <w:name w:val="Table Grid"/>
    <w:basedOn w:val="2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page number"/>
    <w:basedOn w:val="23"/>
    <w:qFormat/>
    <w:uiPriority w:val="0"/>
  </w:style>
  <w:style w:type="character" w:styleId="25">
    <w:name w:val="Hyperlink"/>
    <w:qFormat/>
    <w:uiPriority w:val="0"/>
    <w:rPr>
      <w:color w:val="0000FF"/>
      <w:u w:val="single"/>
    </w:rPr>
  </w:style>
  <w:style w:type="character" w:styleId="26">
    <w:name w:val="annotation reference"/>
    <w:basedOn w:val="23"/>
    <w:qFormat/>
    <w:uiPriority w:val="0"/>
    <w:rPr>
      <w:sz w:val="21"/>
      <w:szCs w:val="21"/>
    </w:rPr>
  </w:style>
  <w:style w:type="paragraph" w:customStyle="1" w:styleId="27">
    <w:name w:val="正文（缩进）"/>
    <w:basedOn w:val="1"/>
    <w:qFormat/>
    <w:uiPriority w:val="0"/>
    <w:pPr>
      <w:spacing w:before="156" w:after="156"/>
      <w:ind w:firstLine="480" w:firstLineChars="200"/>
    </w:pPr>
  </w:style>
  <w:style w:type="paragraph" w:customStyle="1" w:styleId="28">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9">
    <w:name w:val="列出段落1"/>
    <w:basedOn w:val="1"/>
    <w:qFormat/>
    <w:uiPriority w:val="0"/>
    <w:pPr>
      <w:ind w:firstLine="200" w:firstLineChars="200"/>
    </w:pPr>
    <w:rPr>
      <w:rFonts w:cs="Calibri"/>
    </w:rPr>
  </w:style>
  <w:style w:type="paragraph" w:customStyle="1" w:styleId="30">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1">
    <w:name w:val="WPSOffice手动目录 1"/>
    <w:qFormat/>
    <w:uiPriority w:val="0"/>
    <w:rPr>
      <w:rFonts w:ascii="Times New Roman" w:hAnsi="Times New Roman" w:eastAsia="宋体" w:cs="Times New Roman"/>
      <w:lang w:val="en-US" w:eastAsia="zh-CN" w:bidi="ar-SA"/>
    </w:rPr>
  </w:style>
  <w:style w:type="character" w:customStyle="1" w:styleId="32">
    <w:name w:val="标题 1 Char"/>
    <w:link w:val="2"/>
    <w:qFormat/>
    <w:uiPriority w:val="0"/>
    <w:rPr>
      <w:rFonts w:ascii="Times New Roman" w:hAnsi="Times New Roman" w:eastAsia="黑体" w:cs="Times New Roman"/>
      <w:kern w:val="44"/>
      <w:sz w:val="44"/>
      <w:szCs w:val="44"/>
    </w:rPr>
  </w:style>
  <w:style w:type="character" w:customStyle="1" w:styleId="33">
    <w:name w:val="标题 2 Char"/>
    <w:link w:val="3"/>
    <w:qFormat/>
    <w:uiPriority w:val="0"/>
    <w:rPr>
      <w:rFonts w:eastAsia="黑体"/>
      <w:sz w:val="32"/>
      <w:szCs w:val="32"/>
    </w:rPr>
  </w:style>
  <w:style w:type="character" w:customStyle="1" w:styleId="34">
    <w:name w:val="标题 3 Char"/>
    <w:link w:val="4"/>
    <w:qFormat/>
    <w:uiPriority w:val="0"/>
    <w:rPr>
      <w:rFonts w:eastAsia="黑体"/>
      <w:sz w:val="28"/>
      <w:szCs w:val="28"/>
    </w:rPr>
  </w:style>
  <w:style w:type="paragraph" w:customStyle="1" w:styleId="35">
    <w:name w:val="_Style 1"/>
    <w:basedOn w:val="1"/>
    <w:qFormat/>
    <w:uiPriority w:val="0"/>
    <w:pPr>
      <w:ind w:firstLine="200" w:firstLineChars="200"/>
    </w:pPr>
    <w:rPr>
      <w:sz w:val="32"/>
    </w:rPr>
  </w:style>
  <w:style w:type="paragraph" w:customStyle="1" w:styleId="36">
    <w:name w:val="无间隔1"/>
    <w:basedOn w:val="1"/>
    <w:qFormat/>
    <w:uiPriority w:val="0"/>
    <w:pPr>
      <w:widowControl/>
      <w:spacing w:line="240" w:lineRule="auto"/>
      <w:jc w:val="left"/>
    </w:pPr>
    <w:rPr>
      <w:rFonts w:ascii="Calibri" w:hAnsi="Calibri"/>
      <w:kern w:val="0"/>
      <w:sz w:val="22"/>
      <w:szCs w:val="20"/>
    </w:rPr>
  </w:style>
  <w:style w:type="paragraph" w:styleId="37">
    <w:name w:val="List Paragraph"/>
    <w:basedOn w:val="1"/>
    <w:next w:val="1"/>
    <w:qFormat/>
    <w:uiPriority w:val="34"/>
    <w:pPr>
      <w:ind w:firstLine="420"/>
    </w:pPr>
  </w:style>
  <w:style w:type="paragraph" w:customStyle="1" w:styleId="38">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39">
    <w:name w:val="无间隔2"/>
    <w:qFormat/>
    <w:uiPriority w:val="0"/>
    <w:rPr>
      <w:rFonts w:ascii="Calibri" w:hAnsi="Calibri" w:eastAsia="宋体" w:cs="Times New Roman"/>
      <w:sz w:val="22"/>
      <w:lang w:val="en-US" w:eastAsia="zh-CN" w:bidi="ar-SA"/>
    </w:rPr>
  </w:style>
  <w:style w:type="paragraph" w:customStyle="1" w:styleId="40">
    <w:name w:val="表"/>
    <w:next w:val="5"/>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1">
    <w:name w:val="评分"/>
    <w:qFormat/>
    <w:uiPriority w:val="0"/>
    <w:rPr>
      <w:rFonts w:ascii="宋体" w:hAnsi="宋体" w:eastAsia="宋体" w:cs="Times New Roman"/>
      <w:snapToGrid w:val="0"/>
      <w:sz w:val="21"/>
      <w:szCs w:val="22"/>
      <w:lang w:val="en-US" w:eastAsia="zh-CN" w:bidi="ar-SA"/>
    </w:rPr>
  </w:style>
  <w:style w:type="paragraph" w:customStyle="1" w:styleId="42">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3">
    <w:name w:val="批注框文本 Char"/>
    <w:basedOn w:val="23"/>
    <w:link w:val="12"/>
    <w:qFormat/>
    <w:uiPriority w:val="0"/>
    <w:rPr>
      <w:rFonts w:ascii="Times New Roman" w:hAnsi="Times New Roman" w:eastAsia="宋体" w:cs="Times New Roman"/>
      <w:kern w:val="2"/>
      <w:sz w:val="18"/>
      <w:szCs w:val="18"/>
    </w:rPr>
  </w:style>
  <w:style w:type="paragraph" w:customStyle="1" w:styleId="44">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5">
    <w:name w:val="缺省文本"/>
    <w:basedOn w:val="1"/>
    <w:qFormat/>
    <w:uiPriority w:val="0"/>
    <w:pPr>
      <w:numPr>
        <w:ilvl w:val="3"/>
        <w:numId w:val="1"/>
      </w:numPr>
      <w:suppressAutoHyphens/>
      <w:autoSpaceDE w:val="0"/>
      <w:spacing w:line="360" w:lineRule="auto"/>
      <w:jc w:val="left"/>
    </w:pPr>
    <w:rPr>
      <w:rFonts w:ascii="Times New Roman" w:hAnsi="Times New Roman"/>
      <w:kern w:val="1"/>
      <w:sz w:val="24"/>
      <w:szCs w:val="24"/>
      <w:lang w:eastAsia="ar-SA"/>
    </w:rPr>
  </w:style>
  <w:style w:type="paragraph" w:customStyle="1" w:styleId="46">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7">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8">
    <w:name w:val="No Spacing"/>
    <w:qFormat/>
    <w:uiPriority w:val="0"/>
    <w:rPr>
      <w:rFonts w:ascii="Calibri" w:hAnsi="Calibri" w:eastAsia="宋体" w:cs="Times New Roman"/>
      <w:sz w:val="22"/>
      <w:lang w:val="en-US" w:eastAsia="zh-CN" w:bidi="ar-SA"/>
    </w:rPr>
  </w:style>
  <w:style w:type="paragraph" w:customStyle="1" w:styleId="49">
    <w:name w:val="我的正文"/>
    <w:basedOn w:val="1"/>
    <w:qFormat/>
    <w:uiPriority w:val="0"/>
    <w:pPr>
      <w:ind w:firstLine="528"/>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microsoft.com/office/2011/relationships/people" Target="people.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70</Pages>
  <Words>37271</Words>
  <Characters>39029</Characters>
  <Lines>302</Lines>
  <Paragraphs>85</Paragraphs>
  <TotalTime>10</TotalTime>
  <ScaleCrop>false</ScaleCrop>
  <LinksUpToDate>false</LinksUpToDate>
  <CharactersWithSpaces>41123</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2022-07-12T12:44:00Z</dcterms:created>
  <dc:creator>QIQI</dc:creator>
  <cp:lastModifiedBy>韩宇奇</cp:lastModifiedBy>
  <dcterms:modified xsi:type="dcterms:W3CDTF">2023-09-05T09:36:10Z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C251EBDE8CAE449FA99D3D77AE3CC162_13</vt:lpwstr>
  </property>
</Properties>
</file>