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topLinePunct w:val="0"/>
        <w:bidi w:val="0"/>
        <w:adjustRightInd w:val="0"/>
        <w:snapToGrid w:val="0"/>
        <w:spacing w:line="360" w:lineRule="auto"/>
        <w:ind w:left="0" w:leftChars="0" w:firstLine="0" w:firstLineChars="0"/>
        <w:jc w:val="left"/>
        <w:rPr>
          <w:rFonts w:hint="eastAsia" w:ascii="黑体" w:hAnsi="黑体" w:eastAsia="黑体" w:cs="黑体"/>
          <w:color w:val="000000"/>
          <w:spacing w:val="0"/>
          <w:sz w:val="32"/>
          <w:szCs w:val="32"/>
          <w:lang w:val="en-US" w:eastAsia="zh-CN"/>
        </w:rPr>
      </w:pPr>
      <w:r>
        <w:rPr>
          <w:rFonts w:hint="eastAsia" w:ascii="黑体" w:hAnsi="黑体" w:eastAsia="黑体" w:cs="黑体"/>
          <w:color w:val="000000"/>
          <w:spacing w:val="0"/>
          <w:sz w:val="32"/>
          <w:szCs w:val="32"/>
          <w:lang w:eastAsia="zh-CN"/>
        </w:rPr>
        <w:t>附件</w:t>
      </w:r>
      <w:r>
        <w:rPr>
          <w:rFonts w:hint="eastAsia" w:ascii="黑体" w:hAnsi="黑体" w:eastAsia="黑体" w:cs="黑体"/>
          <w:color w:val="000000"/>
          <w:spacing w:val="0"/>
          <w:sz w:val="32"/>
          <w:szCs w:val="32"/>
          <w:lang w:val="en-US" w:eastAsia="zh-CN"/>
        </w:rPr>
        <w:t>1</w:t>
      </w:r>
    </w:p>
    <w:p>
      <w:pPr>
        <w:keepNext w:val="0"/>
        <w:keepLines w:val="0"/>
        <w:pageBreakBefore w:val="0"/>
        <w:widowControl w:val="0"/>
        <w:kinsoku/>
        <w:wordWrap/>
        <w:topLinePunct w:val="0"/>
        <w:bidi w:val="0"/>
        <w:adjustRightInd w:val="0"/>
        <w:snapToGrid w:val="0"/>
        <w:spacing w:line="360" w:lineRule="auto"/>
        <w:ind w:left="0" w:leftChars="0" w:firstLine="0" w:firstLineChars="0"/>
        <w:jc w:val="left"/>
        <w:rPr>
          <w:rFonts w:hint="default" w:ascii="黑体" w:hAnsi="黑体" w:eastAsia="黑体" w:cs="黑体"/>
          <w:color w:val="000000"/>
          <w:spacing w:val="0"/>
          <w:sz w:val="32"/>
          <w:szCs w:val="32"/>
          <w:lang w:val="en-US" w:eastAsia="zh-CN"/>
        </w:rPr>
      </w:pPr>
    </w:p>
    <w:p>
      <w:pPr>
        <w:pStyle w:val="6"/>
        <w:suppressAutoHyphens/>
        <w:spacing w:line="360" w:lineRule="auto"/>
        <w:jc w:val="center"/>
        <w:rPr>
          <w:rFonts w:ascii="Times New Roman" w:eastAsia="方正小标宋简体"/>
          <w:sz w:val="36"/>
          <w:szCs w:val="36"/>
          <w:lang w:eastAsia="ar-SA"/>
        </w:rPr>
      </w:pPr>
      <w:r>
        <w:rPr>
          <w:rFonts w:ascii="Times New Roman" w:eastAsia="方正小标宋简体"/>
          <w:sz w:val="36"/>
          <w:szCs w:val="36"/>
          <w:lang w:eastAsia="ar-SA"/>
        </w:rPr>
        <w:t>全国税务领军人才学员选拔</w:t>
      </w:r>
      <w:r>
        <w:rPr>
          <w:rFonts w:hint="eastAsia" w:ascii="Times New Roman" w:eastAsia="方正小标宋简体"/>
          <w:sz w:val="36"/>
          <w:szCs w:val="36"/>
          <w:lang w:eastAsia="zh-CN"/>
        </w:rPr>
        <w:t>条件</w:t>
      </w:r>
      <w:r>
        <w:rPr>
          <w:rFonts w:ascii="Times New Roman" w:eastAsia="方正小标宋简体"/>
          <w:sz w:val="36"/>
          <w:szCs w:val="36"/>
          <w:lang w:eastAsia="ar-SA"/>
        </w:rPr>
        <w:t>有关事项的说明</w:t>
      </w:r>
    </w:p>
    <w:p>
      <w:pPr>
        <w:keepNext w:val="0"/>
        <w:keepLines w:val="0"/>
        <w:pageBreakBefore w:val="0"/>
        <w:widowControl w:val="0"/>
        <w:kinsoku/>
        <w:wordWrap/>
        <w:overflowPunct/>
        <w:topLinePunct w:val="0"/>
        <w:autoSpaceDE/>
        <w:autoSpaceDN/>
        <w:bidi w:val="0"/>
        <w:adjustRightInd/>
        <w:snapToGrid w:val="0"/>
        <w:spacing w:line="360" w:lineRule="auto"/>
        <w:ind w:firstLine="645"/>
        <w:textAlignment w:val="auto"/>
        <w:rPr>
          <w:rFonts w:eastAsia="黑体"/>
          <w:sz w:val="32"/>
          <w:szCs w:val="32"/>
        </w:rPr>
      </w:pPr>
    </w:p>
    <w:p>
      <w:pPr>
        <w:keepNext w:val="0"/>
        <w:keepLines w:val="0"/>
        <w:pageBreakBefore w:val="0"/>
        <w:widowControl w:val="0"/>
        <w:kinsoku/>
        <w:wordWrap/>
        <w:overflowPunct/>
        <w:topLinePunct w:val="0"/>
        <w:autoSpaceDE/>
        <w:autoSpaceDN/>
        <w:bidi w:val="0"/>
        <w:adjustRightInd/>
        <w:snapToGrid w:val="0"/>
        <w:spacing w:line="600" w:lineRule="exact"/>
        <w:ind w:firstLine="645"/>
        <w:textAlignment w:val="auto"/>
        <w:rPr>
          <w:rFonts w:eastAsia="黑体"/>
          <w:kern w:val="10"/>
          <w:sz w:val="32"/>
          <w:szCs w:val="32"/>
        </w:rPr>
      </w:pPr>
      <w:r>
        <w:rPr>
          <w:rFonts w:eastAsia="黑体"/>
          <w:sz w:val="32"/>
          <w:szCs w:val="32"/>
        </w:rPr>
        <w:t>一、关于教育部承认的全日制普通高校本科学历</w:t>
      </w:r>
    </w:p>
    <w:p>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eastAsia" w:eastAsia="仿宋_GB2312"/>
          <w:sz w:val="32"/>
          <w:szCs w:val="32"/>
        </w:rPr>
      </w:pPr>
      <w:r>
        <w:rPr>
          <w:rFonts w:eastAsia="仿宋_GB2312"/>
          <w:sz w:val="32"/>
          <w:szCs w:val="32"/>
        </w:rPr>
        <w:t>参加全国普通高等学校统一招生考</w:t>
      </w:r>
      <w:bookmarkStart w:id="0" w:name="_GoBack"/>
      <w:bookmarkEnd w:id="0"/>
      <w:r>
        <w:rPr>
          <w:rFonts w:eastAsia="仿宋_GB2312"/>
          <w:sz w:val="32"/>
          <w:szCs w:val="32"/>
        </w:rPr>
        <w:t>试以及应届全日制普通专科生在毕业之前且在第一次机会参加普通专科升普通本科考试考取的本科人员；留学毕业归国后到当地教育部门进行学历学位备案，取得教育部颁发</w:t>
      </w:r>
      <w:r>
        <w:rPr>
          <w:rFonts w:hint="eastAsia" w:eastAsia="仿宋_GB2312"/>
          <w:sz w:val="32"/>
          <w:szCs w:val="32"/>
        </w:rPr>
        <w:t>“</w:t>
      </w:r>
      <w:r>
        <w:rPr>
          <w:rFonts w:eastAsia="仿宋_GB2312"/>
          <w:sz w:val="32"/>
          <w:szCs w:val="32"/>
        </w:rPr>
        <w:t>国外学历学位认证书</w:t>
      </w:r>
      <w:r>
        <w:rPr>
          <w:rFonts w:hint="eastAsia" w:eastAsia="仿宋_GB2312"/>
          <w:sz w:val="32"/>
          <w:szCs w:val="32"/>
        </w:rPr>
        <w:t>”</w:t>
      </w:r>
      <w:r>
        <w:rPr>
          <w:rFonts w:eastAsia="仿宋_GB2312"/>
          <w:sz w:val="32"/>
          <w:szCs w:val="32"/>
        </w:rPr>
        <w:t>的人员。</w:t>
      </w:r>
    </w:p>
    <w:p>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eastAsia="黑体"/>
          <w:sz w:val="32"/>
          <w:szCs w:val="32"/>
        </w:rPr>
      </w:pPr>
      <w:r>
        <w:rPr>
          <w:rFonts w:eastAsia="黑体"/>
          <w:sz w:val="32"/>
          <w:szCs w:val="32"/>
        </w:rPr>
        <w:t>二、关于硕士学位</w:t>
      </w:r>
    </w:p>
    <w:p>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eastAsia="仿宋_GB2312"/>
          <w:sz w:val="32"/>
          <w:szCs w:val="32"/>
        </w:rPr>
      </w:pPr>
      <w:r>
        <w:rPr>
          <w:rFonts w:eastAsia="仿宋_GB2312"/>
          <w:sz w:val="32"/>
          <w:szCs w:val="32"/>
        </w:rPr>
        <w:t>获得由教育部认可的高等院校、军事院校、党校、行政学院或科研机构授予颁发的硕士学位证书，该证书由国务院学位委员会制定。仍在就读尚未毕业的，不具备报考资格。</w:t>
      </w:r>
    </w:p>
    <w:p>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eastAsia="仿宋_GB2312"/>
          <w:sz w:val="32"/>
          <w:szCs w:val="32"/>
        </w:rPr>
      </w:pPr>
      <w:r>
        <w:rPr>
          <w:rFonts w:eastAsia="仿宋_GB2312"/>
          <w:sz w:val="32"/>
          <w:szCs w:val="32"/>
        </w:rPr>
        <w:t>取得经教育部认可境外硕士以上学位的人员视为</w:t>
      </w:r>
      <w:r>
        <w:rPr>
          <w:rFonts w:hint="eastAsia" w:eastAsia="仿宋_GB2312"/>
          <w:sz w:val="32"/>
          <w:szCs w:val="32"/>
          <w:lang w:eastAsia="zh-CN"/>
        </w:rPr>
        <w:t>具有硕士以上学位</w:t>
      </w:r>
      <w:r>
        <w:rPr>
          <w:rFonts w:eastAsia="仿宋_GB2312"/>
          <w:sz w:val="32"/>
          <w:szCs w:val="32"/>
        </w:rPr>
        <w:t>。</w:t>
      </w:r>
    </w:p>
    <w:p>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eastAsia" w:eastAsia="黑体"/>
          <w:sz w:val="32"/>
          <w:szCs w:val="32"/>
        </w:rPr>
      </w:pPr>
      <w:r>
        <w:rPr>
          <w:rFonts w:hint="eastAsia" w:eastAsia="黑体"/>
          <w:sz w:val="32"/>
          <w:szCs w:val="32"/>
        </w:rPr>
        <w:t>三、关于一类大学</w:t>
      </w:r>
    </w:p>
    <w:p>
      <w:pPr>
        <w:pStyle w:val="7"/>
        <w:keepNext w:val="0"/>
        <w:keepLines w:val="0"/>
        <w:pageBreakBefore w:val="0"/>
        <w:widowControl w:val="0"/>
        <w:kinsoku/>
        <w:wordWrap/>
        <w:overflowPunct/>
        <w:topLinePunct w:val="0"/>
        <w:autoSpaceDE/>
        <w:autoSpaceDN/>
        <w:bidi w:val="0"/>
        <w:adjustRightInd/>
        <w:snapToGrid w:val="0"/>
        <w:spacing w:line="600" w:lineRule="exact"/>
        <w:textAlignment w:val="auto"/>
        <w:rPr>
          <w:rFonts w:hint="eastAsia"/>
        </w:rPr>
      </w:pPr>
      <w:r>
        <w:rPr>
          <w:rFonts w:hint="eastAsia" w:hAnsi="Times New Roman"/>
        </w:rPr>
        <w:t>国家重点建设的高等院校，包括“211工程”大学、“985工程”大学、“双一流”建设高校以及</w:t>
      </w:r>
      <w:r>
        <w:rPr>
          <w:rFonts w:hint="eastAsia"/>
        </w:rPr>
        <w:t>与税收工作紧密相关的财经类一本大学（东北财经大学、天津财经大学、江西财经大学、浙江财经大学、山东财经大学）。</w:t>
      </w:r>
    </w:p>
    <w:p>
      <w:pPr>
        <w:pStyle w:val="7"/>
        <w:keepNext w:val="0"/>
        <w:keepLines w:val="0"/>
        <w:pageBreakBefore w:val="0"/>
        <w:widowControl w:val="0"/>
        <w:kinsoku/>
        <w:wordWrap/>
        <w:overflowPunct/>
        <w:topLinePunct w:val="0"/>
        <w:autoSpaceDE/>
        <w:autoSpaceDN/>
        <w:bidi w:val="0"/>
        <w:adjustRightInd/>
        <w:snapToGrid w:val="0"/>
        <w:spacing w:line="600" w:lineRule="exact"/>
        <w:textAlignment w:val="auto"/>
        <w:rPr>
          <w:rFonts w:hint="eastAsia"/>
          <w:color w:val="000000"/>
        </w:rPr>
      </w:pPr>
      <w:r>
        <w:rPr>
          <w:rFonts w:hint="eastAsia" w:hAnsi="Times New Roman"/>
          <w:color w:val="000000"/>
        </w:rPr>
        <w:t>“双一流”建设高校包括一流大学建设高校和一流学科建设高校。其中，报考人员以一流学科建设高校资格报考的，</w:t>
      </w:r>
      <w:r>
        <w:rPr>
          <w:rFonts w:hint="eastAsia" w:hAnsi="Times New Roman"/>
          <w:color w:val="000000"/>
          <w:lang w:eastAsia="zh-CN"/>
        </w:rPr>
        <w:t>其</w:t>
      </w:r>
      <w:r>
        <w:rPr>
          <w:rFonts w:hint="eastAsia" w:hAnsi="Times New Roman"/>
          <w:color w:val="000000"/>
        </w:rPr>
        <w:t>毕业专业应为“双一流”建设学科。</w:t>
      </w:r>
    </w:p>
    <w:p>
      <w:pPr>
        <w:pStyle w:val="7"/>
        <w:keepNext w:val="0"/>
        <w:keepLines w:val="0"/>
        <w:pageBreakBefore w:val="0"/>
        <w:widowControl w:val="0"/>
        <w:kinsoku/>
        <w:wordWrap/>
        <w:overflowPunct/>
        <w:topLinePunct w:val="0"/>
        <w:autoSpaceDE/>
        <w:autoSpaceDN/>
        <w:bidi w:val="0"/>
        <w:adjustRightInd/>
        <w:snapToGrid w:val="0"/>
        <w:spacing w:line="600" w:lineRule="exact"/>
        <w:textAlignment w:val="auto"/>
        <w:rPr>
          <w:rFonts w:hint="eastAsia" w:hAnsi="Times New Roman" w:eastAsia="仿宋_GB2312"/>
          <w:lang w:eastAsia="zh-CN"/>
        </w:rPr>
      </w:pPr>
      <w:r>
        <w:rPr>
          <w:rFonts w:hint="eastAsia"/>
        </w:rPr>
        <w:t>教育部认可的</w:t>
      </w:r>
      <w:r>
        <w:rPr>
          <w:rFonts w:hint="eastAsia"/>
          <w:lang w:val="en-US" w:eastAsia="zh-CN"/>
        </w:rPr>
        <w:t>2023</w:t>
      </w:r>
      <w:r>
        <w:rPr>
          <w:rFonts w:hint="eastAsia"/>
        </w:rPr>
        <w:t>年</w:t>
      </w:r>
      <w:r>
        <w:t>QS</w:t>
      </w:r>
      <w:r>
        <w:rPr>
          <w:rFonts w:hint="eastAsia"/>
        </w:rPr>
        <w:t>世界大学排名前</w:t>
      </w:r>
      <w:r>
        <w:t>500</w:t>
      </w:r>
      <w:r>
        <w:rPr>
          <w:rFonts w:hint="eastAsia"/>
        </w:rPr>
        <w:t>位的国外高校，视为一类大学。</w:t>
      </w:r>
      <w:r>
        <w:rPr>
          <w:rFonts w:hint="eastAsia"/>
          <w:lang w:eastAsia="zh-CN"/>
        </w:rPr>
        <w:t>获得中央党校、中国科学院、中国社会科学院授予的硕士学位，可视为获得一类大学硕士学位。</w:t>
      </w:r>
    </w:p>
    <w:p>
      <w:pPr>
        <w:pStyle w:val="7"/>
        <w:keepNext w:val="0"/>
        <w:keepLines w:val="0"/>
        <w:pageBreakBefore w:val="0"/>
        <w:widowControl w:val="0"/>
        <w:kinsoku/>
        <w:wordWrap/>
        <w:overflowPunct/>
        <w:topLinePunct w:val="0"/>
        <w:autoSpaceDE/>
        <w:autoSpaceDN/>
        <w:bidi w:val="0"/>
        <w:adjustRightInd/>
        <w:snapToGrid w:val="0"/>
        <w:spacing w:line="600" w:lineRule="exact"/>
        <w:textAlignment w:val="auto"/>
        <w:rPr>
          <w:rFonts w:hint="eastAsia" w:hAnsi="Times New Roman"/>
        </w:rPr>
      </w:pPr>
      <w:r>
        <w:rPr>
          <w:rFonts w:hint="eastAsia" w:hAnsi="Times New Roman"/>
        </w:rPr>
        <w:t>报考人员毕业于曾合并或更名的一类大学，毕业证院校名称为合并或更名前的，可认定其符合一类大学条件。</w:t>
      </w:r>
    </w:p>
    <w:p>
      <w:pPr>
        <w:keepNext w:val="0"/>
        <w:keepLines w:val="0"/>
        <w:pageBreakBefore w:val="0"/>
        <w:widowControl w:val="0"/>
        <w:kinsoku/>
        <w:wordWrap/>
        <w:overflowPunct/>
        <w:topLinePunct w:val="0"/>
        <w:autoSpaceDE/>
        <w:autoSpaceDN/>
        <w:bidi w:val="0"/>
        <w:adjustRightInd/>
        <w:snapToGrid w:val="0"/>
        <w:spacing w:line="600" w:lineRule="exact"/>
        <w:ind w:firstLine="645"/>
        <w:textAlignment w:val="auto"/>
        <w:rPr>
          <w:rFonts w:hint="eastAsia" w:eastAsia="黑体"/>
          <w:sz w:val="32"/>
          <w:szCs w:val="32"/>
          <w:lang w:eastAsia="zh-CN"/>
        </w:rPr>
      </w:pPr>
      <w:r>
        <w:rPr>
          <w:rFonts w:hint="eastAsia" w:eastAsia="黑体"/>
          <w:sz w:val="32"/>
          <w:szCs w:val="32"/>
        </w:rPr>
        <w:t>四</w:t>
      </w:r>
      <w:r>
        <w:rPr>
          <w:rFonts w:eastAsia="黑体"/>
          <w:sz w:val="32"/>
          <w:szCs w:val="32"/>
        </w:rPr>
        <w:t>、关于大学英语六级以上的英语能力</w:t>
      </w:r>
      <w:r>
        <w:rPr>
          <w:rFonts w:hint="eastAsia" w:eastAsia="黑体"/>
          <w:sz w:val="32"/>
          <w:szCs w:val="32"/>
        </w:rPr>
        <w:t>或其他外语语种相应资质</w:t>
      </w:r>
      <w:r>
        <w:rPr>
          <w:rFonts w:hint="eastAsia" w:eastAsia="黑体"/>
          <w:sz w:val="32"/>
          <w:szCs w:val="32"/>
          <w:lang w:eastAsia="zh-CN"/>
        </w:rPr>
        <w:t>资格</w:t>
      </w:r>
    </w:p>
    <w:p>
      <w:pPr>
        <w:keepNext w:val="0"/>
        <w:keepLines w:val="0"/>
        <w:pageBreakBefore w:val="0"/>
        <w:widowControl w:val="0"/>
        <w:kinsoku/>
        <w:wordWrap/>
        <w:overflowPunct/>
        <w:topLinePunct w:val="0"/>
        <w:autoSpaceDE/>
        <w:autoSpaceDN/>
        <w:bidi w:val="0"/>
        <w:adjustRightInd/>
        <w:snapToGrid w:val="0"/>
        <w:spacing w:line="600"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（一）具有大学英语六级考试（CET-6）证书（425分以上）,或国内高校英语专业毕业并获得英语专业四级（TEM-4）证书以上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国内高校其他外语专业毕业并获得该语种专业四级证书以上，或取得与前述英语资质证书相同层次的其他语种资质证书，比如日本语能力考试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JLPT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N2级以上、韩语</w:t>
      </w:r>
      <w:r>
        <w:rPr>
          <w:rFonts w:hint="eastAsia" w:ascii="仿宋_GB2312" w:hAnsi="仿宋_GB2312" w:eastAsia="仿宋_GB2312" w:cs="仿宋_GB2312"/>
          <w:sz w:val="32"/>
          <w:szCs w:val="32"/>
          <w:lang w:eastAsia="zh-CN"/>
        </w:rPr>
        <w:t>考试（</w:t>
      </w:r>
      <w:r>
        <w:rPr>
          <w:rFonts w:hint="eastAsia" w:ascii="仿宋_GB2312" w:hAnsi="仿宋_GB2312" w:eastAsia="仿宋_GB2312" w:cs="仿宋_GB2312"/>
          <w:sz w:val="32"/>
          <w:szCs w:val="32"/>
        </w:rPr>
        <w:t>TOPIK</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5级以上、西班牙语考试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DELE</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中级以上等</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val="0"/>
        <w:spacing w:line="600"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（二）取得雅思（IELTS）6分以上、托福（TOEFL）80分以上、托业（TOEIC）730分以上英语考试成绩</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val="0"/>
        <w:spacing w:line="600"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（三）具有全国公共英语等级考试（PETS）四级证书以上、剑桥商务英语（BEC）中级证书以上、全国出国培训备选人员外语考试（BFT）高级合格证书，通过全国专业技术人员职称英语等级考试A级</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val="0"/>
        <w:spacing w:line="600"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（四）通过</w:t>
      </w:r>
      <w:r>
        <w:rPr>
          <w:rFonts w:hint="eastAsia" w:ascii="仿宋_GB2312" w:hAnsi="仿宋_GB2312" w:eastAsia="仿宋_GB2312" w:cs="仿宋_GB2312"/>
          <w:sz w:val="32"/>
          <w:szCs w:val="32"/>
        </w:rPr>
        <w:t>同等学力人员申请硕士学位</w:t>
      </w:r>
      <w:r>
        <w:rPr>
          <w:rFonts w:hint="eastAsia" w:ascii="仿宋_GB2312" w:hAnsi="仿宋_GB2312" w:eastAsia="仿宋_GB2312" w:cs="仿宋_GB2312"/>
          <w:sz w:val="32"/>
          <w:szCs w:val="32"/>
          <w:lang w:eastAsia="zh-CN"/>
        </w:rPr>
        <w:t>外国</w:t>
      </w:r>
      <w:r>
        <w:rPr>
          <w:rFonts w:hint="eastAsia" w:ascii="仿宋_GB2312" w:hAnsi="仿宋_GB2312" w:eastAsia="仿宋_GB2312" w:cs="仿宋_GB2312"/>
          <w:sz w:val="32"/>
          <w:szCs w:val="32"/>
        </w:rPr>
        <w:t>语水平全国统一考试</w:t>
      </w:r>
      <w:r>
        <w:rPr>
          <w:rFonts w:hint="eastAsia" w:ascii="仿宋_GB2312" w:hAnsi="仿宋_GB2312" w:eastAsia="仿宋_GB2312" w:cs="仿宋_GB2312"/>
          <w:sz w:val="32"/>
          <w:szCs w:val="32"/>
          <w:lang w:eastAsia="zh-CN"/>
        </w:rPr>
        <w:t>或具有全国硕士研究生招生考试英语合格证明。</w:t>
      </w:r>
    </w:p>
    <w:p>
      <w:pPr>
        <w:keepNext w:val="0"/>
        <w:keepLines w:val="0"/>
        <w:pageBreakBefore w:val="0"/>
        <w:widowControl w:val="0"/>
        <w:kinsoku/>
        <w:wordWrap/>
        <w:overflowPunct/>
        <w:topLinePunct w:val="0"/>
        <w:autoSpaceDE/>
        <w:autoSpaceDN/>
        <w:bidi w:val="0"/>
        <w:adjustRightInd/>
        <w:snapToGrid w:val="0"/>
        <w:spacing w:line="600"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（五）参加过境外正规高校外语教学或者学习半年以上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具有在经济合作与发展组织（OECD）、联合国开发计划署（UNDP）、国际货币基金组织（IMF）等国际组织3个月以上工作经历。</w:t>
      </w:r>
    </w:p>
    <w:p>
      <w:pPr>
        <w:keepNext w:val="0"/>
        <w:keepLines w:val="0"/>
        <w:pageBreakBefore w:val="0"/>
        <w:widowControl w:val="0"/>
        <w:kinsoku/>
        <w:wordWrap/>
        <w:overflowPunct/>
        <w:topLinePunct w:val="0"/>
        <w:autoSpaceDE/>
        <w:autoSpaceDN/>
        <w:bidi w:val="0"/>
        <w:adjustRightInd/>
        <w:snapToGrid w:val="0"/>
        <w:spacing w:line="600" w:lineRule="exact"/>
        <w:ind w:firstLine="627" w:firstLineChars="196"/>
        <w:textAlignment w:val="auto"/>
        <w:rPr>
          <w:rFonts w:eastAsia="黑体"/>
          <w:sz w:val="32"/>
          <w:szCs w:val="32"/>
        </w:rPr>
      </w:pPr>
      <w:r>
        <w:rPr>
          <w:rFonts w:hint="eastAsia" w:eastAsia="黑体"/>
          <w:sz w:val="32"/>
          <w:szCs w:val="32"/>
        </w:rPr>
        <w:t>五</w:t>
      </w:r>
      <w:r>
        <w:rPr>
          <w:rFonts w:eastAsia="黑体"/>
          <w:sz w:val="32"/>
          <w:szCs w:val="32"/>
        </w:rPr>
        <w:t>、关于</w:t>
      </w:r>
      <w:r>
        <w:rPr>
          <w:rFonts w:hint="eastAsia" w:eastAsia="黑体"/>
          <w:sz w:val="32"/>
          <w:szCs w:val="32"/>
        </w:rPr>
        <w:t>副处</w:t>
      </w:r>
      <w:r>
        <w:rPr>
          <w:rFonts w:eastAsia="黑体"/>
          <w:sz w:val="32"/>
          <w:szCs w:val="32"/>
        </w:rPr>
        <w:t>级以上</w:t>
      </w:r>
      <w:r>
        <w:rPr>
          <w:rFonts w:hint="eastAsia" w:eastAsia="黑体"/>
          <w:sz w:val="32"/>
          <w:szCs w:val="32"/>
          <w:lang w:eastAsia="zh-CN"/>
        </w:rPr>
        <w:t>、正科</w:t>
      </w:r>
      <w:r>
        <w:rPr>
          <w:rFonts w:eastAsia="黑体"/>
          <w:sz w:val="32"/>
          <w:szCs w:val="32"/>
        </w:rPr>
        <w:t>级税务干部</w:t>
      </w:r>
    </w:p>
    <w:p>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rPr>
          <w:rFonts w:hint="default" w:ascii="Calibri" w:hAnsi="Calibri" w:eastAsia="仿宋_GB2312" w:cs="Arial"/>
          <w:color w:val="000000"/>
          <w:sz w:val="32"/>
          <w:szCs w:val="32"/>
          <w:lang w:eastAsia="zh-CN"/>
        </w:rPr>
      </w:pPr>
      <w:r>
        <w:rPr>
          <w:rFonts w:eastAsia="仿宋_GB2312" w:cs="Arial"/>
          <w:color w:val="000000"/>
          <w:sz w:val="32"/>
          <w:szCs w:val="32"/>
        </w:rPr>
        <w:t>按照《中华人民共和国公务员法》有关规定和选拔要求，</w:t>
      </w:r>
      <w:r>
        <w:rPr>
          <w:rFonts w:hint="eastAsia" w:eastAsia="仿宋_GB2312" w:cs="Arial"/>
          <w:color w:val="000000"/>
          <w:sz w:val="32"/>
          <w:szCs w:val="32"/>
          <w:lang w:eastAsia="zh-CN"/>
        </w:rPr>
        <w:t>副处级以上税务干部</w:t>
      </w:r>
      <w:r>
        <w:rPr>
          <w:rFonts w:eastAsia="仿宋_GB2312" w:cs="Arial"/>
          <w:color w:val="000000"/>
          <w:sz w:val="32"/>
          <w:szCs w:val="32"/>
        </w:rPr>
        <w:t>包括</w:t>
      </w:r>
      <w:r>
        <w:rPr>
          <w:rFonts w:hint="default" w:ascii="Calibri" w:hAnsi="Calibri" w:eastAsia="仿宋_GB2312" w:cs="Arial"/>
          <w:color w:val="000000"/>
          <w:sz w:val="32"/>
          <w:szCs w:val="32"/>
          <w:lang w:eastAsia="zh-CN"/>
        </w:rPr>
        <w:t>副处级以上领导职务、四级调研员（四级高级主办、四级高级主管）以上职级</w:t>
      </w:r>
      <w:r>
        <w:rPr>
          <w:rFonts w:hint="eastAsia" w:eastAsia="仿宋_GB2312" w:cs="Arial"/>
          <w:color w:val="000000"/>
          <w:sz w:val="32"/>
          <w:szCs w:val="32"/>
          <w:lang w:eastAsia="zh-CN"/>
        </w:rPr>
        <w:t>；</w:t>
      </w:r>
      <w:r>
        <w:rPr>
          <w:rFonts w:hint="default" w:ascii="Calibri" w:hAnsi="Calibri" w:eastAsia="仿宋_GB2312" w:cs="Arial"/>
          <w:color w:val="000000"/>
          <w:sz w:val="32"/>
          <w:szCs w:val="32"/>
          <w:lang w:eastAsia="zh-CN"/>
        </w:rPr>
        <w:t>事业单位管理岗六级职员或副高级技术职称参照副处级对待。</w:t>
      </w:r>
    </w:p>
    <w:p>
      <w:pPr>
        <w:snapToGrid w:val="0"/>
        <w:spacing w:line="600" w:lineRule="exact"/>
        <w:ind w:firstLine="627" w:firstLineChars="196"/>
        <w:rPr>
          <w:rFonts w:hint="eastAsia" w:ascii="Calibri" w:hAnsi="Calibri" w:eastAsia="仿宋_GB2312" w:cs="Arial"/>
          <w:color w:val="000000"/>
          <w:sz w:val="32"/>
          <w:szCs w:val="32"/>
          <w:lang w:eastAsia="zh-CN"/>
        </w:rPr>
      </w:pPr>
      <w:r>
        <w:rPr>
          <w:rFonts w:hint="eastAsia" w:eastAsia="仿宋_GB2312" w:cs="Arial"/>
          <w:color w:val="000000"/>
          <w:sz w:val="32"/>
          <w:szCs w:val="32"/>
          <w:lang w:eastAsia="zh-CN"/>
        </w:rPr>
        <w:t>正科级税务干部包括</w:t>
      </w:r>
      <w:r>
        <w:rPr>
          <w:rFonts w:hint="default" w:ascii="Calibri" w:hAnsi="Calibri" w:eastAsia="仿宋_GB2312" w:cs="Arial"/>
          <w:color w:val="000000"/>
          <w:sz w:val="32"/>
          <w:szCs w:val="32"/>
          <w:lang w:eastAsia="zh-CN"/>
        </w:rPr>
        <w:t>正科级领导职务</w:t>
      </w:r>
      <w:r>
        <w:rPr>
          <w:rFonts w:hint="eastAsia" w:eastAsia="仿宋_GB2312" w:cs="Arial"/>
          <w:color w:val="000000"/>
          <w:sz w:val="32"/>
          <w:szCs w:val="32"/>
          <w:lang w:eastAsia="zh-CN"/>
        </w:rPr>
        <w:t>、一级主任科员（一级主办、一级主管）和</w:t>
      </w:r>
      <w:r>
        <w:rPr>
          <w:rFonts w:hint="default" w:ascii="Calibri" w:hAnsi="Calibri" w:eastAsia="仿宋_GB2312" w:cs="Arial"/>
          <w:color w:val="000000"/>
          <w:sz w:val="32"/>
          <w:szCs w:val="32"/>
          <w:lang w:eastAsia="zh-CN"/>
        </w:rPr>
        <w:t>二级主任科员（二级主办、二级主管）职级</w:t>
      </w:r>
      <w:r>
        <w:rPr>
          <w:rFonts w:hint="eastAsia" w:eastAsia="仿宋_GB2312" w:cs="Arial"/>
          <w:color w:val="000000"/>
          <w:sz w:val="32"/>
          <w:szCs w:val="32"/>
          <w:lang w:eastAsia="zh-CN"/>
        </w:rPr>
        <w:t>；</w:t>
      </w:r>
      <w:r>
        <w:rPr>
          <w:rFonts w:hint="default" w:ascii="Calibri" w:hAnsi="Calibri" w:eastAsia="仿宋_GB2312" w:cs="Arial"/>
          <w:color w:val="000000"/>
          <w:sz w:val="32"/>
          <w:szCs w:val="32"/>
          <w:lang w:eastAsia="zh-CN"/>
        </w:rPr>
        <w:t>事业单位管理岗七级职员参照正科级对待</w:t>
      </w:r>
      <w:r>
        <w:rPr>
          <w:rFonts w:hint="eastAsia" w:ascii="Calibri" w:hAnsi="Calibri" w:eastAsia="仿宋_GB2312" w:cs="Arial"/>
          <w:color w:val="000000"/>
          <w:sz w:val="32"/>
          <w:szCs w:val="32"/>
          <w:lang w:eastAsia="zh-CN"/>
        </w:rPr>
        <w:t>。</w:t>
      </w:r>
    </w:p>
    <w:p>
      <w:pPr>
        <w:snapToGrid w:val="0"/>
        <w:spacing w:line="600" w:lineRule="exact"/>
        <w:ind w:firstLine="627" w:firstLineChars="196"/>
        <w:rPr>
          <w:rFonts w:eastAsia="黑体"/>
          <w:sz w:val="32"/>
          <w:szCs w:val="32"/>
        </w:rPr>
      </w:pPr>
      <w:r>
        <w:rPr>
          <w:rFonts w:hint="eastAsia" w:eastAsia="黑体"/>
          <w:sz w:val="32"/>
          <w:szCs w:val="32"/>
        </w:rPr>
        <w:t>六</w:t>
      </w:r>
      <w:r>
        <w:rPr>
          <w:rFonts w:eastAsia="黑体"/>
          <w:sz w:val="32"/>
          <w:szCs w:val="32"/>
        </w:rPr>
        <w:t>、关于部分素质和业绩评价项目认定标准</w:t>
      </w:r>
    </w:p>
    <w:p>
      <w:pPr>
        <w:widowControl w:val="0"/>
        <w:overflowPunct/>
        <w:autoSpaceDE/>
        <w:autoSpaceDN/>
        <w:adjustRightInd/>
        <w:snapToGrid w:val="0"/>
        <w:spacing w:line="600" w:lineRule="exact"/>
        <w:ind w:firstLine="640" w:firstLineChars="200"/>
        <w:textAlignment w:val="auto"/>
        <w:rPr>
          <w:rFonts w:hint="eastAsia" w:eastAsia="仿宋_GB2312" w:cs="Arial"/>
          <w:color w:val="000000"/>
          <w:sz w:val="32"/>
          <w:szCs w:val="32"/>
        </w:rPr>
      </w:pPr>
      <w:r>
        <w:rPr>
          <w:rFonts w:hint="eastAsia" w:eastAsia="仿宋_GB2312" w:cs="Arial"/>
          <w:color w:val="000000"/>
          <w:sz w:val="32"/>
          <w:szCs w:val="32"/>
        </w:rPr>
        <w:t>（一）获得国家级或省部级荣誉表彰的，依据表彰文件或证书所盖公章机构级别进行认定；如文件载明表扬对象为成果或集体而非个人的，不予认定。</w:t>
      </w:r>
    </w:p>
    <w:p>
      <w:pPr>
        <w:widowControl w:val="0"/>
        <w:overflowPunct/>
        <w:autoSpaceDE/>
        <w:autoSpaceDN/>
        <w:adjustRightInd/>
        <w:snapToGrid w:val="0"/>
        <w:spacing w:line="600" w:lineRule="exact"/>
        <w:ind w:firstLine="640" w:firstLineChars="200"/>
        <w:textAlignment w:val="auto"/>
        <w:rPr>
          <w:rFonts w:hint="eastAsia" w:eastAsia="仿宋_GB2312" w:cs="Arial"/>
          <w:color w:val="000000"/>
          <w:sz w:val="32"/>
          <w:szCs w:val="32"/>
        </w:rPr>
      </w:pPr>
      <w:r>
        <w:rPr>
          <w:rFonts w:hint="eastAsia" w:eastAsia="仿宋_GB2312" w:cs="Arial"/>
          <w:color w:val="000000"/>
          <w:sz w:val="32"/>
          <w:szCs w:val="32"/>
        </w:rPr>
        <w:t>（二）出版著作的，依据书本封面或版权页所载明作者认定。名字出现在主编、编委会成员等位置的，不予认定。</w:t>
      </w:r>
    </w:p>
    <w:p>
      <w:pPr>
        <w:widowControl w:val="0"/>
        <w:overflowPunct/>
        <w:autoSpaceDE/>
        <w:autoSpaceDN/>
        <w:adjustRightInd/>
        <w:snapToGrid w:val="0"/>
        <w:spacing w:line="600" w:lineRule="exact"/>
        <w:ind w:firstLine="0" w:firstLineChars="0"/>
        <w:textAlignment w:val="auto"/>
        <w:rPr>
          <w:rFonts w:hint="eastAsia" w:eastAsia="仿宋_GB2312" w:cs="Arial"/>
          <w:color w:val="000000"/>
          <w:sz w:val="32"/>
          <w:szCs w:val="32"/>
        </w:rPr>
      </w:pPr>
      <w:r>
        <w:rPr>
          <w:rFonts w:hint="eastAsia" w:eastAsia="仿宋_GB2312" w:cs="Arial"/>
          <w:color w:val="000000"/>
          <w:sz w:val="32"/>
          <w:szCs w:val="32"/>
        </w:rPr>
        <w:t>出版专著应当具有学术特征，通俗读物或教辅资料类的不予认定。</w:t>
      </w:r>
    </w:p>
    <w:p>
      <w:pPr>
        <w:widowControl w:val="0"/>
        <w:overflowPunct/>
        <w:autoSpaceDE/>
        <w:autoSpaceDN/>
        <w:adjustRightInd/>
        <w:snapToGrid w:val="0"/>
        <w:spacing w:line="600" w:lineRule="exact"/>
        <w:ind w:firstLine="640" w:firstLineChars="200"/>
        <w:textAlignment w:val="auto"/>
        <w:rPr>
          <w:rFonts w:hint="eastAsia" w:eastAsia="仿宋_GB2312" w:cs="Arial"/>
          <w:color w:val="000000"/>
          <w:sz w:val="32"/>
          <w:szCs w:val="32"/>
        </w:rPr>
      </w:pPr>
      <w:r>
        <w:rPr>
          <w:rFonts w:hint="eastAsia" w:eastAsia="仿宋_GB2312" w:cs="Arial"/>
          <w:color w:val="000000"/>
          <w:sz w:val="32"/>
          <w:szCs w:val="32"/>
        </w:rPr>
        <w:t>（三）部分报考人员遗失毕业证、学位证的，如能提供毕业高校加盖公章的学籍证明，</w:t>
      </w:r>
      <w:r>
        <w:rPr>
          <w:rFonts w:hint="eastAsia" w:eastAsia="仿宋_GB2312" w:cs="Arial"/>
          <w:bCs w:val="0"/>
          <w:color w:val="000000"/>
          <w:sz w:val="32"/>
          <w:szCs w:val="32"/>
        </w:rPr>
        <w:t>并</w:t>
      </w:r>
      <w:r>
        <w:rPr>
          <w:rFonts w:hint="eastAsia" w:eastAsia="仿宋_GB2312" w:cs="Arial"/>
          <w:color w:val="000000"/>
          <w:sz w:val="32"/>
          <w:szCs w:val="32"/>
        </w:rPr>
        <w:t>能通过学信网查询到学籍及毕业情况的，可认定其相应学历、学位。</w:t>
      </w:r>
    </w:p>
    <w:p>
      <w:pPr>
        <w:widowControl w:val="0"/>
        <w:overflowPunct/>
        <w:autoSpaceDE/>
        <w:autoSpaceDN/>
        <w:adjustRightInd/>
        <w:snapToGrid w:val="0"/>
        <w:spacing w:line="600" w:lineRule="exact"/>
        <w:ind w:firstLine="640" w:firstLineChars="200"/>
        <w:jc w:val="left"/>
        <w:textAlignment w:val="auto"/>
      </w:pPr>
      <w:r>
        <w:rPr>
          <w:rFonts w:hint="eastAsia" w:eastAsia="仿宋_GB2312" w:cs="Arial"/>
          <w:color w:val="000000"/>
          <w:sz w:val="32"/>
          <w:szCs w:val="32"/>
        </w:rPr>
        <w:t>（四）部分报考人员已通过资格考试全部科目而资格证书尚未下发的，如能通过官方网站查询到“全科通过”记录，视为已取得资格证书。</w:t>
      </w:r>
    </w:p>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DOqXm5zwAAAAUB&#10;AAAPAAAAAAAAAAEAIAAAACIAAABkcnMvZG93bnJldi54bWxQSwECFAAUAAAACACHTuJAd85RhbIB&#10;AABZAwAADgAAAAAAAAABACAAAAAeAQAAZHJzL2Uyb0RvYy54bWxQSwUGAAAAAAYABgBZAQAAQgUA&#10;AAAA&#10;">
              <v:path/>
              <v:fill on="f" focussize="0,0"/>
              <v:stroke on="f"/>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0C584C"/>
    <w:rsid w:val="410C584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overflowPunct w:val="0"/>
      <w:autoSpaceDE w:val="0"/>
      <w:autoSpaceDN w:val="0"/>
      <w:adjustRightInd w:val="0"/>
      <w:jc w:val="both"/>
      <w:textAlignment w:val="baseline"/>
    </w:pPr>
    <w:rPr>
      <w:rFonts w:ascii="Times New Roman" w:hAnsi="Times New Roman" w:eastAsia="宋体" w:cs="Times New Roman"/>
      <w:sz w:val="21"/>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szCs w:val="21"/>
    </w:rPr>
  </w:style>
  <w:style w:type="paragraph" w:styleId="3">
    <w:name w:val="footer"/>
    <w:basedOn w:val="1"/>
    <w:qFormat/>
    <w:uiPriority w:val="0"/>
    <w:pPr>
      <w:tabs>
        <w:tab w:val="center" w:pos="4153"/>
        <w:tab w:val="right" w:pos="8306"/>
      </w:tabs>
      <w:snapToGrid w:val="0"/>
      <w:jc w:val="left"/>
    </w:pPr>
    <w:rPr>
      <w:sz w:val="18"/>
    </w:rPr>
  </w:style>
  <w:style w:type="paragraph" w:customStyle="1" w:styleId="6">
    <w:name w:val="样式2"/>
    <w:basedOn w:val="2"/>
    <w:qFormat/>
    <w:uiPriority w:val="0"/>
    <w:pPr>
      <w:widowControl w:val="0"/>
      <w:overflowPunct/>
      <w:autoSpaceDE/>
      <w:autoSpaceDN/>
      <w:snapToGrid w:val="0"/>
      <w:spacing w:line="360" w:lineRule="auto"/>
      <w:textAlignment w:val="auto"/>
    </w:pPr>
    <w:rPr>
      <w:rFonts w:ascii="黑体" w:hAnsi="Times New Roman" w:eastAsia="黑体" w:cs="Times New Roman"/>
      <w:sz w:val="20"/>
      <w:szCs w:val="20"/>
    </w:rPr>
  </w:style>
  <w:style w:type="paragraph" w:customStyle="1" w:styleId="7">
    <w:name w:val="税正文 仿宋GB2312三号"/>
    <w:basedOn w:val="1"/>
    <w:qFormat/>
    <w:uiPriority w:val="0"/>
    <w:pPr>
      <w:tabs>
        <w:tab w:val="left" w:pos="0"/>
      </w:tabs>
      <w:snapToGrid w:val="0"/>
      <w:spacing w:line="360" w:lineRule="auto"/>
      <w:ind w:firstLine="640" w:firstLineChars="200"/>
    </w:pPr>
    <w:rPr>
      <w:rFonts w:ascii="仿宋_GB2312" w:hAnsi="仿宋" w:eastAsia="仿宋_GB2312"/>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Office_11.8.2.8959_F1E327BC-269C-435d-A152-05C5408002CA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2024-07-24T02:33:00Z</dcterms:created>
  <dc:creator>Administrator</dc:creator>
  <cp:lastModifiedBy>Administrator</cp:lastModifiedBy>
  <dcterms:modified xsi:type="dcterms:W3CDTF">2024-07-24T02:33:39Z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2052-11.8.2.8959</vt:lpwstr>
  </property>
</Properties>
</file>