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ind w:firstLine="0" w:firstLineChars="0"/>
        <w:jc w:val="left"/>
        <w:outlineLvl w:val="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附4</w:t>
      </w:r>
    </w:p>
    <w:p>
      <w:pPr>
        <w:pStyle w:val="3"/>
        <w:spacing w:line="560" w:lineRule="exact"/>
        <w:rPr>
          <w:rFonts w:ascii="方正小标宋简体" w:hAnsi="方正小标宋简体" w:eastAsia="方正小标宋简体" w:cs="方正小标宋简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</w:rPr>
        <w:t>乐企直连服务授权委托书</w:t>
      </w:r>
    </w:p>
    <w:bookmarkEnd w:id="0"/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纳税人识别号：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被授权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</w:t>
      </w:r>
    </w:p>
    <w:p>
      <w:pPr>
        <w:spacing w:line="560" w:lineRule="exac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纳税人识别号：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</w:p>
    <w:p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一、乐企自用</w:t>
      </w:r>
      <w:r>
        <w:rPr>
          <w:rFonts w:hint="eastAsia" w:ascii="仿宋_GB2312" w:hAnsi="仿宋_GB2312" w:eastAsia="仿宋_GB2312" w:cs="仿宋_GB2312"/>
          <w:sz w:val="32"/>
          <w:szCs w:val="32"/>
        </w:rPr>
        <w:t>直连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单位授权其关联企业建设、管理平台，或授权不具关联关系的第三方企业承担建设责任，并承担因被授权单位的违法违规行为引发严重后果的连带责任。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二、被授权单位应当能够统筹建设或改造乐企自用</w:t>
      </w:r>
      <w:r>
        <w:rPr>
          <w:rFonts w:hint="eastAsia" w:ascii="仿宋_GB2312" w:hAnsi="仿宋_GB2312" w:eastAsia="仿宋_GB2312" w:cs="仿宋_GB2312"/>
          <w:sz w:val="32"/>
          <w:szCs w:val="32"/>
        </w:rPr>
        <w:t>直连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单位及使用单位的自有业务系统以适配乐企服务要求；被授权单位为授权单位的关联企业时，被授权单位可按照税务机关的服务管理要求，代表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直连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单位实施乐企对接，并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ascii="仿宋_GB2312" w:hAnsi="仿宋_GB2312" w:eastAsia="仿宋_GB2312" w:cs="仿宋_GB2312"/>
          <w:sz w:val="32"/>
          <w:szCs w:val="32"/>
          <w:lang w:eastAsia="zh-Hans"/>
        </w:rPr>
        <w:t>乐企自用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的管理工作。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被授权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应当具备的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条件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Hans"/>
        </w:rPr>
        <w:t>（一）基本条件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.已纳入</w:t>
      </w:r>
      <w:r>
        <w:rPr>
          <w:rFonts w:hint="eastAsia" w:ascii="仿宋_GB2312" w:hAnsi="仿宋_GB2312" w:eastAsia="仿宋_GB2312" w:cs="仿宋_GB2312"/>
          <w:sz w:val="32"/>
          <w:szCs w:val="32"/>
        </w:rPr>
        <w:t>数电票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开票试点纳税人范围；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.纳税信用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级别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为A、B级（B级纳税人需要定期提供货物流、资金流、现金流的有关数据）；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.近三年内不存在税务机关确定的重大税收违法行为；</w:t>
      </w:r>
    </w:p>
    <w:p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.能按照税务机关要求依法提供相关涉税数据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，包括但不限于使用单位身份信息、取酬账户信息、经营收入情况等，以及需要特别提供的货物流、资金流、现金流等其他涉税数据。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Hans"/>
        </w:rPr>
        <w:t>（二）技术和安全条件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1.有较强的信息化建设、服务、运维能力，企业自有信息系统具有软件著作权、使用权，或相关授权；</w:t>
      </w:r>
    </w:p>
    <w:p>
      <w:pPr>
        <w:overflowPunct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  <w:szCs w:val="32"/>
        </w:rPr>
        <w:t>乐企自用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必须按照税务机关的要求保存数据并内嵌风险控制规则，同时向税务机关开放接口，供税务机关在线审计；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3.遵守网络安全、数据安全相关规定，遵循税务机关相关管理要求，如实向税务机关报告重大变化和使用单位情况，并承担因使用单位的违法违规行为引发严重后果的连带责任。</w:t>
      </w:r>
    </w:p>
    <w:p>
      <w:pPr>
        <w:pStyle w:val="2"/>
        <w:spacing w:line="560" w:lineRule="exact"/>
        <w:ind w:left="0" w:leftChars="0"/>
        <w:rPr>
          <w:rFonts w:hint="eastAsia" w:ascii="仿宋_GB2312" w:hAnsi="仿宋_GB2312" w:eastAsia="仿宋_GB2312" w:cs="仿宋_GB2312"/>
        </w:rPr>
      </w:pPr>
    </w:p>
    <w:p>
      <w:pPr>
        <w:pStyle w:val="2"/>
        <w:spacing w:line="560" w:lineRule="exact"/>
        <w:ind w:left="0" w:leftChars="0"/>
        <w:rPr>
          <w:rFonts w:hint="eastAsia" w:ascii="仿宋_GB2312" w:hAnsi="仿宋_GB2312" w:eastAsia="仿宋_GB2312" w:cs="仿宋_GB2312"/>
        </w:rPr>
      </w:pPr>
    </w:p>
    <w:p>
      <w:pPr>
        <w:spacing w:line="56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(盖章)</w:t>
      </w:r>
    </w:p>
    <w:p>
      <w:pPr>
        <w:spacing w:line="56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(签名)</w:t>
      </w:r>
    </w:p>
    <w:p>
      <w:pPr>
        <w:pStyle w:val="2"/>
        <w:spacing w:line="560" w:lineRule="exact"/>
        <w:ind w:left="0" w:leftChars="0"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 xml:space="preserve">日 </w:t>
      </w:r>
    </w:p>
    <w:p>
      <w:pPr>
        <w:pStyle w:val="2"/>
        <w:spacing w:line="560" w:lineRule="exact"/>
        <w:ind w:left="0" w:leftChars="0"/>
        <w:rPr>
          <w:rFonts w:ascii="Times New Roman" w:hAnsi="Times New Roman" w:eastAsia="仿宋_GB2312"/>
          <w:sz w:val="32"/>
          <w:szCs w:val="32"/>
        </w:rPr>
      </w:pPr>
    </w:p>
    <w:p>
      <w:pPr>
        <w:pStyle w:val="2"/>
        <w:spacing w:line="560" w:lineRule="exact"/>
        <w:ind w:left="0"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60" w:lineRule="exact"/>
        <w:ind w:left="0"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被授权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(盖章)</w:t>
      </w:r>
    </w:p>
    <w:p>
      <w:pPr>
        <w:spacing w:line="56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(签名)</w:t>
      </w:r>
    </w:p>
    <w:p>
      <w:pPr>
        <w:spacing w:line="560" w:lineRule="exact"/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 xml:space="preserve">日 </w:t>
      </w:r>
    </w:p>
    <w:p>
      <w:pPr>
        <w:spacing w:line="560" w:lineRule="exact"/>
      </w:pPr>
    </w:p>
    <w:p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4558B"/>
    <w:rsid w:val="42E4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after="0" w:line="600" w:lineRule="exact"/>
      <w:jc w:val="center"/>
      <w:outlineLvl w:val="0"/>
    </w:pPr>
    <w:rPr>
      <w:rFonts w:eastAsia="方正小标宋_GBK"/>
      <w:kern w:val="44"/>
      <w:sz w:val="36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4">
    <w:name w:val="Body Text"/>
    <w:basedOn w:val="1"/>
    <w:next w:val="1"/>
    <w:qFormat/>
    <w:uiPriority w:val="0"/>
    <w:pPr>
      <w:adjustRightInd w:val="0"/>
      <w:snapToGrid w:val="0"/>
      <w:spacing w:line="580" w:lineRule="exact"/>
      <w:ind w:firstLine="880" w:firstLineChars="200"/>
    </w:pPr>
    <w:rPr>
      <w:rFonts w:ascii="仿宋_GB2312" w:hAnsi="仿宋_GB2312" w:eastAsia="仿宋_GB2312"/>
      <w:sz w:val="32"/>
      <w:szCs w:val="2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2023-12-20T06:13:00Z</dcterms:created>
  <dc:creator>SL</dc:creator>
  <cp:lastModifiedBy>SL</cp:lastModifiedBy>
  <dcterms:modified xsi:type="dcterms:W3CDTF">2023-12-20T06:14:45Z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