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color w:val="auto"/>
          <w:sz w:val="100"/>
          <w:szCs w:val="100"/>
          <w:highlight w:val="none"/>
        </w:rPr>
      </w:pPr>
    </w:p>
    <w:p>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pStyle w:val="11"/>
        <w:spacing w:line="360" w:lineRule="auto"/>
        <w:rPr>
          <w:rFonts w:hint="eastAsia" w:ascii="宋体" w:hAnsi="宋体" w:eastAsia="宋体" w:cs="宋体"/>
          <w:color w:val="auto"/>
          <w:sz w:val="28"/>
          <w:szCs w:val="28"/>
          <w:highlight w:val="none"/>
        </w:rPr>
      </w:pPr>
    </w:p>
    <w:p>
      <w:pPr>
        <w:pStyle w:val="11"/>
        <w:spacing w:line="360" w:lineRule="auto"/>
        <w:rPr>
          <w:rFonts w:hint="eastAsia" w:ascii="宋体" w:hAnsi="宋体" w:eastAsia="宋体" w:cs="宋体"/>
          <w:color w:val="auto"/>
          <w:sz w:val="28"/>
          <w:szCs w:val="28"/>
          <w:highlight w:val="none"/>
        </w:rPr>
      </w:pPr>
    </w:p>
    <w:p>
      <w:pPr>
        <w:snapToGrid w:val="0"/>
        <w:jc w:val="center"/>
        <w:rPr>
          <w:rFonts w:hint="eastAsia" w:ascii="宋体" w:hAnsi="宋体" w:eastAsia="宋体" w:cs="宋体"/>
          <w:b/>
          <w:bCs/>
          <w:color w:val="auto"/>
          <w:highlight w:val="none"/>
        </w:rPr>
      </w:pPr>
    </w:p>
    <w:p>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国家税务总局黑龙江省税务局金三等统推系统功能优化升级项目</w:t>
      </w:r>
    </w:p>
    <w:p>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HTCL-ZB-243108</w:t>
      </w:r>
    </w:p>
    <w:p>
      <w:pPr>
        <w:snapToGrid w:val="0"/>
        <w:jc w:val="center"/>
        <w:rPr>
          <w:rFonts w:hint="eastAsia" w:ascii="宋体" w:hAnsi="宋体" w:eastAsia="宋体" w:cs="宋体"/>
          <w:b/>
          <w:bCs/>
          <w:color w:val="auto"/>
          <w:sz w:val="32"/>
          <w:szCs w:val="32"/>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7</w:t>
      </w:r>
      <w:r>
        <w:rPr>
          <w:rFonts w:hint="eastAsia" w:ascii="宋体" w:hAnsi="宋体" w:eastAsia="宋体" w:cs="宋体"/>
          <w:color w:val="auto"/>
          <w:kern w:val="0"/>
          <w:sz w:val="28"/>
          <w:szCs w:val="28"/>
          <w:highlight w:val="none"/>
        </w:rPr>
        <w:t>月</w:t>
      </w:r>
    </w:p>
    <w:p>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19"/>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6"/>
        <w:tabs>
          <w:tab w:val="right" w:leader="dot" w:pos="8306"/>
        </w:tabs>
        <w:spacing w:line="600" w:lineRule="exact"/>
        <w:rPr>
          <w:rFonts w:hint="eastAsia" w:ascii="宋体" w:hAnsi="宋体" w:eastAsia="宋体" w:cs="宋体"/>
          <w:b/>
          <w:bCs/>
          <w:color w:val="auto"/>
          <w:highlight w:val="none"/>
        </w:rPr>
        <w:sectPr>
          <w:headerReference r:id="rId3" w:type="default"/>
          <w:footerReference r:id="rId4"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pPr>
        <w:pStyle w:val="3"/>
        <w:rPr>
          <w:rFonts w:hint="eastAsia" w:ascii="宋体" w:hAnsi="宋体" w:eastAsia="宋体" w:cs="宋体"/>
          <w:color w:val="auto"/>
          <w:highlight w:val="none"/>
        </w:rPr>
      </w:pPr>
      <w:bookmarkStart w:id="0" w:name="_Toc15817"/>
      <w:bookmarkStart w:id="1" w:name="_Toc1124_WPSOffice_Level1"/>
      <w:bookmarkStart w:id="2" w:name="_Toc78902190"/>
      <w:r>
        <w:rPr>
          <w:rFonts w:hint="eastAsia" w:ascii="宋体" w:hAnsi="宋体" w:eastAsia="宋体" w:cs="宋体"/>
          <w:color w:val="auto"/>
          <w:highlight w:val="none"/>
        </w:rPr>
        <w:t>招标公告</w:t>
      </w:r>
      <w:bookmarkEnd w:id="0"/>
      <w:bookmarkEnd w:id="1"/>
      <w:bookmarkEnd w:id="2"/>
    </w:p>
    <w:tbl>
      <w:tblPr>
        <w:tblStyle w:val="26"/>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40" w:hRule="atLeast"/>
        </w:trPr>
        <w:tc>
          <w:tcPr>
            <w:tcW w:w="8516" w:type="dxa"/>
            <w:noWrap w:val="0"/>
            <w:vAlign w:val="top"/>
          </w:tcPr>
          <w:p>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国家税务总局黑龙江省税务局金三等统推系统功能优化升级项目</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16</w:t>
            </w:r>
            <w:r>
              <w:rPr>
                <w:rFonts w:hint="eastAsia" w:ascii="宋体" w:hAnsi="宋体" w:eastAsia="宋体" w:cs="宋体"/>
                <w:color w:val="auto"/>
                <w:highlight w:val="none"/>
              </w:rPr>
              <w:t>日9点00分（北京时间）前递交投标文件。</w:t>
            </w:r>
          </w:p>
        </w:tc>
      </w:tr>
    </w:tbl>
    <w:p>
      <w:pPr>
        <w:rPr>
          <w:rFonts w:hint="eastAsia" w:ascii="宋体" w:hAnsi="宋体" w:eastAsia="宋体" w:cs="宋体"/>
          <w:color w:val="auto"/>
          <w:highlight w:val="none"/>
        </w:rPr>
      </w:pPr>
      <w:bookmarkStart w:id="3" w:name="_Toc28359079"/>
      <w:bookmarkStart w:id="4" w:name="_Toc28359002"/>
      <w:bookmarkStart w:id="5" w:name="_Hlk24379207"/>
      <w:r>
        <w:rPr>
          <w:rFonts w:hint="eastAsia" w:ascii="宋体" w:hAnsi="宋体" w:eastAsia="宋体" w:cs="宋体"/>
          <w:color w:val="auto"/>
          <w:highlight w:val="none"/>
        </w:rPr>
        <w:t>一、项目基本情况</w:t>
      </w:r>
      <w:bookmarkEnd w:id="3"/>
      <w:bookmarkEnd w:id="4"/>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HTCL-ZB-243108</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国家税务总局黑龙江省税务局金三等统推系统功能优化升级项目</w:t>
      </w:r>
    </w:p>
    <w:p>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319.50万元</w:t>
      </w:r>
    </w:p>
    <w:p>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319.50万元</w:t>
      </w:r>
    </w:p>
    <w:p>
      <w:pPr>
        <w:rPr>
          <w:rFonts w:hint="default" w:eastAsia="宋体"/>
          <w:color w:val="auto"/>
          <w:highlight w:val="none"/>
          <w:lang w:val="en-US" w:eastAsia="zh-CN"/>
        </w:rPr>
      </w:pPr>
      <w:r>
        <w:rPr>
          <w:rFonts w:hint="eastAsia" w:ascii="宋体" w:hAnsi="宋体" w:eastAsia="宋体" w:cs="宋体"/>
          <w:color w:val="auto"/>
          <w:highlight w:val="none"/>
        </w:rPr>
        <w:t>采购需求：</w:t>
      </w:r>
      <w:r>
        <w:rPr>
          <w:rFonts w:hint="eastAsia"/>
          <w:color w:val="auto"/>
          <w:highlight w:val="none"/>
          <w:lang w:val="en-US" w:eastAsia="zh-CN"/>
        </w:rPr>
        <w:t>第一包：金税三期核心征管税收收入及数据风险监管项目，在税务总局征管质量监控评价工作基础上，建立个性化监控评价指标模型，定期监控评价各地税务局的征管质量，不断完善制度机制。进一步规范税收管理，通过建立疑点数据全面管理功能，提高监控预警能力，提升征管质效。预算114.54万元。</w:t>
      </w:r>
    </w:p>
    <w:p>
      <w:pPr>
        <w:rPr>
          <w:rFonts w:hint="eastAsia"/>
          <w:color w:val="auto"/>
          <w:highlight w:val="none"/>
          <w:lang w:val="en-US" w:eastAsia="zh-CN"/>
        </w:rPr>
      </w:pPr>
      <w:r>
        <w:rPr>
          <w:rFonts w:hint="eastAsia"/>
          <w:color w:val="auto"/>
          <w:highlight w:val="none"/>
          <w:lang w:val="en-US" w:eastAsia="zh-CN"/>
        </w:rPr>
        <w:t>第二包：金税三期决策一包数据加工及相关数据接口服务以及“税智撑”汇聚区数据处理及投放项目，预算114.42万元。</w:t>
      </w:r>
    </w:p>
    <w:p>
      <w:pPr>
        <w:rPr>
          <w:rFonts w:hint="default"/>
          <w:color w:val="auto"/>
          <w:highlight w:val="none"/>
          <w:lang w:val="en-US" w:eastAsia="zh-CN"/>
        </w:rPr>
      </w:pPr>
      <w:r>
        <w:rPr>
          <w:rFonts w:hint="eastAsia"/>
          <w:color w:val="auto"/>
          <w:highlight w:val="none"/>
          <w:lang w:val="en-US" w:eastAsia="zh-CN"/>
        </w:rPr>
        <w:t>第三包：金税三期决策二包、ITS、社保管理子系统和企业所得税汇算清缴审核功能优化项目，预算81.42万元。</w:t>
      </w:r>
    </w:p>
    <w:p>
      <w:pPr>
        <w:pStyle w:val="35"/>
        <w:ind w:firstLine="0" w:firstLineChars="0"/>
        <w:rPr>
          <w:rFonts w:hint="eastAsia" w:ascii="宋体" w:hAnsi="宋体" w:eastAsia="宋体" w:cs="宋体"/>
          <w:color w:val="auto"/>
          <w:highlight w:val="none"/>
          <w:lang w:val="en-US" w:eastAsia="zh-CN"/>
        </w:rPr>
      </w:pPr>
      <w:r>
        <w:rPr>
          <w:rFonts w:hint="eastAsia"/>
          <w:color w:val="auto"/>
          <w:highlight w:val="none"/>
          <w:lang w:val="en-US" w:eastAsia="zh-CN"/>
        </w:rPr>
        <w:t>第四包：车船税联网征收系统升级项目，完善车船税系统线上实施核定计税依据的功能。预算9.12万元。</w:t>
      </w:r>
    </w:p>
    <w:p>
      <w:pPr>
        <w:pStyle w:val="35"/>
        <w:ind w:left="0" w:leftChars="0" w:firstLine="0" w:firstLineChars="0"/>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合同履行期限：自合同生效之日起1年。</w:t>
      </w:r>
    </w:p>
    <w:p>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pPr>
        <w:rPr>
          <w:rFonts w:hint="eastAsia" w:ascii="宋体" w:hAnsi="宋体" w:eastAsia="宋体" w:cs="宋体"/>
          <w:color w:val="auto"/>
          <w:highlight w:val="none"/>
        </w:rPr>
      </w:pPr>
      <w:bookmarkStart w:id="6" w:name="_Toc28359080"/>
      <w:bookmarkStart w:id="7" w:name="_Toc28359003"/>
      <w:r>
        <w:rPr>
          <w:rFonts w:hint="eastAsia" w:ascii="宋体" w:hAnsi="宋体" w:eastAsia="宋体" w:cs="宋体"/>
          <w:color w:val="auto"/>
          <w:highlight w:val="none"/>
        </w:rPr>
        <w:t>二、申请人的资格要求</w:t>
      </w:r>
      <w:bookmarkEnd w:id="6"/>
      <w:bookmarkEnd w:id="7"/>
    </w:p>
    <w:p>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宋体" w:hAnsi="宋体" w:cs="宋体"/>
          <w:color w:val="auto"/>
          <w:highlight w:val="none"/>
          <w:lang w:val="en-US" w:eastAsia="zh-CN"/>
        </w:rPr>
        <w:t>无</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4、同一供应商可以针对本项目的多个包递交投标文件，但只能在一个包中标，排名在前的供应商可以优先选择中标的包。</w:t>
      </w:r>
    </w:p>
    <w:p>
      <w:pPr>
        <w:rPr>
          <w:rFonts w:hint="eastAsia" w:ascii="宋体" w:hAnsi="宋体" w:eastAsia="宋体" w:cs="宋体"/>
          <w:color w:val="auto"/>
          <w:highlight w:val="none"/>
        </w:rPr>
      </w:pPr>
      <w:bookmarkStart w:id="8" w:name="_Toc28359081"/>
      <w:bookmarkStart w:id="9" w:name="_Toc28359004"/>
      <w:r>
        <w:rPr>
          <w:rFonts w:hint="eastAsia" w:ascii="宋体" w:hAnsi="宋体" w:eastAsia="宋体" w:cs="宋体"/>
          <w:color w:val="auto"/>
          <w:highlight w:val="none"/>
        </w:rPr>
        <w:t>三、获取招标文件</w:t>
      </w:r>
      <w:bookmarkEnd w:id="8"/>
      <w:bookmarkEnd w:id="9"/>
    </w:p>
    <w:p>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26</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w:t>
      </w:r>
      <w:r>
        <w:rPr>
          <w:rFonts w:hint="eastAsia" w:ascii="宋体" w:hAnsi="宋体" w:eastAsia="宋体" w:cs="宋体"/>
          <w:color w:val="auto"/>
          <w:highlight w:val="none"/>
        </w:rPr>
        <w:t>日，每天上午8点30分至11点30分，下午13点至16点（北京时间，法定节假日除外）</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pPr>
        <w:rPr>
          <w:rFonts w:hint="eastAsia" w:ascii="宋体" w:hAnsi="宋体" w:eastAsia="宋体" w:cs="宋体"/>
          <w:color w:val="auto"/>
          <w:highlight w:val="none"/>
        </w:rPr>
      </w:pPr>
      <w:r>
        <w:rPr>
          <w:rFonts w:hint="eastAsia" w:ascii="宋体" w:hAnsi="宋体" w:eastAsia="宋体" w:cs="宋体"/>
          <w:color w:val="auto"/>
          <w:highlight w:val="none"/>
        </w:rPr>
        <w:t>售价：500元</w:t>
      </w:r>
    </w:p>
    <w:p>
      <w:pPr>
        <w:rPr>
          <w:rFonts w:hint="eastAsia" w:ascii="宋体" w:hAnsi="宋体" w:eastAsia="宋体" w:cs="宋体"/>
          <w:color w:val="auto"/>
          <w:highlight w:val="none"/>
        </w:rPr>
      </w:pPr>
      <w:bookmarkStart w:id="10" w:name="_Toc28359082"/>
      <w:bookmarkStart w:id="11" w:name="_Toc28359005"/>
      <w:r>
        <w:rPr>
          <w:rFonts w:hint="eastAsia" w:ascii="宋体" w:hAnsi="宋体" w:eastAsia="宋体" w:cs="宋体"/>
          <w:color w:val="auto"/>
          <w:highlight w:val="none"/>
        </w:rPr>
        <w:t>四、投标文件递交</w:t>
      </w:r>
      <w:bookmarkEnd w:id="10"/>
      <w:bookmarkEnd w:id="11"/>
    </w:p>
    <w:p>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16</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pPr>
        <w:rPr>
          <w:rFonts w:hint="eastAsia" w:ascii="宋体" w:hAnsi="宋体" w:eastAsia="宋体" w:cs="宋体"/>
          <w:color w:val="auto"/>
          <w:highlight w:val="none"/>
        </w:rPr>
      </w:pPr>
      <w:bookmarkStart w:id="12" w:name="_Toc28359006"/>
      <w:bookmarkStart w:id="13" w:name="_Toc28359083"/>
      <w:r>
        <w:rPr>
          <w:rFonts w:hint="eastAsia" w:ascii="宋体" w:hAnsi="宋体" w:eastAsia="宋体" w:cs="宋体"/>
          <w:color w:val="auto"/>
          <w:highlight w:val="none"/>
        </w:rPr>
        <w:t>五、开标</w:t>
      </w:r>
      <w:bookmarkEnd w:id="12"/>
      <w:bookmarkEnd w:id="13"/>
    </w:p>
    <w:p>
      <w:pPr>
        <w:rPr>
          <w:rFonts w:hint="eastAsia" w:ascii="宋体" w:hAnsi="宋体" w:eastAsia="宋体" w:cs="宋体"/>
          <w:color w:val="auto"/>
          <w:highlight w:val="none"/>
        </w:rPr>
      </w:pPr>
      <w:bookmarkStart w:id="14" w:name="_Toc28359007"/>
      <w:bookmarkStart w:id="15" w:name="_Toc28359084"/>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16</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pPr>
        <w:rPr>
          <w:rFonts w:hint="eastAsia" w:ascii="宋体" w:hAnsi="宋体" w:eastAsia="宋体" w:cs="宋体"/>
          <w:color w:val="auto"/>
          <w:highlight w:val="none"/>
        </w:rPr>
      </w:pPr>
      <w:bookmarkStart w:id="16" w:name="_Toc28359085"/>
      <w:bookmarkStart w:id="17" w:name="_Toc28359008"/>
      <w:r>
        <w:rPr>
          <w:rFonts w:hint="eastAsia" w:ascii="宋体" w:hAnsi="宋体" w:eastAsia="宋体" w:cs="宋体"/>
          <w:color w:val="auto"/>
          <w:highlight w:val="none"/>
        </w:rPr>
        <w:t>七、对本次招标提出询问，请按以下方式联系。</w:t>
      </w:r>
      <w:bookmarkEnd w:id="16"/>
      <w:bookmarkEnd w:id="17"/>
    </w:p>
    <w:p>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人：詹女士</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78902191"/>
      <w:bookmarkStart w:id="19" w:name="_Toc27915"/>
      <w:bookmarkStart w:id="20" w:name="_Toc26518_WPSOffice_Level1"/>
      <w:r>
        <w:rPr>
          <w:rStyle w:val="37"/>
          <w:rFonts w:hint="eastAsia" w:ascii="宋体" w:hAnsi="宋体" w:eastAsia="宋体" w:cs="宋体"/>
          <w:color w:val="auto"/>
          <w:highlight w:val="none"/>
        </w:rPr>
        <w:t>第一章 供应商须知</w:t>
      </w:r>
      <w:bookmarkEnd w:id="18"/>
      <w:bookmarkEnd w:id="19"/>
      <w:bookmarkEnd w:id="20"/>
    </w:p>
    <w:p>
      <w:pPr>
        <w:pStyle w:val="4"/>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6"/>
        <w:tblW w:w="8656" w:type="dxa"/>
        <w:tblInd w:w="108" w:type="dxa"/>
        <w:tblLayout w:type="fixed"/>
        <w:tblCellMar>
          <w:top w:w="0" w:type="dxa"/>
          <w:left w:w="108" w:type="dxa"/>
          <w:bottom w:w="0" w:type="dxa"/>
          <w:right w:w="108" w:type="dxa"/>
        </w:tblCellMar>
      </w:tblPr>
      <w:tblGrid>
        <w:gridCol w:w="852"/>
        <w:gridCol w:w="1917"/>
        <w:gridCol w:w="5887"/>
      </w:tblGrid>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bookmarkStart w:id="22" w:name="sys_招标项目基本内容及要求：Block"/>
            <w:bookmarkEnd w:id="22"/>
            <w:bookmarkStart w:id="23" w:name="sys_招标项目基本内容及要求其他：Block"/>
            <w:bookmarkEnd w:id="23"/>
            <w:bookmarkStart w:id="24" w:name="招标项目基本内容及要求：Block"/>
            <w:bookmarkEnd w:id="24"/>
            <w:bookmarkStart w:id="25" w:name="招标项目基本内容及要求其他：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联系人：詹女士</w:t>
            </w:r>
          </w:p>
          <w:p>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highlight w:val="none"/>
              </w:rPr>
              <w:t>电话：0451-53611</w:t>
            </w:r>
            <w:r>
              <w:rPr>
                <w:rFonts w:hint="eastAsia" w:ascii="宋体" w:hAnsi="宋体" w:cs="宋体"/>
                <w:highlight w:val="none"/>
                <w:lang w:val="en-US" w:eastAsia="zh-CN"/>
              </w:rPr>
              <w:t>260</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tblPrEx>
          <w:tblLayout w:type="fixed"/>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ascii="宋体" w:hAnsi="宋体" w:eastAsia="宋体" w:cs="宋体"/>
                <w:color w:val="auto"/>
                <w:kern w:val="0"/>
                <w:highlight w:val="none"/>
                <w:lang w:val="en-US" w:eastAsia="zh-CN"/>
              </w:rPr>
              <w:t>第一包：114.54万元</w:t>
            </w:r>
          </w:p>
          <w:p>
            <w:pPr>
              <w:spacing w:line="300" w:lineRule="exact"/>
              <w:rPr>
                <w:rFonts w:hint="eastAsia" w:ascii="宋体" w:hAnsi="宋体" w:eastAsia="宋体" w:cs="宋体"/>
                <w:color w:val="auto"/>
                <w:kern w:val="0"/>
                <w:highlight w:val="none"/>
                <w:lang w:val="en-US" w:eastAsia="zh-CN"/>
              </w:rPr>
            </w:pPr>
            <w:r>
              <w:rPr>
                <w:rFonts w:hint="eastAsia" w:ascii="宋体" w:hAnsi="宋体" w:eastAsia="宋体" w:cs="宋体"/>
                <w:color w:val="auto"/>
                <w:kern w:val="0"/>
                <w:highlight w:val="none"/>
                <w:lang w:val="en-US" w:eastAsia="zh-CN"/>
              </w:rPr>
              <w:t>第二包：114.42万元</w:t>
            </w:r>
          </w:p>
          <w:p>
            <w:pPr>
              <w:spacing w:line="300" w:lineRule="exact"/>
              <w:rPr>
                <w:rFonts w:hint="eastAsia" w:ascii="宋体" w:hAnsi="宋体" w:eastAsia="宋体" w:cs="宋体"/>
                <w:color w:val="auto"/>
                <w:kern w:val="0"/>
                <w:highlight w:val="none"/>
                <w:lang w:val="en-US" w:eastAsia="zh-CN"/>
              </w:rPr>
            </w:pPr>
            <w:r>
              <w:rPr>
                <w:rFonts w:hint="eastAsia" w:ascii="宋体" w:hAnsi="宋体" w:eastAsia="宋体" w:cs="宋体"/>
                <w:color w:val="auto"/>
                <w:kern w:val="0"/>
                <w:highlight w:val="none"/>
                <w:lang w:val="en-US" w:eastAsia="zh-CN"/>
              </w:rPr>
              <w:t>第三包：81.42万元</w:t>
            </w:r>
          </w:p>
          <w:p>
            <w:pPr>
              <w:spacing w:line="300" w:lineRule="exact"/>
              <w:rPr>
                <w:rFonts w:hint="default"/>
                <w:lang w:val="en-US" w:eastAsia="zh-CN"/>
              </w:rPr>
            </w:pPr>
            <w:r>
              <w:rPr>
                <w:rFonts w:hint="eastAsia" w:ascii="宋体" w:hAnsi="宋体" w:eastAsia="宋体" w:cs="宋体"/>
                <w:color w:val="auto"/>
                <w:kern w:val="0"/>
                <w:highlight w:val="none"/>
                <w:lang w:val="en-US" w:eastAsia="zh-CN"/>
              </w:rPr>
              <w:t>第四包：9.12万元</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tblPrEx>
          <w:tblLayout w:type="fixed"/>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hint="eastAsia" w:ascii="宋体" w:hAnsi="宋体" w:eastAsia="宋体" w:cs="宋体"/>
                <w:bCs/>
                <w:color w:val="auto"/>
                <w:kern w:val="0"/>
                <w:highlight w:val="none"/>
              </w:rPr>
            </w:pPr>
            <w:r>
              <w:rPr>
                <w:color w:val="auto"/>
                <w:highlight w:val="none"/>
              </w:rPr>
              <w:sym w:font="Wingdings 2" w:char="0052"/>
            </w:r>
            <w:r>
              <w:rPr>
                <w:rFonts w:hint="eastAsia"/>
                <w:color w:val="auto"/>
                <w:highlight w:val="none"/>
              </w:rPr>
              <w:t>否</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cs="宋体"/>
                <w:color w:val="auto"/>
                <w:kern w:val="0"/>
                <w:highlight w:val="none"/>
                <w:lang w:val="en-US" w:eastAsia="zh-CN"/>
              </w:rPr>
              <w:t>软件与信息技术服务业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tblPrEx>
          <w:tblLayout w:type="fixed"/>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第一包：20000元；第二包：20000元；第三包15000元；第四包：1500元</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tblPrEx>
          <w:tblLayout w:type="fixed"/>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tblPrEx>
          <w:tblLayout w:type="fixed"/>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tblPrEx>
          <w:tblLayout w:type="fixed"/>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tblPrEx>
          <w:tblLayout w:type="fixed"/>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（1）小型和微型企业价格扣除：</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（2）监狱企业价格扣除：同小型和微型企业。</w:t>
            </w:r>
          </w:p>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（3）残疾人福利性单位价格扣除：同小型和微型企业。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hint="eastAsia" w:ascii="宋体" w:hAnsi="宋体" w:eastAsia="宋体" w:cs="宋体"/>
                <w:color w:val="auto"/>
                <w:kern w:val="0"/>
                <w:highlight w:val="none"/>
              </w:rPr>
            </w:pPr>
            <w:r>
              <w:rPr>
                <w:rFonts w:hint="eastAsia" w:ascii="宋体" w:hAnsi="宋体" w:cs="宋体"/>
                <w:color w:val="auto"/>
                <w:highlight w:val="none"/>
                <w:lang w:val="en-US" w:eastAsia="zh-CN"/>
              </w:rPr>
              <w:t>每包</w:t>
            </w:r>
            <w:r>
              <w:rPr>
                <w:rFonts w:hint="eastAsia" w:ascii="宋体" w:hAnsi="宋体" w:eastAsia="宋体" w:cs="宋体"/>
                <w:color w:val="auto"/>
                <w:kern w:val="0"/>
                <w:highlight w:val="none"/>
              </w:rPr>
              <w:t>不低于3名</w:t>
            </w:r>
          </w:p>
        </w:tc>
      </w:tr>
      <w:tr>
        <w:tblPrEx>
          <w:tblLayout w:type="fixed"/>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w:t>
            </w:r>
            <w:r>
              <w:rPr>
                <w:rFonts w:hint="eastAsia" w:ascii="宋体" w:hAnsi="宋体" w:cs="宋体"/>
                <w:color w:val="auto"/>
                <w:highlight w:val="none"/>
                <w:lang w:val="en-US" w:eastAsia="zh-CN"/>
              </w:rPr>
              <w:t>每包</w:t>
            </w:r>
            <w:r>
              <w:rPr>
                <w:rFonts w:hint="eastAsia" w:ascii="宋体" w:hAnsi="宋体" w:eastAsia="宋体" w:cs="宋体"/>
                <w:color w:val="auto"/>
                <w:highlight w:val="none"/>
              </w:rPr>
              <w:t>1名</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tblPrEx>
          <w:tblLayout w:type="fixed"/>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tblPrEx>
          <w:tblLayout w:type="fixed"/>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（1）以《中标通知书》中确定的中标</w:t>
            </w:r>
            <w:r>
              <w:rPr>
                <w:rFonts w:hint="eastAsia" w:ascii="宋体" w:hAnsi="宋体" w:eastAsia="宋体" w:cs="宋体"/>
                <w:color w:val="auto"/>
                <w:highlight w:val="none"/>
                <w:lang w:val="en-US" w:eastAsia="zh-CN"/>
              </w:rPr>
              <w:t>金额</w:t>
            </w:r>
            <w:r>
              <w:rPr>
                <w:rFonts w:hint="eastAsia" w:ascii="宋体" w:hAnsi="宋体" w:eastAsia="宋体" w:cs="宋体"/>
                <w:color w:val="auto"/>
                <w:highlight w:val="none"/>
              </w:rPr>
              <w:t>为收费的计算基数：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tblPrEx>
          <w:tblLayout w:type="fixed"/>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pPr>
        <w:pStyle w:val="4"/>
        <w:adjustRightInd w:val="0"/>
        <w:snapToGrid w:val="0"/>
        <w:rPr>
          <w:rStyle w:val="38"/>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8"/>
          <w:rFonts w:hint="eastAsia" w:ascii="宋体" w:hAnsi="宋体" w:eastAsia="宋体" w:cs="宋体"/>
          <w:color w:val="auto"/>
          <w:highlight w:val="none"/>
        </w:rPr>
        <w:t>二 总则</w:t>
      </w:r>
      <w:bookmarkEnd w:id="2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pPr>
        <w:pStyle w:val="4"/>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pPr>
        <w:pStyle w:val="33"/>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pPr>
        <w:pStyle w:val="4"/>
        <w:rPr>
          <w:rFonts w:hint="eastAsia" w:ascii="宋体" w:hAnsi="宋体" w:eastAsia="宋体" w:cs="宋体"/>
          <w:color w:val="auto"/>
          <w:highlight w:val="none"/>
        </w:rPr>
      </w:pPr>
      <w:bookmarkStart w:id="32" w:name="_Toc10106_WPSOffice_Level2"/>
    </w:p>
    <w:p>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pPr>
        <w:numPr>
          <w:ilvl w:val="0"/>
          <w:numId w:val="4"/>
        </w:numPr>
        <w:adjustRightInd w:val="0"/>
        <w:snapToGrid w:val="0"/>
        <w:ind w:firstLine="420" w:firstLineChars="200"/>
        <w:rPr>
          <w:rFonts w:hint="eastAsia" w:ascii="宋体" w:hAnsi="宋体" w:eastAsia="宋体" w:cs="宋体"/>
          <w:color w:val="auto"/>
          <w:highlight w:val="none"/>
        </w:rPr>
      </w:pPr>
      <w:bookmarkStart w:id="33" w:name="_Toc24604_WPSOffice_Level2"/>
      <w:bookmarkStart w:id="34" w:name="_Toc188_WPSOffice_Level2"/>
      <w:bookmarkStart w:id="35" w:name="_Toc25935_WPSOffice_Level2"/>
      <w:bookmarkStart w:id="36" w:name="_Toc4961_WPSOffice_Level2"/>
      <w:r>
        <w:rPr>
          <w:rFonts w:hint="eastAsia" w:ascii="宋体" w:hAnsi="宋体" w:eastAsia="宋体" w:cs="宋体"/>
          <w:color w:val="auto"/>
          <w:highlight w:val="none"/>
        </w:rPr>
        <w:t>供应商须知</w:t>
      </w:r>
      <w:bookmarkEnd w:id="33"/>
      <w:bookmarkEnd w:id="34"/>
      <w:bookmarkEnd w:id="35"/>
      <w:bookmarkEnd w:id="36"/>
    </w:p>
    <w:p>
      <w:pPr>
        <w:adjustRightInd w:val="0"/>
        <w:snapToGrid w:val="0"/>
        <w:ind w:firstLine="420" w:firstLineChars="200"/>
        <w:rPr>
          <w:rFonts w:hint="eastAsia" w:ascii="宋体" w:hAnsi="宋体" w:eastAsia="宋体" w:cs="宋体"/>
          <w:color w:val="auto"/>
          <w:highlight w:val="none"/>
        </w:rPr>
      </w:pPr>
      <w:bookmarkStart w:id="37" w:name="_Toc31424_WPSOffice_Level2"/>
      <w:bookmarkStart w:id="38" w:name="_Toc32235_WPSOffice_Level2"/>
      <w:bookmarkStart w:id="39" w:name="_Toc2443_WPSOffice_Level2"/>
      <w:bookmarkStart w:id="40" w:name="_Toc13276_WPSOffice_Level2"/>
      <w:r>
        <w:rPr>
          <w:rFonts w:hint="eastAsia" w:ascii="宋体" w:hAnsi="宋体" w:eastAsia="宋体" w:cs="宋体"/>
          <w:color w:val="auto"/>
          <w:highlight w:val="none"/>
        </w:rPr>
        <w:t>第二章 投标文件内容及格式</w:t>
      </w:r>
      <w:bookmarkEnd w:id="37"/>
      <w:bookmarkEnd w:id="38"/>
      <w:bookmarkEnd w:id="39"/>
      <w:bookmarkEnd w:id="40"/>
    </w:p>
    <w:p>
      <w:pPr>
        <w:adjustRightInd w:val="0"/>
        <w:snapToGrid w:val="0"/>
        <w:ind w:firstLine="420" w:firstLineChars="200"/>
        <w:rPr>
          <w:rFonts w:hint="eastAsia" w:ascii="宋体" w:hAnsi="宋体" w:eastAsia="宋体" w:cs="宋体"/>
          <w:color w:val="auto"/>
          <w:highlight w:val="none"/>
        </w:rPr>
      </w:pPr>
      <w:bookmarkStart w:id="41" w:name="_Toc7005_WPSOffice_Level2"/>
      <w:bookmarkStart w:id="42" w:name="_Toc16269_WPSOffice_Level2"/>
      <w:bookmarkStart w:id="43" w:name="_Toc24836_WPSOffice_Level2"/>
      <w:bookmarkStart w:id="44" w:name="_Toc4416_WPSOffice_Level2"/>
      <w:r>
        <w:rPr>
          <w:rFonts w:hint="eastAsia" w:ascii="宋体" w:hAnsi="宋体" w:eastAsia="宋体" w:cs="宋体"/>
          <w:color w:val="auto"/>
          <w:highlight w:val="none"/>
        </w:rPr>
        <w:t>第三章 服务需求</w:t>
      </w:r>
      <w:bookmarkEnd w:id="41"/>
      <w:bookmarkEnd w:id="42"/>
      <w:bookmarkEnd w:id="43"/>
      <w:bookmarkEnd w:id="44"/>
    </w:p>
    <w:p>
      <w:pPr>
        <w:adjustRightInd w:val="0"/>
        <w:snapToGrid w:val="0"/>
        <w:ind w:firstLine="420" w:firstLineChars="200"/>
        <w:rPr>
          <w:rFonts w:hint="eastAsia" w:ascii="宋体" w:hAnsi="宋体" w:eastAsia="宋体" w:cs="宋体"/>
          <w:color w:val="auto"/>
          <w:highlight w:val="none"/>
        </w:rPr>
      </w:pPr>
      <w:bookmarkStart w:id="45" w:name="_Toc25382_WPSOffice_Level2"/>
      <w:bookmarkStart w:id="46" w:name="_Toc16294_WPSOffice_Level2"/>
      <w:bookmarkStart w:id="47" w:name="_Toc16119_WPSOffice_Level2"/>
      <w:bookmarkStart w:id="48" w:name="_Toc23459_WPSOffice_Level2"/>
      <w:r>
        <w:rPr>
          <w:rFonts w:hint="eastAsia" w:ascii="宋体" w:hAnsi="宋体" w:eastAsia="宋体" w:cs="宋体"/>
          <w:color w:val="auto"/>
          <w:highlight w:val="none"/>
        </w:rPr>
        <w:t>第四章 评标方法</w:t>
      </w:r>
      <w:bookmarkEnd w:id="45"/>
      <w:bookmarkEnd w:id="46"/>
      <w:bookmarkEnd w:id="47"/>
      <w:bookmarkEnd w:id="48"/>
    </w:p>
    <w:p>
      <w:pPr>
        <w:adjustRightInd w:val="0"/>
        <w:snapToGrid w:val="0"/>
        <w:ind w:firstLine="420" w:firstLineChars="200"/>
        <w:rPr>
          <w:rFonts w:hint="eastAsia" w:ascii="宋体" w:hAnsi="宋体" w:eastAsia="宋体" w:cs="宋体"/>
          <w:color w:val="auto"/>
          <w:highlight w:val="none"/>
        </w:rPr>
      </w:pPr>
      <w:bookmarkStart w:id="49" w:name="_Toc28106_WPSOffice_Level2"/>
      <w:bookmarkStart w:id="50" w:name="_Toc17794_WPSOffice_Level2"/>
      <w:bookmarkStart w:id="51" w:name="_Toc16368_WPSOffice_Level2"/>
      <w:bookmarkStart w:id="52" w:name="_Toc9629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pPr>
        <w:pStyle w:val="4"/>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3"/>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pPr>
        <w:adjustRightInd w:val="0"/>
        <w:snapToGrid w:val="0"/>
        <w:rPr>
          <w:rFonts w:hint="eastAsia" w:ascii="宋体" w:hAnsi="宋体" w:eastAsia="宋体" w:cs="宋体"/>
          <w:color w:val="auto"/>
          <w:highlight w:val="none"/>
        </w:rPr>
      </w:pPr>
      <w:bookmarkStart w:id="54" w:name="_Toc31973_WPSOffice_Level2"/>
      <w:bookmarkStart w:id="55" w:name="_Toc22507_WPSOffice_Level2"/>
      <w:r>
        <w:rPr>
          <w:rFonts w:hint="eastAsia" w:ascii="宋体" w:hAnsi="宋体" w:eastAsia="宋体" w:cs="宋体"/>
          <w:color w:val="auto"/>
          <w:highlight w:val="none"/>
        </w:rPr>
        <w:t>12.5除非招标文件另有规定，报价原则上精确到小数点后两位。</w:t>
      </w:r>
      <w:bookmarkEnd w:id="54"/>
      <w:bookmarkEnd w:id="55"/>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pPr>
        <w:pStyle w:val="4"/>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pPr>
        <w:pStyle w:val="4"/>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pPr>
        <w:pStyle w:val="11"/>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11"/>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11"/>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pPr>
        <w:pStyle w:val="4"/>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pPr>
        <w:adjustRightInd w:val="0"/>
        <w:snapToGrid w:val="0"/>
        <w:ind w:firstLine="420"/>
        <w:rPr>
          <w:rFonts w:hint="eastAsia" w:ascii="宋体" w:hAnsi="宋体" w:eastAsia="宋体" w:cs="宋体"/>
          <w:b/>
          <w:color w:val="auto"/>
          <w:highlight w:val="none"/>
        </w:rPr>
        <w:sectPr>
          <w:footerReference r:id="rId5"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pPr>
        <w:pStyle w:val="3"/>
        <w:rPr>
          <w:rFonts w:hint="eastAsia" w:ascii="宋体" w:hAnsi="宋体" w:eastAsia="宋体" w:cs="宋体"/>
          <w:color w:val="auto"/>
          <w:highlight w:val="none"/>
        </w:rPr>
      </w:pPr>
      <w:bookmarkStart w:id="61" w:name="_Toc78902192"/>
      <w:bookmarkStart w:id="62" w:name="_Toc29813"/>
      <w:bookmarkStart w:id="63" w:name="_Toc17725_WPSOffice_Level1"/>
      <w:r>
        <w:rPr>
          <w:rFonts w:hint="eastAsia" w:ascii="宋体" w:hAnsi="宋体" w:eastAsia="宋体" w:cs="宋体"/>
          <w:color w:val="auto"/>
          <w:highlight w:val="none"/>
        </w:rPr>
        <w:t>第二章 投标文件内容及格式</w:t>
      </w:r>
      <w:bookmarkEnd w:id="61"/>
      <w:bookmarkEnd w:id="62"/>
      <w:bookmarkEnd w:id="63"/>
    </w:p>
    <w:p>
      <w:pPr>
        <w:pStyle w:val="5"/>
        <w:rPr>
          <w:rFonts w:hint="eastAsia" w:ascii="宋体" w:hAnsi="宋体" w:eastAsia="宋体" w:cs="宋体"/>
          <w:color w:val="auto"/>
          <w:highlight w:val="none"/>
        </w:rPr>
      </w:pPr>
      <w:bookmarkStart w:id="64" w:name="投标文件内容及格式：Block"/>
      <w:bookmarkEnd w:id="64"/>
      <w:bookmarkStart w:id="65" w:name="sys_投标文件内容及格式：Block"/>
      <w:bookmarkEnd w:id="65"/>
      <w:bookmarkStart w:id="66" w:name="_Toc1538_WPSOffice_Level2"/>
      <w:bookmarkStart w:id="67" w:name="_Toc2481_WPSOffice_Level2"/>
      <w:r>
        <w:rPr>
          <w:rFonts w:hint="eastAsia" w:ascii="宋体" w:hAnsi="宋体" w:eastAsia="宋体" w:cs="宋体"/>
          <w:color w:val="auto"/>
          <w:highlight w:val="none"/>
        </w:rPr>
        <w:t>一、投标文件、电子文档的外封面、封口、封皮及目录</w:t>
      </w:r>
      <w:bookmarkEnd w:id="66"/>
      <w:bookmarkEnd w:id="67"/>
    </w:p>
    <w:tbl>
      <w:tblPr>
        <w:tblStyle w:val="26"/>
        <w:tblW w:w="928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5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pPr>
        <w:pStyle w:val="5"/>
        <w:rPr>
          <w:rFonts w:hint="eastAsia" w:ascii="宋体" w:hAnsi="宋体" w:eastAsia="宋体" w:cs="宋体"/>
          <w:b/>
          <w:color w:val="auto"/>
          <w:highlight w:val="none"/>
        </w:rPr>
      </w:pPr>
      <w:bookmarkStart w:id="68" w:name="_Toc31052_WPSOffice_Level2"/>
      <w:bookmarkStart w:id="69" w:name="_Toc1266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6"/>
        <w:tblW w:w="9282" w:type="dxa"/>
        <w:jc w:val="center"/>
        <w:tblInd w:w="0" w:type="dxa"/>
        <w:tblLayout w:type="fixed"/>
        <w:tblCellMar>
          <w:top w:w="0" w:type="dxa"/>
          <w:left w:w="0" w:type="dxa"/>
          <w:bottom w:w="0" w:type="dxa"/>
          <w:right w:w="0" w:type="dxa"/>
        </w:tblCellMar>
      </w:tblPr>
      <w:tblGrid>
        <w:gridCol w:w="737"/>
        <w:gridCol w:w="7711"/>
        <w:gridCol w:w="834"/>
      </w:tblGrid>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bookmarkStart w:id="70" w:name="sys_资格性证明材料：Document"/>
            <w:bookmarkStart w:id="71" w:name="资格性证明材料：Document"/>
            <w:r>
              <w:rPr>
                <w:rFonts w:hint="eastAsia" w:ascii="宋体" w:hAnsi="宋体" w:eastAsia="宋体" w:cs="宋体"/>
                <w:color w:val="auto"/>
                <w:highlight w:val="none"/>
              </w:rPr>
              <w:t>序号</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Layout w:type="fixed"/>
          <w:tblCellMar>
            <w:top w:w="0" w:type="dxa"/>
            <w:left w:w="0" w:type="dxa"/>
            <w:bottom w:w="0" w:type="dxa"/>
            <w:right w:w="0" w:type="dxa"/>
          </w:tblCellMar>
        </w:tblPrEx>
        <w:trPr>
          <w:trHeight w:val="113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tblPrEx>
          <w:tblLayout w:type="fixed"/>
          <w:tblCellMar>
            <w:top w:w="0" w:type="dxa"/>
            <w:left w:w="0" w:type="dxa"/>
            <w:bottom w:w="0" w:type="dxa"/>
            <w:right w:w="0" w:type="dxa"/>
          </w:tblCellMar>
        </w:tblPrEx>
        <w:trPr>
          <w:trHeight w:val="9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699"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bl>
    <w:p>
      <w:pPr>
        <w:pStyle w:val="5"/>
        <w:rPr>
          <w:rFonts w:hint="eastAsia" w:ascii="宋体" w:hAnsi="宋体" w:eastAsia="宋体" w:cs="宋体"/>
          <w:b/>
          <w:color w:val="auto"/>
          <w:highlight w:val="none"/>
        </w:rPr>
      </w:pPr>
      <w:bookmarkStart w:id="72" w:name="_Toc22359_WPSOffice_Level2"/>
      <w:bookmarkStart w:id="73" w:name="_Toc25206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6"/>
        <w:tblW w:w="92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bookmarkStart w:id="74" w:name="_Toc27769_WPSOffice_Level2"/>
            <w:bookmarkStart w:id="75" w:name="_Toc24432_WPSOffice_Level2"/>
            <w:r>
              <w:rPr>
                <w:rFonts w:hint="eastAsia" w:ascii="宋体" w:hAnsi="宋体" w:eastAsia="宋体" w:cs="宋体"/>
                <w:color w:val="auto"/>
                <w:highlight w:val="none"/>
              </w:rPr>
              <w:t>7</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6"/>
        <w:tblW w:w="928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8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87" w:type="dxa"/>
            <w:vAlign w:val="center"/>
          </w:tcPr>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9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b/>
          <w:color w:val="auto"/>
          <w:highlight w:val="none"/>
        </w:rPr>
      </w:pPr>
      <w:bookmarkStart w:id="76" w:name="_Toc23127_WPSOffice_Level2"/>
      <w:bookmarkStart w:id="77" w:name="_Toc24011_WPSOffice_Level2"/>
      <w:r>
        <w:rPr>
          <w:rFonts w:hint="eastAsia" w:ascii="宋体" w:hAnsi="宋体" w:eastAsia="宋体" w:cs="宋体"/>
          <w:b/>
          <w:color w:val="auto"/>
          <w:highlight w:val="none"/>
        </w:rPr>
        <w:t>重要提示：</w:t>
      </w:r>
      <w:bookmarkEnd w:id="76"/>
      <w:bookmarkEnd w:id="77"/>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pPr>
        <w:rPr>
          <w:rStyle w:val="39"/>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bCs/>
          <w:color w:val="auto"/>
          <w:highlight w:val="none"/>
        </w:rPr>
        <w:t>格式1</w:t>
      </w:r>
    </w:p>
    <w:p>
      <w:pPr>
        <w:pStyle w:val="4"/>
        <w:spacing w:before="0" w:after="0"/>
        <w:rPr>
          <w:rFonts w:hint="eastAsia" w:ascii="宋体" w:hAnsi="宋体" w:eastAsia="宋体" w:cs="宋体"/>
          <w:b/>
          <w:bCs/>
          <w:color w:val="auto"/>
          <w:highlight w:val="none"/>
        </w:rPr>
      </w:pPr>
      <w:bookmarkStart w:id="78" w:name="_Toc26322_WPSOffice_Level2"/>
      <w:bookmarkStart w:id="79" w:name="_Toc21090_WPSOffice_Level2"/>
      <w:r>
        <w:rPr>
          <w:rFonts w:hint="eastAsia" w:ascii="宋体" w:hAnsi="宋体" w:eastAsia="宋体" w:cs="宋体"/>
          <w:color w:val="auto"/>
          <w:highlight w:val="none"/>
        </w:rPr>
        <w:t>投标文件、电子文档外封面、封口格式</w:t>
      </w:r>
      <w:bookmarkEnd w:id="78"/>
      <w:bookmarkEnd w:id="79"/>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6"/>
        <w:tblW w:w="59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tc>
      </w:tr>
    </w:tbl>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6"/>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pPr>
        <w:rPr>
          <w:rFonts w:hint="eastAsia" w:ascii="宋体" w:hAnsi="宋体" w:eastAsia="宋体" w:cs="宋体"/>
          <w:color w:val="auto"/>
          <w:highlight w:val="none"/>
        </w:rPr>
      </w:pPr>
    </w:p>
    <w:p>
      <w:pPr>
        <w:rPr>
          <w:rStyle w:val="39"/>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格式2</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J&#10;nZ152AAAAAoBAAAPAAAAAAAAAAEAIAAAACIAAABkcnMvZG93bnJldi54bWxQSwECFAAUAAAACACH&#10;TuJAPLe0fOsBAADpAwAADgAAAAAAAAABACAAAAAnAQAAZHJzL2Uyb0RvYy54bWxQSwUGAAAAAAYA&#10;BgBZAQAAhAU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p>
    <w:p>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pPr>
        <w:rPr>
          <w:rStyle w:val="39"/>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9"/>
          <w:rFonts w:hint="eastAsia" w:ascii="宋体" w:hAnsi="宋体" w:eastAsia="宋体" w:cs="宋体"/>
          <w:color w:val="auto"/>
          <w:highlight w:val="none"/>
        </w:rPr>
        <w:t>格式3</w:t>
      </w:r>
    </w:p>
    <w:p>
      <w:pPr>
        <w:jc w:val="center"/>
        <w:rPr>
          <w:rFonts w:hint="eastAsia" w:ascii="宋体" w:hAnsi="宋体" w:eastAsia="宋体" w:cs="宋体"/>
          <w:color w:val="auto"/>
          <w:sz w:val="32"/>
          <w:szCs w:val="32"/>
          <w:highlight w:val="none"/>
        </w:rPr>
      </w:pPr>
      <w:bookmarkStart w:id="80" w:name="_Toc2304_WPSOffice_Level2"/>
      <w:bookmarkStart w:id="81" w:name="_Toc21414_WPSOffice_Level2"/>
      <w:r>
        <w:rPr>
          <w:rFonts w:hint="eastAsia" w:ascii="宋体" w:hAnsi="宋体" w:eastAsia="宋体" w:cs="宋体"/>
          <w:color w:val="auto"/>
          <w:sz w:val="32"/>
          <w:szCs w:val="32"/>
          <w:highlight w:val="none"/>
        </w:rPr>
        <w:t>目  录</w:t>
      </w:r>
      <w:bookmarkEnd w:id="80"/>
      <w:bookmarkEnd w:id="81"/>
    </w:p>
    <w:p>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rFonts w:hint="eastAsia" w:ascii="宋体" w:hAnsi="宋体" w:eastAsia="宋体" w:cs="宋体"/>
          <w:color w:val="auto"/>
          <w:highlight w:val="none"/>
        </w:rPr>
      </w:pPr>
    </w:p>
    <w:p>
      <w:pPr>
        <w:rPr>
          <w:rFonts w:hint="eastAsia" w:ascii="宋体" w:hAnsi="宋体" w:eastAsia="宋体" w:cs="宋体"/>
          <w:color w:val="auto"/>
          <w:sz w:val="28"/>
          <w:szCs w:val="28"/>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pPr>
        <w:pStyle w:val="4"/>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格式4</w:t>
      </w:r>
      <w:bookmarkStart w:id="82" w:name="_Toc16924_WPSOffice_Level2"/>
      <w:bookmarkStart w:id="83" w:name="_Toc3401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pPr>
        <w:ind w:firstLine="420" w:firstLineChars="200"/>
        <w:rPr>
          <w:rFonts w:hint="eastAsia" w:ascii="宋体" w:hAnsi="宋体" w:eastAsia="宋体" w:cs="宋体"/>
          <w:color w:val="auto"/>
          <w:highlight w:val="none"/>
          <w:u w:val="singl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tbl>
      <w:tblPr>
        <w:tblStyle w:val="26"/>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格式5</w:t>
      </w:r>
      <w:bookmarkStart w:id="84" w:name="_Toc21833_WPSOffice_Level2"/>
      <w:bookmarkStart w:id="85" w:name="_Toc122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pPr>
        <w:rPr>
          <w:rFonts w:hint="eastAsia" w:ascii="宋体" w:hAnsi="宋体" w:eastAsia="宋体" w:cs="宋体"/>
          <w:color w:val="auto"/>
          <w:sz w:val="24"/>
          <w:highlight w:val="none"/>
        </w:rPr>
      </w:pPr>
    </w:p>
    <w:tbl>
      <w:tblPr>
        <w:tblStyle w:val="26"/>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pPr>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9"/>
          <w:rFonts w:hint="eastAsia" w:ascii="宋体" w:hAnsi="宋体" w:eastAsia="宋体" w:cs="宋体"/>
          <w:color w:val="auto"/>
          <w:highlight w:val="none"/>
        </w:rPr>
        <w:t>格式6</w:t>
      </w:r>
    </w:p>
    <w:p>
      <w:pPr>
        <w:pStyle w:val="5"/>
        <w:jc w:val="center"/>
        <w:rPr>
          <w:rFonts w:hint="eastAsia" w:ascii="宋体" w:hAnsi="宋体" w:eastAsia="宋体" w:cs="宋体"/>
          <w:color w:val="auto"/>
          <w:highlight w:val="none"/>
        </w:rPr>
      </w:pPr>
      <w:bookmarkStart w:id="86" w:name="_Toc23728_WPSOffice_Level2"/>
      <w:bookmarkStart w:id="87" w:name="_Toc12037_WPSOffice_Level2"/>
      <w:r>
        <w:rPr>
          <w:rFonts w:hint="eastAsia" w:ascii="宋体" w:hAnsi="宋体" w:eastAsia="宋体" w:cs="宋体"/>
          <w:color w:val="auto"/>
          <w:highlight w:val="none"/>
        </w:rPr>
        <w:t>具备履行合同所必需的设备和专业技术能力声明函</w:t>
      </w:r>
    </w:p>
    <w:p>
      <w:pPr>
        <w:pStyle w:val="23"/>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pPr>
        <w:pStyle w:val="23"/>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hint="eastAsia" w:ascii="宋体" w:hAnsi="宋体" w:eastAsia="宋体" w:cs="宋体"/>
          <w:color w:val="auto"/>
          <w:sz w:val="24"/>
          <w:highlight w:val="none"/>
        </w:rPr>
      </w:pPr>
    </w:p>
    <w:p>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pPr>
        <w:pStyle w:val="4"/>
        <w:rPr>
          <w:rFonts w:hint="eastAsia" w:ascii="宋体" w:hAnsi="宋体" w:eastAsia="宋体" w:cs="宋体"/>
          <w:color w:val="auto"/>
          <w:highlight w:val="none"/>
        </w:rPr>
      </w:pPr>
      <w:bookmarkStart w:id="88" w:name="_Toc11967_WPSOffice_Level2"/>
      <w:bookmarkStart w:id="89" w:name="_Toc7498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pPr>
        <w:spacing w:line="500" w:lineRule="exact"/>
        <w:ind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pPr>
        <w:ind w:left="2270" w:hanging="2270" w:hangingChars="1081"/>
        <w:jc w:val="left"/>
        <w:rPr>
          <w:rFonts w:hint="eastAsia" w:ascii="宋体" w:hAnsi="宋体" w:eastAsia="宋体" w:cs="宋体"/>
          <w:color w:val="auto"/>
          <w:highlight w:val="none"/>
          <w:u w:val="single"/>
        </w:rPr>
      </w:pPr>
    </w:p>
    <w:p>
      <w:pPr>
        <w:ind w:left="2270" w:hanging="2270" w:hangingChars="1081"/>
        <w:jc w:val="left"/>
        <w:rPr>
          <w:rFonts w:hint="eastAsia" w:ascii="宋体" w:hAnsi="宋体" w:eastAsia="宋体" w:cs="宋体"/>
          <w:color w:val="auto"/>
          <w:highlight w:val="none"/>
          <w:u w:val="single"/>
        </w:rPr>
      </w:pPr>
    </w:p>
    <w:p>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pPr>
        <w:rPr>
          <w:rFonts w:hint="eastAsia" w:ascii="宋体" w:hAnsi="宋体" w:eastAsia="宋体" w:cs="宋体"/>
          <w:color w:val="auto"/>
          <w:highlight w:val="none"/>
        </w:rPr>
      </w:pPr>
      <w:r>
        <w:rPr>
          <w:rFonts w:hint="eastAsia" w:ascii="宋体" w:hAnsi="宋体" w:eastAsia="宋体" w:cs="宋体"/>
          <w:color w:val="auto"/>
          <w:highlight w:val="none"/>
        </w:rPr>
        <w:br w:type="page"/>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pPr>
        <w:pStyle w:val="4"/>
        <w:rPr>
          <w:rFonts w:hint="eastAsia" w:ascii="宋体" w:hAnsi="宋体" w:eastAsia="宋体" w:cs="宋体"/>
          <w:color w:val="auto"/>
          <w:highlight w:val="none"/>
        </w:rPr>
      </w:pPr>
      <w:bookmarkStart w:id="90" w:name="_Toc16873_WPSOffice_Level2"/>
      <w:bookmarkStart w:id="91" w:name="_Toc30548_WPSOffice_Level2"/>
      <w:r>
        <w:rPr>
          <w:rFonts w:hint="eastAsia" w:ascii="宋体" w:hAnsi="宋体" w:eastAsia="宋体" w:cs="宋体"/>
          <w:color w:val="auto"/>
          <w:highlight w:val="none"/>
        </w:rPr>
        <w:t>联合体协议书</w:t>
      </w:r>
      <w:bookmarkEnd w:id="90"/>
      <w:bookmarkEnd w:id="91"/>
    </w:p>
    <w:p>
      <w:pPr>
        <w:pStyle w:val="14"/>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pPr>
        <w:pStyle w:val="14"/>
        <w:ind w:firstLine="420" w:firstLineChars="200"/>
        <w:rPr>
          <w:rFonts w:hint="eastAsia" w:ascii="宋体" w:hAnsi="宋体" w:eastAsia="宋体" w:cs="宋体"/>
          <w:color w:val="auto"/>
          <w:highlight w:val="none"/>
          <w:u w:val="single"/>
        </w:rPr>
      </w:pPr>
      <w:bookmarkStart w:id="92" w:name="_Toc15561_WPSOffice_Level2"/>
      <w:bookmarkStart w:id="93" w:name="_Toc23749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pPr>
        <w:pStyle w:val="14"/>
        <w:ind w:firstLine="420" w:firstLineChars="200"/>
        <w:rPr>
          <w:rFonts w:hint="eastAsia" w:ascii="宋体" w:hAnsi="宋体" w:eastAsia="宋体" w:cs="宋体"/>
          <w:color w:val="auto"/>
          <w:highlight w:val="none"/>
        </w:rPr>
      </w:pPr>
      <w:bookmarkStart w:id="94" w:name="_Toc22173_WPSOffice_Level2"/>
      <w:bookmarkStart w:id="95" w:name="_Toc405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pPr>
        <w:pStyle w:val="14"/>
        <w:ind w:firstLine="420" w:firstLineChars="200"/>
        <w:rPr>
          <w:rFonts w:hint="eastAsia" w:ascii="宋体" w:hAnsi="宋体" w:eastAsia="宋体" w:cs="宋体"/>
          <w:color w:val="auto"/>
          <w:highlight w:val="none"/>
        </w:rPr>
      </w:pPr>
      <w:bookmarkStart w:id="96" w:name="_Toc7084_WPSOffice_Level2"/>
      <w:bookmarkStart w:id="97" w:name="_Toc23482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pPr>
        <w:pStyle w:val="14"/>
        <w:ind w:firstLine="420" w:firstLineChars="200"/>
        <w:rPr>
          <w:rFonts w:hint="eastAsia" w:ascii="宋体" w:hAnsi="宋体" w:eastAsia="宋体" w:cs="宋体"/>
          <w:color w:val="auto"/>
          <w:highlight w:val="none"/>
        </w:rPr>
      </w:pP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pPr>
        <w:adjustRightInd w:val="0"/>
        <w:snapToGrid w:val="0"/>
        <w:ind w:firstLine="420" w:firstLineChars="200"/>
        <w:rPr>
          <w:rFonts w:hint="eastAsia" w:ascii="宋体" w:hAnsi="宋体" w:eastAsia="宋体" w:cs="宋体"/>
          <w:color w:val="auto"/>
          <w:highlight w:val="none"/>
        </w:rPr>
      </w:pPr>
    </w:p>
    <w:p>
      <w:pPr>
        <w:pStyle w:val="35"/>
        <w:ind w:firstLine="560"/>
        <w:rPr>
          <w:rFonts w:hint="eastAsia" w:ascii="宋体" w:hAnsi="宋体" w:eastAsia="宋体" w:cs="宋体"/>
          <w:color w:val="auto"/>
          <w:sz w:val="28"/>
          <w:szCs w:val="28"/>
          <w:highlight w:val="none"/>
        </w:rPr>
      </w:pPr>
    </w:p>
    <w:p>
      <w:pPr>
        <w:pStyle w:val="14"/>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pPr>
        <w:pStyle w:val="14"/>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pPr>
        <w:pStyle w:val="14"/>
        <w:ind w:firstLine="420" w:firstLineChars="200"/>
        <w:rPr>
          <w:rFonts w:hint="eastAsia" w:ascii="宋体" w:hAnsi="宋体" w:eastAsia="宋体" w:cs="宋体"/>
          <w:color w:val="auto"/>
          <w:highlight w:val="none"/>
        </w:rPr>
        <w:sectPr>
          <w:footerReference r:id="rId6"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pPr>
        <w:pStyle w:val="4"/>
        <w:rPr>
          <w:rFonts w:hint="eastAsia" w:ascii="宋体" w:hAnsi="宋体" w:eastAsia="宋体" w:cs="宋体"/>
          <w:color w:val="auto"/>
          <w:highlight w:val="none"/>
        </w:rPr>
      </w:pPr>
      <w:bookmarkStart w:id="98" w:name="_Toc14782_WPSOffice_Level2"/>
      <w:bookmarkStart w:id="99" w:name="_Toc24841_WPSOffice_Level2"/>
      <w:r>
        <w:rPr>
          <w:rFonts w:hint="eastAsia" w:ascii="宋体" w:hAnsi="宋体" w:eastAsia="宋体" w:cs="宋体"/>
          <w:color w:val="auto"/>
          <w:highlight w:val="none"/>
        </w:rPr>
        <w:t>投标函</w:t>
      </w:r>
      <w:bookmarkEnd w:id="98"/>
      <w:bookmarkEnd w:id="99"/>
    </w:p>
    <w:p>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cs="宋体"/>
          <w:color w:val="auto"/>
          <w:highlight w:val="none"/>
          <w:u w:val="single"/>
          <w:lang w:val="en-US" w:eastAsia="zh-CN"/>
        </w:rPr>
        <w:t>如我方在多个包中标，优先选择的顺序为第 包→第 包</w:t>
      </w:r>
      <w:r>
        <w:rPr>
          <w:rFonts w:hint="eastAsia" w:ascii="宋体" w:hAnsi="宋体" w:eastAsia="宋体" w:cs="宋体"/>
          <w:color w:val="auto"/>
          <w:highlight w:val="none"/>
        </w:rPr>
        <w:t>。</w:t>
      </w:r>
    </w:p>
    <w:p>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pPr>
        <w:pStyle w:val="35"/>
        <w:ind w:firstLine="420"/>
        <w:rPr>
          <w:rFonts w:hint="eastAsia" w:ascii="宋体" w:hAnsi="宋体" w:eastAsia="宋体" w:cs="宋体"/>
          <w:color w:val="auto"/>
          <w:highlight w:val="none"/>
        </w:rPr>
      </w:pPr>
    </w:p>
    <w:p>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adjustRightInd w:val="0"/>
        <w:snapToGrid w:val="0"/>
        <w:ind w:right="1050" w:rightChars="500"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格式10</w:t>
      </w:r>
    </w:p>
    <w:p>
      <w:pPr>
        <w:pStyle w:val="4"/>
        <w:rPr>
          <w:rFonts w:hint="eastAsia" w:ascii="宋体" w:hAnsi="宋体" w:eastAsia="宋体" w:cs="宋体"/>
          <w:b/>
          <w:bCs/>
          <w:color w:val="auto"/>
          <w:highlight w:val="none"/>
        </w:rPr>
      </w:pPr>
      <w:bookmarkStart w:id="100" w:name="_Toc11267_WPSOffice_Level2"/>
      <w:bookmarkStart w:id="101" w:name="_Toc2673_WPSOffice_Level2"/>
      <w:r>
        <w:rPr>
          <w:rFonts w:hint="eastAsia" w:ascii="宋体" w:hAnsi="宋体" w:eastAsia="宋体" w:cs="宋体"/>
          <w:color w:val="auto"/>
          <w:highlight w:val="none"/>
        </w:rPr>
        <w:t>开标一览表</w:t>
      </w:r>
      <w:bookmarkEnd w:id="100"/>
      <w:bookmarkEnd w:id="101"/>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6"/>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jc w:val="center"/>
        </w:trPr>
        <w:tc>
          <w:tcPr>
            <w:tcW w:w="147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71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150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127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14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109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4" w:hRule="atLeast"/>
          <w:jc w:val="center"/>
        </w:trPr>
        <w:tc>
          <w:tcPr>
            <w:tcW w:w="1478" w:type="dxa"/>
            <w:vAlign w:val="center"/>
          </w:tcPr>
          <w:p>
            <w:pPr>
              <w:spacing w:line="300" w:lineRule="exact"/>
              <w:jc w:val="center"/>
              <w:rPr>
                <w:rFonts w:hint="eastAsia" w:ascii="宋体" w:hAnsi="宋体" w:eastAsia="宋体" w:cs="宋体"/>
                <w:color w:val="auto"/>
                <w:highlight w:val="none"/>
              </w:rPr>
            </w:pPr>
          </w:p>
        </w:tc>
        <w:tc>
          <w:tcPr>
            <w:tcW w:w="1710"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1509" w:type="dxa"/>
            <w:vAlign w:val="center"/>
          </w:tcPr>
          <w:p>
            <w:pPr>
              <w:spacing w:line="300" w:lineRule="exact"/>
              <w:jc w:val="center"/>
              <w:rPr>
                <w:rFonts w:hint="eastAsia" w:ascii="宋体" w:hAnsi="宋体" w:eastAsia="宋体" w:cs="宋体"/>
                <w:color w:val="auto"/>
                <w:highlight w:val="none"/>
              </w:rPr>
            </w:pPr>
          </w:p>
        </w:tc>
        <w:tc>
          <w:tcPr>
            <w:tcW w:w="1277" w:type="dxa"/>
            <w:vAlign w:val="center"/>
          </w:tcPr>
          <w:p>
            <w:pPr>
              <w:spacing w:line="300" w:lineRule="exact"/>
              <w:jc w:val="center"/>
              <w:rPr>
                <w:rFonts w:hint="eastAsia" w:ascii="宋体" w:hAnsi="宋体" w:eastAsia="宋体" w:cs="宋体"/>
                <w:color w:val="auto"/>
                <w:highlight w:val="none"/>
              </w:rPr>
            </w:pPr>
          </w:p>
        </w:tc>
        <w:tc>
          <w:tcPr>
            <w:tcW w:w="1443" w:type="dxa"/>
            <w:vAlign w:val="center"/>
          </w:tcPr>
          <w:p>
            <w:pPr>
              <w:spacing w:line="300" w:lineRule="exact"/>
              <w:jc w:val="center"/>
              <w:rPr>
                <w:rFonts w:hint="eastAsia" w:ascii="宋体" w:hAnsi="宋体" w:eastAsia="宋体" w:cs="宋体"/>
                <w:color w:val="auto"/>
                <w:highlight w:val="none"/>
              </w:rPr>
            </w:pPr>
          </w:p>
        </w:tc>
        <w:tc>
          <w:tcPr>
            <w:tcW w:w="1096" w:type="dxa"/>
            <w:vAlign w:val="center"/>
          </w:tcPr>
          <w:p>
            <w:pPr>
              <w:spacing w:line="300" w:lineRule="exact"/>
              <w:jc w:val="center"/>
              <w:rPr>
                <w:rFonts w:hint="eastAsia" w:ascii="宋体" w:hAnsi="宋体" w:eastAsia="宋体" w:cs="宋体"/>
                <w:color w:val="auto"/>
                <w:highlight w:val="none"/>
              </w:rPr>
            </w:pPr>
          </w:p>
        </w:tc>
      </w:tr>
    </w:tbl>
    <w:p>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pPr>
        <w:adjustRightInd w:val="0"/>
        <w:snapToGrid w:val="0"/>
        <w:ind w:right="105" w:rightChars="50" w:firstLine="544" w:firstLineChars="227"/>
        <w:jc w:val="left"/>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格式11</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6"/>
        <w:tblW w:w="851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103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5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116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80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7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77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90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4" w:hRule="atLeast"/>
          <w:jc w:val="center"/>
        </w:trPr>
        <w:tc>
          <w:tcPr>
            <w:tcW w:w="2561" w:type="dxa"/>
            <w:gridSpan w:val="2"/>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firstLine="480" w:firstLineChars="200"/>
        <w:jc w:val="left"/>
        <w:rPr>
          <w:rFonts w:hint="eastAsia" w:ascii="宋体" w:hAnsi="宋体" w:eastAsia="宋体" w:cs="宋体"/>
          <w:color w:val="auto"/>
          <w:sz w:val="24"/>
          <w:highlight w:val="none"/>
        </w:rPr>
      </w:pPr>
    </w:p>
    <w:p>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pPr>
        <w:pStyle w:val="4"/>
        <w:rPr>
          <w:rFonts w:hint="eastAsia" w:ascii="宋体" w:hAnsi="宋体" w:eastAsia="宋体" w:cs="宋体"/>
          <w:color w:val="auto"/>
          <w:highlight w:val="none"/>
        </w:rPr>
      </w:pPr>
      <w:bookmarkStart w:id="102" w:name="_Toc31555_WPSOffice_Level2"/>
      <w:bookmarkStart w:id="103" w:name="_Toc9235_WPSOffice_Level2"/>
      <w:r>
        <w:rPr>
          <w:rFonts w:hint="eastAsia" w:ascii="宋体" w:hAnsi="宋体" w:eastAsia="宋体" w:cs="宋体"/>
          <w:color w:val="auto"/>
          <w:highlight w:val="none"/>
        </w:rPr>
        <w:t>服务需求响应表</w:t>
      </w:r>
      <w:bookmarkEnd w:id="102"/>
      <w:bookmarkEnd w:id="103"/>
    </w:p>
    <w:tbl>
      <w:tblPr>
        <w:tblStyle w:val="26"/>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1" w:hRule="atLeast"/>
        </w:trPr>
        <w:tc>
          <w:tcPr>
            <w:tcW w:w="8516" w:type="dxa"/>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7"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1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2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bl>
    <w:p>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ind w:firstLine="420" w:firstLineChars="20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格式13</w:t>
      </w:r>
    </w:p>
    <w:p>
      <w:pPr>
        <w:pStyle w:val="4"/>
        <w:rPr>
          <w:rFonts w:hint="eastAsia" w:ascii="宋体" w:hAnsi="宋体" w:eastAsia="宋体" w:cs="宋体"/>
          <w:color w:val="auto"/>
          <w:highlight w:val="none"/>
        </w:rPr>
      </w:pPr>
      <w:bookmarkStart w:id="104" w:name="_Toc4431_WPSOffice_Level2"/>
      <w:bookmarkStart w:id="105" w:name="_Toc8488_WPSOffice_Level2"/>
      <w:r>
        <w:rPr>
          <w:rFonts w:hint="eastAsia" w:ascii="宋体" w:hAnsi="宋体" w:eastAsia="宋体" w:cs="宋体"/>
          <w:color w:val="auto"/>
          <w:highlight w:val="none"/>
        </w:rPr>
        <w:t>商务条款偏离表</w:t>
      </w:r>
      <w:bookmarkEnd w:id="104"/>
      <w:bookmarkEnd w:id="105"/>
    </w:p>
    <w:p>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6"/>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5"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100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84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★服务期：自合同生效之日起1年</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8"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8" w:hRule="atLeast"/>
          <w:jc w:val="center"/>
        </w:trPr>
        <w:tc>
          <w:tcPr>
            <w:tcW w:w="547" w:type="dxa"/>
            <w:vAlign w:val="center"/>
          </w:tcPr>
          <w:p>
            <w:pPr>
              <w:spacing w:line="300" w:lineRule="exact"/>
              <w:jc w:val="center"/>
              <w:rPr>
                <w:rFonts w:hint="eastAsia" w:ascii="宋体" w:hAnsi="宋体" w:eastAsia="宋体" w:cs="宋体"/>
                <w:color w:val="auto"/>
                <w:highlight w:val="none"/>
              </w:rPr>
            </w:pP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bl>
    <w:p>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pStyle w:val="35"/>
        <w:ind w:firstLine="420"/>
        <w:rPr>
          <w:rFonts w:hint="eastAsia" w:ascii="宋体" w:hAnsi="宋体" w:eastAsia="宋体" w:cs="宋体"/>
          <w:color w:val="auto"/>
          <w:highlight w:val="none"/>
        </w:rPr>
      </w:pPr>
    </w:p>
    <w:p>
      <w:pPr>
        <w:ind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9"/>
          <w:rFonts w:hint="eastAsia" w:ascii="宋体" w:hAnsi="宋体" w:eastAsia="宋体" w:cs="宋体"/>
          <w:color w:val="auto"/>
          <w:highlight w:val="none"/>
        </w:rPr>
        <w:t>格式14</w:t>
      </w:r>
    </w:p>
    <w:p>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pPr>
        <w:adjustRightInd w:val="0"/>
        <w:snapToGrid w:val="0"/>
        <w:ind w:right="105" w:rightChars="50" w:firstLine="476" w:firstLineChars="227"/>
        <w:jc w:val="left"/>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pPr>
        <w:pStyle w:val="35"/>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kern w:val="0"/>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pPr>
        <w:adjustRightInd w:val="0"/>
        <w:snapToGrid w:val="0"/>
        <w:ind w:right="105" w:rightChars="50" w:firstLine="476" w:firstLineChars="227"/>
        <w:jc w:val="left"/>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Style w:val="39"/>
          <w:rFonts w:hint="eastAsia" w:ascii="宋体" w:hAnsi="宋体" w:eastAsia="宋体" w:cs="宋体"/>
          <w:color w:val="auto"/>
          <w:highlight w:val="none"/>
        </w:rPr>
      </w:pPr>
      <w:r>
        <w:rPr>
          <w:rStyle w:val="39"/>
          <w:rFonts w:hint="eastAsia" w:ascii="宋体" w:hAnsi="宋体" w:eastAsia="宋体" w:cs="宋体"/>
          <w:color w:val="auto"/>
          <w:highlight w:val="none"/>
        </w:rPr>
        <w:br w:type="page"/>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20"/>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pPr>
        <w:pStyle w:val="4"/>
        <w:rPr>
          <w:rFonts w:hint="eastAsia" w:ascii="宋体" w:hAnsi="宋体" w:eastAsia="宋体" w:cs="宋体"/>
          <w:color w:val="auto"/>
          <w:szCs w:val="21"/>
          <w:highlight w:val="none"/>
        </w:rPr>
      </w:pPr>
      <w:bookmarkStart w:id="106" w:name="_Toc13566_WPSOffice_Level2"/>
      <w:bookmarkStart w:id="107" w:name="_Toc29880_WPSOffice_Level2"/>
      <w:r>
        <w:rPr>
          <w:rFonts w:hint="eastAsia" w:ascii="宋体" w:hAnsi="宋体" w:eastAsia="宋体" w:cs="宋体"/>
          <w:color w:val="auto"/>
          <w:highlight w:val="none"/>
        </w:rPr>
        <w:t>残疾人福利性单位声明函</w:t>
      </w:r>
      <w:bookmarkEnd w:id="106"/>
      <w:bookmarkEnd w:id="107"/>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6"/>
        <w:tblpPr w:leftFromText="180" w:rightFromText="180" w:vertAnchor="text" w:horzAnchor="page" w:tblpX="1873" w:tblpY="403"/>
        <w:tblOverlap w:val="never"/>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61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16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1381"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8513" w:type="dxa"/>
            <w:gridSpan w:val="6"/>
            <w:vAlign w:val="center"/>
          </w:tcPr>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pPr>
        <w:pStyle w:val="5"/>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35"/>
        <w:ind w:firstLine="480"/>
        <w:rPr>
          <w:rFonts w:hint="eastAsia" w:ascii="宋体" w:hAnsi="宋体" w:eastAsia="宋体" w:cs="宋体"/>
          <w:color w:val="auto"/>
          <w:sz w:val="24"/>
          <w:szCs w:val="24"/>
          <w:highlight w:val="none"/>
        </w:rPr>
      </w:pPr>
    </w:p>
    <w:p>
      <w:pPr>
        <w:pStyle w:val="35"/>
        <w:ind w:firstLine="480"/>
        <w:rPr>
          <w:rFonts w:hint="eastAsia" w:ascii="宋体" w:hAnsi="宋体" w:eastAsia="宋体" w:cs="宋体"/>
          <w:color w:val="auto"/>
          <w:sz w:val="24"/>
          <w:szCs w:val="24"/>
          <w:highlight w:val="none"/>
        </w:rPr>
      </w:pPr>
    </w:p>
    <w:p>
      <w:pPr>
        <w:pStyle w:val="35"/>
        <w:ind w:firstLine="480"/>
        <w:rPr>
          <w:rFonts w:hint="eastAsia" w:ascii="宋体" w:hAnsi="宋体" w:eastAsia="宋体" w:cs="宋体"/>
          <w:color w:val="auto"/>
          <w:sz w:val="24"/>
          <w:szCs w:val="24"/>
          <w:highlight w:val="none"/>
        </w:rPr>
      </w:pPr>
    </w:p>
    <w:p>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4498_WPSOffice_Level1"/>
      <w:bookmarkStart w:id="109" w:name="_Toc78902193"/>
      <w:bookmarkStart w:id="110" w:name="_Toc18902"/>
      <w:r>
        <w:rPr>
          <w:rStyle w:val="37"/>
          <w:rFonts w:hint="eastAsia" w:ascii="宋体" w:hAnsi="宋体" w:eastAsia="宋体" w:cs="宋体"/>
          <w:color w:val="auto"/>
          <w:highlight w:val="none"/>
        </w:rPr>
        <w:t>第三章 服务需求</w:t>
      </w:r>
      <w:bookmarkEnd w:id="108"/>
      <w:bookmarkEnd w:id="109"/>
      <w:bookmarkEnd w:id="110"/>
    </w:p>
    <w:p>
      <w:pPr>
        <w:suppressAutoHyphens/>
        <w:kinsoku/>
        <w:wordWrap/>
        <w:topLinePunct w:val="0"/>
        <w:bidi w:val="0"/>
        <w:spacing w:line="360" w:lineRule="auto"/>
        <w:ind w:left="0" w:leftChars="0"/>
        <w:jc w:val="center"/>
        <w:outlineLvl w:val="0"/>
        <w:rPr>
          <w:rFonts w:hint="eastAsia" w:asciiTheme="minorEastAsia" w:hAnsiTheme="minorEastAsia" w:eastAsiaTheme="minorEastAsia" w:cstheme="minorEastAsia"/>
          <w:sz w:val="24"/>
          <w:szCs w:val="24"/>
          <w:lang w:val="en-US" w:eastAsia="zh-CN"/>
        </w:rPr>
      </w:pPr>
      <w:bookmarkStart w:id="111" w:name="_Toc2821_WPSOffice_Level1"/>
      <w:bookmarkStart w:id="112" w:name="_Toc78902194"/>
      <w:r>
        <w:rPr>
          <w:rFonts w:hint="eastAsia" w:asciiTheme="minorEastAsia" w:hAnsiTheme="minorEastAsia" w:eastAsiaTheme="minorEastAsia" w:cstheme="minorEastAsia"/>
          <w:sz w:val="24"/>
          <w:szCs w:val="24"/>
        </w:rPr>
        <w:t>第</w:t>
      </w:r>
      <w:r>
        <w:rPr>
          <w:rFonts w:hint="eastAsia" w:asciiTheme="minorEastAsia" w:hAnsiTheme="minorEastAsia" w:eastAsiaTheme="minorEastAsia" w:cstheme="minorEastAsia"/>
          <w:sz w:val="24"/>
          <w:szCs w:val="24"/>
          <w:lang w:val="en-US" w:eastAsia="zh-CN"/>
        </w:rPr>
        <w:t>一</w:t>
      </w:r>
      <w:r>
        <w:rPr>
          <w:rFonts w:hint="eastAsia" w:asciiTheme="minorEastAsia" w:hAnsiTheme="minorEastAsia" w:eastAsiaTheme="minorEastAsia" w:cstheme="minorEastAsia"/>
          <w:sz w:val="24"/>
          <w:szCs w:val="24"/>
        </w:rPr>
        <w:t>包：金税三期核心征管税收收入及</w:t>
      </w:r>
      <w:r>
        <w:rPr>
          <w:rFonts w:hint="eastAsia" w:asciiTheme="minorEastAsia" w:hAnsiTheme="minorEastAsia" w:eastAsiaTheme="minorEastAsia" w:cstheme="minorEastAsia"/>
          <w:sz w:val="24"/>
          <w:szCs w:val="24"/>
          <w:lang w:eastAsia="zh-CN"/>
        </w:rPr>
        <w:t>数据风险</w:t>
      </w:r>
      <w:r>
        <w:rPr>
          <w:rFonts w:hint="eastAsia" w:asciiTheme="minorEastAsia" w:hAnsiTheme="minorEastAsia" w:eastAsiaTheme="minorEastAsia" w:cstheme="minorEastAsia"/>
          <w:sz w:val="24"/>
          <w:szCs w:val="24"/>
        </w:rPr>
        <w:t>监管</w:t>
      </w:r>
    </w:p>
    <w:p>
      <w:pPr>
        <w:widowControl w:val="0"/>
        <w:suppressAutoHyphens/>
        <w:kinsoku/>
        <w:wordWrap/>
        <w:topLinePunct w:val="0"/>
        <w:bidi w:val="0"/>
        <w:spacing w:before="0" w:after="0" w:line="360" w:lineRule="auto"/>
        <w:ind w:left="0" w:leftChars="0"/>
        <w:jc w:val="center"/>
        <w:outlineLvl w:val="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（预算114.54万元）</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第1章 项目概述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根据《国家税务总局 财政部 中国人民银行关于进一步加强代扣代收代征税款手续费管理的通知》要求，手续费预算及支付管理方式发生业务调整。代扣代缴义务人、代收代缴义务人根据税收法律、法规规定的办法代扣代缴、代收代缴税款后，税务机关应当按照国家有关规定支付代扣、代收税款手续费；代征税款单位和个人按照委托代征协议规定代征代缴税款后，税务机关应当按照委托代征协议的有关规定支付代征税款手续费。</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根据总局《关于全面推广应用税收征管质量 5C 监控评价系统的通知》要求，全面推广应用征管质量 5C 监控评价系统，开展征管质量“5C+5R”监控评价试点工作，探索5C+5R双视角、双模型驱动，探索“税务人＋纳税人”双视角、双模型的征管质量监控评价办法，组织试点5C+5R；逐步扩大“5C+5R”试点范围，在指标模型、综合评价算法、评价报告、场景化应用等方面持续探索。</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秉承国家税务总局提出征管改革的新思路，认真贯彻落实《关于进一步深化税收征管改革的意见》，拟定进行对金税三期核心征管功能进行优化升级，引入先进的数据完整性管理手段和税费提升功能，掌握数据完整性和质量规律，及时发现问题，采取多种手段（包括技术手段和管理措施）改善数据质量，从而逐步提升数据管控能力。根据手续费管理通知，以数据为核心，满足精细化管理的需要，优化调整升级三代手续费申请、受理、审核审批、支付、归档、综合查询及数据迁移等相关功能。在试点基础上，持续推广应用5C5R监控评价系统，辅以业务数据修正流程管理部分，实现精准发现、任务推送、可跟踪、可度量的闭环治理。注销监控管理是针对需要注销的纳税人，通过预警扫描查询是否存在异常信息，并对异常信息进行预警，督促纳税人和税务人员处理问题数据。深化税收征管改革取得显著成效，基本建成功能强大的智慧税务。</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项目建设目标： </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以《关于进一步深化税收征管改革的意见》为依据，从三代手续费功能改造、5C5R监控评价和注销监管三个方向，对金税三期核心征管系统功能进行优化升级，实现三代手续费提取智能监管；利用5C5R指标库实现全方位指标覆盖和精准问题洞察，通过线上、线下多种手段落实治理；监管待注销户异常信息并进行预警，督促纳税人和税务人员处理问题数据，从而提高注销效率和满意度。本项目服务期限12个月。</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第2章 项目内容</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主要内容包括：三代手续费智能监管22项，5C5R监控评价11项，注销监管11项。三代手续费智能监管包括：委托代征协议管理、三代手续费提取审批提醒、三代手续费已计提未推送审批、三代手续费文书作废、三代手续费结报单补打、三代单位信息维护、三代手续费提取明细报表、三代手续费提取汇总审批表、三代手续费兑付核销、三代手续费收支总表查询、三代手续费已入库未报批查询、三代手续费已报批未批示查询、三代手续费已上报单位汇总表、三代手续费已审批未上报单位汇总表、三代手续费已批示未兑付查询、三代手续费已兑付查询、三代手续费被代征对象信息查询、三代手续费提取文书查询、三代手续费超范围行业纳税人查询、三代手续费委托代征协议信息查询、已批示未兑付时退库变化信息查询、工作流程监控查询和后台数据迁移。5C5R监控评价包括：</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t>5C+5R业务指标分析、5C+5R数据质量分析、任务生成分发、生成待办任务、5C+5R数据处理、5C+5R数据处理反馈、5C+5R考核测算、任务跟踪统计、5C+5R征管质量提升统计分析、5C+5R征管质量过程监控展示与成效分析和支持导入外部数据。注销监管主要包括：纳税人基本项目风险预警、纳税人经营项目风险预警--增值税、纳税人经营项目风险预警--企业所得税税、纳税人其他税种风险预警--房产税、纳税人其他税种风险预警--土地使用税、纳税人其他税种风险预警--印花税、纳税人其他税种风险预警--城建税、纳税人其他税种风险预警--教育费附加税、纳税人其他税种风险预警--地方教育费附加税、纳税人清算企业所得税申报情况预警和纳税人清算项目风险预警--剩余财产分配情况。</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第3章 项目具体需求</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以《关于进一步深化税收征管改革的意见》为依据，从三代手续费功能改造、5C5R监控评价和注销监管三个方向，对金税三期核心征管系统功能进行优化升级，实现三代手续费提取智能监管；利用5C5R指标库实现全方位指标覆盖和精准问题洞察，通过线上、线下多种手段落实治理；监管待注销户异常信息并进行预警，督促纳税人和税务人员处理问题数据，从而提高注销效率和满意度。主要包括三代手续费智能监管22项，5C5R监控评价11项，注销监管11项。系统详细功能如下：</w:t>
      </w:r>
    </w:p>
    <w:p>
      <w:pPr>
        <w:keepNext/>
        <w:keepLines/>
        <w:widowControl w:val="0"/>
        <w:numPr>
          <w:ilvl w:val="0"/>
          <w:numId w:val="6"/>
        </w:numPr>
        <w:suppressAutoHyphens w:val="0"/>
        <w:kinsoku/>
        <w:wordWrap/>
        <w:topLinePunct w:val="0"/>
        <w:bidi w:val="0"/>
        <w:spacing w:line="360" w:lineRule="auto"/>
        <w:ind w:left="0" w:leftChars="0" w:firstLine="420" w:firstLineChars="0"/>
        <w:jc w:val="both"/>
        <w:outlineLvl w:val="2"/>
        <w:rPr>
          <w:rFonts w:hint="eastAsia" w:asciiTheme="minorEastAsia" w:hAnsiTheme="minorEastAsia" w:eastAsiaTheme="minorEastAsia" w:cstheme="minorEastAsia"/>
          <w:b/>
          <w:snapToGrid w:val="0"/>
          <w:vanish/>
          <w:kern w:val="0"/>
          <w:sz w:val="24"/>
          <w:szCs w:val="24"/>
          <w:lang w:val="en-US" w:eastAsia="zh-CN" w:bidi="ar-SA"/>
        </w:rPr>
      </w:pPr>
    </w:p>
    <w:p>
      <w:pPr>
        <w:keepNext/>
        <w:keepLines/>
        <w:widowControl w:val="0"/>
        <w:numPr>
          <w:ilvl w:val="0"/>
          <w:numId w:val="6"/>
        </w:numPr>
        <w:suppressAutoHyphens w:val="0"/>
        <w:kinsoku/>
        <w:wordWrap/>
        <w:topLinePunct w:val="0"/>
        <w:bidi w:val="0"/>
        <w:spacing w:line="360" w:lineRule="auto"/>
        <w:ind w:left="0" w:leftChars="0" w:firstLine="420" w:firstLineChars="0"/>
        <w:jc w:val="both"/>
        <w:outlineLvl w:val="2"/>
        <w:rPr>
          <w:rFonts w:hint="eastAsia" w:asciiTheme="minorEastAsia" w:hAnsiTheme="minorEastAsia" w:eastAsiaTheme="minorEastAsia" w:cstheme="minorEastAsia"/>
          <w:b/>
          <w:snapToGrid w:val="0"/>
          <w:vanish/>
          <w:kern w:val="0"/>
          <w:sz w:val="24"/>
          <w:szCs w:val="24"/>
          <w:lang w:val="en-US" w:eastAsia="zh-CN" w:bidi="ar-SA"/>
        </w:rPr>
      </w:pPr>
    </w:p>
    <w:p>
      <w:pPr>
        <w:keepNext/>
        <w:keepLines/>
        <w:widowControl w:val="0"/>
        <w:numPr>
          <w:ilvl w:val="1"/>
          <w:numId w:val="6"/>
        </w:numPr>
        <w:suppressAutoHyphens w:val="0"/>
        <w:kinsoku/>
        <w:wordWrap/>
        <w:topLinePunct w:val="0"/>
        <w:bidi w:val="0"/>
        <w:spacing w:line="360" w:lineRule="auto"/>
        <w:ind w:left="0" w:leftChars="0" w:firstLine="420" w:firstLineChars="0"/>
        <w:jc w:val="both"/>
        <w:outlineLvl w:val="2"/>
        <w:rPr>
          <w:rFonts w:hint="eastAsia" w:asciiTheme="minorEastAsia" w:hAnsiTheme="minorEastAsia" w:eastAsiaTheme="minorEastAsia" w:cstheme="minorEastAsia"/>
          <w:b/>
          <w:snapToGrid w:val="0"/>
          <w:vanish/>
          <w:kern w:val="0"/>
          <w:sz w:val="24"/>
          <w:szCs w:val="24"/>
          <w:lang w:val="en-US" w:eastAsia="zh-CN" w:bidi="ar-SA"/>
        </w:rPr>
      </w:pP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3.1委托代征协议批量管理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机关根据有利于税收管控和方便纳税的原则，可以按照国家有关规定与有关单位和人员签订《委托协议书》。发放委托代征证书，委托其代征零星分散和异地缴纳的税收。受托单位和人员按照代征证书的要求，以税务机关的名义依法征收税款，纳税人不得拒绝；纳税人拒绝的，受托代征单位和人员应当及时报告税务机关。</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3.2三代手续费提取审批提醒</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使用本功能对代扣代缴、代收代缴、委托代征入库数据进行手续费提取计算、流程审批。对三代单位和个人上一年度《代扣代收代征税款结报单》履行审核程序并进行提示提醒应完成未完成的审批任务。</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3.3三代手续费已计提未推送审批</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在三代手续费提取模块中，已计提数据，未推送审批的，通过本功能模块进行查询推送审批。</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3.4三代手续费文书作废</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三代手续费文书作废模块用于将提取审批后的文书进行作废操作。</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3.5三代手续费结报单补打</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该功能可以对提取手续费的结报单进行补打。</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3.6三代单位信息维护</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该功能是在提取手续费前，需要维护纳税人基本信息。</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3.7三代手续费提取明细报表</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三代手续费提取明细报表用于查询三代手续费提取明细信息，并能够将查询出的信息进行导出和打印。</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3.8三代手续费提取汇总审批表</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三代手续费提取汇总审批表用于查询三代手续费汇总报表查询，并能够将查看明细，打印和导出明细。</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3.9三代手续费智能兑付核销</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该功能用例是在提取审批流程终审后，且已经将手续费兑付给纳税人，就需要在该模块进智能行兑付核销。</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3.10三代手续费收支总表查询</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三代手续费收支总表查询启动角色使用本用例来统计三代的入库、应提取、已提取、未提取金额。</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3.11三代手续费已入库未报批查询</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三代手续费已入库未报批手续费信息，可通过本模块分区县局进行查看和统计。</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3.12三代手续费已报批未批示查询</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三代手续费已报批未批示此用例是查询已经开始走提取流程，但是没有审批完成。</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3.13三代手续费已上报单位汇总表</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本功能查询季度上报手续费提取报表。</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3.14三代手续费已审批未上报单位汇总表</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本功能查询手续费提取流程已审批完成，但是没有进行季度上报提取报表的数据。</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3.15三代手续费已批示未兑付查询</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本功能流程已审批完成，没有进行兑付的数据进行查询。</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3.16三代手续费已兑付查询</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本功能是查询手续费已经提取并兑付的数据。</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3.17三代手续费被代征对象信息查询</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本功能用于查询被代征的纳税人信息。</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3.18三代手续费提取文书查询</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本功能用于查询已经提取的手续费文书。</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3.19三代手续费超范围行业纳税人查询</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本功能用于查询，手续费超范围行业的纳税人数据。</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3.20三代手续费委托代征协议信息查询</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本功能用于查询纳税人签订的委托代征协议信息。</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3.21已批示未兑付时退库变化信息查询</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本功能用于查询流程已审批完成，但尚未进行兑付时，再次发生误征退库的数据信息。</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3.22工作流程监控查询和后台数据迁移</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模块是针对工作流流程信息查询开发的。用户提供办理机关和任务发起人可以查询工作流程的流转情况，并且可以通过添加查询条件进行信息筛选。在后台梳理2020年前往年历史数据，迁移到新环境，并适应最新数据结构和业务归集。</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3.23 5C+5R业务指标分析</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C质量评价方法涉及多个监控类指标，包括金三可取数指标和本省新增指标两类。多个监控指标组成了评价模型原型，评价原型金三可取数指标和外部指标的加工结果为输入，实现5C方法所需的指标确定、模型构建、分段排名、参数优化、结果试算和相关数据的展示、统计。以指标库为核心，融扫描分析、改进提升和监控评价于一体的征管数据质量服务。</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iCs/>
          <w:sz w:val="24"/>
          <w:szCs w:val="24"/>
        </w:rPr>
      </w:pPr>
      <w:r>
        <w:rPr>
          <w:rFonts w:hint="eastAsia" w:asciiTheme="minorEastAsia" w:hAnsiTheme="minorEastAsia" w:eastAsiaTheme="minorEastAsia" w:cstheme="minorEastAsia"/>
          <w:color w:val="000000"/>
          <w:sz w:val="24"/>
          <w:szCs w:val="24"/>
        </w:rPr>
        <w:t>5C+5R业务指标分析主要是针对总局5C质量评价方法涉及多个监控类指标进行配置管理，同时省局根据自身情况新增加一定数量本省关注的自定义监控指标，明确指标的监控项，为后期指标数据分析提升提供业务口径与技术支持。主要包括：1）策略分析：通过对省局进行指标预警分析，识别本地的征管薄弱环节，精确定位征管质量问题，针对具体问题进行后续应对。2）征管数据质量指标库：从登记注销、纳税申报、发票申领、税收优惠等业务环节，构建省局统一的征管数据质量指标体系；同时，根据不断更新的征管薄弱环节和整体数据质量提升工作过程与成效分析，进行指标范围、口径、参数持续调优。3）征管数据质量分析：省局运用数据质量指标体系进行扫描分析，对分析结果进行确认。4）征管数据质量提升：对分析结果产生的问题单位和纳税人数据，通过线下手段逐级下发到基层税务机关，对分析环节的检出问题进行针对性处理和反馈；通过配套的解决方案和指引措施建议，指导基层提升过程的合规和落实。5）成效分析：基于成效分析报告，定期对全局数据质量提升工作的开展、成效情况进行监控和分析，促进征管数据质量的持续改进，形成征管质量管理闭环。</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3.24 5C+5R数据质量分析</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5C+5R征管数据质量分析基于征管数据质量指标库，定期进行指标数据扫描，推送预警分析结果到提升环节；以指标预警分析展示扫描结果，形成数据质量诊断报告和解决方案。</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 xml:space="preserve">指标扫描 </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基于征管数据质量指标库，设置指标扫描的规则（频率、范围等），定期对历史的征管质量相关数据进行扫描，识别短板征管数据质量指标情况，编制数据质量分析报告。</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指标预警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基于指标扫描，展示各质量指标的分析结果，实现具体指标的预警分析，查看相关的疑点纳税人清单明细，辅助基层税务机关对相关纳税人进行问题定位。例如：发票管理主题，1）指标预警监控，通过发票管理主题内的连续两个月发票开具超过定额户数、连续三个月发票开具超过定额、且做定额调整户数等指标，了解全省的扫描结果和预警情况；2）指标明细分析，展示具体指标的问题纳税人明细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结果确认</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在征管数据质量分析结果识别到相应的指标问题后，后续需要对相关问题进行改进提升。在此之前，为了保障征管数据质量分析结果推送与提升工作的有效衔接，需要对扫描结果进行应对提升应对前的筛选和确认。</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在指标数据分析时，根据不同的权限加载出不同的税务机关，按税务机关统计出当前税务机关在该指标上面的完成情况，同时系统支持可以点击税务机关下钻到至下级税务机关的指标分析数据。</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3.25任务生成分发</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任务生成分发是指在征管质量指标进行数据分析后，对低于正常指标值的数据按不同的税务机关（科所分局）生成不同的任务。对于任务的生成，可以手工控制操作，可以按一定比例进行任务的生成。</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3.26生成待办任务</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根据任务的生成后，根据设置的相应的岗位或人员，调用金税三期系统的待办任务接口，生成金税三期系统的待办任务。</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指标的处理过程中，涉及金税三期的业务调整，可以在本系统启动金税三期的工作流并进行任务推送。</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3.27 5C+5R数据处理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税务人员在登录金税三期系统后，接收待办任务进行任务办理，根据不同的指标问题数据，调用不同的金税三期业务系统处理功能进行数据处理。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征管质量数据处理功能提供一键处理与人工处理功能，一键处理可以直接调用金税三期系统接口批量进行处理，系统返回批量处理接口。人工处理是点击单户问题数据，根据不同的业务类型调用不同的业务页面进行人工处理，人工处理也包括在系统外处理。</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3.28 5C+5R数据处理反馈</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税务人员根据待办处理对征管质量数据进行处理后，对当前处理数据进行反馈，是否处理完成，系统可提供自动反馈与人工反馈工作，当进行的是所有数据一键处理后，可自动反馈处理完成。</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3.29 5C+5R考核测算</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当税务人员对征管质量问题数据进行处理并反馈后，操作人员可以根据当前数据处理进度进行指标数据测算，测算时以总局上期的质量5C评价时的区间值为参考依据，测算出当前的指标值得分做为参考。</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3.30任务跟踪统计</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系统提供对待办任务的跟踪功能，可以跟踪展示每个待办任务的当前活动位置与状态，同时提供任务统计分析功能，可监控到每个机构单位的待办任务数量、已接收待办数量、正在处理待办数量、已完成待办数量等。</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3.31 5C+5R征管质量提升统计分析</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根据征管质量指标的管理，对每个指标的问题数据进行统计分析，以及各地完成的情况进行统计分析。通过“征管数据质量分析”环节，识别到各区域或纳税人的指标预警情况以后，导出相关纳税人问题明细数据，分发给对应主管税务机关或个人，通过线下辅助提升的方式，实现纳税人问题明细数据的处理，落实相关征管数据质量问题的提升；同时，数据服务工程师判断和关注问题数据的修正结果，刷新相关问题纳税人明细数据的处理状态，完成征管数据质量提升闭环。</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3.32 5C+5R征管质量过程监控展示与成效分析</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通过统计图与表格等形式，展示征管质量各个指标的提升过程，同时从宏观角度进行统计征管质量评价情况，如全省指标问题数据分布图，按地区展示不同的指标分布情况、完成情况等，质量评价得份等，方便领导决策人员使用人员直观，便捷的掌握与监控整个过程。</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内容为征管质量成效分析报告，满足对征管数据质量提升过程跟踪、成效评估的要求。</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按季度或半年输出阶段性的征管数据质量报告，全面展示前一个阶段具体指标的提升工作内容、指标、指标值、问题数据的变动情况，展示本单位和下级单位的指标波动情况和提升结果，进一步分析评估改进点和改进措施。</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本单位的5C表现情况、波动情况、下级单位表现情况、数据质量指标的建设情况等内容进行分析，对监控评价的结果和趋势、预警信息推送和问题数据的办理情况等内容进行分析，实现对征管数据质量提升工作的总体成评估，并对指标体系进行调优，以达到持续改进、螺旋式提升的业务目标。</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3.33 支持导入外部数据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系统要支持对外部数据的导入，导入外部的数据进行指标的分析与测算，如各市、各县的GDP等数据。</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3.34纳税人基本项目风险预警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查询当前待注销的有效的纳税人，是否存在认定特殊行业的纳税人，如果存在，则在本系统中提出预警。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（4）行业为特殊行业，即“房地产开发经营、金融业”</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（5）从事股权投资业务的情况</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（6）存在出口退免税的情况</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3.35纳税人经营项目风险预警--增值税</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查询当前待注销的有效的纳税人，从开业到注销超过6个月，且无领购发票记录的纳税人，视为无风险，否则在本系统中提出预警。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（4）从开业到注销超过6个月，且无领购发票记录的纳税人，则视为无风险</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3.36纳税人经营项目风险预警--企业所得税</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1）纳税人近三年申报情况监控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查询当前待注销的有效的纳税人，近三年的申报情况，如果企业所得税合计数&gt;=增值税合计数，视为无风险，否则在本系统中提出预警。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①一般纳税人：增值税申报表主表第1（按适用税率计税销售额）,6（纳税检查调整的销售额）,7（免、抵、退办法出口销售额）,8（免税销售额）行“一般项目”和“即征即退项目”两列本年累计合计数与企业所得税年度申报表A101010一般企业收入明细表第1行营业收入和第16行营业外收入合计数比对；</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②小规模纳税人：增值税申报表主表第1（应征增值税不含税销售额（3%征收率））,4（应征增值税不含税销售额（5%征收率））,7（销售使用过的应税固定资产不含税销售额）,9（免税销售额）,13（出口免税销售额）行“货物及劳务”和“服务、不动产和无形资产”两列本年累计数合计数+附列资料1-12月本期发生额合计数与企业所得税年度申报表A101010一般企业收入明细表第1行营业收入和第16行营业外收入合计数比对。</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2）以大额列支咨询顾问费方式，列支不符合实际情况的成本费用监控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以大额列支咨询顾问费方式，列支不符合实际情况的成本费用，视为存在风险，在本系统中提出预警。通常一个投资项目的咨询顾问费在万元到十万元级别，若存在大额咨询顾问费支出，则存在较大风险。</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（4）企业所得税年度纳税申报表A104000期间费用明细表中第3行咨询顾问费大于等于 100万元</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3）以大额列支提供劳务成本方式，列支不符合实际的成本费用监控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查询当前待注销的有效的纳税人，以大额列支咨询顾问费方式，列支不符合实际情况的成本费用，视为存在风险，在本系统中提出预警。通常一个投资项目若存在大额列支的提供劳务成本，则存在较大风险。</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（4）企业所得税年度纳税申报表A104000期间费用明细表中第2行劳务费，大于等于 100万元</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4）研发费加计扣除风险预警监控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注销年度企业所得税申报表有研发费加计扣除，但注销前3个年度企业所得税年度申报表无研发费加计扣除，视为存在风险，在本系统中提出预警。注销年度企业所得税申报表有研发费加计扣除，注销前3个年度企业所得税年度申报表不应无研发费加计扣除。</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（4）①提取企业所得税年度申报表A107012研发费用加计扣除优惠明细表中第51行本年研发费用加计扣除总额。</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②比对条件：注销前3个年度研发费加计扣除=0（前提条件），注销年度本年研发费用加计扣除总额≠0</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5）营业外支出监控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查询当前待注销的有效的纳税人，营业外支出大于等于100万，视为存在风险，在本系统中提出预警。注销期企业所得税年度申报表中营业外支出数值应小于100万。</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（4）注销期企业所得税年度申报表中A102010一般企业成本支出明细表中第16行‘营业外支出’数值大于等于100万的。</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6）全额扣除的公益性捐赠支出监控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查询当前待注销的有效的纳税人，“全额扣除的公益性捐赠支出”大于100万元，视为存在风险，在本系统中提出预警。企业所得税年度申报表中“全额扣除的公益性捐赠支出”应小于等于100万元。</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（4）企业所得税年度申报表A105070捐赠支出及纳税调整明细表第2行“全额扣除的公益性捐赠支出”大于100万元</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7）享受所得减免企业未按要求单独核算减免所得优惠项目监控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存在所得减免优惠明细表，但是其中的项目收入和项目成本不同时大于0时，视为存在风险，在本系统中提出预警。存在所得减免优惠明细表，“项目收入”和“项目成本”两列数值应均大于零。</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（4）A107020所得减免优惠明细表第4列“项目收入”和第5列“项目成本”没有同时大于零。</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8）纳税调整项目明细表其他调减项目监控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纳税调整项目明细表其他调减项目监控，“扣除类调整项目—其他”、“资产类调整项目—其他”、“特殊事项调整项目—其他”、“特别纳税调整应税所得”的调减金额，四项没有全部小于等于0时，视为存在风险，在本系统中提出预警。纳税调整项目明细表其他调减项目监控，第30（扣除类调整项目—其他）、35（资产类调整项目—其他）、43（特殊事项调整项目—其他）、44（特别纳税调整应税所得）行第4列调减金额＞0，四个项目应全部小于等于零。</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A105000纳税调整项目明细表其他调减项目监控，第30（扣除类调整项目—其他）、35（资产类调整项目—其他）、43（特殊事项调整项目—其他）、44（特别纳税调整应税所得）行第4列调减金额＞0，四个项目全部小于等于零</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3.37纳税人其他税种风险预警--房产税</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1）房产税税源与申报的房产原值比对监控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查询当前待注销的有效的纳税人，按照房产税源登记起止时间房产税申报的房产原值小于相应申报属期房产税源登记的房产原值时，视为存在风险，在本系统中提出预警。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（4）按照房产税源登记起止时间房产税申报的房产原值小于相应申报属期房产税源登记的房产原值。</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2）房产税税金监控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根据企业所得税年度申报表和房产税源登记信息按一定比例计算，与实际缴纳房产税税金比较，前者大于后者时，风险存在，在本系统中提出预警。根据企业所得税年度申报表和房产税源登记信息计算（房屋、建筑物资产账载金额+土地使用权资产账载金额-税源登记出租原值-税源登记免税原值）×70% ×1.2%小于等于实际缴纳房产税税金。</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（4）根据企业所得税年度申报表和房产税源登记信息计算（房屋、建筑物资产账载金额+土地使用权资产账载金额-税源登记出租原值-税源登记免税原值）×70% ×1.2%大于实际缴纳房产税税金。</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3）土地税源登记与房产税源登记不一致监控监控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已登记的有效的纳税人中，已认定房产税、土地使用税的纳税人，其税源信息进行比对。比对存在土地税源登记信息纳税人，应同时存在房产税源信息，如不存在则视为问题数据。房屋情况登记是指以房产税源管理项目为登记对象，在办理或换发税务登记证件时，将房产详细信息向纳税义务发生地主管税务机关办理税源管理项目的登记手续。</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土地情况登记是指以土地税源管理项目为登记对象，在办理或换发税务登记证件时，将土地详细信息向纳税义务发生地主管税务机关办理税源管理项目的登记手续。</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（4）当前有效的纳税人，已认定房产税、土地使用税的纳税人，其税源信息进行比对。比对存在土地税源登记信息纳税人，应同时存在房产税源信息，如不存在则视为问题数据。</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3.38纳税人其他税种风险预警--土地使用税</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1）土地使用税申报情况监控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查询当前待注销的有效的纳税人，取土地税源登记起止时间，同时取土地使用税申报表内所属期，所属期时间累计叠加小于土地税源登记起止时间（截止至注销期），视为存在风险，在本系统中提出预警。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（4）取土地税源登记起止时间，同时取土地使用税申报表内所属期，所属期时间累计叠加小于土地税源登记起止时间（截止至注销期）</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2）房产税源登记与土地税源登记不一致监控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已登记的有效的纳税人中，已认定房产税、土地使用税的纳税人，其税源信息进行比对。比对存在房产税源登记信息纳税人，应同时存在土地税源信息，如不存在则视为问题数据。房屋情况登记是指以房产税源管理项目为登记对象，在办理或换发税务登记证件时，将房产详细信息向纳税义务发生地主管税务机关办理税源管理项目的登记手续。</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土地情况登记是指以土地税源管理项目为登记对象，在办理或换发税务登记证件时，将土地详细信息向纳税义务发生地主管税务机关办理税源管理项目的登记手续。</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（4）当前有效的纳税人，已认定房产税、土地使用税的纳税人，其税源信息进行比对。比对存在房产税源登记信息纳税人，应同时存在土地税源信息，如不存在则视为问题数据。</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3.39纳税人其他税种风险预警--印花税</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1）企业所得税申报与其核定的印花税应纳税额比对监控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比对近三年企业所得税年度纳税申报表中主营业务收入与其核定的印花税应纳税额，其中印花税计税依据/（主营业务收入-提供劳务收入）&lt;核定比例,视为存在风险，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（4）①提取纳税人近三年企业所得税年度申报表中附表：一般企业收入明细表A101010，提取第2行的主营业务收入减去第5行提供劳务收入数值；</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②提取纳税人印花税（购销合同）计税依据；3.核定比例：购销合同：工业70%、商业40%、外贸综合服务30%、其他80%；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③比对通过条件：印花税计税依据/（主营业务收入-提供劳务收入）&lt;核定比例。</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2）租赁合同印花税监控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获取纳税人房源登记信息，若无房源登记信息，有租赁合同印花税，视为无风险，否则在本系统中提出预警。纳税人存在房源登记信息，则不应该存在租赁合同印花税；纳税人若无房源登记信息，可存在租赁合同印花税。</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（4）取纳税人房源登记信息，除无房源登记信息，有租赁合同印花税的纳税人外的其他纳税人。</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3.40纳税人其他税种风险预警--城建税</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增值税应纳税额与城建税的计税依据比对监控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查询当前待注销的有效的纳税人，增值税申报表中的应纳税额与城建税计税依据累计数比较，城建税累计数小于增值税应纳税额累计数，视为存在风险，在本系统中提出预警。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取近三年增值税申报表中的应纳税额（①、增值税申报表（适用一般纳税人）第24行应纳税额合计；②、增值税申报表（小规模纳税人）第22行应纳税额合计）累计数与城建税计税依据累计数比较，城建税累计数小于增值税应纳税额累计数。</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3.41纳税人其他税种风险预警--教育费附加税</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增值税应纳税额与教育费附加税的计税依据比对监控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增值税申报表中的应纳税额与教育费附加税计税依据累计数比较，教育费附加税累计数小于增值税应纳税额累计数，视为存在风险，在本系统中提出预警。增值税一般人取。增值税申报表（适用一般纳税人），小规模纳税人取增值税申报表（小规模纳税人）。增值税申报表中的应纳税额与教育费附加税计税依据累计数比较，教育费附加税累计数应大于等于增值税应纳税额累计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取近三年增值税申报表中的应纳税额（①、增值税申报表（适用一般纳税人）第24行应纳税额合计；②、增值税申报表（小规模纳税人）第22行应纳税额合计）累计数与教育费附加税计税依据累计数比较，教育费附加税累计数小于增值税应纳税额累计数。</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3.42纳税人其他税种风险预警--地方教育费附加税</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增值税应纳税额与地方教育费附加税的计税依据比对监控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增值税申报表中的应纳税额与地方教育费附加税计税依据累计数比较，地方教育费附加税累计数小于增值税应纳税额累计数，视为存在风险，在本系统中提出预警。增值税一般人取。增值税申报表（适用一般纳税人），小规模纳税人取增值税申报表（小规模纳税人）。增值税申报表中的应纳税额与地方教育费附加税计税依据累计数比较，地方教育费附加税累计数应大于等于增值税应纳税额累计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取近三年增值税申报表中的应纳税额（①、增值税申报表（适用一般纳税人）第24行应纳税额合计；②、增值税申报表（小规模纳税人）第22行应纳税额合计）累计数与地方教育费附加税计税依据累计数比较，地方教育费附加税累计数小于增值税应纳税额累计数。</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3.43纳税人清算企业所得税申报情况预警</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1）资产处置损益明细表与资产负债表比对监控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查询当前待注销的有效的纳税人，资产处置损益明细表账面价值与最后一期财务报表资产负债资产合计的期末余额比对，如果不一致，视为存在风险，在本系统中提出预警。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（4）《中华人民共和国企业清算所得税申报表》中资产处置损益明细表第32行第1列总计的账面价值不等于最后一期财务报表资产负债资产合计的期末余额的数据。</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2）资产处置损益明细表与年度纳税申报表比对监控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资产处置损益明细表计税基础与清算前的年度纳税申报表资产计税基础扣除累计税收折旧摊销、已在税前扣除的准备金后的余额是否一致，如果不一致，视为存在风险，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（4）①取《中华人民共和国企业清算所得税申报表》中资产处置损益明细表第32行第2列总计的计税基础</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②《中华人民共和国企业所得税年度纳税申报表（A类）》附表A105080中第36行第1列资产原值-第5列税收折旧额-第3列累计折旧、摊销额</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③比较①和②，取①≠②的数据</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3）负债清偿损益明细表与资产负债表比对监控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查询当前待注销的有效的纳税人，负债清偿损益明细表账面价值与清算前的资产负债表期末余额是否一致，如果不一致，视为存在风险，在本系统中提出预警。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（4）①《中华人民共和国企业清算所得税申报表》中负债清偿损益明细表第23行第1列总计的账面价值</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②最后一期财务报表资产负债表负债合计第1列</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③比较①和②，取①≠②的数据</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4）资产的可变现价值或交易价格与账面价值比对监控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查询当前待注销的有效的纳税人，资产处置损益明细表中资产的可变现价值总计与账面价值总计*90%比较是否一致，如果不一致，视为存在风险，在本系统中提出预警。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（4）资产处置损益明细表第32行第3列可变现价值或交易价格总计小于第32行第1列总计的账面价* 90%</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3.44纳税人清算项目风险预警--剩余财产分配情况</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1）企业中是否存在非居民股东监控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查询当前待注销的有效的纳税人，企业中是否存在非居民股东，若存在，视为存在风险，在本系统中提出预警。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（4）企业中存在非居民股东</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2）注销期资产负债表、企业所得税清算申报表与增值税申报比对监控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询当前待注销的有效的纳税人，注销期资产负债表资产合计和非流动资产合计（期末数减去期初数）+企业所得税清算申报表附表资产处置损益明细表中账面价值&gt;增值税申报表中销售额合计，视为存在风险，在本系统中提出预警。</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数据查询范围：黑龙江省有效的纳税人为基准。口径描述：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（1）课征主体类型：代码小于1140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（2）跨区财产税主体登记标志：N</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（3）纳税人状态：筹建期、正常、停业、非正常、清算、简易注销无异议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（4）注销期资产负债表资产合计和非流动资产合计（期末数减去期初数）+企业所得税清算申报表附表资产处置损益明细表第32行第1列账面价值 &gt; 增值税申报表（1.一般纳税人1（按适用税率计税销售额）,5（按简易征收办法计税销售额）,7（免、抵、退办法出口销售额）,8（免税销售额）合计数；2.小规模纳税人第1行应征增值税不含税销售额（3%征收率）和第4行应征增值税不含税销售额（5%征收率）数值之和）。</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包括收藏夹、账户管理、登录、消息提醒、缓存清理、版本检测、绑定及解绑手机号等。</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第4章 总体技术要求</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 w:eastAsia="zh-CN" w:bidi="ar-SA"/>
        </w:rPr>
      </w:pPr>
      <w:bookmarkStart w:id="113" w:name="_Toc5193"/>
      <w:r>
        <w:rPr>
          <w:rFonts w:hint="eastAsia" w:asciiTheme="minorEastAsia" w:hAnsiTheme="minorEastAsia" w:eastAsiaTheme="minorEastAsia" w:cstheme="minorEastAsia"/>
          <w:b/>
          <w:kern w:val="2"/>
          <w:sz w:val="24"/>
          <w:szCs w:val="24"/>
          <w:lang w:val="en-US" w:eastAsia="zh-CN" w:bidi="ar-SA"/>
        </w:rPr>
        <w:t>4.</w:t>
      </w:r>
      <w:r>
        <w:rPr>
          <w:rFonts w:hint="eastAsia" w:asciiTheme="minorEastAsia" w:hAnsiTheme="minorEastAsia" w:eastAsiaTheme="minorEastAsia" w:cstheme="minorEastAsia"/>
          <w:b/>
          <w:kern w:val="2"/>
          <w:sz w:val="24"/>
          <w:szCs w:val="24"/>
          <w:lang w:val="en" w:eastAsia="zh-CN" w:bidi="ar-SA"/>
        </w:rPr>
        <w:t>1技术标准与规范要求</w:t>
      </w:r>
      <w:bookmarkEnd w:id="113"/>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基于J2EE架构的技术路线，是在参考了多种体系架构软件的特性，并结合税务信息化建设的现状之后，为本项目技术架构设计的指导性原则，整个技术方案设计将围绕选定的技术路线，并以此作为本项目实现的技术基础。</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2EE架构是当前主流的架构之一，目前大多数企业采用J2EE技术的结构设计与解决方案。J2EE体系结构提供中间层集成框架用来满足无需太多费用而又需要高可用性、高可靠性以及可扩展性的应用的需求。通过提供统一的开发平台，J2EE降低了开发多层应用的费用和复杂性，同时提供对现有应用程序集成强有力支持，完全支持EnterpriseJavaBeans，有良好的向导支持打包和部署应用，添加目录支持，增强了安全机制，提高了性能。</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高效的开发：J2EE允许开发商把一些通用的、很繁琐的服务端任务交给中间件供应商去完成。这样开发人员可以集中精力在如何创建商业逻辑上，相应地缩短了开发时间。高级中间件供应商提供了很多成熟的复杂的中间件服务:</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状态管理服务：开发人员只需要写很少的代码，而不用关心如何管理状态，这样能够更快地完成程序开发。</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持续性服务：开发人员不用对数据访问逻辑进行编码就能编写应用程序，能生成更轻巧，与数据库无关的应用程序，这种应用程序更易于开发与维护。</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分布式共享数据对象CACHE服务：开发人员能够编制高性能的系统，极大提高整体部署的伸缩性。</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支持异构环境：J2EE能够开发部署在异构环境中的可移植程序。基于J2EE的应用程序不依赖特定操作系统、中间件、硬件。因此设计合理的基于J2EE的程序只需开发一次就可部署到多种平台。这在典型的异构企业计算环境中是十分关键的。J2EE标准也允许客户订购与J2EE兼容的第三方的现成的组件，把他们部署到异构环境中，节省了由自己制订整个方案所需的费用。</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可伸缩性：基于J2EE平台的应用程序可被部署到多种操作系统上。例如可被部署到高端UNIX与大型机系统，这种系统单机可支持64至256个处理器。J2EE领域的供应商提供了更为广泛的负载平衡策略。能消除系统中的瓶颈，允许多台服务器集成部署。这种部署可达数千个处理器，实现可高度伸缩的系统，满足未来商业应用的需要。</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稳定的可用性：一个服务器端平台必须能全天候运转以满足公司客户、合作伙伴的需要。若是意外停机，那会有灾难性后果。J2EE部署到可靠的操作环境中，他们支持长期的可用性。</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2EE使用多层的分布式应用模型，应用逻辑按功能划分为组件，各个应用组件根据他们所在的层分布在不同的机器上。传统的J2EE多层企业级应用模型将两层化模型中的不同层面切分成许多层。一个多层化应用能够为不同的每种服务提供一个独立的层，以下是J2EE典型的四层结构:</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运行在客户端机器上的客户层组件</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运行在J2EE服务器上的Web层组件</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运行在J2EE服务器上的业务逻辑层组件</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运行在EIS服务器上的企业信息系统层软件</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基于层次化组件模式的J2EE平台把业务逻辑和底层网络技术分离开来，具有可伸缩性、扩展性、易开发性和易维护性，已经成为企业级分布式网络计算的事实标准。本项目技术架构将遵循J2EE架构技术标准和规范。</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bookmarkStart w:id="114" w:name="_Toc8431"/>
      <w:r>
        <w:rPr>
          <w:rFonts w:hint="eastAsia" w:asciiTheme="minorEastAsia" w:hAnsiTheme="minorEastAsia" w:eastAsiaTheme="minorEastAsia" w:cstheme="minorEastAsia"/>
          <w:b/>
          <w:kern w:val="2"/>
          <w:sz w:val="24"/>
          <w:szCs w:val="24"/>
          <w:lang w:val="en-US" w:eastAsia="zh-CN" w:bidi="ar-SA"/>
        </w:rPr>
        <w:t>4.2数据保密要求</w:t>
      </w:r>
      <w:bookmarkEnd w:id="114"/>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项目合同期内，中标方要严格遵守局方的各项保密管理规章制度，做好数据保密和信息安全工作，严禁非法修改和外泄数据，因中标方工作人员人为造成数据和技术文档泄密的，中标方应承担全部责任。因工作失误造成重大故障损失的，或者对事故处理不当、不及时等造成税务局损失的，中标方应承担全部责任。</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bookmarkStart w:id="115" w:name="_Toc7681"/>
      <w:r>
        <w:rPr>
          <w:rFonts w:hint="eastAsia" w:asciiTheme="minorEastAsia" w:hAnsiTheme="minorEastAsia" w:eastAsiaTheme="minorEastAsia" w:cstheme="minorEastAsia"/>
          <w:b/>
          <w:kern w:val="2"/>
          <w:sz w:val="24"/>
          <w:szCs w:val="24"/>
          <w:lang w:val="en-US" w:eastAsia="zh-CN" w:bidi="ar-SA"/>
        </w:rPr>
        <w:t>4.3可用性要求</w:t>
      </w:r>
      <w:bookmarkEnd w:id="115"/>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保障业务系统应满足7×24小时可以使用，在以上时段系统的可用性至少达到99.9%。故障按影响程度不同分重大紧急故障和一般性故障，在项目运行中出现故障时，应按照相应等级进行响应。</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重大紧急故障是指导致招标人业务系统完全丧失服务功能，对业务至关重要的工作无法继续进行，如数据库主机宕机；系统中关键功能出现阻断性故障，直接导致业务无法正常进行并且无补救措施。对于重大紧急故障，一线现场人员应在故障发生后立即向招标人报告，并通知二线技术人员立即赶赴事故现场响应，原则上技术人员在1小时内抵达招标人现场，1小时内定位故障，4小时内排除故障。</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一般性故障是指系统中非关键功能实现错误，单一模块出现阻断性故障，但不影响业务的正常进行；系统中非关键功能实现错误，如系统操作时间过长，界面需要改进等，但不影响系统正常运转。对于一般性故障，一线现场人员应在故障发生后立即向招标人报告，并立即响应，原则上1小时内定位故障，24小时内排除故障。投标人需按照招标人要求，视具体情况安排技术人员至现场进行处理。</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bookmarkStart w:id="116" w:name="_Toc15214"/>
      <w:r>
        <w:rPr>
          <w:rFonts w:hint="eastAsia" w:asciiTheme="minorEastAsia" w:hAnsiTheme="minorEastAsia" w:eastAsiaTheme="minorEastAsia" w:cstheme="minorEastAsia"/>
          <w:b/>
          <w:kern w:val="2"/>
          <w:sz w:val="24"/>
          <w:szCs w:val="24"/>
          <w:lang w:val="en-US" w:eastAsia="zh-CN" w:bidi="ar-SA"/>
        </w:rPr>
        <w:t>4.4</w:t>
      </w:r>
      <w:bookmarkEnd w:id="116"/>
      <w:r>
        <w:rPr>
          <w:rFonts w:hint="eastAsia" w:asciiTheme="minorEastAsia" w:hAnsiTheme="minorEastAsia" w:eastAsiaTheme="minorEastAsia" w:cstheme="minorEastAsia"/>
          <w:b/>
          <w:kern w:val="2"/>
          <w:sz w:val="24"/>
          <w:szCs w:val="24"/>
          <w:lang w:val="en-US" w:eastAsia="zh-CN" w:bidi="ar-SA"/>
        </w:rPr>
        <w:t>易用性要求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重点考虑平台用户的使用习惯和特点，在各项功能的设计保持一致和简化，使用户容易上手，避免影响平台整体的应用效果。</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易理解。系统所有的业务功能界面风格和操作流程一致；业务表单应做到所见即所得；界面美观、简洁、高效；界面各部件的布局应该保持合理性和一致性；界面风格一致，颜色调和、提示清晰、窗口大小适当，使用方便；在选择快捷键、缩写、暗示和图标时应符合税务行业为习惯。</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2.易操作。常用操作有快捷键支持，大部分操作能够在小键盘内完成；信息录入能够完全通过键盘完成；无论逻辑步骤还是操作步骤都应避免繁杂。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易学习。提供在线帮助，系统关键业务操作应提供在线帮助文档和提示信息，使操作人员能够快速直观的利用这些信息进行相应的业务操作，并对各种状态和操作结果进行及时的反馈和提示；提供符合税务行业习惯，详细、易读、易理解的操作使用手册。</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4.5低耦合性要求</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当系统新增业务功能或现有业务功能改变时，包括但不限于界面的改变、业务实体变化、业务流程变化、规则的改变、代码改变等，应尽可能的保证业务变化造成的影响局部化。</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 xml:space="preserve">4.6可伸缩性要求 </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 xml:space="preserve">整体项目必须对未来可能出现的业务有良好的支撑。同时对数据量进行规划，在系统容量发生变化前，应能通过各个层次的扩充，保证系统合理的响应时间和吞吐量，支持负载的划分与均衡。 </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第5章 服务要求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系统上线后，中标人需要按合同约定的期限进行技术支持保障工作，保证系统平稳运行。在服务期内，中标人提供的服务和技术支持包括但不限于以下内容：</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1.中标人应对软件使用过程中出现的各类问题进行解答；</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2.处理建议应以前台操作为主，能够通过前台操作完成的，尽量不在后台调整；</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3.操作中出现的常见问题，应及时通过技术支持渠道向用户发布；</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第6章 验收要求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验收工作由招标人组织实施，投标人应完成项目验收的相关验收场景和资料的准备。</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6.1验收标准</w:t>
      </w:r>
      <w:r>
        <w:rPr>
          <w:rFonts w:hint="eastAsia" w:asciiTheme="minorEastAsia" w:hAnsiTheme="minorEastAsia" w:eastAsiaTheme="minorEastAsia" w:cstheme="minorEastAsia"/>
          <w:b/>
          <w:bCs/>
          <w:kern w:val="2"/>
          <w:sz w:val="24"/>
          <w:szCs w:val="24"/>
          <w:lang w:val="en-US" w:eastAsia="zh-CN" w:bidi="ar-SA"/>
        </w:rPr>
        <w:tab/>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1.验收的原则和依据</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本着保证质量、注重应用、功能适用的原则，以本项目招标文件、合同和业务需求及相关技术标准规范为验收的主要依据。</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2.验收标准</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（一）系统运行正常。</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（二）招标文件和合同要求全部完成，并满足要求。</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（三）各种技术文档和验收资料完备，符合合同的内容。</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（四）系统监控和数据处理符合信息安全的要求。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（五）合同或合同附件规定的其他验收条件。</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6.2项目验收</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投标人应根据合同约定验收的要求以及验收工作的内容，协助制定验收方案；</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投标人应为验收工作准备相应的验收环境和所需资料；</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协助招标人全面、准确验证软件的各项功能模块是否达到标准；</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协助招标人全面、准确验证软件的各项性能是否能达到要求；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投标人应对验收中发现的问题制定详细明确的处理方案并及时修改；</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投标人必须按招标人要求提交移交物清单及清单所列内容的最终版本（包括纸制和电子版），并经招标人签字确认；</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投标人协助编写并提交验收报告等文档。</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6.3交付物要求</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1、验收方案</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内容包括但不限于：详细描述验收目的、验收内容、技术条件、验收方法、进度安排、人员组成、验收准则、验收数据准备等。</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2、验收报告</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内容包括但不仅限于：详细描述和总结验收依据、验收内容、验收过程、验收准则、验收报告结论存在问题、优化完善建议等。</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3、移交物清单及交付物</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内容包括但不局限于：管理文档、用户文档、上线相关文档等。</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第7章 其他要求</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7.1保密要求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7.2知识产权要求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2、中标人应保证在本项目中所有预装和为本项目安装的软件为在中国境内具有合法版权或使用权的正版软件且无质量瑕疵。</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3、中标人保证所提供的产品及服务不侵犯第三方的知识产权，否则，由此给招标人造成的一切损失由中标人承担。</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7.3归档要求</w:t>
      </w:r>
    </w:p>
    <w:p>
      <w:pPr>
        <w:suppressAutoHyphens/>
        <w:kinsoku/>
        <w:wordWrap/>
        <w:topLinePunct w:val="0"/>
        <w:bidi w:val="0"/>
        <w:snapToGrid w:val="0"/>
        <w:spacing w:line="360" w:lineRule="auto"/>
        <w:ind w:left="0" w:leftChars="0" w:firstLine="470" w:firstLineChars="196"/>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中标人应对该项目所涉及的需求分析、联调测试、培训推广等各阶段工作文档，按招标人质量、数量、提供方式、提供时间等要求进行整理，并提交招标人归档。</w:t>
      </w: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br w:type="page"/>
      </w: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before="0" w:after="0" w:line="360" w:lineRule="auto"/>
        <w:ind w:left="0" w:leftChars="0"/>
        <w:jc w:val="center"/>
        <w:outlineLvl w:val="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第二包：金税三期决策一包数据加工及相关数据接口服务以及“税智撑”汇聚区数据处理及投放</w:t>
      </w:r>
    </w:p>
    <w:p>
      <w:pPr>
        <w:widowControl w:val="0"/>
        <w:suppressAutoHyphens/>
        <w:kinsoku/>
        <w:wordWrap/>
        <w:topLinePunct w:val="0"/>
        <w:bidi w:val="0"/>
        <w:spacing w:before="0" w:after="0" w:line="360" w:lineRule="auto"/>
        <w:ind w:left="0" w:leftChars="0"/>
        <w:jc w:val="center"/>
        <w:outlineLvl w:val="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（预算114.42万元）</w:t>
      </w:r>
    </w:p>
    <w:p>
      <w:pPr>
        <w:keepNext/>
        <w:keepLines/>
        <w:widowControl w:val="0"/>
        <w:numPr>
          <w:ilvl w:val="0"/>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第1章 项目概述</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工程上线以来，核心征管查询模块与决策一包会计核算报表因口径不同导致数据存在差异,且部分数据为异常数据，对收核统计工作造成困难，为此需要强化会计核算数据审核，提高会计核算质量，减轻收核人员日常数据校对工作量，提高工作效率。</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为了进一步提高黑龙江省税收大数据分析监控平台（以下简称“大数据平台”）支撑能力，夯实“以数治税”和智慧税务建设基础，满足各处室（局）日益增长的多样化数据需求。不断拓宽数据共享渠道和方式，打通各系统技术壁垒，本着“数据不搬家”原则，将数据开发以接口方式将加工好的数据持续供应给“大数据平台”，既可以保障数据安全，又可以提高开发效率。</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根据全国统一汇聚区的要求，在实现供数的扎口管理后，源端数据库先归拢至汇聚区，再由汇聚区同步至大数据平台，共享税智撑链路，充分利用税智撑平台的算力，实现不同粒度的数据同步策略。完成包括金税三期系统：核心征管，决策支持（一包），决策支持（二包），外部交换、税库银、个人所得税、税控系统、电子底账、出口退税、社保费征收子系统、管理子系统、社保-信息共享、一户式应用2.0、12366系统、ITS等系统；金税四期系统：电子发票服务平台、统一身份管理平台、乐企、一体式应用等供数据，实现“一个入口”和“一个出口”统一数据汇聚区。</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kern w:val="2"/>
          <w:sz w:val="24"/>
          <w:szCs w:val="24"/>
          <w:lang w:val="en-US" w:eastAsia="zh-CN" w:bidi="ar-SA"/>
        </w:rPr>
        <w:t>通过应用前沿大数据MPP技术搭建分布式数据库，参照总局应用支撑平台省局版数据汇聚的标准与规范，与应用支撑平台省局版构建一体化数据平台，实现对总局统推系统、黑龙江税务特色软件等数据的归集、融合、加工，加强对多数据源的链路管理、数据安全使用管理，形成满足省局和各地市的全局公共服务数据。开展黑龙江省税务局和各地市私有空间的建设，加强对税务干部数据操作管控力度，同时建立热点业务主题模型，更好的服务省局及地市私有空间使用，并且提供后台数据供应和基于web页面的在线数据查询，满足省、市两级部分税务人员在线数据查询需求。</w:t>
      </w:r>
    </w:p>
    <w:p>
      <w:pPr>
        <w:keepNext/>
        <w:keepLines/>
        <w:widowControl w:val="0"/>
        <w:numPr>
          <w:ilvl w:val="0"/>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第2章 项目内容</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主要是提供收核部门对会统报表及核心业务系统的数据分析比对功能，将实现数据比对自动化、数据集中化、监督信息化的工作模式，能够减轻基层同事日常核对会统报表数据的工作量，促进税收任务统筹规划和税收目标动态管理，提高数据质量确保会计核算结果真实、准确。</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同时，按照“应汇尽汇”原则，将分散在各生产系统中的数据集中汇聚到“税智撑”汇聚区，其他非生产系统数据均应由“税智撑”数据汇聚区扎口进行供应，不再从源端生产系统取数。</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完成省局大数据平台数据源切换至省局数据汇聚区工作。切换工作需省局大数据平台系统停止服务，避开月初、征期中、征期后1周内、月末等关键时点，理想切换时间在22日至28日之间。原则上数据结构不做大改，初步评估对应用功能的影响较小。替换的数据链路保留一段时间以作应急。</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为我省税收大数据应用提供实时、强大的算力、算法、数据和知识资源保障；满足各级税务部门业务需要的数据基础环境，畅通数据通道、消除数据壁垒、提升数据质量、实现数据重组、深挖数据价值，为领导提供决策支持，为基层提供数据支撑。将我省的个性化数据平台从Oracle汇聚版本升级为MPP+Hadoop分布式架构版本，全面提升我省的数据分析、数据挖掘和数据安全等为一体的新大数据应用，满足我省未来税收大数据建设的远景。</w:t>
      </w:r>
    </w:p>
    <w:p>
      <w:pPr>
        <w:keepNext/>
        <w:keepLines/>
        <w:widowControl w:val="0"/>
        <w:numPr>
          <w:ilvl w:val="0"/>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第3章 项目具体需求</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3.1金三决策一包数据加工及相关接口服务</w:t>
      </w:r>
    </w:p>
    <w:p>
      <w:pPr>
        <w:keepNext/>
        <w:keepLines/>
        <w:widowControl w:val="0"/>
        <w:numPr>
          <w:ilvl w:val="2"/>
          <w:numId w:val="0"/>
        </w:numPr>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3.1.1数据仓库架构与层级</w:t>
      </w:r>
    </w:p>
    <w:p>
      <w:pPr>
        <w:suppressAutoHyphens/>
        <w:kinsoku/>
        <w:wordWrap/>
        <w:topLinePunct w:val="0"/>
        <w:bidi w:val="0"/>
        <w:spacing w:line="360" w:lineRule="auto"/>
        <w:ind w:left="0" w:left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sz w:val="24"/>
          <w:szCs w:val="24"/>
        </w:rPr>
        <w:drawing>
          <wp:inline distT="0" distB="0" distL="114300" distR="114300">
            <wp:extent cx="5269230" cy="3790950"/>
            <wp:effectExtent l="0" t="0" r="7620" b="0"/>
            <wp:docPr id="8" name="图片 3" descr="f3613a24e247281a0923b1847dedc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descr="f3613a24e247281a0923b1847dedcf0"/>
                    <pic:cNvPicPr>
                      <a:picLocks noChangeAspect="1"/>
                    </pic:cNvPicPr>
                  </pic:nvPicPr>
                  <pic:blipFill>
                    <a:blip r:embed="rId8"/>
                    <a:stretch>
                      <a:fillRect/>
                    </a:stretch>
                  </pic:blipFill>
                  <pic:spPr>
                    <a:xfrm>
                      <a:off x="0" y="0"/>
                      <a:ext cx="5269230" cy="3790950"/>
                    </a:xfrm>
                    <a:prstGeom prst="rect">
                      <a:avLst/>
                    </a:prstGeom>
                    <a:noFill/>
                    <a:ln>
                      <a:noFill/>
                    </a:ln>
                  </pic:spPr>
                </pic:pic>
              </a:graphicData>
            </a:graphic>
          </wp:inline>
        </w:drawing>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3.1.1.1数据仓库技术架构</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color w:val="auto"/>
          <w:sz w:val="24"/>
          <w:szCs w:val="24"/>
        </w:rPr>
        <w:t>数据源：</w:t>
      </w:r>
      <w:r>
        <w:rPr>
          <w:rFonts w:hint="eastAsia" w:asciiTheme="minorEastAsia" w:hAnsiTheme="minorEastAsia" w:eastAsiaTheme="minorEastAsia" w:cstheme="minorEastAsia"/>
          <w:color w:val="auto"/>
          <w:sz w:val="24"/>
          <w:szCs w:val="24"/>
        </w:rPr>
        <w:t>包含省内数据、省外数据、外部门数据和其他数据。省内数据包含核心征管、电子底账、防伪税控等省内的数据；省外数据包含核心征管、电子底账、防伪税控等省外的数据或总局清分到省局的数据；外部门数据包含工商、社保、公安等外部交换数据；其他数据包括未来省局自建的特色软件系统等。整体数据范围覆盖了支撑全电发票所需数据和未来省局数据汇聚区全部数据。</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color w:val="auto"/>
          <w:sz w:val="24"/>
          <w:szCs w:val="24"/>
        </w:rPr>
        <w:t>同构区：</w:t>
      </w:r>
      <w:r>
        <w:rPr>
          <w:rFonts w:hint="eastAsia" w:asciiTheme="minorEastAsia" w:hAnsiTheme="minorEastAsia" w:eastAsiaTheme="minorEastAsia" w:cstheme="minorEastAsia"/>
          <w:color w:val="auto"/>
          <w:sz w:val="24"/>
          <w:szCs w:val="24"/>
        </w:rPr>
        <w:t>采用贴源设计，与源系统模型一致，额外增加一些时间戳等技术字段，存放全量数据。</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color w:val="auto"/>
          <w:sz w:val="24"/>
          <w:szCs w:val="24"/>
        </w:rPr>
        <w:t>明细汇聚：</w:t>
      </w:r>
      <w:r>
        <w:rPr>
          <w:rFonts w:hint="eastAsia" w:asciiTheme="minorEastAsia" w:hAnsiTheme="minorEastAsia" w:eastAsiaTheme="minorEastAsia" w:cstheme="minorEastAsia"/>
          <w:color w:val="auto"/>
          <w:sz w:val="24"/>
          <w:szCs w:val="24"/>
        </w:rPr>
        <w:t>进行业务匹配、业务转换、业务清洗、信息聚合，实现业务版本的整合，行列转换，业务基础属性扩展，业务数据的重组等，形成汇聚明细数据。提供基础的、通用的、规范的、统一的、稳定的汇聚明细数据。</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color w:val="000000"/>
          <w:sz w:val="24"/>
          <w:szCs w:val="24"/>
        </w:rPr>
        <w:t>汇聚宽表：</w:t>
      </w:r>
      <w:r>
        <w:rPr>
          <w:rFonts w:hint="eastAsia" w:asciiTheme="minorEastAsia" w:hAnsiTheme="minorEastAsia" w:eastAsiaTheme="minorEastAsia" w:cstheme="minorEastAsia"/>
          <w:sz w:val="24"/>
          <w:szCs w:val="24"/>
        </w:rPr>
        <w:t>对明细汇聚数据按维度进行</w:t>
      </w:r>
      <w:r>
        <w:rPr>
          <w:rFonts w:hint="eastAsia" w:asciiTheme="minorEastAsia" w:hAnsiTheme="minorEastAsia" w:eastAsiaTheme="minorEastAsia" w:cstheme="minorEastAsia"/>
          <w:b/>
          <w:sz w:val="24"/>
          <w:szCs w:val="24"/>
        </w:rPr>
        <w:t>小颗粒度汇总，即按照纳税人维度</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b/>
          <w:sz w:val="24"/>
          <w:szCs w:val="24"/>
        </w:rPr>
        <w:t>时间</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b/>
          <w:sz w:val="24"/>
          <w:szCs w:val="24"/>
        </w:rPr>
        <w:t>业务发生日期</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b/>
          <w:sz w:val="24"/>
          <w:szCs w:val="24"/>
        </w:rPr>
        <w:t>维度</w:t>
      </w:r>
      <w:r>
        <w:rPr>
          <w:rFonts w:hint="eastAsia" w:asciiTheme="minorEastAsia" w:hAnsiTheme="minorEastAsia" w:eastAsiaTheme="minorEastAsia" w:cstheme="minorEastAsia"/>
          <w:sz w:val="24"/>
          <w:szCs w:val="24"/>
        </w:rPr>
        <w:t>等进行</w:t>
      </w:r>
      <w:r>
        <w:rPr>
          <w:rFonts w:hint="eastAsia" w:asciiTheme="minorEastAsia" w:hAnsiTheme="minorEastAsia" w:eastAsiaTheme="minorEastAsia" w:cstheme="minorEastAsia"/>
          <w:b/>
          <w:sz w:val="24"/>
          <w:szCs w:val="24"/>
        </w:rPr>
        <w:t>分组聚合，</w:t>
      </w:r>
      <w:r>
        <w:rPr>
          <w:rFonts w:hint="eastAsia" w:asciiTheme="minorEastAsia" w:hAnsiTheme="minorEastAsia" w:eastAsiaTheme="minorEastAsia" w:cstheme="minorEastAsia"/>
          <w:sz w:val="24"/>
          <w:szCs w:val="24"/>
        </w:rPr>
        <w:t>形成有时间拉链的当</w:t>
      </w:r>
      <w:r>
        <w:rPr>
          <w:rFonts w:hint="eastAsia" w:asciiTheme="minorEastAsia" w:hAnsiTheme="minorEastAsia" w:eastAsiaTheme="minorEastAsia" w:cstheme="minorEastAsia"/>
          <w:b/>
          <w:sz w:val="24"/>
          <w:szCs w:val="24"/>
        </w:rPr>
        <w:t>前、历史汇聚宽表</w:t>
      </w:r>
      <w:r>
        <w:rPr>
          <w:rFonts w:hint="eastAsia" w:asciiTheme="minorEastAsia" w:hAnsiTheme="minorEastAsia" w:eastAsiaTheme="minorEastAsia" w:cstheme="minorEastAsia"/>
          <w:color w:val="000000"/>
          <w:sz w:val="24"/>
          <w:szCs w:val="24"/>
        </w:rPr>
        <w:t>，实现数据分类管理。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数据提供方式包括</w:t>
      </w:r>
      <w:r>
        <w:rPr>
          <w:rFonts w:hint="eastAsia" w:asciiTheme="minorEastAsia" w:hAnsiTheme="minorEastAsia" w:eastAsiaTheme="minorEastAsia" w:cstheme="minorEastAsia"/>
          <w:b/>
          <w:bCs/>
          <w:color w:val="auto"/>
          <w:sz w:val="24"/>
          <w:szCs w:val="24"/>
        </w:rPr>
        <w:t>实时</w:t>
      </w:r>
      <w:r>
        <w:rPr>
          <w:rFonts w:hint="eastAsia" w:asciiTheme="minorEastAsia" w:hAnsiTheme="minorEastAsia" w:eastAsiaTheme="minorEastAsia" w:cstheme="minorEastAsia"/>
          <w:color w:val="auto"/>
          <w:sz w:val="24"/>
          <w:szCs w:val="24"/>
        </w:rPr>
        <w:t>和</w:t>
      </w:r>
      <w:r>
        <w:rPr>
          <w:rFonts w:hint="eastAsia" w:asciiTheme="minorEastAsia" w:hAnsiTheme="minorEastAsia" w:eastAsiaTheme="minorEastAsia" w:cstheme="minorEastAsia"/>
          <w:b/>
          <w:bCs/>
          <w:color w:val="auto"/>
          <w:sz w:val="24"/>
          <w:szCs w:val="24"/>
        </w:rPr>
        <w:t>定时、全量、增量</w:t>
      </w:r>
      <w:r>
        <w:rPr>
          <w:rFonts w:hint="eastAsia" w:asciiTheme="minorEastAsia" w:hAnsiTheme="minorEastAsia" w:eastAsiaTheme="minorEastAsia" w:cstheme="minorEastAsia"/>
          <w:color w:val="auto"/>
          <w:sz w:val="24"/>
          <w:szCs w:val="24"/>
        </w:rPr>
        <w:t>服务，明细数据和宽表数据汇聚可提供实时服务和离线服务</w:t>
      </w:r>
      <w:r>
        <w:rPr>
          <w:rFonts w:hint="eastAsia" w:asciiTheme="minorEastAsia" w:hAnsiTheme="minorEastAsia" w:eastAsiaTheme="minorEastAsia" w:cstheme="minorEastAsia"/>
          <w:color w:val="auto"/>
          <w:sz w:val="24"/>
          <w:szCs w:val="24"/>
          <w:lang w:eastAsia="zh-CN"/>
        </w:rPr>
        <w:t>。</w:t>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3.1.1.2数据仓库层级设计</w:t>
      </w:r>
    </w:p>
    <w:p>
      <w:pPr>
        <w:suppressAutoHyphens/>
        <w:kinsoku/>
        <w:wordWrap/>
        <w:topLinePunct w:val="0"/>
        <w:bidi w:val="0"/>
        <w:spacing w:line="360" w:lineRule="auto"/>
        <w:ind w:left="0" w:leftChars="0" w:firstLine="640"/>
        <w:rPr>
          <w:rFonts w:hint="eastAsia" w:asciiTheme="minorEastAsia" w:hAnsiTheme="minorEastAsia" w:eastAsiaTheme="minorEastAsia" w:cstheme="minorEastAsia"/>
          <w:b/>
          <w:color w:val="auto"/>
          <w:kern w:val="44"/>
          <w:sz w:val="24"/>
          <w:szCs w:val="24"/>
        </w:rPr>
      </w:pPr>
      <w:r>
        <w:rPr>
          <w:rFonts w:hint="eastAsia" w:asciiTheme="minorEastAsia" w:hAnsiTheme="minorEastAsia" w:eastAsiaTheme="minorEastAsia" w:cstheme="minorEastAsia"/>
          <w:b/>
          <w:color w:val="auto"/>
          <w:kern w:val="44"/>
          <w:sz w:val="24"/>
          <w:szCs w:val="24"/>
        </w:rPr>
        <w:t>一、ODS(贴源层)</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kern w:val="2"/>
          <w:sz w:val="24"/>
          <w:szCs w:val="24"/>
          <w:lang w:val="en-US" w:eastAsia="zh-CN" w:bidi="ar-SA"/>
        </w:rPr>
        <w:t>即这里存放的数据与原系统保持一致。将采集公司所有的系统产生的数据及外部数据，将所有采集的数据汇总到一起，供DW和DM使用；</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定位：</w:t>
      </w:r>
      <w:r>
        <w:rPr>
          <w:rFonts w:hint="eastAsia" w:asciiTheme="minorEastAsia" w:hAnsiTheme="minorEastAsia" w:eastAsiaTheme="minorEastAsia" w:cstheme="minorEastAsia"/>
          <w:color w:val="auto"/>
          <w:kern w:val="2"/>
          <w:sz w:val="24"/>
          <w:szCs w:val="24"/>
          <w:lang w:val="en-US" w:eastAsia="zh-CN" w:bidi="ar-SA"/>
        </w:rPr>
        <w:t>提供统一的数据扎口，保持数据的全面性、原始性，支持数据问题的定位与溯源。</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auto"/>
          <w:kern w:val="2"/>
          <w:sz w:val="24"/>
          <w:szCs w:val="24"/>
          <w:lang w:val="en-US" w:eastAsia="zh-CN" w:bidi="ar-SA"/>
        </w:rPr>
        <w:t>作用：</w:t>
      </w:r>
      <w:r>
        <w:rPr>
          <w:rFonts w:hint="eastAsia" w:asciiTheme="minorEastAsia" w:hAnsiTheme="minorEastAsia" w:eastAsiaTheme="minorEastAsia" w:cstheme="minorEastAsia"/>
          <w:color w:val="auto"/>
          <w:kern w:val="2"/>
          <w:sz w:val="24"/>
          <w:szCs w:val="24"/>
          <w:lang w:val="en-US" w:eastAsia="zh-CN" w:bidi="ar-SA"/>
        </w:rPr>
        <w:t>提供全量、与生产系统保持一致的数据</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auto"/>
          <w:kern w:val="2"/>
          <w:sz w:val="24"/>
          <w:szCs w:val="24"/>
          <w:lang w:val="en-US" w:eastAsia="zh-CN" w:bidi="ar-SA"/>
        </w:rPr>
        <w:t>建模方式：</w:t>
      </w:r>
      <w:r>
        <w:rPr>
          <w:rFonts w:hint="eastAsia" w:asciiTheme="minorEastAsia" w:hAnsiTheme="minorEastAsia" w:eastAsiaTheme="minorEastAsia" w:cstheme="minorEastAsia"/>
          <w:color w:val="auto"/>
          <w:kern w:val="2"/>
          <w:sz w:val="24"/>
          <w:szCs w:val="24"/>
          <w:lang w:val="en-US" w:eastAsia="zh-CN" w:bidi="ar-SA"/>
        </w:rPr>
        <w:t>从生产交易系统增量抽取，全量存储，数据不做清洗、转换与业务系统数据模型保持一致、  按业务系统划分。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二、DW(主题模型层)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这一层也可以分为两个，即主题模型层与共性加工层。其中主题模型层将从ODS层不同表的字段进行分类，同一主题的字段都归为一类；共性加工层是加工一些共性的指标，指标从ODS或者主题模型层的字段加工来，这层主要供集市层使用。包括明细汇聚、低阶、高阶汇总。</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auto"/>
          <w:kern w:val="2"/>
          <w:sz w:val="24"/>
          <w:szCs w:val="24"/>
          <w:lang w:val="en-US" w:eastAsia="zh-CN" w:bidi="ar-SA"/>
        </w:rPr>
        <w:t>1、明细汇聚：</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color w:val="auto"/>
          <w:kern w:val="2"/>
          <w:sz w:val="24"/>
          <w:szCs w:val="24"/>
          <w:lang w:val="en-US" w:eastAsia="zh-CN" w:bidi="ar-SA"/>
        </w:rPr>
        <w:t>对原始的明细数据进行归集，包括业务转换、业务清洗、业务整合、业务重组等明细数据归集</w:t>
      </w:r>
      <w:r>
        <w:rPr>
          <w:rFonts w:hint="eastAsia" w:asciiTheme="minorEastAsia" w:hAnsiTheme="minorEastAsia" w:eastAsiaTheme="minorEastAsia" w:cstheme="minorEastAsia"/>
          <w:color w:val="auto"/>
          <w:kern w:val="2"/>
          <w:sz w:val="24"/>
          <w:szCs w:val="24"/>
          <w:lang w:val="en-US" w:eastAsia="zh-CN" w:bidi="ar-SA"/>
        </w:rPr>
        <w:tab/>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auto"/>
          <w:kern w:val="2"/>
          <w:sz w:val="24"/>
          <w:szCs w:val="24"/>
          <w:lang w:val="en-US" w:eastAsia="zh-CN" w:bidi="ar-SA"/>
        </w:rPr>
        <w:t>定位：</w:t>
      </w:r>
      <w:r>
        <w:rPr>
          <w:rFonts w:hint="eastAsia" w:asciiTheme="minorEastAsia" w:hAnsiTheme="minorEastAsia" w:eastAsiaTheme="minorEastAsia" w:cstheme="minorEastAsia"/>
          <w:color w:val="auto"/>
          <w:kern w:val="2"/>
          <w:sz w:val="24"/>
          <w:szCs w:val="24"/>
          <w:lang w:val="en-US" w:eastAsia="zh-CN" w:bidi="ar-SA"/>
        </w:rPr>
        <w:t>保留源系统的所有原始信息，其中交易序号、表单序号、凭证序号等交易类序号用于数据可追溯，保证数据一致性。</w:t>
      </w:r>
      <w:r>
        <w:rPr>
          <w:rFonts w:hint="eastAsia" w:asciiTheme="minorEastAsia" w:hAnsiTheme="minorEastAsia" w:eastAsiaTheme="minorEastAsia" w:cstheme="minorEastAsia"/>
          <w:sz w:val="24"/>
          <w:szCs w:val="24"/>
        </w:rPr>
        <w:tab/>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auto"/>
          <w:kern w:val="2"/>
          <w:sz w:val="24"/>
          <w:szCs w:val="24"/>
          <w:lang w:val="en-US" w:eastAsia="zh-CN" w:bidi="ar-SA"/>
        </w:rPr>
        <w:t>作用：</w:t>
      </w:r>
      <w:r>
        <w:rPr>
          <w:rFonts w:hint="eastAsia" w:asciiTheme="minorEastAsia" w:hAnsiTheme="minorEastAsia" w:eastAsiaTheme="minorEastAsia" w:cstheme="minorEastAsia"/>
          <w:color w:val="auto"/>
          <w:kern w:val="2"/>
          <w:sz w:val="24"/>
          <w:szCs w:val="24"/>
          <w:lang w:val="en-US" w:eastAsia="zh-CN" w:bidi="ar-SA"/>
        </w:rPr>
        <w:t>提供基础的、公共的、规范的、统一的、稳定的汇聚明细数据。</w:t>
      </w:r>
      <w:r>
        <w:rPr>
          <w:rFonts w:hint="eastAsia" w:asciiTheme="minorEastAsia" w:hAnsiTheme="minorEastAsia" w:eastAsiaTheme="minorEastAsia" w:cstheme="minorEastAsia"/>
          <w:sz w:val="24"/>
          <w:szCs w:val="24"/>
        </w:rPr>
        <w:tab/>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auto"/>
          <w:kern w:val="2"/>
          <w:sz w:val="24"/>
          <w:szCs w:val="24"/>
          <w:lang w:val="en-US" w:eastAsia="zh-CN" w:bidi="ar-SA"/>
        </w:rPr>
        <w:t>建模方式：</w:t>
      </w:r>
      <w:r>
        <w:rPr>
          <w:rFonts w:hint="eastAsia" w:asciiTheme="minorEastAsia" w:hAnsiTheme="minorEastAsia" w:eastAsiaTheme="minorEastAsia" w:cstheme="minorEastAsia"/>
          <w:color w:val="auto"/>
          <w:kern w:val="2"/>
          <w:sz w:val="24"/>
          <w:szCs w:val="24"/>
          <w:lang w:val="en-US" w:eastAsia="zh-CN" w:bidi="ar-SA"/>
        </w:rPr>
        <w:t>增加事实标签，采用反范式设计、合并信息等建模。</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2、低价汇总：</w:t>
      </w:r>
      <w:r>
        <w:rPr>
          <w:rFonts w:hint="eastAsia" w:asciiTheme="minorEastAsia" w:hAnsiTheme="minorEastAsia" w:eastAsiaTheme="minorEastAsia" w:cstheme="minorEastAsia"/>
          <w:color w:val="auto"/>
          <w:kern w:val="2"/>
          <w:sz w:val="24"/>
          <w:szCs w:val="24"/>
          <w:lang w:val="en-US" w:eastAsia="zh-CN" w:bidi="ar-SA"/>
        </w:rPr>
        <w:t>对明细数据按维度进行低颗粒度汇总，即按照纳税人维度、案件、发票代码等进行分组聚合</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定位：</w:t>
      </w:r>
      <w:r>
        <w:rPr>
          <w:rFonts w:hint="eastAsia" w:asciiTheme="minorEastAsia" w:hAnsiTheme="minorEastAsia" w:eastAsiaTheme="minorEastAsia" w:cstheme="minorEastAsia"/>
          <w:color w:val="auto"/>
          <w:kern w:val="2"/>
          <w:sz w:val="24"/>
          <w:szCs w:val="24"/>
          <w:lang w:val="en-US" w:eastAsia="zh-CN" w:bidi="ar-SA"/>
        </w:rPr>
        <w:t>保留了登记序号、案件编号、发票代码等低颗粒度，去掉了代表交易的序号退化维度</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auto"/>
          <w:kern w:val="2"/>
          <w:sz w:val="24"/>
          <w:szCs w:val="24"/>
          <w:lang w:val="en-US" w:eastAsia="zh-CN" w:bidi="ar-SA"/>
        </w:rPr>
        <w:t>作用：</w:t>
      </w:r>
      <w:r>
        <w:rPr>
          <w:rFonts w:hint="eastAsia" w:asciiTheme="minorEastAsia" w:hAnsiTheme="minorEastAsia" w:eastAsiaTheme="minorEastAsia" w:cstheme="minorEastAsia"/>
          <w:color w:val="auto"/>
          <w:kern w:val="2"/>
          <w:sz w:val="24"/>
          <w:szCs w:val="24"/>
          <w:lang w:val="en-US" w:eastAsia="zh-CN" w:bidi="ar-SA"/>
        </w:rPr>
        <w:t>提供基础的、公共的、规范的、统一的、稳定的、有时间拉链的低阶/高阶汇聚宽表，实现数据分类管理。</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auto"/>
          <w:kern w:val="2"/>
          <w:sz w:val="24"/>
          <w:szCs w:val="24"/>
          <w:lang w:val="en-US" w:eastAsia="zh-CN" w:bidi="ar-SA"/>
        </w:rPr>
        <w:t>建模方式：</w:t>
      </w:r>
      <w:r>
        <w:rPr>
          <w:rFonts w:hint="eastAsia" w:asciiTheme="minorEastAsia" w:hAnsiTheme="minorEastAsia" w:eastAsiaTheme="minorEastAsia" w:cstheme="minorEastAsia"/>
          <w:color w:val="auto"/>
          <w:kern w:val="2"/>
          <w:sz w:val="24"/>
          <w:szCs w:val="24"/>
          <w:lang w:val="en-US" w:eastAsia="zh-CN" w:bidi="ar-SA"/>
        </w:rPr>
        <w:t>1）、采用面向主题设计、维度标签设计、宽表设计等。 2）、聚合、汇总增加派生事实标签、公共标签。</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3、高阶汇总：</w:t>
      </w:r>
      <w:r>
        <w:rPr>
          <w:rFonts w:hint="eastAsia" w:asciiTheme="minorEastAsia" w:hAnsiTheme="minorEastAsia" w:eastAsiaTheme="minorEastAsia" w:cstheme="minorEastAsia"/>
          <w:color w:val="auto"/>
          <w:kern w:val="2"/>
          <w:sz w:val="24"/>
          <w:szCs w:val="24"/>
          <w:lang w:val="en-US" w:eastAsia="zh-CN" w:bidi="ar-SA"/>
        </w:rPr>
        <w:t>按维度进行高颗粒度汇总，即按照产业、税务机关等进行分组聚合。</w:t>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auto"/>
          <w:kern w:val="2"/>
          <w:sz w:val="24"/>
          <w:szCs w:val="24"/>
          <w:lang w:val="en-US" w:eastAsia="zh-CN" w:bidi="ar-SA"/>
        </w:rPr>
        <w:t>定位：</w:t>
      </w:r>
      <w:r>
        <w:rPr>
          <w:rFonts w:hint="eastAsia" w:asciiTheme="minorEastAsia" w:hAnsiTheme="minorEastAsia" w:eastAsiaTheme="minorEastAsia" w:cstheme="minorEastAsia"/>
          <w:color w:val="auto"/>
          <w:kern w:val="2"/>
          <w:sz w:val="24"/>
          <w:szCs w:val="24"/>
          <w:lang w:val="en-US" w:eastAsia="zh-CN" w:bidi="ar-SA"/>
        </w:rPr>
        <w:t>保留了产业、税务机关等高颗粒度，去掉了登记序号、案件编号、发票代码等低颗粒度，模型按需设计</w:t>
      </w:r>
      <w:r>
        <w:rPr>
          <w:rFonts w:hint="eastAsia" w:asciiTheme="minorEastAsia" w:hAnsiTheme="minorEastAsia" w:eastAsiaTheme="minorEastAsia" w:cstheme="minorEastAsia"/>
          <w:sz w:val="24"/>
          <w:szCs w:val="24"/>
        </w:rPr>
        <w:tab/>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auto"/>
          <w:kern w:val="2"/>
          <w:sz w:val="24"/>
          <w:szCs w:val="24"/>
          <w:lang w:val="en-US" w:eastAsia="zh-CN" w:bidi="ar-SA"/>
        </w:rPr>
        <w:t>作用：</w:t>
      </w:r>
      <w:r>
        <w:rPr>
          <w:rFonts w:hint="eastAsia" w:asciiTheme="minorEastAsia" w:hAnsiTheme="minorEastAsia" w:eastAsiaTheme="minorEastAsia" w:cstheme="minorEastAsia"/>
          <w:color w:val="auto"/>
          <w:kern w:val="2"/>
          <w:sz w:val="24"/>
          <w:szCs w:val="24"/>
          <w:lang w:val="en-US" w:eastAsia="zh-CN" w:bidi="ar-SA"/>
        </w:rPr>
        <w:t>提供基础的、公共的、规范的、统一的、稳定的、有时间拉链的低阶/高阶汇聚宽表，实现数据分类管理。</w:t>
      </w:r>
      <w:r>
        <w:rPr>
          <w:rFonts w:hint="eastAsia" w:asciiTheme="minorEastAsia" w:hAnsiTheme="minorEastAsia" w:eastAsiaTheme="minorEastAsia" w:cstheme="minorEastAsia"/>
          <w:sz w:val="24"/>
          <w:szCs w:val="24"/>
        </w:rPr>
        <w:tab/>
      </w:r>
    </w:p>
    <w:p>
      <w:pPr>
        <w:suppressAutoHyphens/>
        <w:kinsoku/>
        <w:wordWrap/>
        <w:topLinePunct w:val="0"/>
        <w:bidi w:val="0"/>
        <w:spacing w:line="360" w:lineRule="auto"/>
        <w:ind w:left="0" w:leftChars="0" w:firstLine="482"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auto"/>
          <w:kern w:val="2"/>
          <w:sz w:val="24"/>
          <w:szCs w:val="24"/>
          <w:lang w:val="en-US" w:eastAsia="zh-CN" w:bidi="ar-SA"/>
        </w:rPr>
        <w:t>建模方式：</w:t>
      </w:r>
      <w:r>
        <w:rPr>
          <w:rFonts w:hint="eastAsia" w:asciiTheme="minorEastAsia" w:hAnsiTheme="minorEastAsia" w:eastAsiaTheme="minorEastAsia" w:cstheme="minorEastAsia"/>
          <w:color w:val="auto"/>
          <w:kern w:val="2"/>
          <w:sz w:val="24"/>
          <w:szCs w:val="24"/>
          <w:lang w:val="en-US" w:eastAsia="zh-CN" w:bidi="ar-SA"/>
        </w:rPr>
        <w:t xml:space="preserve"> 1、采用面向主题设计、维度标签设计、宽表设计等。</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三、DM(数据集市层)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这一层是将业务部门所关注的指标进行汇总，不同的业务部门可以形成不同的集市，具体情况可以视情况而定；集市层的架构主要分为：基础层和汇总层。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定位：</w:t>
      </w:r>
      <w:r>
        <w:rPr>
          <w:rFonts w:hint="eastAsia" w:asciiTheme="minorEastAsia" w:hAnsiTheme="minorEastAsia" w:eastAsiaTheme="minorEastAsia" w:cstheme="minorEastAsia"/>
          <w:color w:val="auto"/>
          <w:kern w:val="2"/>
          <w:sz w:val="24"/>
          <w:szCs w:val="24"/>
          <w:lang w:val="en-US" w:eastAsia="zh-CN" w:bidi="ar-SA"/>
        </w:rPr>
        <w:t>具有不稳定的特性，随着应用需求的改变而改变。</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作用：</w:t>
      </w:r>
      <w:r>
        <w:rPr>
          <w:rFonts w:hint="eastAsia" w:asciiTheme="minorEastAsia" w:hAnsiTheme="minorEastAsia" w:eastAsiaTheme="minorEastAsia" w:cstheme="minorEastAsia"/>
          <w:color w:val="auto"/>
          <w:kern w:val="2"/>
          <w:sz w:val="24"/>
          <w:szCs w:val="24"/>
          <w:lang w:val="en-US" w:eastAsia="zh-CN" w:bidi="ar-SA"/>
        </w:rPr>
        <w:t>按照特定的业务需求，在数据仓库数据模型的基础上经过进一步加工得到，是应用系统专有的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建模方式基于业务需求，采用维度建模设计。</w:t>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3.1.1.3数据仓库设计优点</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1.解耦，降低出问题的风险，方便问题定位。</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2.各层干各层该干的事，使用者根据层名以及对应的需求便可找到所需的数据。</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3.数据流向规范，避免循环依赖的发生。</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4.统计计算口径，减少重复开发。</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5.将问题拆分，放到各层去解决，将复杂问题简单化，每一层都产出不同的数据，有助于数据分析。</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6.基于数据应用需求构建DW0、DW2层，实现税务机关、纳税人多维度的数据模型。</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7.充分考虑现有共享数据需求、外部交换、特色数据、互联网数据的存储和汇聚。</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8.形成有利于数据治理的税务数据汇聚中心，对接决策二包、督察内审、税收大数据分析监控平台、省市个性化应用的等数据类应用。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9.放弃原有的数据异步同步机制（T+1）DB Link方式，采用OGG同构同步，保证ODS层数据支持实时更新查询。</w:t>
      </w:r>
    </w:p>
    <w:p>
      <w:pPr>
        <w:keepNext/>
        <w:keepLines/>
        <w:widowControl w:val="0"/>
        <w:numPr>
          <w:ilvl w:val="2"/>
          <w:numId w:val="0"/>
        </w:numPr>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3.1.2数据抽取清洗、加工需求</w:t>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3.1.2.1数据抽取业务</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按照约定的数据规范及格式，将税务核心征管数据通过OGG链路完整实时同步到决策一包同构区ODS层，使接收到的表结构与数据完全一致，提供给后续开发DM与DW层使用。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按照约定的数据规范及格式，采用OGG链路的方式抽取数据也可进行批量处理。</w:t>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3.1.2.2数据清洗业务</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对每个字段都计算其缺失值比例，然后按照缺失比例和字段重要性，分别制定策略。</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某些缺失值可以进行填充，方法有以下三种：</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以业务知识或经验推测填充缺失值；</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以同一指标的计算结果（均值、中位数、众数等）填充缺失值；</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以不同指标的计算结果填充缺失值；</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如果某些指标非常重要又缺失率高，那就需要和取数人员或业务人员了解，是否有其他渠道可以取到相关数据。</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同时去掉一些使用简单逻辑推理就可以直接发现问题的数据，防止分析结果走偏。主要包含以下几个步骤：去重、去除不合理值、修正矛盾内容。</w:t>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3.1.2.3数据加工业务</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定期定时对同构区贴源表清洗后的数据按照业务口径进行数据加工处理，形成主题模型层中间表。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定期定时对主题模型层中间表按照业务口径进行数据加工处理，形成集市结果表。</w:t>
      </w:r>
    </w:p>
    <w:p>
      <w:pPr>
        <w:keepNext/>
        <w:keepLines/>
        <w:widowControl w:val="0"/>
        <w:numPr>
          <w:ilvl w:val="2"/>
          <w:numId w:val="0"/>
        </w:numPr>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3.1.3业务功能需求</w:t>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3.1.3.1数据分析子系统功能需求</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3.1.3.1.1会计核算账簿数据与核心征管原始数据比对情况统计表（会统口径）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以会计结账日期为节点，比对多缴、待征、减免、待解、在途科目会计账簿核算数据与金税三期决策1包同构区核心征管源数据，将比对不一致的数据按税务机关进行汇总统计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1、会计账簿数据以各月会统报表数据为准。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2、金税三期决策1包同构区核心征管源数据取数口径应与会计记账口径一致。</w:t>
      </w:r>
    </w:p>
    <w:p>
      <w:pPr>
        <w:keepNext/>
        <w:keepLines/>
        <w:widowControl w:val="0"/>
        <w:numPr>
          <w:ilvl w:val="0"/>
          <w:numId w:val="0"/>
        </w:numPr>
        <w:suppressAutoHyphens/>
        <w:kinsoku/>
        <w:wordWrap/>
        <w:topLinePunct w:val="0"/>
        <w:bidi w:val="0"/>
        <w:spacing w:before="0" w:after="0" w:line="360" w:lineRule="auto"/>
        <w:ind w:left="0" w:leftChars="0" w:firstLine="0" w:firstLine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0"/>
          <w:numId w:val="0"/>
        </w:numPr>
        <w:suppressAutoHyphens/>
        <w:kinsoku/>
        <w:wordWrap/>
        <w:topLinePunct w:val="0"/>
        <w:bidi w:val="0"/>
        <w:spacing w:before="0" w:after="0" w:line="360" w:lineRule="auto"/>
        <w:ind w:left="0" w:leftChars="0" w:firstLine="0" w:firstLine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3.1.3.1.1.2数据来源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0"/>
          <w:numId w:val="0"/>
        </w:numPr>
        <w:suppressAutoHyphens/>
        <w:kinsoku/>
        <w:wordWrap/>
        <w:topLinePunct w:val="0"/>
        <w:bidi w:val="0"/>
        <w:spacing w:before="0" w:after="0" w:line="360" w:lineRule="auto"/>
        <w:ind w:left="0" w:leftChars="0" w:firstLine="0" w:firstLine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DJSJHS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多缴税金比对不符（户数）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DZSJHS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待征税金比对不符（户数）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JMSJHS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减免税金比对不符（户数）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DJSJHS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待解税金比对不符（户数）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ZTSJHS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在途税金比对不符（户数）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3.1.3.1.2多缴税金差异明细表（会统口径）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多缴税金差异明细表统计的是会统报表与金税三期决策1包同构区核心征管数据按会统口径重新汇总后差异部分的数据，通过差异数据，筛选出问题数据进行整改。</w:t>
      </w:r>
      <w:r>
        <w:rPr>
          <w:rFonts w:hint="eastAsia" w:asciiTheme="minorEastAsia" w:hAnsiTheme="minorEastAsia" w:eastAsiaTheme="minorEastAsia" w:cstheme="minorEastAsia"/>
          <w:color w:val="auto"/>
          <w:kern w:val="2"/>
          <w:sz w:val="24"/>
          <w:szCs w:val="24"/>
          <w:lang w:val="en-US" w:eastAsia="zh-CN" w:bidi="ar-SA"/>
        </w:rPr>
        <w:tab/>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多缴税金差异明细表是会计核算账簿数据与金税三期决策1包同构区核心征管原始数据比对情况统计表（会统口径）的清册表。</w:t>
      </w:r>
    </w:p>
    <w:p>
      <w:pPr>
        <w:keepNext/>
        <w:keepLines/>
        <w:widowControl w:val="0"/>
        <w:numPr>
          <w:ilvl w:val="0"/>
          <w:numId w:val="0"/>
        </w:numPr>
        <w:suppressAutoHyphens/>
        <w:kinsoku/>
        <w:wordWrap/>
        <w:topLinePunct w:val="0"/>
        <w:bidi w:val="0"/>
        <w:spacing w:before="0" w:after="0" w:line="360" w:lineRule="auto"/>
        <w:ind w:left="0" w:leftChars="0" w:firstLine="0" w:firstLine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0"/>
          <w:numId w:val="0"/>
        </w:numPr>
        <w:suppressAutoHyphens/>
        <w:kinsoku/>
        <w:wordWrap/>
        <w:topLinePunct w:val="0"/>
        <w:bidi w:val="0"/>
        <w:spacing w:before="0" w:after="0" w:line="360" w:lineRule="auto"/>
        <w:ind w:left="0" w:leftChars="0" w:firstLine="0" w:firstLine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3.1.3.1.2.2数据来源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0"/>
          <w:numId w:val="0"/>
        </w:numPr>
        <w:suppressAutoHyphens/>
        <w:kinsoku/>
        <w:wordWrap/>
        <w:topLinePunct w:val="0"/>
        <w:bidi w:val="0"/>
        <w:spacing w:before="0" w:after="0" w:line="360" w:lineRule="auto"/>
        <w:ind w:left="0" w:leftChars="0" w:firstLine="0" w:firstLine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DJSJHS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多缴税金比对不符（户数）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DZSJHS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待征税金比对不符（户数）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JMSJHS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减免税金比对不符（户数）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DJSJHS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待解税金比对不符（户数）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ZTSJHS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在途税金比对不符（户数）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3.1.3.1.3待征税金差异明细表(会统口径)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待征税金差异明细表统计的是会统报表与金税三期决策1包同构区核心征管数据按会统口径重新汇总后差异部分的数据，通过差异数据，筛选出问题数据进行整改。</w:t>
      </w:r>
      <w:r>
        <w:rPr>
          <w:rFonts w:hint="eastAsia" w:asciiTheme="minorEastAsia" w:hAnsiTheme="minorEastAsia" w:eastAsiaTheme="minorEastAsia" w:cstheme="minorEastAsia"/>
          <w:color w:val="auto"/>
          <w:kern w:val="2"/>
          <w:sz w:val="24"/>
          <w:szCs w:val="24"/>
          <w:lang w:val="en-US" w:eastAsia="zh-CN" w:bidi="ar-SA"/>
        </w:rPr>
        <w:tab/>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待征税金差异明细表是会计核算账簿数据与金税三期决策1包同构区核心征管原始数据比对情况统计表（会统口径）的清册表。</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3.1.3.1.3.1使用层级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3.1.3.1.3.2数据来源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3.1.3.1.3.3集市表结构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HXZGJE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核心征管金额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3.1.3.1.4减免税金差异明细表（会统口径）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减免税金差异明细表统计的是会统报表与金税三期决策1包同构区核心征管数据按会统口径重新汇总后差异部分的数据，通过差异数据，筛选出问题数据进行整改。</w:t>
      </w:r>
      <w:r>
        <w:rPr>
          <w:rFonts w:hint="eastAsia" w:asciiTheme="minorEastAsia" w:hAnsiTheme="minorEastAsia" w:eastAsiaTheme="minorEastAsia" w:cstheme="minorEastAsia"/>
          <w:color w:val="auto"/>
          <w:kern w:val="2"/>
          <w:sz w:val="24"/>
          <w:szCs w:val="24"/>
          <w:lang w:val="en-US" w:eastAsia="zh-CN" w:bidi="ar-SA"/>
        </w:rPr>
        <w:tab/>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减免税金差异明细表是会计核算账簿数据与金税三期决策1包同构区核心征管原始数据比对情况统计表（会统口径）的清册表。</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3.1.3.1.4.1使用层级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3.1.3.1.4.2数据来源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3.1.3.1.4.3集市表结构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JMXZ_DM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减免性质代码</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VARCHAR2(10)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JMXZMC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减免性质名称</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VARCHAR2(450)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HXZGJE</w:t>
            </w:r>
          </w:p>
        </w:tc>
        <w:tc>
          <w:tcPr>
            <w:tcW w:w="1714"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核心征管金额</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3.1.3.1.5待解税金差异明细表（会统口径）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待解税金差异明细表统计的是会统报表与金税三期决策1包同构区核心征管数据按会统口径重新汇总后差异部分的数据，通过差异数据，筛选出问题数据进行整改。</w:t>
      </w:r>
      <w:r>
        <w:rPr>
          <w:rFonts w:hint="eastAsia" w:asciiTheme="minorEastAsia" w:hAnsiTheme="minorEastAsia" w:eastAsiaTheme="minorEastAsia" w:cstheme="minorEastAsia"/>
          <w:color w:val="auto"/>
          <w:kern w:val="2"/>
          <w:sz w:val="24"/>
          <w:szCs w:val="24"/>
          <w:lang w:val="en-US" w:eastAsia="zh-CN" w:bidi="ar-SA"/>
        </w:rPr>
        <w:tab/>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待解税金差异明细表是会计核算账簿数据与金税三期决策1包同构区核心征管原始数据比对情况统计表（会统口径）的清册表。</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3.1.3.1.5.1使用层级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3.1.3.1.5.2数据来源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3.1.3.1.5.3集市表结构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HXZGJE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核心征管金额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3.1.3.1.6在途税金差异明细表（会统口径）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在途税金差异明细表统计的是会统报表与金税三期决策1包同构区核心征管数据按会统口径重新汇总后差异部分的数据，通过差异数据，筛选出问题数据进行整改。</w:t>
      </w:r>
      <w:r>
        <w:rPr>
          <w:rFonts w:hint="eastAsia" w:asciiTheme="minorEastAsia" w:hAnsiTheme="minorEastAsia" w:eastAsiaTheme="minorEastAsia" w:cstheme="minorEastAsia"/>
          <w:color w:val="auto"/>
          <w:kern w:val="2"/>
          <w:sz w:val="24"/>
          <w:szCs w:val="24"/>
          <w:lang w:val="en-US" w:eastAsia="zh-CN" w:bidi="ar-SA"/>
        </w:rPr>
        <w:tab/>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在途税金差异明细表是会计核算账簿数据与金税三期决策1包同构区核心征管原始数据比对情况统计表（会统口径）的清册表。</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3.1.3.1.6.1使用层级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3.1.3.1.6.2数据来源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3.1.3.1.6.3集市表结构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HXZGJE</w:t>
            </w:r>
          </w:p>
        </w:tc>
        <w:tc>
          <w:tcPr>
            <w:tcW w:w="1714"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核心征管金额</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3.1.3.1.7会计核算账簿数据与核心征管原始数据比对情况统计表（核心口径）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以会计结账日期为节点，比对多缴、待征、减免、待解、在途科目会计账簿核算数据与金税三期决策1包同构区核心征管源数据，将比对不一致的数据按税务机关进行汇总统计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1、会计账簿数据以各月会统报表数据为准。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2、金税三期决策1包同构区核心征管原始数据取数口径与金三系统前台查询统计功能模块查询的结果一致。</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3.1.3.1.7.1使用层级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3.1.3.1.7.2数据来源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3.1.3.1.7.3集市表结构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DJSJHS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多缴税金比对不符（户数）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DZSJHS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待征税金比对不符（户数）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JMSJHS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减免税金比对不符（户数）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DJSJHS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待解税金比对不符（户数）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ZTSJHS</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在途税金比对不符（户数）</w:t>
            </w:r>
          </w:p>
        </w:tc>
        <w:tc>
          <w:tcPr>
            <w:tcW w:w="193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3.1.3.1.8多缴税金差异明细表（核心口径）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多缴税金差异明细表统计的是会统报表与金税三期决策1包同构区核心征管数据按会统口径重新汇总后差异部分的数据，通过差异数据，筛选出问题数据进行整改。</w:t>
      </w:r>
      <w:r>
        <w:rPr>
          <w:rFonts w:hint="eastAsia" w:asciiTheme="minorEastAsia" w:hAnsiTheme="minorEastAsia" w:eastAsiaTheme="minorEastAsia" w:cstheme="minorEastAsia"/>
          <w:color w:val="auto"/>
          <w:kern w:val="2"/>
          <w:sz w:val="24"/>
          <w:szCs w:val="24"/>
          <w:lang w:val="en-US" w:eastAsia="zh-CN" w:bidi="ar-SA"/>
        </w:rPr>
        <w:tab/>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多缴税金差异明细表是会计核算账簿数据与金税三期决策1包同构区核心征管原始数据比对情况统计表（核心口径）的清册表。</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3.1.3.1.8.1使用层级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3.1.3.1.8.2数据来源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3.1.3.1.8.3集市表结构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HXZGJE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核心征管金额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3.1.3.1.9待征税金差异明细表(核心口径)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待征税金差异明细表统计的是会统报表与金税三期决策1包同构区核心征管数据按会统口径重新汇总后差异部分的数据，通过差异数据，筛选出问题数据进行整改。</w:t>
      </w:r>
      <w:r>
        <w:rPr>
          <w:rFonts w:hint="eastAsia" w:asciiTheme="minorEastAsia" w:hAnsiTheme="minorEastAsia" w:eastAsiaTheme="minorEastAsia" w:cstheme="minorEastAsia"/>
          <w:color w:val="auto"/>
          <w:kern w:val="2"/>
          <w:sz w:val="24"/>
          <w:szCs w:val="24"/>
          <w:lang w:val="en-US" w:eastAsia="zh-CN" w:bidi="ar-SA"/>
        </w:rPr>
        <w:tab/>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待征税金差异明细表是会计核算账簿数据与金税三期决策1包同构区核心征管原始数据比对情况统计表（核心口径）的清册表。</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3.1.3.1.9.1使用层级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3.1.3.1.9.2数据来源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3.1.3.1.9.3集市表结构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HXZGJE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核心征管金额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3.1.3.1.10减免税金差异明细表（核心口径）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减免税金差异明细表统计的是会统报表与金税三期决策1包同构区核心征管数据按会统口径重新汇总后差异部分的数据，通过差异数据，筛选出问题数据进行整改。</w:t>
      </w:r>
      <w:r>
        <w:rPr>
          <w:rFonts w:hint="eastAsia" w:asciiTheme="minorEastAsia" w:hAnsiTheme="minorEastAsia" w:eastAsiaTheme="minorEastAsia" w:cstheme="minorEastAsia"/>
          <w:color w:val="auto"/>
          <w:kern w:val="2"/>
          <w:sz w:val="24"/>
          <w:szCs w:val="24"/>
          <w:lang w:val="en-US" w:eastAsia="zh-CN" w:bidi="ar-SA"/>
        </w:rPr>
        <w:tab/>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减免税金差异明细表是会计核算账簿数据与金税三期决策1包同构区核心征管原始数据比对情况统计表（核心口径）的清册表。</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3.1.3.1.10.1使用层级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3.1.3.1.10.2数据来源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3.1.3.1.10.3集市表结构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JMXZ_DM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减免性质代码</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VARCHAR2(10)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JMXZMC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减免性质名称</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VARCHAR2(450)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HXZGJE</w:t>
            </w:r>
          </w:p>
        </w:tc>
        <w:tc>
          <w:tcPr>
            <w:tcW w:w="1714"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核心征管金额</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3.1.3.1.11待解税金差异明细表（核心口径）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待解税金差异明细表统计的是会统报表与金税三期决策1包同构区核心征管数据按会统口径重新汇总后差异部分的数据，通过差异数据，筛选出问题数据进行整改。</w:t>
      </w:r>
      <w:r>
        <w:rPr>
          <w:rFonts w:hint="eastAsia" w:asciiTheme="minorEastAsia" w:hAnsiTheme="minorEastAsia" w:eastAsiaTheme="minorEastAsia" w:cstheme="minorEastAsia"/>
          <w:color w:val="auto"/>
          <w:kern w:val="2"/>
          <w:sz w:val="24"/>
          <w:szCs w:val="24"/>
          <w:lang w:val="en-US" w:eastAsia="zh-CN" w:bidi="ar-SA"/>
        </w:rPr>
        <w:tab/>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待解税金差异明细表是会计核算账簿数据与金税三期决策1包同构区核心征管原始数据比对情况统计表（核心口径）的清册表。</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3.1.3.1.11.1使用层级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3.1.3.1.11.2数据来源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3.1.3.1.11.3集市表结构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HXZGJE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核心征管金额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3.1.3.1.12在途税金差异明细表（核心口径）</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在途税金差异明细表统计的是会统报表与金税三期决策1包同构区核心征管数据按会统口径重新汇总后差异部分的数据，通过差异数据，筛选出问题数据进行整改。</w:t>
      </w:r>
      <w:r>
        <w:rPr>
          <w:rFonts w:hint="eastAsia" w:asciiTheme="minorEastAsia" w:hAnsiTheme="minorEastAsia" w:eastAsiaTheme="minorEastAsia" w:cstheme="minorEastAsia"/>
          <w:color w:val="auto"/>
          <w:kern w:val="2"/>
          <w:sz w:val="24"/>
          <w:szCs w:val="24"/>
          <w:lang w:val="en-US" w:eastAsia="zh-CN" w:bidi="ar-SA"/>
        </w:rPr>
        <w:tab/>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在途税金差异明细表是会计核算账簿数据与金税三期决策1包同构区核心征管原始数据比对情况统计表（核心口径）的清册表。</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3.1.3.1.12.1使用层级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3.1.3.1.12.2数据来源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3.1.3.1.12.3集市表结构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HXZGJE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核心征管金额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3.1.3.1.13会计核算异常数据统计表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对会计账簿核算结果中的异常数据进行监控,发现异常数据及时修正，全面提高核算质量。</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3.1.3.1.13.1使用层级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3.1.3.1.13.2数据来源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3.1.3.1.13.3集市表结构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HSDW_DM</w:t>
            </w:r>
          </w:p>
        </w:tc>
        <w:tc>
          <w:tcPr>
            <w:tcW w:w="1714"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核算单位代码</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HSDWMC</w:t>
            </w:r>
          </w:p>
        </w:tc>
        <w:tc>
          <w:tcPr>
            <w:tcW w:w="1714"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核算单位名称</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VARCHAR2(120)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KJKMHSJGWFS</w:t>
            </w:r>
          </w:p>
        </w:tc>
        <w:tc>
          <w:tcPr>
            <w:tcW w:w="1714"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会计科目核算结果为负数</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TTLXWQT</w:t>
            </w:r>
          </w:p>
        </w:tc>
        <w:tc>
          <w:tcPr>
            <w:tcW w:w="1714"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提退类型为“其他”</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TYDJLXLYCZ</w:t>
            </w:r>
          </w:p>
        </w:tc>
        <w:tc>
          <w:tcPr>
            <w:tcW w:w="1714"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同一多缴连续两月存在</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7"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QSFSQTXFS</w:t>
            </w:r>
          </w:p>
        </w:tc>
        <w:tc>
          <w:tcPr>
            <w:tcW w:w="1714"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欠税分属期体现负数（条数）</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QYSDSYC</w:t>
            </w:r>
          </w:p>
        </w:tc>
        <w:tc>
          <w:tcPr>
            <w:tcW w:w="1714"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企业所得税异常</w:t>
            </w:r>
          </w:p>
        </w:tc>
        <w:tc>
          <w:tcPr>
            <w:tcW w:w="193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3.1.3.1.14会计科目核算结果为负数明细表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对会计账簿多缴税金、待征税金、减免税金、待解税金、在途税金等各个科目核算结果为负数的数据进行监控,发现异常数据及时修正，全面提高核算质量。</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3.1.3.1.14.1使用层级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3.1.3.1.14.2数据来源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3.1.3.1.14.3集市表结构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tcBorders>
              <w:top w:val="single" w:color="auto" w:sz="4" w:space="0"/>
              <w:left w:val="single" w:color="auto" w:sz="4" w:space="0"/>
              <w:bottom w:val="single" w:color="auto" w:sz="4" w:space="0"/>
              <w:right w:val="single" w:color="auto" w:sz="4" w:space="0"/>
            </w:tcBorders>
            <w:shd w:val="clear" w:color="auto"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tcBorders>
              <w:top w:val="single" w:color="auto" w:sz="4" w:space="0"/>
              <w:left w:val="single" w:color="auto" w:sz="4" w:space="0"/>
              <w:bottom w:val="single" w:color="auto" w:sz="4" w:space="0"/>
              <w:right w:val="single" w:color="auto" w:sz="4" w:space="0"/>
            </w:tcBorders>
            <w:shd w:val="clear" w:color="auto"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tcBorders>
              <w:top w:val="single" w:color="auto" w:sz="4" w:space="0"/>
              <w:left w:val="single" w:color="auto" w:sz="4" w:space="0"/>
              <w:bottom w:val="single" w:color="auto" w:sz="4" w:space="0"/>
              <w:right w:val="single" w:color="auto" w:sz="4" w:space="0"/>
            </w:tcBorders>
            <w:shd w:val="clear" w:color="auto"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tcBorders>
              <w:top w:val="single" w:color="auto" w:sz="4" w:space="0"/>
              <w:left w:val="single" w:color="auto" w:sz="4" w:space="0"/>
              <w:bottom w:val="single" w:color="auto" w:sz="4" w:space="0"/>
              <w:right w:val="single" w:color="auto" w:sz="4" w:space="0"/>
            </w:tcBorders>
            <w:shd w:val="clear" w:color="auto"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tcBorders>
              <w:top w:val="single" w:color="auto" w:sz="4" w:space="0"/>
              <w:left w:val="single" w:color="auto" w:sz="4" w:space="0"/>
              <w:bottom w:val="single" w:color="auto" w:sz="4" w:space="0"/>
              <w:right w:val="single" w:color="auto" w:sz="4" w:space="0"/>
            </w:tcBorders>
            <w:shd w:val="clear" w:color="auto"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tcBorders>
              <w:top w:val="single" w:color="auto" w:sz="4" w:space="0"/>
              <w:left w:val="single" w:color="auto" w:sz="4" w:space="0"/>
              <w:bottom w:val="single" w:color="auto" w:sz="4" w:space="0"/>
              <w:right w:val="single" w:color="auto" w:sz="4" w:space="0"/>
            </w:tcBorders>
            <w:shd w:val="clear" w:color="auto"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tcBorders>
              <w:top w:val="single" w:color="auto" w:sz="4" w:space="0"/>
              <w:left w:val="single" w:color="auto" w:sz="4" w:space="0"/>
              <w:bottom w:val="single" w:color="auto" w:sz="4" w:space="0"/>
              <w:right w:val="single" w:color="auto" w:sz="4" w:space="0"/>
            </w:tcBorders>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tcBorders>
              <w:top w:val="single" w:color="auto" w:sz="4" w:space="0"/>
              <w:left w:val="single" w:color="auto" w:sz="4" w:space="0"/>
              <w:bottom w:val="single" w:color="auto" w:sz="4" w:space="0"/>
              <w:right w:val="single" w:color="auto" w:sz="4" w:space="0"/>
            </w:tcBorders>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tcBorders>
              <w:top w:val="single" w:color="auto" w:sz="4" w:space="0"/>
              <w:left w:val="single" w:color="auto" w:sz="4" w:space="0"/>
              <w:bottom w:val="single" w:color="auto" w:sz="4" w:space="0"/>
              <w:right w:val="single" w:color="auto" w:sz="4" w:space="0"/>
            </w:tcBorders>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tcBorders>
              <w:top w:val="single" w:color="auto" w:sz="4" w:space="0"/>
              <w:left w:val="single" w:color="auto" w:sz="4" w:space="0"/>
              <w:bottom w:val="single" w:color="auto" w:sz="4" w:space="0"/>
              <w:right w:val="single" w:color="auto" w:sz="4" w:space="0"/>
            </w:tcBorders>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tcBorders>
              <w:top w:val="single" w:color="auto" w:sz="4" w:space="0"/>
              <w:left w:val="single" w:color="auto" w:sz="4" w:space="0"/>
              <w:bottom w:val="single" w:color="auto" w:sz="4" w:space="0"/>
              <w:right w:val="single" w:color="auto" w:sz="4" w:space="0"/>
            </w:tcBorders>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tcBorders>
              <w:top w:val="single" w:color="auto" w:sz="4" w:space="0"/>
              <w:left w:val="single" w:color="auto" w:sz="4" w:space="0"/>
              <w:bottom w:val="single" w:color="auto" w:sz="4" w:space="0"/>
              <w:right w:val="single" w:color="auto" w:sz="4" w:space="0"/>
            </w:tcBorders>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tcBorders>
              <w:top w:val="single" w:color="auto" w:sz="4" w:space="0"/>
              <w:left w:val="single" w:color="auto" w:sz="4" w:space="0"/>
              <w:bottom w:val="single" w:color="auto" w:sz="4" w:space="0"/>
              <w:right w:val="single" w:color="auto" w:sz="4" w:space="0"/>
            </w:tcBorders>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tcBorders>
              <w:top w:val="single" w:color="auto" w:sz="4" w:space="0"/>
              <w:left w:val="single" w:color="auto" w:sz="4" w:space="0"/>
              <w:bottom w:val="single" w:color="auto" w:sz="4" w:space="0"/>
              <w:right w:val="single" w:color="auto" w:sz="4" w:space="0"/>
            </w:tcBorders>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tcBorders>
              <w:top w:val="single" w:color="auto" w:sz="4" w:space="0"/>
              <w:left w:val="single" w:color="auto" w:sz="4" w:space="0"/>
              <w:bottom w:val="single" w:color="auto" w:sz="4" w:space="0"/>
              <w:right w:val="single" w:color="auto" w:sz="4" w:space="0"/>
            </w:tcBorders>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tcBorders>
              <w:top w:val="single" w:color="auto" w:sz="4" w:space="0"/>
              <w:left w:val="single" w:color="auto" w:sz="4" w:space="0"/>
              <w:bottom w:val="single" w:color="auto" w:sz="4" w:space="0"/>
              <w:right w:val="single" w:color="auto" w:sz="4" w:space="0"/>
            </w:tcBorders>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tcBorders>
              <w:top w:val="single" w:color="auto" w:sz="4" w:space="0"/>
              <w:left w:val="single" w:color="auto" w:sz="4" w:space="0"/>
              <w:bottom w:val="single" w:color="auto" w:sz="4" w:space="0"/>
              <w:right w:val="single" w:color="auto" w:sz="4" w:space="0"/>
            </w:tcBorders>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tcBorders>
              <w:top w:val="single" w:color="auto" w:sz="4" w:space="0"/>
              <w:left w:val="single" w:color="auto" w:sz="4" w:space="0"/>
              <w:bottom w:val="single" w:color="auto" w:sz="4" w:space="0"/>
              <w:right w:val="single" w:color="auto" w:sz="4" w:space="0"/>
            </w:tcBorders>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tcBorders>
              <w:top w:val="single" w:color="auto" w:sz="4" w:space="0"/>
              <w:left w:val="single" w:color="auto" w:sz="4" w:space="0"/>
              <w:bottom w:val="single" w:color="auto" w:sz="4" w:space="0"/>
              <w:right w:val="single" w:color="auto" w:sz="4" w:space="0"/>
            </w:tcBorders>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KJKMMC</w:t>
            </w:r>
          </w:p>
        </w:tc>
        <w:tc>
          <w:tcPr>
            <w:tcW w:w="1714" w:type="dxa"/>
            <w:tcBorders>
              <w:top w:val="single" w:color="auto" w:sz="4" w:space="0"/>
              <w:left w:val="single" w:color="auto" w:sz="4" w:space="0"/>
              <w:bottom w:val="single" w:color="auto" w:sz="4" w:space="0"/>
              <w:right w:val="single" w:color="auto" w:sz="4" w:space="0"/>
            </w:tcBorders>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会计科目名称</w:t>
            </w:r>
          </w:p>
        </w:tc>
        <w:tc>
          <w:tcPr>
            <w:tcW w:w="1931" w:type="dxa"/>
            <w:tcBorders>
              <w:top w:val="single" w:color="auto" w:sz="4" w:space="0"/>
              <w:left w:val="single" w:color="auto" w:sz="4" w:space="0"/>
              <w:bottom w:val="single" w:color="auto" w:sz="4" w:space="0"/>
              <w:right w:val="single" w:color="auto" w:sz="4" w:space="0"/>
            </w:tcBorders>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VARCHAR2(45)</w:t>
            </w:r>
          </w:p>
        </w:tc>
        <w:tc>
          <w:tcPr>
            <w:tcW w:w="1001"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 xml:space="preserve"> </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3.1.3.1.15提退类型为“其他”明细表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对会计账簿“提退税金”科目中提退类型核算结果为“其他”的数据进行监控,发现异常数据及时修正，全面提高核算质量。</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3.1.3.1.15.1使用层级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3.1.3.1.15.2数据来源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3.1.3.1.15.3集市表结构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THRQ</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退还日期</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DATE</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3.1.3.1.16同一多缴连续两月存在明细表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对会计账簿“多缴税金”科目中同一纳税人、同一笔税款连续两个月出现在报表中的数据进行监控,发现异常数据及时修正，全面提高核算质量。</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3.1.3.1.16.1使用层级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3.1.3.1.16.2数据来源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3.1.3.1.16.3集市表结构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DJFSRQ</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多缴发生日期</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DATE</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3.1.3.1.17欠税分属期统计负数明细表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对会计账簿《欠税分税种分属期统计月报表》（2022年表代码为SJ-26）中报表结果项目存在负数的数据进行监控,发现异常数据及时修正，全面提高核算质量。</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3.1.3.1.17.1使用层级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3.1.3.1.17.2数据来源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3.1.3.1.17.3集市表结构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888"/>
        <w:gridCol w:w="13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888"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388"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8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3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8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3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8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3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8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3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8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3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8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3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QSFSRQ</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欠税发生日期</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DATE</w:t>
            </w:r>
          </w:p>
        </w:tc>
        <w:tc>
          <w:tcPr>
            <w:tcW w:w="8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3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YZPZXH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应征凭证序号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NUMBER(20)</w:t>
            </w:r>
          </w:p>
        </w:tc>
        <w:tc>
          <w:tcPr>
            <w:tcW w:w="8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388"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3.1.3.1.18企业所得税异常明细表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对会计账簿《税收收入分企业类型统计月报表》中“私营独资企业”和“私营合伙企业”项目中存在企业所得税的数据进行监控,发现异常数据及时修正，全面提高核算质量。</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3.1.3.1.18.1使用层级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3.1.3.1.18.2数据来源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3.1.3.1.18.3集市表结构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DJZCLX_DM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登记注册类型</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VARCHAR2(3)</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RKRQ</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入库日期</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DATE</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DZSPHM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电子税票号码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NUMBER(20)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3.1.3.1.19红利账单明细表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根据业务部门提供的名单导入后，按照此名单的纳税人查询相应的减税降费红利账单明细情况，具体分为缓税、新增减税降费、留抵退税，同时可统计当年、累计、同期的数据做对比。</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3.1.3.1.19.1使用层级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3.1.3.1.19.2数据来源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3.1.3.1.19.3集市表结构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965"/>
        <w:gridCol w:w="1680"/>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965"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680"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NSRSBH</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纳税人识别号</w:t>
            </w:r>
          </w:p>
        </w:tc>
        <w:tc>
          <w:tcPr>
            <w:tcW w:w="1680"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NSRMC</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纳税人名称</w:t>
            </w:r>
          </w:p>
        </w:tc>
        <w:tc>
          <w:tcPr>
            <w:tcW w:w="1680"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DYHJ</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当月合计</w:t>
            </w:r>
          </w:p>
        </w:tc>
        <w:tc>
          <w:tcPr>
            <w:tcW w:w="1680"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NUMBER(19,2)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DYHS</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当月缓税</w:t>
            </w:r>
          </w:p>
        </w:tc>
        <w:tc>
          <w:tcPr>
            <w:tcW w:w="1680"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NUMBER(19,2)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DYXZJSJF</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当月新增减税降费</w:t>
            </w:r>
          </w:p>
        </w:tc>
        <w:tc>
          <w:tcPr>
            <w:tcW w:w="1680"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NUMBER(19,2)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DYLDTS</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当月</w:t>
            </w:r>
            <w:bookmarkStart w:id="153" w:name="_GoBack"/>
            <w:bookmarkEnd w:id="153"/>
            <w:r>
              <w:rPr>
                <w:rFonts w:hint="eastAsia" w:asciiTheme="minorEastAsia" w:hAnsiTheme="minorEastAsia" w:eastAsiaTheme="minorEastAsia" w:cstheme="minorEastAsia"/>
                <w:sz w:val="24"/>
                <w:szCs w:val="24"/>
                <w:lang w:val="en-US" w:eastAsia="zh-CN" w:bidi="ar-SA"/>
              </w:rPr>
              <w:t>留抵退税</w:t>
            </w:r>
          </w:p>
        </w:tc>
        <w:tc>
          <w:tcPr>
            <w:tcW w:w="1680"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NUMBER(19,2)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LJHJ</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累计合计</w:t>
            </w:r>
          </w:p>
        </w:tc>
        <w:tc>
          <w:tcPr>
            <w:tcW w:w="1680"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NUMBER(19,2)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LJHS</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累计缓税</w:t>
            </w:r>
          </w:p>
        </w:tc>
        <w:tc>
          <w:tcPr>
            <w:tcW w:w="1680"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NUMBER(19,2)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LIXZJSJF</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累计新增减税降费</w:t>
            </w:r>
          </w:p>
        </w:tc>
        <w:tc>
          <w:tcPr>
            <w:tcW w:w="1680"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NUMBER(19,2)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LJLDTS</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累计留抵退税</w:t>
            </w:r>
          </w:p>
        </w:tc>
        <w:tc>
          <w:tcPr>
            <w:tcW w:w="1680"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NUMBER(19,2)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TQHJ</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同期合计</w:t>
            </w:r>
          </w:p>
        </w:tc>
        <w:tc>
          <w:tcPr>
            <w:tcW w:w="1680"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NUMBER(19,2)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TQHS</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同期缓税</w:t>
            </w:r>
          </w:p>
        </w:tc>
        <w:tc>
          <w:tcPr>
            <w:tcW w:w="1680"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NUMBER(19,2)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TQXZJSJF</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同期新增减税降费</w:t>
            </w:r>
          </w:p>
        </w:tc>
        <w:tc>
          <w:tcPr>
            <w:tcW w:w="1680"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NUMBER(19,2)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14</w:t>
            </w:r>
          </w:p>
        </w:tc>
        <w:tc>
          <w:tcPr>
            <w:tcW w:w="1591"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TQLDTS</w:t>
            </w:r>
          </w:p>
        </w:tc>
        <w:tc>
          <w:tcPr>
            <w:tcW w:w="1965" w:type="dxa"/>
            <w:noWrap w:val="0"/>
            <w:vAlign w:val="top"/>
          </w:tcPr>
          <w:p>
            <w:pPr>
              <w:kinsoku/>
              <w:wordWrap/>
              <w:overflowPunct w:val="0"/>
              <w:topLinePunct w:val="0"/>
              <w:autoSpaceDE w:val="0"/>
              <w:autoSpaceDN w:val="0"/>
              <w:bidi w:val="0"/>
              <w:adjustRightInd w:val="0"/>
              <w:spacing w:line="360" w:lineRule="auto"/>
              <w:ind w:left="0" w:leftChars="0" w:firstLine="0" w:firstLineChars="0"/>
              <w:jc w:val="both"/>
              <w:textAlignment w:val="baseline"/>
              <w:rPr>
                <w:rFonts w:hint="eastAsia" w:asciiTheme="minorEastAsia" w:hAnsiTheme="minorEastAsia" w:eastAsiaTheme="minorEastAsia" w:cstheme="minorEastAsia"/>
                <w:sz w:val="24"/>
                <w:szCs w:val="24"/>
                <w:lang w:val="en-US" w:eastAsia="zh-CN" w:bidi="ar-SA"/>
              </w:rPr>
            </w:pPr>
            <w:r>
              <w:rPr>
                <w:rFonts w:hint="eastAsia" w:asciiTheme="minorEastAsia" w:hAnsiTheme="minorEastAsia" w:eastAsiaTheme="minorEastAsia" w:cstheme="minorEastAsia"/>
                <w:sz w:val="24"/>
                <w:szCs w:val="24"/>
                <w:lang w:val="en-US" w:eastAsia="zh-CN" w:bidi="ar-SA"/>
              </w:rPr>
              <w:t>同期留抵退税</w:t>
            </w:r>
          </w:p>
        </w:tc>
        <w:tc>
          <w:tcPr>
            <w:tcW w:w="1680"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NUMBER(19,2)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3.1.3.1.20地方级税务收入分行业统计表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按照不同地市、不同区县、不同行业统计税收收入入库情况，能够清晰地体现出每个地市区县的税收情况。</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3.1.3.1.20.1使用层级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3.1.3.1.20.2数据来源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3.1.3.1.20.3集市表结构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HY_DM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行业</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RKSE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入库税额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RKRQ</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入库日期</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DATE</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3.1.3.1.21减税降费分行业、分地市、分规模、分登记注册类型、分政策统计表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对减税降费各项政策按照不同维度（行业、地市、规模、登记注册类型）进行户数与减免金额统计，用于查看国家出台的各项减税降费政策的不同维度的减免情况，方便税务机关掌握具体减税政策的落实情况。</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3.1.3.1.21.1使用层级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3.1.3.1.21.2数据来源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3.1.3.1.21.3集市表结构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DJZCLX_DM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登记注册类型代码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VARCHAR2(3)</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QYGM_DM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企业规模代码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HY_DM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行业代码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JMXZ_DM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减免性质代码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JMJE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减免金额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户数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INTEGER</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3.1.3.1.22减免税分行业、分地市、分规模、分登记注册类型、分政策统计表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减免税各政策按照不同维度（行业、地市、规模、登记注册类型）进行征前减免金额与退库减免金额统计，用于查看国家出台的各项减免政策的不同维度的减免情况，方便税务机关掌握具体减税政策的落实情况。</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3.1.3.1.22.1使用层级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3.1.3.1.22.2数据来源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3.1.3.1.22.3集市表结构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DJZCLX_DM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登记注册类型代码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VARCHAR2(3)</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QYGM_DM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企业规模代码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HY_DM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行业代码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JMXZ_DM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减免性质代码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ZQJMJE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征前减免金额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TKJMJE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退库减免金额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3.1.3.1.23欠税分行业、分地市、分规模、分登记注册类型、分类型统计表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按照不同维度（行业、地市、规模、登记注册类型、欠税类型）统计税收欠税情况，能够对欠税全方位清晰地体现出每个不同维度的欠税情况。</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3.1.3.1.23.1使用层级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3.1.3.1.23.2数据来源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金税三期决策1包同构区核心征管、会计账簿数据。</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3.1.3.1.23.3集市表结构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DJZCLX_DM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登记注册类型代码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VARCHAR2(3)</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QYGM_DM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企业规模代码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HY_DM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行业代码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JMXZ_DM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减免性质代码</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QJSX_DM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欠税类型</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QSJE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欠税金额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3.1.3.1.24各项政策增减收情况表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各项政策增减收情况表，用于查看国家出台的各项减税降费政策的增减收情况，方便税务机关掌握具体减税政策的落实情况。</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3.1.3.1.24.1使用层级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3.1.3.1.24.2数据来源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3.1.3.1.24.3集市表结构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HXZGJE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核心征管金额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3.1.3.1.25留抵退税业务办理整体情况统计表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留抵退税业务办理整体情况统计表统计的是各个行业，从2022年4月1日以来办理的已退库的累计金额和累计户数。</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3.1.3.1.25.1使用层级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省局、地市、区县。</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 xml:space="preserve">3.1.3.1.25.2数据来源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金税三期决策1包同构区核心征管。</w:t>
      </w:r>
    </w:p>
    <w:p>
      <w:pPr>
        <w:keepNext/>
        <w:keepLines/>
        <w:widowControl w:val="0"/>
        <w:numPr>
          <w:ilvl w:val="5"/>
          <w:numId w:val="0"/>
        </w:numPr>
        <w:suppressAutoHyphens/>
        <w:kinsoku/>
        <w:wordWrap/>
        <w:topLinePunct w:val="0"/>
        <w:bidi w:val="0"/>
        <w:spacing w:before="0" w:after="0" w:line="360" w:lineRule="auto"/>
        <w:ind w:left="0" w:leftChars="0"/>
        <w:jc w:val="both"/>
        <w:outlineLvl w:val="5"/>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3.1.3.1.25.3集市表结构</w:t>
      </w:r>
    </w:p>
    <w:tbl>
      <w:tblPr>
        <w:tblStyle w:val="26"/>
        <w:tblW w:w="8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91"/>
        <w:gridCol w:w="1714"/>
        <w:gridCol w:w="1931"/>
        <w:gridCol w:w="100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trPr>
        <w:tc>
          <w:tcPr>
            <w:tcW w:w="6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9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字段名称</w:t>
            </w:r>
          </w:p>
        </w:tc>
        <w:tc>
          <w:tcPr>
            <w:tcW w:w="1714"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字段注释</w:t>
            </w:r>
          </w:p>
        </w:tc>
        <w:tc>
          <w:tcPr>
            <w:tcW w:w="193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字段长度</w:t>
            </w:r>
          </w:p>
        </w:tc>
        <w:tc>
          <w:tcPr>
            <w:tcW w:w="1001" w:type="dxa"/>
            <w:shd w:val="clear" w:color="000000" w:fill="D8D8D8"/>
            <w:noWrap w:val="0"/>
            <w:vAlign w:val="center"/>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w:t>
            </w:r>
          </w:p>
        </w:tc>
        <w:tc>
          <w:tcPr>
            <w:tcW w:w="1275" w:type="dxa"/>
            <w:shd w:val="clear" w:color="000000" w:fill="D8D8D8"/>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校验规则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HSDW_DM</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核算单位代码</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VARCHAR2(11)</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w:t>
            </w: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9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HSDWMC</w:t>
            </w:r>
          </w:p>
        </w:tc>
        <w:tc>
          <w:tcPr>
            <w:tcW w:w="1714"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核算单位名称</w:t>
            </w:r>
          </w:p>
        </w:tc>
        <w:tc>
          <w:tcPr>
            <w:tcW w:w="1931" w:type="dxa"/>
            <w:noWrap w:val="0"/>
            <w:vAlign w:val="center"/>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VARCHAR2(100)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NSRSBH</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纳税人识别号</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VARCHAR2(40)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NSRMC</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纳税人名称</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VARCHAR2(150)</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ZSXM_DM</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征收项目</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VARCHAR2(5)</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KJZBJE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会计账簿金额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75" w:type="dxa"/>
            <w:noWrap w:val="0"/>
            <w:vAlign w:val="center"/>
          </w:tcPr>
          <w:p>
            <w:pPr>
              <w:suppressAutoHyphens/>
              <w:kinsoku/>
              <w:wordWrap/>
              <w:topLinePunct w:val="0"/>
              <w:bidi w:val="0"/>
              <w:spacing w:line="360" w:lineRule="auto"/>
              <w:ind w:left="0" w:leftChars="0" w:firstLine="240" w:firstLineChars="100"/>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59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HXZGJE</w:t>
            </w:r>
          </w:p>
        </w:tc>
        <w:tc>
          <w:tcPr>
            <w:tcW w:w="1714"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核心征管金额</w:t>
            </w:r>
          </w:p>
        </w:tc>
        <w:tc>
          <w:tcPr>
            <w:tcW w:w="1931" w:type="dxa"/>
            <w:noWrap w:val="0"/>
            <w:vAlign w:val="top"/>
          </w:tcPr>
          <w:p>
            <w:pPr>
              <w:suppressAutoHyphens/>
              <w:kinsoku/>
              <w:wordWrap/>
              <w:topLinePunct w:val="0"/>
              <w:bidi w:val="0"/>
              <w:spacing w:line="360" w:lineRule="auto"/>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NUMBER(18,2)</w:t>
            </w:r>
          </w:p>
        </w:tc>
        <w:tc>
          <w:tcPr>
            <w:tcW w:w="1001"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c>
          <w:tcPr>
            <w:tcW w:w="1275" w:type="dxa"/>
            <w:noWrap w:val="0"/>
            <w:vAlign w:val="center"/>
          </w:tcPr>
          <w:p>
            <w:pPr>
              <w:suppressAutoHyphens/>
              <w:kinsoku/>
              <w:wordWrap/>
              <w:topLinePunct w:val="0"/>
              <w:bidi w:val="0"/>
              <w:spacing w:line="360" w:lineRule="auto"/>
              <w:ind w:left="0" w:leftChars="0" w:firstLine="440"/>
              <w:rPr>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3.1.3.2数据抽取清洗处理应用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3.1.3.2.1会计核算账簿数据与核心征管原始数据比对情况统计表（会统口径）数据抽取清洗处理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3.1.3.2.2多缴税金差异明细表（会统口径）数据抽取清洗处理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3.1.3.2.3待征税金差异明细表（会统口径）数据抽取清洗处理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3.1.3.2.4减免税金差异情况表（会统口径）数据抽取清洗处理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3.1.3.2.5待解税金差异情况表（会统口径）数据抽取清洗处理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3.1.3.2.6在途税金差异情况表（会统口径）数据抽取清洗处理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3.1.3.2.7会计核算账簿数据与核心征管原始数据比对情况统计表（核心口径）数据抽取清洗处理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3.1.3.2.8多缴税金差异明细表（核心口径）数据抽取清洗处理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3.1.3.2.9待征税金差异明细表（核心口径）数据抽取清洗处理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3.1.3.2.10减免税金差异情况表（核心口径）数据抽取清洗处理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3.1.3.2.11待解税金差异情况表（核心口径）数据抽取清洗处理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3.1.3.2.12在途税金差异情况表（核心口径）数据抽取清洗处理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3.1.3.2.13会计核算异常数据统计表数据抽取清洗处理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3.1.3.2.14会计科目核算结果为负数明细表数据抽取清洗处理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3.1.3.2.15提退类型为“其他”明细表数据抽取清洗处理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3.1.3.2.16同一多缴连续两月存在明细表数据抽取清洗处理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3.1.3.2.17欠税分属期统计负数明细表数据抽取清洗处理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3.1.3.2.18企业所得税异常情况明细表数据抽取清洗处理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3.1.3.2.19红利账单明细数据抽取清洗处理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3.1.3.2.20地方级税务收入分行业统计表数据抽取清洗处理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3.1.3.2.21减税降费分行业、分地市、分规模、分登记注册类型、分政策统计表（总局口径）数据抽取清洗处理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3.1.3.2.22减免税分行业、分地市、分规模、分登记注册类型、分政策统计表（会统口径）数据抽取清洗处理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3.1.3.2.23欠税分行业、分地市、分规模、分登记注册类型、分类型统计表及同期比对表（核心口径）数据抽取清洗处理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3.1.3.2.24各项政策增减收入情况表（核心口径）数据抽取清洗处理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3.1.3.2.25留抵退税业务办理整体情况统计表（核心口径）数据抽取清洗处理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按照约定的数据规范及格式，将税务核心征管数据通过OGG链路完整实时同步到决策一包同构区ODS层，使接收到的表结构与数据完全一致，并进行数据清洗业务以提供给后续开发DM与DW层使用。</w:t>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3.1.3.3数据加工处理应用</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3.1.3.3.1会计核算账簿数据与核心征管原始数据比对情况统计表（会统口径）数据加工处理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3.1.3.3.2多缴税金差异明细表（会统口径）数据加工处理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3.1.3.3.3待征税金差异明细表（会统口径）数据加工处理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3.1.3.3.4减免税金差异情况表（会统口径）数据加工处理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3.1.3.3.5待解税金差异情况表（会统口径）数据加工处理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3.1.3.3.6在途税金差异情况表（会统口径）数据加工处理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3.1.3.3.7会计核算账簿数据与核心征管原始数据比对情况统计表（核心口径）数据加工处理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3.1.3.3.8多缴税金差异明细表（核心口径）数据加工处理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3.1.3.3.9待征税金差异明细表（核心口径）数据加工处理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3.1.3.3.10减免税金差异情况表（核心口径）数据加工处理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3.1.3.3.11待解税金差异情况表（核心口径）数据加工处理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3.1.3.3.12在途税金差异情况表（核心口径）数据加工处理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3.1.3.3.13会计核算异常数据统计表数据加工处理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3.1.3.3.14会计科目核算结果为负数明细表数据加工处理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3.1.3.3.15提退类型为“其他”明细表数据加工处理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3.1.3.3.16同一多缴连续两月存在明细表数据加工处理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3.1.3.3.17欠税分属期统计负数明细表数据加工处理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3.1.3.3.18企业所得税异常情况明细表数据加工处理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3.1.3.3.19红利账单明细数据加工处理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3.1.3.3.20地方级税务收入分行业统计表数据加工处理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3.1.3.3.21减税降费分行业、分地市、分规模、分登记注册类型、分政策统计表（总局口径）数据加工处理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3.1.3.3.22减免税分行业、分地市、分规模、分登记注册类型、分政策统计表（会统口径）数据加工处理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3.1.3.3.23欠税分行业、分地市、分规模、分登记注册类型、分类型统计表及同期比对表（核心口径）数据加工处理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3.1.3.3.24各项政策增减收入情况表（核心口径）数据加工处理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widowControl/>
        <w:numPr>
          <w:ilvl w:val="4"/>
          <w:numId w:val="0"/>
        </w:numPr>
        <w:suppressAutoHyphens/>
        <w:kinsoku/>
        <w:wordWrap/>
        <w:topLinePunct w:val="0"/>
        <w:bidi w:val="0"/>
        <w:spacing w:before="0" w:after="0" w:line="360" w:lineRule="auto"/>
        <w:ind w:left="0" w:left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3.1.3.3.25留抵退税业务办理整体情况统计表（核心口径）数据加工处理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对清洗后的数据依次按照数据血缘关系进行主题模型表、集市基础表与汇总表的加工处理。</w:t>
      </w:r>
    </w:p>
    <w:p>
      <w:pPr>
        <w:keepNext/>
        <w:keepLines/>
        <w:pageBreakBefore/>
        <w:widowControl w:val="0"/>
        <w:numPr>
          <w:ilvl w:val="0"/>
          <w:numId w:val="0"/>
        </w:numPr>
        <w:suppressAutoHyphens/>
        <w:kinsoku/>
        <w:wordWrap/>
        <w:topLinePunct w:val="0"/>
        <w:bidi w:val="0"/>
        <w:spacing w:before="0" w:beforeLines="0" w:beforeAutospacing="0" w:after="0" w:afterLines="0" w:afterAutospacing="0" w:line="360" w:lineRule="auto"/>
        <w:ind w:left="0" w:leftChars="0" w:firstLine="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3.1.4服务接口子系统功能需求</w:t>
      </w:r>
    </w:p>
    <w:p>
      <w:pPr>
        <w:keepNext/>
        <w:keepLines/>
        <w:pageBreakBefore w:val="0"/>
        <w:widowControl w:val="0"/>
        <w:numPr>
          <w:ilvl w:val="0"/>
          <w:numId w:val="0"/>
        </w:numPr>
        <w:tabs>
          <w:tab w:val="left" w:pos="0"/>
        </w:tabs>
        <w:suppressAutoHyphens/>
        <w:kinsoku/>
        <w:wordWrap/>
        <w:topLinePunct w:val="0"/>
        <w:bidi w:val="0"/>
        <w:spacing w:before="0" w:beforeLines="0" w:beforeAutospacing="0" w:after="0" w:afterLines="0" w:afterAutospacing="0" w:line="360" w:lineRule="auto"/>
        <w:ind w:left="0" w:leftChars="0" w:firstLine="0" w:firstLine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3.1.4.1数据请求应用接口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税收大数据分析监控平台向金税三期决策1包会计核算数据监督系统项目发送数据请求时提供的接口。</w:t>
      </w:r>
    </w:p>
    <w:p>
      <w:pPr>
        <w:keepNext/>
        <w:keepLines/>
        <w:pageBreakBefore w:val="0"/>
        <w:widowControl w:val="0"/>
        <w:numPr>
          <w:ilvl w:val="0"/>
          <w:numId w:val="0"/>
        </w:numPr>
        <w:tabs>
          <w:tab w:val="left" w:pos="0"/>
        </w:tabs>
        <w:suppressAutoHyphens/>
        <w:kinsoku/>
        <w:wordWrap/>
        <w:topLinePunct w:val="0"/>
        <w:bidi w:val="0"/>
        <w:spacing w:before="0" w:beforeLines="0" w:beforeAutospacing="0" w:after="0" w:afterLines="0" w:afterAutospacing="0" w:line="360" w:lineRule="auto"/>
        <w:ind w:left="0" w:leftChars="0" w:firstLine="0" w:firstLine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3.1.4.2数据推送应用接口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3.1.4.2.1会计核算账簿数据与核心征管原始数据比对情况统计表（会统口径）数据推送应用接口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将会计核算账簿数据与核心征管原始数据比对情况统计表（会统口径）的结果表文件存入税收大数据分析监控平台时提供的接口。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3.1.4.2.2多缴税金差异明细表（会统口径）数据推送应用接口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将多缴税金差异明细表（会统口径）的结果表文件存入税收大数据分析监控平台时提供的接口。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3.1.4.2.3待征税金差异明细表（会统口径）数据推送应用接口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将待征税金差异明细表（会统口径）的结果表文件存入税收大数据分析监控平台时提供的接口。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3.1.4.2.4减免税金差异情况表（会统口径）数据推送应用接口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将减免税金差异明细表（会统口径）的结果表文件存入税收大数据分析监控平台时提供的接口。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3.1.4.2.5待解税金差异情况表（会统口径）数据推送应用接口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将待解税金差异明细表（会统口径）的结果表文件存入税收大数据分析监控平台时提供的接口。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3.1.4.2.6在途税金差异情况表（会统口径）数据推送应用接口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将在途税金差异明细表（会统口径）的结果表文件存入税收大数据分析监控平台时提供的接口。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3.1.4.2.7会计核算账簿数据与核心征管原始数据比对情况统计表（核心口径）数据推送应用接口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将会计核算账簿数据与核心征管原始数据比对情况统计表（核心口径）的结果表文件存入税收大数据分析监控平台时提供的接口。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3.1.4.2.8多缴税金差异明细表（核心口径）数据推送应用接口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将多缴税金差异明细表（核心口径）的结果表文件存入税收大数据分析监控平台时提供的接口。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3.1.4.2.9待征税金差异明细表（核心口径）数据推送应用接口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将待征税金差异明细表（核心口径）的结果表文件存入税收大数据分析监控平台时提供的接口。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3.1.4.2.10减免税金差异情况表（核心口径）数据推送应用接口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将减免税金差异明细表（核心口径）的结果表文件存入税收大数据分析监控平台时提供的接口。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3.1.4.2.11待解税金差异情况表（核心口径）数据推送应用接口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将待解税金差异明细表（核心口径）的结果表文件存入税收大数据分析监控平台时提供的接口。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3.1.4.2.12在途税金差异情况表（核心口径）数据推送应用接口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将在途税金差异明细表（核心口径）的结果表文件存入税收大数据分析监控平台时提供的接口。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3.1.4.2.13会计核算异常数据统计表数据推送应用接口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将会计核算异常数据统计表的结果表文件存入税收大数据分析监控平台时提供的接口。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3.1.4.2.14会计科目核算结果为负数明细表数据推送应用接口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将会计科目核算结果为负数明细表的结果表文件存入税收大数据分析监控平台时提供的接口。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3.1.4.2.15提退类型为“其他”明细表数据推送应用接口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将提退类型为“其他”明细表的结果表文件存入税收大数据分析监控平台时提供的接口。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3.1.4.2.15.1同一多缴连续两月存在明细表数据推送应用接口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将同一多缴连续两月存在明细表的结果表文件存入税收大数据分析监控平台时提供的接口。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3.1.4.2.15.2欠税分属期统计负数明细表数据推送应用接口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将欠税分属期统计负数明细表的结果表文件存入税收大数据分析监控平台时提供的接口。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3.1.4.2.15.3企业所得税异常情况明细表数据推送应用接口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将企业所得税异常情况明细表的结果表文件存入税收大数据分析监控平台时提供的接口。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3.1.4.2.15.4红利账单明细数据推送应用接口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将红利账单明细数据的结果表文件存入税收大数据分析监控平台时提供的接口。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3.1.4.2.15.5地方级税务收入分行业统计表数据推送应用接口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将地方级税务收入分行业统计表的结果表文件存入税收大数据分析监控平台时提供的接口。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3.1.4.2.15.6减税降费分行业、分地市、分规模、分登记注册类型、分政策统计表（总局口径）数据推送应用接口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将减税降费分行业、分地市、分规模、分登记注册类型、分政策统计表（总局口径）的结果表文件存入税收大数据分析监控平台时提供的接口。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3.1.4.2.15.7减免税分行业、分地市、分规模、分登记注册类型、分政策统计表（会统口径）数据推送应用接口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将减免税分行业、分地市、分规模、分登记注册类型、分政策统计表（会统口径）的结果表文件存入税收大数据分析监控平台时提供的接口。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3.1.4.2.15.8欠税分行业、分地市、分规模、分登记注册类型、分类型统计表及同期比对表（核心口径）数据推送应用接口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将欠税分行业、分地市、分规模、分登记注册类型、分类型统计表及同期比对表（核心口径）的结果表文件存入税收大数据分析监控平台时提供的接口。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3.1.4.2.15.9各项政策增减收入情况表（核心口径）数据推送应用接口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将各项政策增减收入情况表（核心口径）的结果表文件存入税收大数据分析监控平台时提供的接口。</w:t>
      </w:r>
    </w:p>
    <w:p>
      <w:pPr>
        <w:keepNext/>
        <w:keepLines/>
        <w:widowControl/>
        <w:numPr>
          <w:ilvl w:val="0"/>
          <w:numId w:val="0"/>
        </w:numPr>
        <w:suppressAutoHyphens/>
        <w:kinsoku/>
        <w:wordWrap/>
        <w:topLinePunct w:val="0"/>
        <w:bidi w:val="0"/>
        <w:spacing w:before="0" w:after="0" w:line="360" w:lineRule="auto"/>
        <w:ind w:left="0" w:leftChars="0" w:firstLine="0" w:firstLineChars="0"/>
        <w:jc w:val="left"/>
        <w:outlineLvl w:val="4"/>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3.1.4.2.15.10留抵退税业务办理整体情况统计表（核心口径）数据推送应用接口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将留抵退税业务办理整体情况统计表（核心口径）的结果表文件存入税收大数据分析监控平台时提供的接口。</w:t>
      </w:r>
    </w:p>
    <w:p>
      <w:pPr>
        <w:keepNext/>
        <w:keepLines/>
        <w:pageBreakBefore w:val="0"/>
        <w:widowControl w:val="0"/>
        <w:numPr>
          <w:ilvl w:val="0"/>
          <w:numId w:val="0"/>
        </w:numPr>
        <w:tabs>
          <w:tab w:val="left" w:pos="0"/>
        </w:tabs>
        <w:suppressAutoHyphens/>
        <w:kinsoku/>
        <w:wordWrap/>
        <w:topLinePunct w:val="0"/>
        <w:bidi w:val="0"/>
        <w:spacing w:before="0" w:beforeLines="0" w:beforeAutospacing="0" w:after="0" w:afterLines="0" w:afterAutospacing="0" w:line="360" w:lineRule="auto"/>
        <w:ind w:left="0" w:leftChars="0" w:firstLine="0" w:firstLine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3.1.4.3数据反馈应用接口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当金税三期决策1包会计核算数据监督系统项目的集市表文件存入税收大数据分析监控平台服务器后，调用通知文件已放妥的通知消息接口。</w:t>
      </w:r>
    </w:p>
    <w:p>
      <w:pPr>
        <w:keepNext/>
        <w:keepLines/>
        <w:pageBreakBefore/>
        <w:widowControl w:val="0"/>
        <w:numPr>
          <w:ilvl w:val="0"/>
          <w:numId w:val="0"/>
        </w:numPr>
        <w:tabs>
          <w:tab w:val="left" w:pos="0"/>
        </w:tabs>
        <w:suppressAutoHyphens/>
        <w:kinsoku/>
        <w:wordWrap/>
        <w:topLinePunct w:val="0"/>
        <w:bidi w:val="0"/>
        <w:spacing w:before="0" w:beforeLines="0" w:beforeAutospacing="0" w:after="0" w:afterLines="0" w:afterAutospacing="0" w:line="360" w:lineRule="auto"/>
        <w:ind w:left="0" w:leftChars="0" w:firstLine="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3.1.4.4技术要求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在技术上采用标准和开放的技术体系。采用OGG同构同步（实时）抽取数据，采用ETL数据抽取方式，引用Informatica ETL工具，基于Informatica的工作流平台，实现模型的血缘调度管理；采用SOA的设计理念，业务和IT对齐，灵活构建组件，以提高系统的松散耦合、隔离关注、模块化和可重用性。</w:t>
      </w:r>
    </w:p>
    <w:p>
      <w:pPr>
        <w:keepNext/>
        <w:keepLines/>
        <w:pageBreakBefore/>
        <w:widowControl w:val="0"/>
        <w:numPr>
          <w:ilvl w:val="0"/>
          <w:numId w:val="0"/>
        </w:numPr>
        <w:tabs>
          <w:tab w:val="left" w:pos="0"/>
        </w:tabs>
        <w:suppressAutoHyphens/>
        <w:kinsoku/>
        <w:wordWrap/>
        <w:topLinePunct w:val="0"/>
        <w:bidi w:val="0"/>
        <w:spacing w:before="0" w:beforeLines="0" w:beforeAutospacing="0" w:after="0" w:afterLines="0" w:afterAutospacing="0" w:line="360" w:lineRule="auto"/>
        <w:ind w:left="0" w:leftChars="0" w:firstLine="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3.1.4.5系统资源配置要求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资源最低要求如下：</w:t>
      </w:r>
    </w:p>
    <w:tbl>
      <w:tblPr>
        <w:tblStyle w:val="27"/>
        <w:tblW w:w="82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701"/>
        <w:gridCol w:w="1150"/>
        <w:gridCol w:w="1118"/>
        <w:gridCol w:w="851"/>
        <w:gridCol w:w="708"/>
        <w:gridCol w:w="878"/>
        <w:gridCol w:w="11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trPr>
        <w:tc>
          <w:tcPr>
            <w:tcW w:w="704" w:type="dxa"/>
            <w:shd w:val="clear" w:color="auto" w:fill="BEBEBE"/>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序号</w:t>
            </w:r>
          </w:p>
        </w:tc>
        <w:tc>
          <w:tcPr>
            <w:tcW w:w="1701" w:type="dxa"/>
            <w:shd w:val="clear" w:color="auto" w:fill="BEBEBE"/>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用途</w:t>
            </w:r>
          </w:p>
        </w:tc>
        <w:tc>
          <w:tcPr>
            <w:tcW w:w="1150" w:type="dxa"/>
            <w:shd w:val="clear" w:color="auto" w:fill="BEBEBE"/>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主机数量</w:t>
            </w:r>
          </w:p>
        </w:tc>
        <w:tc>
          <w:tcPr>
            <w:tcW w:w="1118" w:type="dxa"/>
            <w:shd w:val="clear" w:color="auto" w:fill="BEBEBE"/>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CPU核心</w:t>
            </w:r>
          </w:p>
        </w:tc>
        <w:tc>
          <w:tcPr>
            <w:tcW w:w="851" w:type="dxa"/>
            <w:shd w:val="clear" w:color="auto" w:fill="BEBEBE"/>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内存</w:t>
            </w:r>
          </w:p>
        </w:tc>
        <w:tc>
          <w:tcPr>
            <w:tcW w:w="708" w:type="dxa"/>
            <w:shd w:val="clear" w:color="auto" w:fill="BEBEBE"/>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硬盘</w:t>
            </w:r>
          </w:p>
        </w:tc>
        <w:tc>
          <w:tcPr>
            <w:tcW w:w="878" w:type="dxa"/>
            <w:shd w:val="clear" w:color="auto" w:fill="BEBEBE"/>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存储</w:t>
            </w:r>
          </w:p>
        </w:tc>
        <w:tc>
          <w:tcPr>
            <w:tcW w:w="1186" w:type="dxa"/>
            <w:shd w:val="clear" w:color="auto" w:fill="BEBEBE"/>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操作系统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04"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701"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应用服务节点</w:t>
            </w:r>
          </w:p>
        </w:tc>
        <w:tc>
          <w:tcPr>
            <w:tcW w:w="1150"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118"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w:t>
            </w:r>
          </w:p>
        </w:tc>
        <w:tc>
          <w:tcPr>
            <w:tcW w:w="851"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64G</w:t>
            </w:r>
          </w:p>
        </w:tc>
        <w:tc>
          <w:tcPr>
            <w:tcW w:w="708"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500G</w:t>
            </w:r>
          </w:p>
        </w:tc>
        <w:tc>
          <w:tcPr>
            <w:tcW w:w="878"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p>
        </w:tc>
        <w:tc>
          <w:tcPr>
            <w:tcW w:w="1186"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Linux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04"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701"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内网数据库节点</w:t>
            </w:r>
          </w:p>
        </w:tc>
        <w:tc>
          <w:tcPr>
            <w:tcW w:w="1150"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118"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16</w:t>
            </w:r>
          </w:p>
        </w:tc>
        <w:tc>
          <w:tcPr>
            <w:tcW w:w="851"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256G</w:t>
            </w:r>
          </w:p>
        </w:tc>
        <w:tc>
          <w:tcPr>
            <w:tcW w:w="708"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1T</w:t>
            </w:r>
          </w:p>
        </w:tc>
        <w:tc>
          <w:tcPr>
            <w:tcW w:w="878"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2T</w:t>
            </w:r>
          </w:p>
        </w:tc>
        <w:tc>
          <w:tcPr>
            <w:tcW w:w="1186" w:type="dxa"/>
            <w:noWrap w:val="0"/>
            <w:vAlign w:val="top"/>
          </w:tcPr>
          <w:p>
            <w:pPr>
              <w:suppressAutoHyphens/>
              <w:kinsoku/>
              <w:wordWrap/>
              <w:topLinePunct w:val="0"/>
              <w:bidi w:val="0"/>
              <w:spacing w:line="360" w:lineRule="auto"/>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Linux</w:t>
            </w: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textAlignment w:val="auto"/>
        <w:rPr>
          <w:rFonts w:hint="eastAsia" w:asciiTheme="minorEastAsia" w:hAnsiTheme="minorEastAsia" w:eastAsiaTheme="minorEastAsia" w:cstheme="minorEastAsia"/>
          <w:color w:val="auto"/>
          <w:kern w:val="2"/>
          <w:sz w:val="24"/>
          <w:szCs w:val="24"/>
          <w:lang w:val="en-US" w:eastAsia="zh-CN" w:bidi="ar-SA"/>
        </w:rPr>
      </w:pP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3.2“税智撑”汇聚区数据处理并投放大数据平台</w:t>
      </w:r>
    </w:p>
    <w:p>
      <w:pPr>
        <w:keepNext/>
        <w:keepLines/>
        <w:widowControl w:val="0"/>
        <w:numPr>
          <w:ilvl w:val="2"/>
          <w:numId w:val="0"/>
        </w:numPr>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3.2.1“税智撑”汇聚区数据处理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税智撑”汇聚区数据汇聚分为实时数据汇聚和定时数据汇聚，源端系统开启了归档日志，使用CDC工具基于日志实时捕获源端增量数据写入省局汇聚区，省局汇聚区数据表增加增量技术字段SJTBSJ(数据入库时间)和SJCZBS（'I','D','U'）,并保留最终结果数据，包括删除数据；源端系统未开启归档日志，使用ETL工具定时批量抽取源端系统数据到省局汇聚区，表结构与源端保持一致。</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税智撑”汇聚区向大数据平台供应数据，大数据平台时效性要求实时的数据通过CDC工具基于日志实时捕获源端增量数据写入到大数据平台数据库；大数据平台时效性要求定时的数据通过CDC工具读取省局汇聚区的数据定时写入到大数据平台数据库。</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3、“税智撑”汇聚区向下游系统供应数据分为实时数据通道、增量文件通道、增量ETL通道。</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（1）实时消息通道</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实时消息通道是为满足下游实时数据业务需求，符合省局汇聚区标准化要求的源端系统数据，通过CDC工具将源端数据投递到KAFKA消息队列，下游系统通过消费实时消费KAFAK消息队列数据。</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4.定时增量文件同步通道</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定时增量文件同步通道是为满足下游系统定时数据业务需求，通过应用程序根据增量数据标识获取省局汇聚区增量数据生成增量数据文件和定义文件，汇聚区将生成的数据文件和定义文件写入到CSP服务器，下游系统通过CSP客户端获取数据文件和定义文件，同时“税智撑”汇聚区通过数据接口提供数据文件生成记录信息，下游系统通过接口调用文件生成记录，与获取数据文件记录进行比较，保障数据传输的一致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5.定时增量数据同步通道</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定时增量数据同步通道是为满足下游定时数据业务需求，源端系统无法使用CDC工具捕获增量数据或不符合省局汇聚区标准化要求的源端系统数据，由下游系统通过ETL工具直接连接“税智撑”汇聚区数据库，将数据拉取到下游系统。</w:t>
      </w:r>
    </w:p>
    <w:p>
      <w:pPr>
        <w:keepNext/>
        <w:keepLines/>
        <w:widowControl w:val="0"/>
        <w:numPr>
          <w:ilvl w:val="2"/>
          <w:numId w:val="0"/>
        </w:numPr>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3.2.2大数据平台供应链路</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定时全量链路</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大数据平台定时全量链路源端包括外部交换系统，定时全量链路采用新建schema，由税智撑搭建从汇聚区到大数据平台的定时全量链路替换大数据平台原有链路的方式进行替换，具体方案如下：</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（1）省局在大数据平台数据库创建新的schema，schema名称为源端系统schema名称加上_HJQ后缀。</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（2）税智撑搭建定时全量链路，按照大数据平台提供的表清单同步全量数据到新的schema，定时全量链路的启动时间按照大数据平台的要求进行配置。</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实时增量链路</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大数据平台实时增量链路源端包括核心征管、电子底账、社保费，实时增量链路采用新建schema，与原有链路双轨运行的方式进行，具体步骤如下：</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1、省局在大数据平台数据库创建新的schema，schema名称为源端系统schema名称加上_HJQ后缀。</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2、搭建实时增量链路，按照大数据平台提供的表清单同步全量加增量数据到新的schema。</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3、大数据平台不保留删除数据和入库时间字段。</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 MPP数据库</w:t>
      </w:r>
    </w:p>
    <w:p>
      <w:pPr>
        <w:keepNext/>
        <w:keepLines/>
        <w:widowControl w:val="0"/>
        <w:numPr>
          <w:ilvl w:val="2"/>
          <w:numId w:val="0"/>
        </w:numPr>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3.3.1总体需求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1.采用可扩展且稳定的分布式技术架构。基于分布式架构进行数据库性能优化设计，能够存储和处理海量的数据。</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2.用户界面设计尽可能考虑使用习惯及视觉特征，界面力求美观大方，操作界面力求简洁实用，系统响应流畅，用户体验良好。</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3.符合税务总局关于应用安全、数据安全、网络安全、安全审计、安全管理等方面的相关要求。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4.在平台设计开发及推广上线过程中，充分考虑可靠性、易用性、可扩展性、可维护性等要求，保障业务连续、系统稳定、网络安全。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5.在开发部署过程中，应充分考虑服务器架构差异，做好适配。</w:t>
      </w:r>
    </w:p>
    <w:p>
      <w:pPr>
        <w:keepNext/>
        <w:keepLines/>
        <w:widowControl w:val="0"/>
        <w:numPr>
          <w:ilvl w:val="2"/>
          <w:numId w:val="0"/>
        </w:numPr>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3.3.2产品技术指标</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以下为相关产品技术指标参数，★代表最关键指标，必须满足。</w:t>
      </w:r>
    </w:p>
    <w:tbl>
      <w:tblPr>
        <w:tblStyle w:val="26"/>
        <w:tblW w:w="851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8"/>
        <w:gridCol w:w="1229"/>
        <w:gridCol w:w="1289"/>
        <w:gridCol w:w="3822"/>
        <w:gridCol w:w="13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r>
              <w:rPr>
                <w:rStyle w:val="28"/>
                <w:rFonts w:hint="eastAsia" w:asciiTheme="minorEastAsia" w:hAnsiTheme="minorEastAsia" w:eastAsiaTheme="minorEastAsia" w:cstheme="minorEastAsia"/>
                <w:kern w:val="2"/>
                <w:sz w:val="24"/>
                <w:szCs w:val="24"/>
                <w:lang w:val="en-US" w:eastAsia="zh-CN" w:bidi="ar-SA"/>
              </w:rPr>
              <w:t>序号</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r>
              <w:rPr>
                <w:rStyle w:val="28"/>
                <w:rFonts w:hint="eastAsia" w:asciiTheme="minorEastAsia" w:hAnsiTheme="minorEastAsia" w:eastAsiaTheme="minorEastAsia" w:cstheme="minorEastAsia"/>
                <w:kern w:val="2"/>
                <w:sz w:val="24"/>
                <w:szCs w:val="24"/>
                <w:lang w:val="en-US" w:eastAsia="zh-CN" w:bidi="ar-SA"/>
              </w:rPr>
              <w:t>指标种类</w:t>
            </w:r>
          </w:p>
        </w:tc>
        <w:tc>
          <w:tcPr>
            <w:tcW w:w="128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r>
              <w:rPr>
                <w:rStyle w:val="28"/>
                <w:rFonts w:hint="eastAsia" w:asciiTheme="minorEastAsia" w:hAnsiTheme="minorEastAsia" w:eastAsiaTheme="minorEastAsia" w:cstheme="minorEastAsia"/>
                <w:kern w:val="2"/>
                <w:sz w:val="24"/>
                <w:szCs w:val="24"/>
                <w:lang w:val="en-US" w:eastAsia="zh-CN" w:bidi="ar-SA"/>
              </w:rPr>
              <w:t>指标名称</w:t>
            </w:r>
          </w:p>
        </w:tc>
        <w:tc>
          <w:tcPr>
            <w:tcW w:w="3822"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r>
              <w:rPr>
                <w:rStyle w:val="28"/>
                <w:rFonts w:hint="eastAsia" w:asciiTheme="minorEastAsia" w:hAnsiTheme="minorEastAsia" w:eastAsiaTheme="minorEastAsia" w:cstheme="minorEastAsia"/>
                <w:kern w:val="2"/>
                <w:sz w:val="24"/>
                <w:szCs w:val="24"/>
                <w:lang w:val="en-US" w:eastAsia="zh-CN" w:bidi="ar-SA"/>
              </w:rPr>
              <w:t>指标内容</w:t>
            </w:r>
          </w:p>
        </w:tc>
        <w:tc>
          <w:tcPr>
            <w:tcW w:w="1332"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r>
              <w:rPr>
                <w:rStyle w:val="28"/>
                <w:rFonts w:hint="eastAsia" w:asciiTheme="minorEastAsia" w:hAnsiTheme="minorEastAsia" w:eastAsiaTheme="minorEastAsia" w:cstheme="minorEastAsia"/>
                <w:kern w:val="2"/>
                <w:sz w:val="24"/>
                <w:szCs w:val="24"/>
                <w:lang w:val="en-US" w:eastAsia="zh-CN" w:bidi="ar-SA"/>
              </w:rPr>
              <w:t>是否需要证明材料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7" w:hRule="atLeast"/>
          <w:jc w:val="center"/>
        </w:trPr>
        <w:tc>
          <w:tcPr>
            <w:tcW w:w="8510" w:type="dxa"/>
            <w:gridSpan w:val="5"/>
            <w:noWrap w:val="0"/>
            <w:vAlign w:val="center"/>
          </w:tcPr>
          <w:p>
            <w:pPr>
              <w:suppressAutoHyphens/>
              <w:kinsoku/>
              <w:wordWrap/>
              <w:topLinePunct w:val="0"/>
              <w:bidi w:val="0"/>
              <w:adjustRightInd w:val="0"/>
              <w:snapToGrid w:val="0"/>
              <w:spacing w:line="360" w:lineRule="auto"/>
              <w:ind w:left="0" w:leftChars="0"/>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产品1（大规模并行处理数据库）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r>
              <w:rPr>
                <w:rStyle w:val="28"/>
                <w:rFonts w:hint="eastAsia" w:asciiTheme="minorEastAsia" w:hAnsiTheme="minorEastAsia" w:eastAsiaTheme="minorEastAsia" w:cstheme="minorEastAsia"/>
                <w:kern w:val="2"/>
                <w:sz w:val="24"/>
                <w:szCs w:val="24"/>
                <w:lang w:val="en-US" w:eastAsia="zh-CN" w:bidi="ar-SA"/>
              </w:rPr>
              <w:t>1</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r>
              <w:rPr>
                <w:rStyle w:val="28"/>
                <w:rFonts w:hint="eastAsia" w:asciiTheme="minorEastAsia" w:hAnsiTheme="minorEastAsia" w:eastAsiaTheme="minorEastAsia" w:cstheme="minorEastAsia"/>
                <w:kern w:val="2"/>
                <w:sz w:val="24"/>
                <w:szCs w:val="24"/>
                <w:lang w:val="en-US" w:eastAsia="zh-CN" w:bidi="ar-SA"/>
              </w:rPr>
              <w:t>★</w:t>
            </w: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数据库安装与重启</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1、数据库安装应符合下列条款：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支持命令行或图形化的安装；</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支持命令行或图形化的可配置安装能力；</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依据安装环境提供相应的初始化参数配置值；</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提供图形化软件组件管理向导工具。</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2、数据库重启应符合下列条款：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支持命令行或图形化的方式关闭和启动服务；</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关闭服务后，再启动服务，服务应正常。</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2</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安装配置日志</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数据库安装配置日志应符合下列条款：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数据库提供软件安装的日志记录功能；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记录的软件安装信息完整正确；</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数据库提供安装配置操作的日志记录功能；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记录的配置操作信息完整正确。</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3</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升级维护</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数据库升级维护应符合下列条款：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支持版本升级，保证版本间功能和数据的兼容性；</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厂商提供当前版本与历史版本的差异说明文档，包含新版本对软件和硬件的支持情况。</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4</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安装和升级的兼容性</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数据库支持在不同CPU架构的节点上安装配置、升级，且安装配置、升级数据库的命令行或图形界面相同或相似。</w:t>
            </w:r>
          </w:p>
        </w:tc>
        <w:tc>
          <w:tcPr>
            <w:tcW w:w="133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5</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操作系统兼容性</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数据库服务器端支持主流Linux发行版本的操作系统。客户端支持主流Linux发行版本、Windows及主流国产操作系统。</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6</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节点部署</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支持节点安装配置；</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支持通过单一节点发起并将数据库部署在多个节点上。</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7</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参数配置</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数据库参数配置应符合下列条款：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依据工作负载和运行环境，提供配置参数修改的能力；</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修改数据库配置参数后，配置参数立即生效或数据库重新启动生效，立即生效的配置参数和需要数据库重新启动方可生效的配置参数应在相关文档中明确。</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8</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基础数据类型</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数据库基础数据类型应符合下列条款：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支持数值类型；</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支持字符类型；</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支持二进制类型；</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支持日期和时间类型；</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e) 支持布尔类型；</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f) 支持（大）文本类型；</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g) 支持大对象类型。</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9</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r>
              <w:rPr>
                <w:rStyle w:val="28"/>
                <w:rFonts w:hint="eastAsia" w:asciiTheme="minorEastAsia" w:hAnsiTheme="minorEastAsia" w:eastAsiaTheme="minorEastAsia" w:cstheme="minorEastAsia"/>
                <w:kern w:val="2"/>
                <w:sz w:val="24"/>
                <w:szCs w:val="24"/>
                <w:lang w:val="en-US" w:eastAsia="zh-CN" w:bidi="ar-SA"/>
              </w:rPr>
              <w:t>★</w:t>
            </w: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数据存储基础功能</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数据库应支持基础数据类型；</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10</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数据检索基础功能</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数据库应支持基础数据类型；</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11</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核心SQL能力</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数据库核心SQL能力应符合下列条款：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支持左外连接；</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支持右外连接；</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支持内连接；</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支持全连接。</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12</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字符集</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数据库字符集应符合GB 18030的要求。</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13</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常用操作符</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数据库操作符应符合下列条款：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支持逻辑操作符及相关运算；</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支持比较操作符及相关运算；</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支持算术运算符及相关运算。</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14</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条件表达式</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数据库条数据库件表达式应符合下列条款：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支持对比条件表达式；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支持逻辑条件表达式；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支持空值条件表达式；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支持等于条件表达式；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e) 支持模式匹配条件表达式；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f) 支持区间条件表达式；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g) 支持IN条件表达式；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h) 支持存在条件表达式；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i) 支持以上条件表达式的复合表达式。</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15</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SQL执行计划</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数据库应支持SQL计划，使SQL按照指定的语句执行，并实现预期结果。</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16</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基础对象类型</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数据库支持基础对象类型，包括：</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1、用户：应支持用户的创建、删除、修改。</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2、角色：应支持角色的创建、删除、修改。</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3、存储过程：应支持存储过程的创建、删除、修改。</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4、表对象：应支持表操作功能。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5、序列：应支持自增序列。</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6、约束：应支持主键约束、外键约束、唯一性约束、检查约束和联合主键约束。</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7、游标：应支持游标功能。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8、视图：应支持视图的创建、删除、修改。</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9、函数：应支持数值计算函数、字符处理函数、日期时间值函数、间隔函数、类型转换函数、位运算函数、聚合函数、格式化、系统信息等常用函数。</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17</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基础表分区管理</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数据库基础表分区管理应支持以下水平分区方式：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哈希分区方式；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范围分区方式；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列表分区方式。</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18</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对象变更</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数据库支持对象变更包括：</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a)对象变更应支持数据库的创建、删除、更新以及数据库属性的查询。</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b)对象变更应支持在线变更表结构、索引。</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c)对象变更应支持数据的增加、删除、修改和查询。</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19</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r>
              <w:rPr>
                <w:rStyle w:val="28"/>
                <w:rFonts w:hint="eastAsia" w:asciiTheme="minorEastAsia" w:hAnsiTheme="minorEastAsia" w:eastAsiaTheme="minorEastAsia" w:cstheme="minorEastAsia"/>
                <w:kern w:val="2"/>
                <w:sz w:val="24"/>
                <w:szCs w:val="24"/>
                <w:lang w:val="en-US" w:eastAsia="zh-CN" w:bidi="ar-SA"/>
              </w:rPr>
              <w:t>★</w:t>
            </w: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事务基础特性</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数据库应支持事务的ACID。</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20</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死锁检测与处理</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数据库死锁处理应符合下列条款：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在并发执行过程中，能检测到死锁；</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提供解决全局死锁的机制；</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具备死锁处理能力；</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具备死锁超时回滚的能力；</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e) 具备死锁检测与处理记录功能。</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21</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运行时统计信息基础功能</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1、数据库慢SQL统计功能应符合下列条款：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支持统计SQL语句；</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支持统计用户名；</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支持统计数据库名；</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支持统计执行时长。</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2、数据库性能状态统计功能符合下列条款：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应支持统计每秒事务数和查询数；</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应支持统计SQL平均响应时间；</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应支持统计高频SQL。</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22</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运行时统计信息增强功能</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数据库运行时统计信息增强功能，包括：</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a)支持统计集群节点CPU使用情况；</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b)支持统计集群节点内存使用情况；</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c)支持统计集群节点磁盘使用情况；</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d)支持统计集群节点网络使用情况。</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23</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日志</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left"/>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数据库日志统计应符合下列条款：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具备对各类事件进行日志记录的功能，可通过日志查看操作内容、执行过程和结果；</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具备提示和警告功能，提示或警告数据库结构修改、数据库运行配置修改等重要操作；</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日志完整正确，并且提供可读文本的形式；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支持中文/英文日志。</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24</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远程运维</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数据库应具备远程维护功能。</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25</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报警</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数据库报警功能应符合下列条款：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厂商提供通知管理员的方法或工具；</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支持设置报警基线，数据库运行中遇到重要事件、异常事件和状态、超过报警阈值等情况时，通知管理员；</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数据库提供报警API；</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报警发生时，支持报警信息的实时展示。</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26</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数据迁移</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数据库数据迁移应符合下列条款：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数据库提供元数据、数据库、数据库对象、表数据快速迁移的功能；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支持数据迁移工具实现同构或异构数据库之间的数据迁移；</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支持全量数据迁移、增量数据持续同步等迁移模式；</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在数据迁移过程中应具备应对传输异常的能力，保障数据迁移的稳定性、连续性和一致性；</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e) 支持存量数据的一次性迁移和增量数据库的持续同步；</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f) 支持多种不同类型的源数据库和目标数据库之间的数据迁移。</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27</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数据比对基础功能</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数据库对源数据库和目标数据库之间的数据进行比对，应支持数据一致性，并提供一致性比对报告。</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28</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数据备份</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数据库数据备份应符合下列条款：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运行状态下支持对数据库进行全库备份；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运行状态下支持对数据库进行部分备份；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运行状态下支持对数据库进行增量备份。</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29</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多种存储媒体备份、还原</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数据库应支持多种备份存储媒体，支持多种存储媒体的部分、完整数据库数据还原处理能力。</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30</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备份还原的一致性校验</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数据库厂商应提供数据库备份数据一致性校验的命令或工具。</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31</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集群构建与管理</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数据库集群构建与管理功能应符合下列条款：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支持集群的运行环境；</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支持创建并配置数据库集群；</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配置信息至少包括日常运维管理、容灾管理、日志管理、备份管理、监控等。</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32</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数据分布</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数据库数据分布功能应符合下列条款：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支持自动数据分布；</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按照指定规则设置数据分布。</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33</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r>
              <w:rPr>
                <w:rStyle w:val="28"/>
                <w:rFonts w:hint="eastAsia" w:asciiTheme="minorEastAsia" w:hAnsiTheme="minorEastAsia" w:eastAsiaTheme="minorEastAsia" w:cstheme="minorEastAsia"/>
                <w:kern w:val="2"/>
                <w:sz w:val="24"/>
                <w:szCs w:val="24"/>
                <w:lang w:val="en-US" w:eastAsia="zh-CN" w:bidi="ar-SA"/>
              </w:rPr>
              <w:t>★</w:t>
            </w: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分布式计算</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数据库应支持在分布式节点上的并行计算。</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34</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集群扩展</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a) 支持在线扩容、缩容；</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集群扩容、缩容过程中支持分布式事务ACID特性。</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35</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数据重分布</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数据库应支持按照数据库集群的节点、状态和负载的变化，进行动态重分布。</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36</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对应用透明</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数据库应支持对应用透明。当数据分布、分布计算、集群扩展、数据重分布等变化时，不需要修改应用代码。</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37</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均分负载</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数据库应支持在集群环境下，事务并行执行。</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38</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负载分析器</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需提供负载分析器来收集数据库运行负载数据。</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39</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数据库开发测试工具</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a) 具备图形化功能，提高易用性；</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具备导入、编辑、保存、执行SQL语句和SQL脚本功能；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具备复制、编辑现有数据库对象功能；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具备关键词显示标记、动态语法提示的SQL编辑器功能。</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40</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用户、角色管理工具</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a) 支持创建、修改、删除用户的功能；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b）提供定义用户的功能；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支持创建、修改、删除角色的功能，且提供用户自定义角色的功能；</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d) 所有的用户操作都可以审计和回溯。</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41</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用户隔离</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a)支持通过资源配额和优先级来支持纵向用用户隔离；</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b)支持通过存储计算分离模式和子集群支持横向多用户隔离；</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c)支持按用户分别管理备份策略。</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42</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SQL执行计划查看工具</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数据库厂商提供SQL执行计划查看工具，并应符合下列条款：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提供与数据库管理系统进行SQL交互的工具，方便运维工作；</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支持查看SQL语句查询执行计划与统计信息。</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43</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数据库对象工具</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1、数据库创建数据库对象工具应符合下列条款：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支持创建表的功能，支持定义表结构、约束、存储配置管理的功能；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支持创建索引的功能，支持定义索引结构、类型、存储配置管理的功能；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支持创建视图的功能，支持视图定义的功能；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支持创建约束的功能，支持约束定义的功能。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2、数据库修改数据库对象工具应符合下列条款：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支持修改表的功能，支持定义表结构、约束、存储配置管理的功能；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支持修改索引的功能，支持定义索引结构、类型、存储配置管理的功能；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支持修改视图的功能，支持视图定义的功能；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支持修改约束的功能，支持约束定义的功能。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3、数据库删除数据库对象工具应符合下列条款：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支持删除表的功能，支持定义表结构、约束、存储配置管理的功能；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支持删除索引的功能，支持定义索引结构、类型、存储配置管理的功能；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支持删除视图的功能，支持视图定义的功能；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支持删除约束的功能，支持约束定义的功能。</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44</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导入导出工具</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数据库导入导出工具应符合下列条款：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支持导出不同格式，可以将不同格式数据导入到数据库中；</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支持不同级别和不同数据库对象的导入/导出功能；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支持从文本文件或者其他上游数据源将数据导入；</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支持SQL脚本进行导入导出。</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45</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数据库运维工具</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数据库运维工具应符合下列条款：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支持数据库、数据库存储对象结构、数据、统计信息更新维护；</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支持数据库创建、数据库修改、数据库删除、数据库模板维护；</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支持数据库任务自动化调度作业管理；</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支持图形化展示数据库管理的各种元数据界面，展示的内容应具有层次性，包括模式、非模式数据字典信息。</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46</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监控跟踪工具</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数据库监控跟踪工具符合下列条款：</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a) 收集和统计数据库某时间段的运行状态及性能信息，判断该时间的数据库运行性能瓶颈；</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b) 支持系统状态监控能力，包括对集群、服务器和数据库状态的监控等；</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c) 支持性能瓶颈跟踪、运行过程监测与调优；</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d) 提供数据库实例、网络通信、数据库对象的跟踪日志，日志数据应准确、完整；</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e) 支持特定事件或事务发生时收集监控数据库活动事务数据；</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f) 支持跟踪数据库等待事件；</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g) 提供捕获并记录实例、数据库在特定时间点的状态。</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47</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图形化管理</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a)厂商应提供图形化的开发工具；</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b)厂商应提供图形化的运维工具；</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c) 厂商应提供图形化数据展示工具。</w:t>
            </w:r>
          </w:p>
        </w:tc>
        <w:tc>
          <w:tcPr>
            <w:tcW w:w="133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48</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r>
              <w:rPr>
                <w:rStyle w:val="28"/>
                <w:rFonts w:hint="eastAsia" w:asciiTheme="minorEastAsia" w:hAnsiTheme="minorEastAsia" w:eastAsiaTheme="minorEastAsia" w:cstheme="minorEastAsia"/>
                <w:kern w:val="2"/>
                <w:sz w:val="24"/>
                <w:szCs w:val="24"/>
                <w:lang w:val="en-US" w:eastAsia="zh-CN" w:bidi="ar-SA"/>
              </w:rPr>
              <w:t>★</w:t>
            </w: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稳定运行</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数据库应支持稳定运行，符合下列条款：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支持连续稳定运行；</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支持数据库管理系统运行风险的报警能力。</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49</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快速切换</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数据库应支持快速切换，在主数据库出现故障时，能够快速切换到备用数据库，保障业务正常运行。</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50</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恢复无断点</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数据库应支持无断点恢复能力。</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51</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主备备份</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数据库应支持主备备份，符合下列条款：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支持多副本，支持主副本与从副本之间的数据同步，最低时延由生产厂商提供；</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数据库提供基于主机的数据库复制技术，包括基于日志/元数据的备用数据库远程数据库备份技术，并应具备数据副本间的复制能力。</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52</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实例容灾</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数据库应支持实例容灾，符合下列条款：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在任意数据库实例出现故障时，集群内服务正常运行，数据不丢失，集群整体业务可用；</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在实例故障、节点故障等单数据库实例故障时，RPO时间等于0，RTO时间小于30s。</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53</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容灾部署</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数据库应支持容灾部署，符合下列条款：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数据库应提供远程容灾部署与管理功能；</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数据库应提供生产中心与备份中心之间的容灾部署与管理功能。</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54</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同城容灾</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数据库应支持同城容灾，符合下列条款：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支持同城双中心部署，当主中心故障时，业务应切换到备中心；</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由于网络、供电等原因造成的可用区级故障，触发集群计划外停机，在同城多可用区场景下，RPO时间等于0，RTO时间小于1分钟。</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55</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服务端编程稳定性</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数据库应支持当用户自定义的存储过程、函数运行异常时，数据库稳定运行。</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56</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网络容错</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数据库应支持网络中断时，保障事务一致性。</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57</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检测报警</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数据库应支持检测报警，符合下列条款：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支持数据库实例启动时错误检测能力；</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支持加载不同文件格式、不同大小数据出现错误时的故障检测和处理能力；</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支持数据库备份执行过程中发生故障时报错或者报警能力；</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支持数据库恢复发生故障时报错或者报警能力。</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58</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故障恢复</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数据库应支持故障恢复，符合下列条款：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系统故障重启后能正常运行且支持数据一致性；</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支持完全媒体故障恢复的能力；</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数据库提供基于时间点故障恢复功能。</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59</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不同级别故障可恢复</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 xml:space="preserve">数据库应支持数据库事务故障、系统故障、存储媒体故障不同级别的可恢复能力。 </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60</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硬件平台兼容</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数据库硬件平台兼容应符合下列条款：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同源支持以下至少三种CPU平台架构：</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1) ARM；</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2) LoongArch；</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3) MIPS；</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4) SW64；</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5) x86。</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支持SMP和NUMA的运行环境。</w:t>
            </w:r>
          </w:p>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c) 支持飞腾、鲲鹏、海光等不同CPU架构的服务器，支持包括X86、ARM等多种架构服务器的混合部署。</w:t>
            </w:r>
          </w:p>
        </w:tc>
        <w:tc>
          <w:tcPr>
            <w:tcW w:w="133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61</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标准兼容</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数据库应支持ODBC。数据库应支持JDBC。</w:t>
            </w:r>
          </w:p>
        </w:tc>
        <w:tc>
          <w:tcPr>
            <w:tcW w:w="133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62</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交付方式</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数据库应以光盘、便携式移动设备、镜像文件等交付方式提供产品交付物。</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63</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服务周期</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数据库服务周期应符合下列条款：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产品自发布之日起至产品停止功能升级（包含新特性、新硬件支持）之日止不少于5年；</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产品停止功能升级之日起至产品停止功能维护（主要包括问题修复）之日止不少于4年；</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产品功能维护停止之日起至产品停止安全维护（包括中高风险漏洞修复）之日止不少于2年；</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自销售之日起，产品售后服务周期不少于6年；</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e) 产品说明书中应明确产品发布日期、计划停止升级日期、计划停止服务日期。</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64</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供应链与服务保障基础要求</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数据库供应链与服务保障符合下列条款：</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a) 应提供多种形式支持服务，包含电话、电子邮件、远程连接等；</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b) 应提供技术支持服务，支持同城4h、异地12h响应要求，两个工作日解决问题，对于未能解决的问题和故障应提供可行的升级方案；</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c) 应提供培训材料、产品手册、培训视频等培训相关内容；</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d) 应建立全国技术服务体系和服务团队，符合专业服务体系标准要求，提供原厂中文服务；</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e) 服务周期内应支持版本升级（费用包含在报价内）；</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f) 开源产品应对获得的社区源代码进行安全性和知识产权审查与管理；</w:t>
            </w:r>
            <w:r>
              <w:rPr>
                <w:rStyle w:val="71"/>
                <w:rFonts w:hint="eastAsia" w:asciiTheme="minorEastAsia" w:hAnsiTheme="minorEastAsia" w:eastAsiaTheme="minorEastAsia" w:cstheme="minorEastAsia"/>
                <w:sz w:val="24"/>
                <w:szCs w:val="24"/>
              </w:rPr>
              <w:br w:type="textWrapping"/>
            </w:r>
            <w:r>
              <w:rPr>
                <w:rStyle w:val="71"/>
                <w:rFonts w:hint="eastAsia" w:asciiTheme="minorEastAsia" w:hAnsiTheme="minorEastAsia" w:eastAsiaTheme="minorEastAsia" w:cstheme="minorEastAsia"/>
                <w:sz w:val="24"/>
                <w:szCs w:val="24"/>
              </w:rPr>
              <w:t>g) 应提供数据库参数、慢SQL语句的性能优化指南，包含性能优化的具体措施、技巧、案例及建议等。</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65</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安全要求</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数据库应当符合安全可靠测评要求。</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66</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安全机制</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支持数据加密和访问控制。支持明文口令、MD5散列口令、LDAP、GSS-encoded Kerberos tokens（RFC 1964）、Kerberos等多种认证方式方式，支持通过SSL加密传输机制增强安全性。支持对客户端网络的“白名单”和“黑名单”控制机制。</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67</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漏洞管理</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数据库厂商应建立漏洞管理机制，及时通过邮件、网站等方式将安全漏洞告知用户，并提供安全补丁对漏洞进行修复。</w:t>
            </w:r>
          </w:p>
        </w:tc>
        <w:tc>
          <w:tcPr>
            <w:tcW w:w="1332" w:type="dxa"/>
            <w:noWrap w:val="0"/>
            <w:vAlign w:val="center"/>
          </w:tcPr>
          <w:p>
            <w:pPr>
              <w:suppressAutoHyphens/>
              <w:kinsoku/>
              <w:wordWrap/>
              <w:topLinePunct w:val="0"/>
              <w:bidi w:val="0"/>
              <w:adjustRightInd w:val="0"/>
              <w:snapToGrid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68</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列式存储</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支持列式存储，满足列式数据库特性，可实现密集型数据读取。</w:t>
            </w:r>
          </w:p>
        </w:tc>
        <w:tc>
          <w:tcPr>
            <w:tcW w:w="133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69</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主动压缩</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支持根据每个列的数据类型、基数和查询特点，自动选择适用的排序方式和压缩算法，对不同数据类型支持多种压缩算法，高压缩比压缩。</w:t>
            </w:r>
          </w:p>
        </w:tc>
        <w:tc>
          <w:tcPr>
            <w:tcW w:w="133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70</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优化器和执行引擎</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需集成优化器和执行引擎，提供对数据库或模式的整体优化设计和特定查询的增量优化。</w:t>
            </w:r>
          </w:p>
        </w:tc>
        <w:tc>
          <w:tcPr>
            <w:tcW w:w="133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71</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实时聚合</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支持实时聚合，在数据装载的同时，完成大表关联、分组和Top-N排名等计算的实时聚合分析。</w:t>
            </w:r>
          </w:p>
        </w:tc>
        <w:tc>
          <w:tcPr>
            <w:tcW w:w="133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72</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自动宽表</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支持自动宽表，自动完成宽表实时转换。</w:t>
            </w:r>
          </w:p>
        </w:tc>
        <w:tc>
          <w:tcPr>
            <w:tcW w:w="133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73</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r>
              <w:rPr>
                <w:rStyle w:val="28"/>
                <w:rFonts w:hint="eastAsia" w:asciiTheme="minorEastAsia" w:hAnsiTheme="minorEastAsia" w:eastAsiaTheme="minorEastAsia" w:cstheme="minorEastAsia"/>
                <w:kern w:val="2"/>
                <w:sz w:val="24"/>
                <w:szCs w:val="24"/>
                <w:lang w:val="en-US" w:eastAsia="zh-CN" w:bidi="ar-SA"/>
              </w:rPr>
              <w:t>★</w:t>
            </w: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授权</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支持不低于50T有效数据且可部署在不低于120个服务器节点使用的不可撤销的永久授权。</w:t>
            </w:r>
          </w:p>
        </w:tc>
        <w:tc>
          <w:tcPr>
            <w:tcW w:w="133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需提供承诺函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0" w:type="dxa"/>
            <w:gridSpan w:val="5"/>
            <w:noWrap w:val="0"/>
            <w:vAlign w:val="top"/>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产品2（数据操作支持和管控工具）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数据查询</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提供SQL编辑、多行SQL查询，分割或换行等功能。数据查询列表功能展示个人的数据查询记录。</w:t>
            </w:r>
          </w:p>
        </w:tc>
        <w:tc>
          <w:tcPr>
            <w:tcW w:w="133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suppressAutoHyphens/>
              <w:kinsoku/>
              <w:wordWrap/>
              <w:topLinePunct w:val="0"/>
              <w:bidi w:val="0"/>
              <w:adjustRightInd w:val="0"/>
              <w:snapToGrid w:val="0"/>
              <w:spacing w:line="360" w:lineRule="auto"/>
              <w:ind w:left="0" w:leftChars="0" w:firstLine="0" w:firstLineChars="0"/>
              <w:jc w:val="center"/>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2</w:t>
            </w:r>
          </w:p>
        </w:tc>
        <w:tc>
          <w:tcPr>
            <w:tcW w:w="1229" w:type="dxa"/>
            <w:noWrap w:val="0"/>
            <w:vAlign w:val="center"/>
          </w:tcPr>
          <w:p>
            <w:pPr>
              <w:widowControl w:val="0"/>
              <w:suppressAutoHyphens/>
              <w:kinsoku/>
              <w:wordWrap/>
              <w:topLinePunct w:val="0"/>
              <w:bidi w:val="0"/>
              <w:adjustRightInd w:val="0"/>
              <w:snapToGrid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权限管理</w:t>
            </w:r>
          </w:p>
        </w:tc>
        <w:tc>
          <w:tcPr>
            <w:tcW w:w="382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支持通过前台页面的方式对数据权限进行控制，可对用户进行连接访问及操作权限的分配，详细到具体数据库中表、行、列、视图、函数组、存储过程，并可对用户的指定操作进行授权。</w:t>
            </w:r>
          </w:p>
        </w:tc>
        <w:tc>
          <w:tcPr>
            <w:tcW w:w="1332" w:type="dxa"/>
            <w:noWrap w:val="0"/>
            <w:vAlign w:val="center"/>
          </w:tcPr>
          <w:p>
            <w:pPr>
              <w:suppressAutoHyphens/>
              <w:kinsoku/>
              <w:wordWrap/>
              <w:topLinePunct w:val="0"/>
              <w:bidi w:val="0"/>
              <w:adjustRightInd w:val="0"/>
              <w:snapToGrid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widowControl/>
              <w:suppressAutoHyphens/>
              <w:kinsoku/>
              <w:wordWrap/>
              <w:topLinePunct w:val="0"/>
              <w:bidi w:val="0"/>
              <w:adjustRightInd w:val="0"/>
              <w:snapToGrid w:val="0"/>
              <w:spacing w:line="360" w:lineRule="auto"/>
              <w:ind w:left="0" w:leftChars="0" w:firstLine="0" w:firstLineChars="0"/>
              <w:jc w:val="center"/>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3</w:t>
            </w:r>
          </w:p>
        </w:tc>
        <w:tc>
          <w:tcPr>
            <w:tcW w:w="1229" w:type="dxa"/>
            <w:noWrap w:val="0"/>
            <w:vAlign w:val="center"/>
          </w:tcPr>
          <w:p>
            <w:pPr>
              <w:widowControl/>
              <w:suppressAutoHyphens/>
              <w:kinsoku/>
              <w:wordWrap/>
              <w:topLinePunct w:val="0"/>
              <w:bidi w:val="0"/>
              <w:spacing w:line="360" w:lineRule="auto"/>
              <w:ind w:left="0" w:leftChars="0" w:firstLine="0" w:firstLineChars="0"/>
              <w:jc w:val="center"/>
              <w:textAlignment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多种数据库纳管</w:t>
            </w:r>
          </w:p>
        </w:tc>
        <w:tc>
          <w:tcPr>
            <w:tcW w:w="3822"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支持多数据库类型纳管将内部数据库统一收敛，作为数据库的统一访问入口。</w:t>
            </w:r>
          </w:p>
        </w:tc>
        <w:tc>
          <w:tcPr>
            <w:tcW w:w="1332" w:type="dxa"/>
            <w:noWrap w:val="0"/>
            <w:vAlign w:val="center"/>
          </w:tcPr>
          <w:p>
            <w:pPr>
              <w:suppressAutoHyphens/>
              <w:kinsoku/>
              <w:wordWrap/>
              <w:topLinePunct w:val="0"/>
              <w:bidi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widowControl/>
              <w:suppressAutoHyphens/>
              <w:kinsoku/>
              <w:wordWrap/>
              <w:topLinePunct w:val="0"/>
              <w:bidi w:val="0"/>
              <w:adjustRightInd w:val="0"/>
              <w:snapToGrid w:val="0"/>
              <w:spacing w:line="360" w:lineRule="auto"/>
              <w:ind w:left="0" w:leftChars="0" w:firstLine="0" w:firstLineChars="0"/>
              <w:jc w:val="center"/>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4</w:t>
            </w:r>
          </w:p>
        </w:tc>
        <w:tc>
          <w:tcPr>
            <w:tcW w:w="1229" w:type="dxa"/>
            <w:noWrap w:val="0"/>
            <w:vAlign w:val="center"/>
          </w:tcPr>
          <w:p>
            <w:pPr>
              <w:widowControl/>
              <w:suppressAutoHyphens/>
              <w:kinsoku/>
              <w:wordWrap/>
              <w:topLinePunct w:val="0"/>
              <w:bidi w:val="0"/>
              <w:spacing w:line="360" w:lineRule="auto"/>
              <w:ind w:left="0" w:leftChars="0" w:firstLine="0" w:firstLineChars="0"/>
              <w:jc w:val="center"/>
              <w:textAlignment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安全管控</w:t>
            </w:r>
          </w:p>
        </w:tc>
        <w:tc>
          <w:tcPr>
            <w:tcW w:w="3822"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支持基于角色的访问控制，支持权限分离和细粒度的管控，支持细化到表数据操作的关键语句和关键字；支持用户最小权限管理，高权限操作都需要先申请权限审批，才能进行相应的数据更改和提取。</w:t>
            </w:r>
          </w:p>
        </w:tc>
        <w:tc>
          <w:tcPr>
            <w:tcW w:w="1332" w:type="dxa"/>
            <w:noWrap w:val="0"/>
            <w:vAlign w:val="center"/>
          </w:tcPr>
          <w:p>
            <w:pPr>
              <w:suppressAutoHyphens/>
              <w:kinsoku/>
              <w:wordWrap/>
              <w:topLinePunct w:val="0"/>
              <w:bidi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widowControl/>
              <w:suppressAutoHyphens/>
              <w:kinsoku/>
              <w:wordWrap/>
              <w:topLinePunct w:val="0"/>
              <w:bidi w:val="0"/>
              <w:adjustRightInd w:val="0"/>
              <w:snapToGrid w:val="0"/>
              <w:spacing w:line="360" w:lineRule="auto"/>
              <w:ind w:left="0" w:leftChars="0" w:firstLine="0" w:firstLineChars="0"/>
              <w:jc w:val="center"/>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5</w:t>
            </w:r>
          </w:p>
        </w:tc>
        <w:tc>
          <w:tcPr>
            <w:tcW w:w="1229" w:type="dxa"/>
            <w:noWrap w:val="0"/>
            <w:vAlign w:val="center"/>
          </w:tcPr>
          <w:p>
            <w:pPr>
              <w:widowControl/>
              <w:suppressAutoHyphens/>
              <w:kinsoku/>
              <w:wordWrap/>
              <w:topLinePunct w:val="0"/>
              <w:bidi w:val="0"/>
              <w:spacing w:line="360" w:lineRule="auto"/>
              <w:ind w:left="0" w:leftChars="0" w:firstLine="0" w:firstLineChars="0"/>
              <w:jc w:val="center"/>
              <w:textAlignment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数据统一操作</w:t>
            </w:r>
          </w:p>
        </w:tc>
        <w:tc>
          <w:tcPr>
            <w:tcW w:w="3822"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支持可视化语句执行界面，同时支持原生终端命令行。具备数据回退功能，针对生产数据操作时，误操作语句可进行撤销。</w:t>
            </w:r>
          </w:p>
        </w:tc>
        <w:tc>
          <w:tcPr>
            <w:tcW w:w="1332" w:type="dxa"/>
            <w:noWrap w:val="0"/>
            <w:vAlign w:val="center"/>
          </w:tcPr>
          <w:p>
            <w:pPr>
              <w:suppressAutoHyphens/>
              <w:kinsoku/>
              <w:wordWrap/>
              <w:topLinePunct w:val="0"/>
              <w:bidi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widowControl/>
              <w:suppressAutoHyphens/>
              <w:kinsoku/>
              <w:wordWrap/>
              <w:topLinePunct w:val="0"/>
              <w:bidi w:val="0"/>
              <w:adjustRightInd w:val="0"/>
              <w:snapToGrid w:val="0"/>
              <w:spacing w:line="360" w:lineRule="auto"/>
              <w:ind w:left="0" w:leftChars="0" w:firstLine="0" w:firstLineChars="0"/>
              <w:jc w:val="center"/>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6</w:t>
            </w:r>
          </w:p>
        </w:tc>
        <w:tc>
          <w:tcPr>
            <w:tcW w:w="1229" w:type="dxa"/>
            <w:noWrap w:val="0"/>
            <w:vAlign w:val="center"/>
          </w:tcPr>
          <w:p>
            <w:pPr>
              <w:widowControl/>
              <w:suppressAutoHyphens/>
              <w:kinsoku/>
              <w:wordWrap/>
              <w:topLinePunct w:val="0"/>
              <w:bidi w:val="0"/>
              <w:spacing w:line="360" w:lineRule="auto"/>
              <w:ind w:left="0" w:leftChars="0" w:firstLine="0" w:firstLineChars="0"/>
              <w:jc w:val="center"/>
              <w:textAlignment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行为审计</w:t>
            </w:r>
          </w:p>
        </w:tc>
        <w:tc>
          <w:tcPr>
            <w:tcW w:w="3822"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底层接口获取执行的SQL语句，对用户行为进行分析判定，并对高危行为进行拦截、告警和记录。针对数据库的操作行为，进行操作中的同步监控，操作后的全方位审计，包含系统管理类和安全行为的审计，并留存日志和记录。</w:t>
            </w:r>
          </w:p>
        </w:tc>
        <w:tc>
          <w:tcPr>
            <w:tcW w:w="1332" w:type="dxa"/>
            <w:noWrap w:val="0"/>
            <w:vAlign w:val="center"/>
          </w:tcPr>
          <w:p>
            <w:pPr>
              <w:suppressAutoHyphens/>
              <w:kinsoku/>
              <w:wordWrap/>
              <w:topLinePunct w:val="0"/>
              <w:bidi w:val="0"/>
              <w:spacing w:line="360" w:lineRule="auto"/>
              <w:ind w:left="0" w:leftChars="0" w:firstLine="0" w:firstLineChars="0"/>
              <w:jc w:val="both"/>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需提供证明材料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widowControl/>
              <w:suppressAutoHyphens/>
              <w:kinsoku/>
              <w:wordWrap/>
              <w:topLinePunct w:val="0"/>
              <w:bidi w:val="0"/>
              <w:adjustRightInd w:val="0"/>
              <w:snapToGrid w:val="0"/>
              <w:spacing w:line="360" w:lineRule="auto"/>
              <w:ind w:left="0" w:leftChars="0" w:firstLine="0" w:firstLineChars="0"/>
              <w:jc w:val="center"/>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7</w:t>
            </w:r>
          </w:p>
        </w:tc>
        <w:tc>
          <w:tcPr>
            <w:tcW w:w="1229" w:type="dxa"/>
            <w:noWrap w:val="0"/>
            <w:vAlign w:val="center"/>
          </w:tcPr>
          <w:p>
            <w:pPr>
              <w:widowControl/>
              <w:suppressAutoHyphens/>
              <w:kinsoku/>
              <w:wordWrap/>
              <w:topLinePunct w:val="0"/>
              <w:bidi w:val="0"/>
              <w:spacing w:line="360" w:lineRule="auto"/>
              <w:ind w:left="0" w:leftChars="0" w:firstLine="0" w:firstLineChars="0"/>
              <w:jc w:val="center"/>
              <w:textAlignment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安全告警</w:t>
            </w:r>
          </w:p>
        </w:tc>
        <w:tc>
          <w:tcPr>
            <w:tcW w:w="3822"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具备非权限操作报警功能。</w:t>
            </w:r>
          </w:p>
        </w:tc>
        <w:tc>
          <w:tcPr>
            <w:tcW w:w="1332" w:type="dxa"/>
            <w:noWrap w:val="0"/>
            <w:vAlign w:val="center"/>
          </w:tcPr>
          <w:p>
            <w:pPr>
              <w:suppressAutoHyphens/>
              <w:kinsoku/>
              <w:wordWrap/>
              <w:topLinePunct w:val="0"/>
              <w:bidi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widowControl/>
              <w:suppressAutoHyphens/>
              <w:kinsoku/>
              <w:wordWrap/>
              <w:topLinePunct w:val="0"/>
              <w:bidi w:val="0"/>
              <w:adjustRightInd w:val="0"/>
              <w:snapToGrid w:val="0"/>
              <w:spacing w:line="360" w:lineRule="auto"/>
              <w:ind w:left="0" w:leftChars="0" w:firstLine="0" w:firstLineChars="0"/>
              <w:jc w:val="center"/>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8</w:t>
            </w:r>
          </w:p>
        </w:tc>
        <w:tc>
          <w:tcPr>
            <w:tcW w:w="1229" w:type="dxa"/>
            <w:noWrap w:val="0"/>
            <w:vAlign w:val="center"/>
          </w:tcPr>
          <w:p>
            <w:pPr>
              <w:widowControl w:val="0"/>
              <w:suppressAutoHyphens/>
              <w:kinsoku/>
              <w:wordWrap/>
              <w:topLinePunct w:val="0"/>
              <w:bidi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数据操作管理</w:t>
            </w:r>
          </w:p>
        </w:tc>
        <w:tc>
          <w:tcPr>
            <w:tcW w:w="3822"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内置统一的数据库SQL编辑器，支持各类数据库对象的创建、查看和编辑；支持自定义执行/选中执行、提示快捷键。</w:t>
            </w:r>
          </w:p>
        </w:tc>
        <w:tc>
          <w:tcPr>
            <w:tcW w:w="1332" w:type="dxa"/>
            <w:noWrap w:val="0"/>
            <w:vAlign w:val="center"/>
          </w:tcPr>
          <w:p>
            <w:pPr>
              <w:suppressAutoHyphens/>
              <w:kinsoku/>
              <w:wordWrap/>
              <w:topLinePunct w:val="0"/>
              <w:bidi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widowControl/>
              <w:suppressAutoHyphens/>
              <w:kinsoku/>
              <w:wordWrap/>
              <w:topLinePunct w:val="0"/>
              <w:bidi w:val="0"/>
              <w:adjustRightInd w:val="0"/>
              <w:snapToGrid w:val="0"/>
              <w:spacing w:line="360" w:lineRule="auto"/>
              <w:ind w:left="0" w:leftChars="0" w:firstLine="0" w:firstLineChars="0"/>
              <w:jc w:val="center"/>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9</w:t>
            </w:r>
          </w:p>
        </w:tc>
        <w:tc>
          <w:tcPr>
            <w:tcW w:w="1229" w:type="dxa"/>
            <w:noWrap w:val="0"/>
            <w:vAlign w:val="center"/>
          </w:tcPr>
          <w:p>
            <w:pPr>
              <w:widowControl w:val="0"/>
              <w:suppressAutoHyphens/>
              <w:kinsoku/>
              <w:wordWrap/>
              <w:topLinePunct w:val="0"/>
              <w:bidi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结果集语句管理</w:t>
            </w:r>
          </w:p>
        </w:tc>
        <w:tc>
          <w:tcPr>
            <w:tcW w:w="3822"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支持结果集复制开关功能。支持执行语句格式美化功能；支持查询语句收藏功能。支持Csv、Excel、Txt格式数据文件导入；支持遇错后继续进行或直接终止；支持导入任务断点续传。</w:t>
            </w:r>
          </w:p>
        </w:tc>
        <w:tc>
          <w:tcPr>
            <w:tcW w:w="1332" w:type="dxa"/>
            <w:noWrap w:val="0"/>
            <w:vAlign w:val="center"/>
          </w:tcPr>
          <w:p>
            <w:pPr>
              <w:suppressAutoHyphens/>
              <w:kinsoku/>
              <w:wordWrap/>
              <w:topLinePunct w:val="0"/>
              <w:bidi w:val="0"/>
              <w:spacing w:line="360" w:lineRule="auto"/>
              <w:ind w:left="0" w:leftChars="0"/>
              <w:jc w:val="center"/>
              <w:rPr>
                <w:rStyle w:val="71"/>
                <w:rFonts w:hint="eastAsia" w:asciiTheme="minorEastAsia" w:hAnsiTheme="minorEastAsia" w:eastAsia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38" w:type="dxa"/>
            <w:noWrap w:val="0"/>
            <w:vAlign w:val="center"/>
          </w:tcPr>
          <w:p>
            <w:pPr>
              <w:widowControl/>
              <w:suppressAutoHyphens/>
              <w:kinsoku/>
              <w:wordWrap/>
              <w:topLinePunct w:val="0"/>
              <w:bidi w:val="0"/>
              <w:adjustRightInd w:val="0"/>
              <w:snapToGrid w:val="0"/>
              <w:spacing w:line="360" w:lineRule="auto"/>
              <w:ind w:left="0" w:leftChars="0" w:firstLine="0" w:firstLineChars="0"/>
              <w:jc w:val="center"/>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10</w:t>
            </w:r>
          </w:p>
        </w:tc>
        <w:tc>
          <w:tcPr>
            <w:tcW w:w="1229" w:type="dxa"/>
            <w:noWrap w:val="0"/>
            <w:vAlign w:val="center"/>
          </w:tcPr>
          <w:p>
            <w:pPr>
              <w:widowControl w:val="0"/>
              <w:suppressAutoHyphens/>
              <w:kinsoku/>
              <w:wordWrap/>
              <w:topLinePunct w:val="0"/>
              <w:bidi w:val="0"/>
              <w:spacing w:line="360" w:lineRule="auto"/>
              <w:ind w:left="0" w:leftChars="0" w:firstLine="0" w:firstLineChars="0"/>
              <w:jc w:val="center"/>
              <w:rPr>
                <w:rStyle w:val="28"/>
                <w:rFonts w:hint="eastAsia" w:asciiTheme="minorEastAsia" w:hAnsiTheme="minorEastAsia" w:eastAsiaTheme="minorEastAsia" w:cstheme="minorEastAsia"/>
                <w:kern w:val="2"/>
                <w:sz w:val="24"/>
                <w:szCs w:val="24"/>
                <w:lang w:val="en-US" w:eastAsia="zh-CN" w:bidi="ar-SA"/>
              </w:rPr>
            </w:pPr>
          </w:p>
        </w:tc>
        <w:tc>
          <w:tcPr>
            <w:tcW w:w="1289"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审计分析</w:t>
            </w:r>
          </w:p>
        </w:tc>
        <w:tc>
          <w:tcPr>
            <w:tcW w:w="3822" w:type="dxa"/>
            <w:noWrap w:val="0"/>
            <w:vAlign w:val="center"/>
          </w:tcPr>
          <w:p>
            <w:pPr>
              <w:widowControl/>
              <w:suppressAutoHyphens/>
              <w:kinsoku/>
              <w:wordWrap/>
              <w:topLinePunct w:val="0"/>
              <w:bidi w:val="0"/>
              <w:adjustRightInd w:val="0"/>
              <w:snapToGrid w:val="0"/>
              <w:spacing w:line="360" w:lineRule="auto"/>
              <w:ind w:left="0" w:leftChars="0" w:firstLine="0" w:firstLineChars="0"/>
              <w:jc w:val="both"/>
              <w:textAlignment w:val="auto"/>
              <w:rPr>
                <w:rStyle w:val="71"/>
                <w:rFonts w:hint="eastAsia" w:asciiTheme="minorEastAsia" w:hAnsiTheme="minorEastAsia" w:eastAsiaTheme="minorEastAsia" w:cstheme="minorEastAsia"/>
                <w:sz w:val="24"/>
                <w:szCs w:val="24"/>
              </w:rPr>
            </w:pPr>
            <w:r>
              <w:rPr>
                <w:rStyle w:val="71"/>
                <w:rFonts w:hint="eastAsia" w:asciiTheme="minorEastAsia" w:hAnsiTheme="minorEastAsia" w:eastAsiaTheme="minorEastAsia" w:cstheme="minorEastAsia"/>
                <w:sz w:val="24"/>
                <w:szCs w:val="24"/>
              </w:rPr>
              <w:t>支持针对数据流量进行审计分析；支持查看审计分析结果明细。</w:t>
            </w:r>
          </w:p>
        </w:tc>
        <w:tc>
          <w:tcPr>
            <w:tcW w:w="1332" w:type="dxa"/>
            <w:noWrap w:val="0"/>
            <w:vAlign w:val="center"/>
          </w:tcPr>
          <w:p>
            <w:pPr>
              <w:suppressAutoHyphens/>
              <w:kinsoku/>
              <w:wordWrap/>
              <w:topLinePunct w:val="0"/>
              <w:bidi w:val="0"/>
              <w:spacing w:line="360" w:lineRule="auto"/>
              <w:ind w:left="0" w:leftChars="0"/>
              <w:jc w:val="center"/>
              <w:rPr>
                <w:rStyle w:val="71"/>
                <w:rFonts w:hint="eastAsia" w:asciiTheme="minorEastAsia" w:hAnsiTheme="minorEastAsia" w:eastAsiaTheme="minorEastAsia" w:cstheme="minorEastAsia"/>
                <w:sz w:val="24"/>
                <w:szCs w:val="24"/>
              </w:rPr>
            </w:pPr>
          </w:p>
        </w:tc>
      </w:tr>
    </w:tbl>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480" w:firstLineChars="20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注:证明材料指检测报告或技术白皮书或产品彩页等。</w:t>
      </w:r>
    </w:p>
    <w:p>
      <w:pPr>
        <w:keepNext/>
        <w:keepLines/>
        <w:widowControl w:val="0"/>
        <w:numPr>
          <w:ilvl w:val="2"/>
          <w:numId w:val="0"/>
        </w:numPr>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3.3.3集成实施需求</w:t>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3.3.3.1硬件适配和产品部署需求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提供平台网络、操作系统、数据库、数据工具、数据应用的一体化性能等层面的整体架构规划、设计、实施及上线保障。规划利用现有服务器，以及不低于100台X86架构或ARM架构服务器（需同时提供两种架构的解决方案），按照采购人设备到位情况和要求完成大规模并行计算数据库、数据操作支持和管控工具等的部署、实施和上线运行。</w:t>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3.3.3.2数据模型建设需求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数据模型的构建在遵循总局标准规范、高效性、一致性的设计原则下，以面向省局、地市局业务主题的视角重新组织数据，融通不同来源的原始数据，抽象公共指标，沉淀标签信息，形成公共数据底座。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为更好的支持数据和应用使用需求，以及服务地市私自有空间的使用，实现热点业务的主题建设，如登记主题、申报主题、税款主题、减免优惠主题、稽查法制主题的宽表建设。</w:t>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3.3.3.3私有空间建设需求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实现黑龙江省税务局以及各地市私有空间的建设，以及进行数据切分流程和规则建设，能够支撑可视化和报表应用功能建设。</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(1)私有空间数据范围控制</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①每个地市只能看到属于自己市范围的业务数据，以及全局公共数据。</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②地市可上传数据到自己的空间进行多维度数据关联分析用。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(2)私有空间数据关键要求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①整体数据安全可控。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②基础数据不产生副本冗余。</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(3)私有空间数据隔离机制</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①业务数据原则上按地市税务机关切分。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②无税务机关业务数据需明确（细化-按地市）数据表范围。</w:t>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3.3.3.4私有空间建设需求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为满足不同系统不同数据源间、不同类型的作业、不同频度的数据转换和分析需求，投标人需要基于采购人业务和系统现状，进行本项目需求的数据作业调度管理能力建设，支持每天多任务调度需求，实现快速的问题分析定位，并对复杂的作业调度依赖关系，进行灵活的统一编排和管理。主要实现对 ETL作业、存储过程、SQL 语句、shell 脚本、DS 任务等多类型作业的自动化编排和调度，既可以轻松构建自动化、规范化批量调度管理平台，也能够实现对本平台进行数据流向的调度管理自动化等。</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在作业调度管理建设中，需要满足以下功能要求。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（1）调度模式：支持基于DAG有向无环图关系的流式调度，支持在流式调度中进行定时循环调度，支持在定时循环调度中进行流式调度。</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（2）跨平台调度：支持Linux32/64、Windows7以上、麒麟、UOS等国产操作系统中进行作业调度。</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支持程序调用：支持脚本程序（python/shell/perl/bat等），支持数据库程序（PostgreSQL/oracle/mysql/tidb/gbase等），支持ETL程序（kettle，informatica等），支持hadoop大数据程序（spark,hive等），可通过作业类型的快速扩展或者个性化适配支持。</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（4）支持调用状态关键字：作业调用后，支持通过程序退出码及标准输出管道中包含的特征字符等信息，来判断作业调用成功与否。</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（5）支持关系控制：支持串行、并行关系，支持嵌套引用关系。支持自动判断可选分支关系。</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（6）支持日期计划：支持按日，星期，上中下旬，月初月末，季初季末，年初年末，工作日的日期计划进行运行或不运行。</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（7）支持定时计划：支持按照天，小时，分钟，秒的频率进行定时调度。</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（8）支持错误自动处理：支持作业出错后，设置是否可以重新执行。支持重新执行的次数可调。</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（9）支持循环：支持对单个作业进行循环调度；支持对作业流中的其中一段进行循环调度和设置退出循环调度的条件。</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（10）支持作业参数化：支持同一个作业在不同批次下进行参数化调用。作业的参数可以在平台中进行变量化管理。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（11）支持并发和优先级控制：支持对作业同时运行数量进行控制，以及优先级的控制。</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（12）人工操作：支持对进行中的作业流进行暂停和恢复；支持对运行异常的作业进行跳不运行；支持选择作业流中的任意作业或者后续依赖作业进行运行。</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（13）告警提醒：支持运行异常（报错、不按计划）的作业告警；支持调度服务器和工作服务器的资源消耗状态进行告警；支持关键步骤的消息提醒告警。</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14）监控分析：支持对整个平台的作业进行状态监控（成功、失败、异常、未运行等）；支持对调度平台的的服务器节点情况进行监控；支持对作业运行的时段分布情况进行监控分析；支持对各作业耗时的情况进行统计排名分析等；支持对作业的异常情况（超时或报错）进行排名分析；支持对作业运行的日志进行查看分析；支持对作业的运行日志（含历史日志）查看分析。</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（15）调度引擎性能指标：在大批量作业的调度下，调度计算引擎的吞吐量达到100+个/秒以上；在大批量作业的调度下，并发数能达到1000+个以上；支持十万级作业规模的调度，并能够保证稳定连续运行不卡死。</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（16）集群与高可用：支持集群负载均衡能力；支持高可用。</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（17）权限隔离与安全性：支持应用系统权限隔离，具有审计能力。</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（18）开放性与扩展性：提供基于http的web应用程序接口；提供基于命令行的应用程序接口；提供作业类型插件的扩展性；支持agent节点热扩展，提供负载均衡能力。</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（19）易用性：支持图形化调度作业开发；支持作业导入及导出。</w:t>
      </w:r>
    </w:p>
    <w:p>
      <w:pPr>
        <w:keepNext/>
        <w:keepLines/>
        <w:widowControl w:val="0"/>
        <w:numPr>
          <w:ilvl w:val="3"/>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color w:val="auto"/>
          <w:kern w:val="44"/>
          <w:sz w:val="24"/>
          <w:szCs w:val="24"/>
          <w:lang w:val="en-US" w:eastAsia="zh-CN" w:bidi="ar-SA"/>
        </w:rPr>
      </w:pPr>
      <w:r>
        <w:rPr>
          <w:rFonts w:hint="eastAsia" w:asciiTheme="minorEastAsia" w:hAnsiTheme="minorEastAsia" w:eastAsiaTheme="minorEastAsia" w:cstheme="minorEastAsia"/>
          <w:b w:val="0"/>
          <w:color w:val="auto"/>
          <w:kern w:val="44"/>
          <w:sz w:val="24"/>
          <w:szCs w:val="24"/>
          <w:lang w:val="en-US" w:eastAsia="zh-CN" w:bidi="ar-SA"/>
        </w:rPr>
        <w:t>3.3.3.5数据安全服务需求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提供整体数据安全服务能力，结合省局业务处室和地市私有空间使用需求，提供基于用户权限的场景化的安全防护方案，防止在日常开发、测试、演示、运维、访问等工作中由于敏感数据泄露而带来的安全威胁。</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①全面的数据资产梳理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对汇聚的数据资产进行统一的梳理，扫描发现并标记系统数据类别、安全级别，经过审核、修订、梳理，以图表的方式进行可视化展现，便于查看数据的整体分布情况、各个类型数据的占比情况等。</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②开发测试等环境数据管理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为应用系统开发、测试场景提供高质量的基础数据，基于系统的自动识别标记能力，将数据进行统一的脱敏处理后，用于开发测试环境数据的准备，满足税务系统相关安全要求。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脱敏处理后的数据要保持原有的数据特征和业务属性，对同一数据能够通过改变脱敏规则实现不同的脱敏效果来支撑多样化的业务培训、系统展示等需求。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对于需要定时将生产环境数据同步到开发、测试、培训、演示环境的场景，添加定时调度任务，完成数据的自动同步。</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③运维人员访问权限管控与行为审计</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提供在访问业务系统前端网页时，根据访问用户权限和被访问数据的安全级别实时对数据进行去标识化处理的能力。对系统运维人员日常运维行为进行监督管理，避免非必要的访问敏感数据，同时对于非授权的数据修改、删除行为、数据越权访问等进行预警和阻断。</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实时记录运维人员的数据访问行为，提供详细的日志记录，一旦发生数据安全事件，可以及时溯源追责。</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通过设置黑白名单，满足例外的运维场景，提高权限管控的灵活性。</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④数据安全共享</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提供对导出的数据文件、报表等添加水印的能力，根据实际的数据共享场景，添加不同类别水印，添加水印后不影响共享数据的使用。当发生数据泄露时，可以通过提取水印信息进行水印溯源。支持对下载的文件进行压缩加密，阻断非授权用户对数据文件的非法访问。</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⑤数据安全能力开放</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提供敏感数据识别、数据脱敏、数据水印、水印溯源等安全能力的API和SDK接口，支持业务系统调用接口来复用相关的数据安全能力。</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支持对各接口调用的日志记录包括调用数据脱敏接口的服务端IP、调用时间等信息；提供对用户访问敏感信息的实时日志记录能力，包括访问的用户名、客户端IP、客户端MAC地址、应用系统名、菜单名等关键信息，以供安全审计团队的安全检查和行为审计。</w:t>
      </w:r>
    </w:p>
    <w:p>
      <w:pPr>
        <w:keepNext/>
        <w:keepLines/>
        <w:widowControl w:val="0"/>
        <w:numPr>
          <w:ilvl w:val="0"/>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第4章 总体技术要求</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4.1技术标准与规范要求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系统在建设过程中必须参照国家电子政务标准和税务系统信息化建设标准与规范的有关要求进行实施，符合国家税务总局金税三期系统建设相关标准规范要求。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采用标准的通用协议和技术标准，单点登录对接方式使用Oauth2.0 协议，数据传输格式使用 Json，接口输入输出数据统一使用 UFT-8 编码格式。</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4.2系统安全性要求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必须保证系统安全性，需要从系统级、应用级、管理级三个层次具有较好的安全性。需要按照国家税务总局《电子税务局规范-安全规范》、《税务系统信息安全等级保护基本要求》中等级保护三级要求、《网上办税系统技术要求》、《税务移动应用安全开发和评估规范》等规范要求，能够保证系统安全、网络安全以及数据安全。在稳定性方面，系统要求能够满足7×24小时无人值守的稳定工作，具备较强的系统安全性和灾难恢复能力，系统具备强有力的安全保障措施。</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4.3可靠性要求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系统无单点故障，系统具有动态负载均衡处理能力。保证7*24小时不间断工作。须保证即便某些节点发生了永久性的失败，系统架构也能够保证这些节点所处理和存储的数据也不会丢失。</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4.4系统兼容性要求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系统应支持多种硬件服务器，平台可兼容Linux，AIX，Windows Server等主流操作系统。</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系统应能有效支持各种主流的浏览器（IE8及以上、chrome、firefox、safari）与手机客户端操作系统（Android4.1及以上和IOS6及以上），并在不同的终端上提供一致的用户体验。</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系统应具备可伸缩性，提供横纵向扩展能力，增加硬件资源后，能有效提高系统的业务处理能力。</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4.5并发控制要求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应对系统的最大并发会话连接数进行限制。应对单个用户的多重并发会话进行限制。应对一个时间段内可能的并发会话连接数进行限制。当应用系统通信双方中的一方在指定时间内未作任何响应时，另一方应能够自动结束会话。</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 xml:space="preserve">4.6性能要求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为提高用户体验、保证系统流畅性和稳定性，服务接口应满足如下的性能要求：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outlineLvl w:val="2"/>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1）响应时间</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系统首页加载时间：在正常的网络环境下，用户首次访问系统时，首页的加载时间应不超过3秒。</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页面内跳转：用户在系统内各页面之间的跳转，响应时间应不超过1秒。</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 xml:space="preserve">数据查询：对于常规数据查询操作，系统应在2秒内返回结果。对于复杂查询或大数据量查询，系统应在5秒内返回结果，并给出相应的进度提示。 </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outlineLvl w:val="2"/>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2）并发处理能力</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系统应支持至少500个并发用户同时在线，并保持稳定的响应速度和性能。</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在高峰时段（如上下班时间、午休时间等），系统应能承受至少1000个并发用户的访问请求，并保持较低的错误率和较高的用户满意度。</w:t>
      </w:r>
    </w:p>
    <w:p>
      <w:pPr>
        <w:keepNext/>
        <w:keepLines/>
        <w:widowControl w:val="0"/>
        <w:numPr>
          <w:ilvl w:val="0"/>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第5章 服务要求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系统上线后，中标人需要按合同约定的期限进行技术支持保障工作，保证系统平稳运行。在服务期内，中标人提供的服务和技术支持包括但不限于以下内容：</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1.中标人应对软件使用过程中出现的各类问题进行解答；</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2.处理建议应以前台操作为主，能够通过前台操作完成的，尽量不在后台调整；</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3.操作中出现的常见问题，应及时通过技术支持渠道向用户发布；</w:t>
      </w:r>
    </w:p>
    <w:p>
      <w:pPr>
        <w:keepNext/>
        <w:keepLines/>
        <w:widowControl w:val="0"/>
        <w:numPr>
          <w:ilvl w:val="0"/>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第6章 验收要求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验收工作由招标人组织实施，投标人应完成项目验收的相关验收场景和资料的准备。</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6.1验收标准</w:t>
      </w:r>
      <w:r>
        <w:rPr>
          <w:rFonts w:hint="eastAsia" w:asciiTheme="minorEastAsia" w:hAnsiTheme="minorEastAsia" w:eastAsiaTheme="minorEastAsia" w:cstheme="minorEastAsia"/>
          <w:b/>
          <w:color w:val="auto"/>
          <w:kern w:val="2"/>
          <w:sz w:val="24"/>
          <w:szCs w:val="24"/>
          <w:lang w:val="en-US" w:eastAsia="zh-CN" w:bidi="ar-SA"/>
        </w:rPr>
        <w:tab/>
      </w:r>
    </w:p>
    <w:p>
      <w:pPr>
        <w:keepNext w:val="0"/>
        <w:keepLines w:val="0"/>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1.验收的原则和依据</w:t>
      </w:r>
    </w:p>
    <w:p>
      <w:pPr>
        <w:keepNext w:val="0"/>
        <w:keepLines w:val="0"/>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本着保证质量、注重应用、功能适用的原则，以本项目招标文件、合同和业务需求及相关技术标准规范为验收的主要依据。</w:t>
      </w:r>
    </w:p>
    <w:p>
      <w:pPr>
        <w:keepNext w:val="0"/>
        <w:keepLines w:val="0"/>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2.验收标准</w:t>
      </w:r>
    </w:p>
    <w:p>
      <w:pPr>
        <w:keepNext w:val="0"/>
        <w:keepLines w:val="0"/>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（一）系统运行正常。</w:t>
      </w:r>
    </w:p>
    <w:p>
      <w:pPr>
        <w:keepNext w:val="0"/>
        <w:keepLines w:val="0"/>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（二）招标文件和合同要求全部完成，并满足要求。</w:t>
      </w:r>
    </w:p>
    <w:p>
      <w:pPr>
        <w:keepNext w:val="0"/>
        <w:keepLines w:val="0"/>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（三）各种技术文档和验收资料完备，符合合同的内容。</w:t>
      </w:r>
    </w:p>
    <w:p>
      <w:pPr>
        <w:keepNext w:val="0"/>
        <w:keepLines w:val="0"/>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（四）系统监控和数据处理符合信息安全的要求。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sz w:val="24"/>
          <w:szCs w:val="24"/>
        </w:rPr>
        <w:t>（五）合同或合同附件规定的其他验收条件。</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6.2项目验收</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投标人应根据合同约定验收的要求以及验收工作的内容，协助制定验收方案；</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投标人应为验收工作准备相应的验收环境和所需资料；</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协助招标人全面、准确验证软件的各项功能模块是否达到标准；</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协助招标人全面、准确验证软件的各项性能是否能达到要求；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投标人应对验收中发现的问题制定详细明确的处理方案并及时修改；</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投标人必须按招标人要求提交移交物清单及清单所列内容的最终版本（包括纸制和电子版），并经招标人签字确认；</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投标人协助编写并提交验收报告等文档。</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6.3交付物要求</w:t>
      </w:r>
    </w:p>
    <w:p>
      <w:pPr>
        <w:keepNext w:val="0"/>
        <w:keepLines w:val="0"/>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1、验收方案</w:t>
      </w:r>
    </w:p>
    <w:p>
      <w:pPr>
        <w:keepNext w:val="0"/>
        <w:keepLines w:val="0"/>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内容包括但不限于：详细描述验收目的、验收内容、技术条件、验收方法、进度安排、人员组成、验收准则、验收数据准备等。</w:t>
      </w:r>
    </w:p>
    <w:p>
      <w:pPr>
        <w:keepNext w:val="0"/>
        <w:keepLines w:val="0"/>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2、验收报告</w:t>
      </w:r>
    </w:p>
    <w:p>
      <w:pPr>
        <w:keepNext w:val="0"/>
        <w:keepLines w:val="0"/>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内容包括但不仅限于：详细描述和总结验收依据、验收内容、验收过程、验收准则、验收报告结论存在问题、优化完善建议等。</w:t>
      </w:r>
    </w:p>
    <w:p>
      <w:pPr>
        <w:keepNext w:val="0"/>
        <w:keepLines w:val="0"/>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3、移交物清单及交付物</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内容包括但不局限于：管理文档、用户文档、上线相关文档等。</w:t>
      </w:r>
    </w:p>
    <w:p>
      <w:pPr>
        <w:keepNext/>
        <w:keepLines/>
        <w:widowControl w:val="0"/>
        <w:numPr>
          <w:ilvl w:val="0"/>
          <w:numId w:val="0"/>
        </w:numPr>
        <w:tabs>
          <w:tab w:val="left" w:pos="0"/>
        </w:tabs>
        <w:suppressAutoHyphens/>
        <w:kinsoku/>
        <w:wordWrap/>
        <w:topLinePunct w:val="0"/>
        <w:bidi w:val="0"/>
        <w:spacing w:before="0" w:beforeLines="0" w:beforeAutospacing="0" w:after="0" w:afterLines="0" w:afterAutospacing="0" w:line="360" w:lineRule="auto"/>
        <w:ind w:left="0" w:leftChars="0"/>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第7章 其他要求</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7.1保密要求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7.2知识产权要求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2、中标人应保证在本项目中所有预装和为本项目安装的软件为在中国境内具有合法版权或使用权的正版软件且无质量瑕疵。</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3、中标人保证所提供的产品及服务不侵犯第三方的知识产权，否则，由此给招标人造成的一切损失由中标人承担。</w:t>
      </w:r>
    </w:p>
    <w:p>
      <w:pPr>
        <w:keepNext/>
        <w:keepLines/>
        <w:widowControl w:val="0"/>
        <w:numPr>
          <w:ilvl w:val="1"/>
          <w:numId w:val="0"/>
        </w:numPr>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7.3归档要求</w:t>
      </w:r>
    </w:p>
    <w:p>
      <w:pPr>
        <w:keepNext w:val="0"/>
        <w:keepLines w:val="0"/>
        <w:pageBreakBefore w:val="0"/>
        <w:widowControl w:val="0"/>
        <w:suppressAutoHyphens/>
        <w:kinsoku/>
        <w:wordWrap/>
        <w:overflowPunct/>
        <w:topLinePunct w:val="0"/>
        <w:autoSpaceDE/>
        <w:autoSpaceDN/>
        <w:bidi w:val="0"/>
        <w:adjustRightInd/>
        <w:snapToGrid/>
        <w:spacing w:line="360" w:lineRule="auto"/>
        <w:ind w:left="0" w:leftChars="0" w:firstLine="64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kern w:val="2"/>
          <w:sz w:val="24"/>
          <w:szCs w:val="24"/>
          <w:lang w:val="en-US" w:eastAsia="zh-CN" w:bidi="ar-SA"/>
        </w:rPr>
        <w:t>中标人应对该项目所涉及的需求分析、联调测试、培训推广等各阶段工作文档，按招标人质量、数量、提供方式、提供时间等要求进行整理，并提交招标人归档。</w:t>
      </w:r>
      <w:r>
        <w:rPr>
          <w:rFonts w:hint="eastAsia" w:asciiTheme="minorEastAsia" w:hAnsiTheme="minorEastAsia" w:eastAsiaTheme="minorEastAsia" w:cstheme="minorEastAsia"/>
          <w:sz w:val="24"/>
          <w:szCs w:val="24"/>
        </w:rPr>
        <w:br w:type="page"/>
      </w:r>
    </w:p>
    <w:p>
      <w:pPr>
        <w:suppressAutoHyphens/>
        <w:kinsoku/>
        <w:wordWrap/>
        <w:topLinePunct w:val="0"/>
        <w:bidi w:val="0"/>
        <w:spacing w:line="360" w:lineRule="auto"/>
        <w:ind w:left="0" w:leftChars="0"/>
        <w:rPr>
          <w:rFonts w:hint="eastAsia" w:asciiTheme="minorEastAsia" w:hAnsiTheme="minorEastAsia" w:eastAsiaTheme="minorEastAsia" w:cstheme="minorEastAsia"/>
          <w:sz w:val="24"/>
          <w:szCs w:val="24"/>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widowControl w:val="0"/>
        <w:suppressAutoHyphens/>
        <w:kinsoku/>
        <w:wordWrap/>
        <w:topLinePunct w:val="0"/>
        <w:bidi w:val="0"/>
        <w:spacing w:line="360" w:lineRule="auto"/>
        <w:ind w:left="0" w:leftChars="0" w:firstLine="420"/>
        <w:jc w:val="both"/>
        <w:rPr>
          <w:rFonts w:hint="eastAsia" w:asciiTheme="minorEastAsia" w:hAnsiTheme="minorEastAsia" w:eastAsiaTheme="minorEastAsia" w:cstheme="minorEastAsia"/>
          <w:kern w:val="2"/>
          <w:sz w:val="24"/>
          <w:szCs w:val="24"/>
          <w:lang w:val="en-US" w:eastAsia="zh-CN" w:bidi="ar-SA"/>
        </w:rPr>
      </w:pPr>
    </w:p>
    <w:p>
      <w:pPr>
        <w:suppressAutoHyphens/>
        <w:kinsoku/>
        <w:wordWrap/>
        <w:topLinePunct w:val="0"/>
        <w:bidi w:val="0"/>
        <w:spacing w:line="360" w:lineRule="auto"/>
        <w:ind w:left="0" w:leftChars="0"/>
        <w:jc w:val="center"/>
        <w:outlineLvl w:val="0"/>
        <w:rPr>
          <w:rFonts w:hint="eastAsia" w:asciiTheme="minorEastAsia" w:hAnsiTheme="minorEastAsia" w:eastAsiaTheme="minorEastAsia" w:cstheme="minorEastAsia"/>
          <w:sz w:val="24"/>
          <w:szCs w:val="24"/>
          <w:lang w:val="en" w:eastAsia="zh-CN"/>
        </w:rPr>
      </w:pPr>
      <w:r>
        <w:rPr>
          <w:rFonts w:hint="eastAsia" w:asciiTheme="minorEastAsia" w:hAnsiTheme="minorEastAsia" w:eastAsiaTheme="minorEastAsia" w:cstheme="minorEastAsia"/>
          <w:sz w:val="24"/>
          <w:szCs w:val="24"/>
          <w:lang w:val="en-US" w:eastAsia="zh-CN"/>
        </w:rPr>
        <w:br w:type="page"/>
      </w:r>
      <w:r>
        <w:rPr>
          <w:rFonts w:hint="eastAsia" w:asciiTheme="minorEastAsia" w:hAnsiTheme="minorEastAsia" w:eastAsiaTheme="minorEastAsia" w:cstheme="minorEastAsia"/>
          <w:sz w:val="24"/>
          <w:szCs w:val="24"/>
        </w:rPr>
        <w:t>第</w:t>
      </w:r>
      <w:r>
        <w:rPr>
          <w:rFonts w:hint="eastAsia" w:asciiTheme="minorEastAsia" w:hAnsiTheme="minorEastAsia" w:eastAsiaTheme="minorEastAsia" w:cstheme="minorEastAsia"/>
          <w:sz w:val="24"/>
          <w:szCs w:val="24"/>
          <w:lang w:val="en-US" w:eastAsia="zh-CN"/>
        </w:rPr>
        <w:t>三</w:t>
      </w:r>
      <w:r>
        <w:rPr>
          <w:rFonts w:hint="eastAsia" w:asciiTheme="minorEastAsia" w:hAnsiTheme="minorEastAsia" w:eastAsiaTheme="minorEastAsia" w:cstheme="minorEastAsia"/>
          <w:sz w:val="24"/>
          <w:szCs w:val="24"/>
        </w:rPr>
        <w:t>包：</w:t>
      </w:r>
      <w:r>
        <w:rPr>
          <w:rFonts w:hint="eastAsia" w:asciiTheme="minorEastAsia" w:hAnsiTheme="minorEastAsia" w:eastAsiaTheme="minorEastAsia" w:cstheme="minorEastAsia"/>
          <w:sz w:val="24"/>
          <w:szCs w:val="24"/>
          <w:lang w:val="en-US" w:eastAsia="zh-CN"/>
        </w:rPr>
        <w:t>金税三期决策二包、ITS、社保管理子系统和企业所得税汇算清缴审核功能优化</w:t>
      </w:r>
    </w:p>
    <w:p>
      <w:pPr>
        <w:widowControl w:val="0"/>
        <w:suppressAutoHyphens/>
        <w:kinsoku/>
        <w:wordWrap/>
        <w:topLinePunct w:val="0"/>
        <w:bidi w:val="0"/>
        <w:spacing w:before="0" w:after="0" w:line="360" w:lineRule="auto"/>
        <w:ind w:left="0" w:leftChars="0"/>
        <w:jc w:val="center"/>
        <w:outlineLvl w:val="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（预算81.42万元）</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第1章 项目概述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2021年3月，中共中央办公厅、国务院办公厅印发了《关于进一步深化税收征管改革的意见》，为深入推进税务领域“放管服”改革，完善税务监管体系，打造市场化法治化国际化营商环境，更好服务市场主体发展，《意见》提出：深化税收大数据共享应用，加强智能化税收大数据分析，不断强化税收大数据在经济运行研判和社会管理等领域的深层次应用，实现税务执法、服务、监管与大数据智能化应用深度融合、高效联动、全面升级。</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其中数据风险部门负责承担的2个三类指标，“充分运用大数据、云计算、人工智能、移动互联网等现代信息技术，着力推进内外部涉税数据汇聚联通、线上线下有机贯通，驱动税务执法、服务、监管制度创新和业务变革，进一步优化组织体系和资源配置”和“依法加强对高收入高净值人员的税费服务与监管”，对税收大数据应用和税收风险管理工作的方向和自主创新能力均提出了新的要求，充分运用税收大数据和现代信息技术加强重点行业和高收入高净值自然人风险分析识别能力，提升我省税收风险监管水平成为亟需推进的重要工作内容。由于目前税收风险管理系统现有功能和我省税收大数据、云计算、人工智能应用能力与税收征管改革具体工作要求存在一定差距，现期需要采购项目对风险管理部分功能进行改造，对经营形式复杂、涉税风险隐蔽的重点行业和自然人开展智能风险分析。</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基于以上背景，结合我省税收征管实际情况，亟需对税收风险管理系统进行升级改造，对企业所得税、个人所得税、社保费等重点税种费种、部分行业高收入高净值自然人开展智能化风险分析识别预警。</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第2章 项目内容</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1、分税种专项风险治理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基于当前决策二包的数据和计算工具，分税种进行专项风险治理，包括对企业所得税汇算清缴审核系统平台优化、个人所得税专项风险进行分析及相关内容展示。</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2、分行业专项风险治理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基于当前决策二包的数据和计算工具，对重点行业的专项风险进行治理，包括部分行业高收入高净值自然人股权转让开展智能化风险分析识别预警，夯实行业征管薄弱环节，规避税务执法风险。</w:t>
      </w:r>
    </w:p>
    <w:p>
      <w:pPr>
        <w:suppressAutoHyphens/>
        <w:kinsoku/>
        <w:wordWrap/>
        <w:topLinePunct w:val="0"/>
        <w:bidi w:val="0"/>
        <w:spacing w:line="360" w:lineRule="auto"/>
        <w:ind w:left="0" w:leftChars="0" w:firstLine="480" w:firstLineChars="200"/>
        <w:outlineLvl w:val="2"/>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3、分费种专项分析优化</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对社保费相关数据以及纳税信用管理系统相关数据进行分析及数据加工处理。</w:t>
      </w:r>
    </w:p>
    <w:p>
      <w:pPr>
        <w:kinsoku/>
        <w:wordWrap/>
        <w:topLinePunct w:val="0"/>
        <w:bidi w:val="0"/>
        <w:spacing w:afterLines="0" w:line="360" w:lineRule="auto"/>
        <w:ind w:left="0" w:leftChars="0" w:firstLine="480" w:firstLineChars="200"/>
        <w:rPr>
          <w:rFonts w:hint="eastAsia" w:asciiTheme="minorEastAsia" w:hAnsiTheme="minorEastAsia" w:eastAsiaTheme="minorEastAsia" w:cstheme="minorEastAsia"/>
          <w:color w:val="auto"/>
          <w:kern w:val="2"/>
          <w:sz w:val="24"/>
          <w:szCs w:val="24"/>
          <w:lang w:val="en-US" w:eastAsia="zh-CN" w:bidi="ar-SA"/>
        </w:rPr>
      </w:pP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第3章 项目具体需求</w:t>
      </w:r>
    </w:p>
    <w:p>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ind w:left="0" w:leftChars="0"/>
        <w:jc w:val="both"/>
        <w:textAlignment w:val="auto"/>
        <w:outlineLvl w:val="1"/>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 w:eastAsia="zh-CN" w:bidi="ar-SA"/>
        </w:rPr>
        <w:t>3.</w:t>
      </w:r>
      <w:r>
        <w:rPr>
          <w:rFonts w:hint="eastAsia" w:asciiTheme="minorEastAsia" w:hAnsiTheme="minorEastAsia" w:eastAsiaTheme="minorEastAsia" w:cstheme="minorEastAsia"/>
          <w:b w:val="0"/>
          <w:color w:val="auto"/>
          <w:kern w:val="2"/>
          <w:sz w:val="24"/>
          <w:szCs w:val="24"/>
          <w:lang w:val="en-US" w:eastAsia="zh-CN" w:bidi="ar-SA"/>
        </w:rPr>
        <w:t>1业务需求</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3.1.1企业所得税汇算清缴审核系统平台优化</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涉及功能：合规性风险数据校验。</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根据总局企业所得税政策风险提示服务系统的合规性指标，针对企业所得税年度纳税申报表（A类）以及与企业财务报表等相关数据勾稽关联设置了82个指标，进行汇缴数据申报后的合规性风险扫描，作为政策风险提示服务系统的补充。</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2023年度企业所得税年度纳税申报相关业务规则进行了调整，导致企业所得税汇算清缴审核系统平台合规性风险数据校验、逻辑性风险数据校验等功能涉及指标进行优化升级。</w:t>
      </w:r>
    </w:p>
    <w:p>
      <w:pPr>
        <w:suppressAutoHyphens/>
        <w:kinsoku/>
        <w:wordWrap/>
        <w:topLinePunct w:val="0"/>
        <w:bidi w:val="0"/>
        <w:spacing w:line="360" w:lineRule="auto"/>
        <w:ind w:left="0" w:leftChars="0"/>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3.1.2个人所得税数据加工</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3.1.2.1工资薪金所得分行业</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查询清册信息，根据税款所属期起、税款所属期止、国标行业、行业类型、新兴行业、所属税务机关等查询条件显示清册信息。</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内容包括：本期：申报人数、有税申报人数、申报收入（不含全年一次性奖金）、全年一次性奖金收入、收入合计; 同期：申报人数、有税申报人数、申报收入（不含全年一次性奖金）、全年一次性奖金收入、收入合计，并分国标行业、新兴行业的数据。</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3.1.2.2工资薪金所得分地区</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查询清册信息，根据税款所属期起、税款所属期止、所属税务机关、户籍地、城乡区域等查询条件显示清册信息。</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内容包括：</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表一 工资薪金所得分地区：本期：申报人数、有税申报人数、申报收入（不含全年一次性奖金）、全年一次性奖金收入、收入合计; 同期：申报人数、有税申报人数、申报收入（不含全年一次性奖金）、全年一次性奖金收入、收入合计，并分地区的数据。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表二 工资薪金所得分户籍地：本期：申报人数、有税申报人数、申报收入（不含全年一次性奖金）、全年一次性奖金收入、收入合计; 同期：申报人数、有税申报人数、申报收入（不含全年一次性奖金）、全年一次性奖金收入、收入合计，并分区内、区外的数据。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表三 工资薪金所得分城乡区域：本期：申报人数、有税申报人数、申报收入（不含全年一次性奖金）、全年一次性奖金收入、收入合计; 同期：申报人数、有税申报人数、申报收入（不含全年一次性奖金）、全年一次性奖金收入、收入合计，并分城乡、县域的数据。</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3.1.2.3工资薪金所得分类型</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查询清册信息，根据税款所属期起、税款所属期止、登记注册类型、所有制类型、所属税务机关等查询条件显示清册信息。</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内容包括：</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表一 工资薪金所得分类型：本期：申报人数、有税申报人数、申报收入（不含全年一次性奖金）、全年一次性奖金收入、收入合计; 同期：申报人数、有税申报人数、申报收入（不含全年一次性奖金）、全年一次性奖金收入、收入合计，并分类型的数据。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表二 工资薪金所得分所有制类型：本期：申报人数、有税申报人数、申报收入（不含全年一次性奖金）、全年一次性奖金收入、收入合计; 同期：申报人数、有税申报人数、申报收入（不含全年一次性奖金）、全年一次性奖金收入、收入合计，并分国有集体及国有控股、外资企业、民营企业、国家行政机关事业单位的数据。</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3.1.2.4工资薪金所得分年龄、性别</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查询清册信息，根据税款所属期起、税款所属期止、年份起、年份止、年龄、性别、所属税务机关等查询条件显示清册信息。</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内容包括：</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表一 工资薪金所得分年龄：本期：申报人数、有税申报人数、申报收入（不含全年一次性奖金）、全年一次性奖金收入、收入合计; 同期：申报人数、有税申报人数、申报收入（不含全年一次性奖金）、全年一次性奖金收入、收入合计，并分1969年及以前、1970-1979、1980-1989、1990-1999、2000-2009、2010年及以后的数据。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表二 工资薪金所得分性别：本期：申报人数、有税申报人数、申报收入（不含全年一次性奖金）、全年一次性奖金收入、收入合计; 同期：申报人数、有税申报人数、申报收入（不含全年一次性奖金）、全年一次性奖金收入、收入合计，并分男性、女性的数据。</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3.1.2.5工资薪金所得分自定义</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查询清册信息，根据税款所属期起、税款所属期止、自定义企业、所属税务机关等查询条件显示清册信息。</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内容包括：本期：申报人数、有税申报人数、申报收入（不含全年一次性奖金）、全年一次性奖金收入、收入合计; 同期：申报人数、有税申报人数、申报收入（不含全年一次性奖金）、全年一次性奖金收入、收入合计，并分规上企业、重点税源、税收调查、专业特新、自定义名单的数据。</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3.1.2.6个人所得税综合所得申报数据疑点清册（自然人电子税务局口径）</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查询清册信息，为进一步落实好个人所得税优惠政策，提高个人所得税综合所得申报数据的准确性，需按月扫描疑点数据。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内容包括：3岁以下婴幼儿照护个人所得税专项附加扣除风险疑点，包括填报信息的纳税人数量、扣除比例，婴幼儿出生时间距离当前月份数等三项指标。</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外籍个人津补贴等优惠政策扣除风险疑点，包括外籍个人身份信息、是否同时享受个人所得税专项附加扣除政策等两项指标。</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3.1.2.7 3岁以下婴幼儿照护个人所得税专项附加扣除疑点数据展示清册</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查询清册信息，按月调取自然人电子税务局系统数据，自2022年1月1日起，填报同一个3岁以下婴幼儿照护个人所得税专项附加扣除信息的纳税人数量应不超过2人且扣除比例合计不超过100%；婴幼儿出生时间距离当前月份应不超过36个月。若已填报数据存在以下情况，应确认为疑点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1）填报同一个3岁以下婴幼儿照护个人所得税专项附加扣除信息的纳税人数量大于2人。</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2）填报比例合计超过100%。</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3）婴幼儿出生时间距离当前月份已超过36个月。</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内容包括：序号、纳税人身份证件号码、纳税人姓名、纳税人联系方式、扣缴义务人识别号、扣缴义务人名称、纳税人户籍所在地、纳税人综合所得汇算地、风险疑点提示的数据。</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3.1.2.8 外籍个人津补贴税收优惠疑点数据展示清册</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查询清册信息，按月调取自然人电子税务局系统数据，2019年1月1日-2023年12月31日期间，外籍个人身份信息应为非中国公民身份证件信息；外籍个人已享受住房补贴、语言训练费、子女教育费等津补贴免税优惠，不得同时享受个人所得税专项附加扣除政策。若已填报数据存在以下情况之一的，应确认为疑点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（1）享受了外籍个人的住房补贴、语言训练费、子女教育费等津补贴免税优惠的中国公民。</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（2）享受了住房补贴、语言训练费、子女教育费等津补贴免税优惠的外籍个人，同时享受个人所得税专项附加扣除政策。</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内容包括：序号、纳税人证件类型、纳税人证件号码、纳税人姓名、纳税人联系方式、扣缴义务人识别号、扣缴义务人名称、已享受专项附加扣除项目名称的数据。</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3.1.2.9个人所得税入退库查询（企业、自然人）</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依托本地数据进行加工，提供个人所得税数据服务接口。主要依托金三核心征管系统查询库数据以及自然人电子税务局本省清分库数据。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内容包括：电子税票号、社会信息代码（纳税人识别号）、纳税人名称、金额、税种税目子目、收款国库、预算类款项、预算级次以及预算分配比例等内容。（包括入库日期或者退库日期）</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3.1.2.10个体工商户生产经营所得月季报、年报分维度加工明细</w:t>
      </w:r>
    </w:p>
    <w:p>
      <w:pPr>
        <w:widowControl w:val="0"/>
        <w:suppressAutoHyphens/>
        <w:kinsoku/>
        <w:wordWrap/>
        <w:topLinePunct w:val="0"/>
        <w:bidi w:val="0"/>
        <w:spacing w:line="360" w:lineRule="auto"/>
        <w:ind w:left="0" w:leftChars="0" w:firstLine="0" w:firstLineChars="0"/>
        <w:jc w:val="both"/>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 xml:space="preserve">     按照黑龙江省税务的需要，将个体工商户生产经营所得数据按月、季度、年度维度进行加工。</w:t>
      </w:r>
    </w:p>
    <w:p>
      <w:pPr>
        <w:widowControl w:val="0"/>
        <w:suppressAutoHyphens/>
        <w:kinsoku/>
        <w:wordWrap/>
        <w:topLinePunct w:val="0"/>
        <w:bidi w:val="0"/>
        <w:spacing w:line="360" w:lineRule="auto"/>
        <w:ind w:left="0" w:leftChars="0" w:firstLine="480" w:firstLineChars="200"/>
        <w:jc w:val="both"/>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内容包括：社会信息代码（纳税人识别号）、纳税人名称、金额、税种税目子目、收款国库、预算类款项、预算级次以及预算分配比例等内容。</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3.1.2.11个人所得税电子对账数据加工</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满足黑龙江省税务电子对账系统建设的需要（实现税务系统各级机关与人民银行（国库）之间的对账工作的信息化与无纸化，最终达到对账工作无人值守的目标），提供相关的个人所得税数据服务。</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依托黑龙江省本地数据进行加工，提供个人所得税数据服务接口。主要依托金三核心征管系统查询库数据以及自然人电子税务局本省清分库数据。</w:t>
      </w:r>
    </w:p>
    <w:p>
      <w:pPr>
        <w:kinsoku/>
        <w:wordWrap/>
        <w:topLinePunct w:val="0"/>
        <w:bidi w:val="0"/>
        <w:spacing w:afterLines="0"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p>
    <w:p>
      <w:pPr>
        <w:suppressAutoHyphens/>
        <w:kinsoku/>
        <w:wordWrap/>
        <w:topLinePunct w:val="0"/>
        <w:bidi w:val="0"/>
        <w:spacing w:line="360" w:lineRule="auto"/>
        <w:ind w:left="0" w:leftChars="0"/>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3.1.3股权转让个人所得税加工</w:t>
      </w:r>
    </w:p>
    <w:p>
      <w:pPr>
        <w:suppressAutoHyphens/>
        <w:kinsoku/>
        <w:wordWrap/>
        <w:topLinePunct w:val="0"/>
        <w:bidi w:val="0"/>
        <w:spacing w:line="360" w:lineRule="auto"/>
        <w:ind w:left="0" w:leftChars="0" w:firstLine="480" w:firstLineChars="200"/>
        <w:outlineLvl w:val="3"/>
        <w:rPr>
          <w:rFonts w:hint="eastAsia" w:asciiTheme="minorEastAsia" w:hAnsiTheme="minorEastAsia" w:eastAsiaTheme="minorEastAsia" w:cstheme="minorEastAsia"/>
          <w:b w:val="0"/>
          <w:color w:val="auto"/>
          <w:kern w:val="2"/>
          <w:sz w:val="24"/>
          <w:szCs w:val="24"/>
          <w:lang w:val="en-US" w:eastAsia="zh-CN" w:bidi="ar-SA"/>
        </w:rPr>
      </w:pPr>
      <w:bookmarkStart w:id="117" w:name="_Toc114410969"/>
      <w:r>
        <w:rPr>
          <w:rFonts w:hint="eastAsia" w:asciiTheme="minorEastAsia" w:hAnsiTheme="minorEastAsia" w:eastAsiaTheme="minorEastAsia" w:cstheme="minorEastAsia"/>
          <w:b w:val="0"/>
          <w:color w:val="auto"/>
          <w:kern w:val="2"/>
          <w:sz w:val="24"/>
          <w:szCs w:val="24"/>
          <w:lang w:val="en-US" w:eastAsia="zh-CN" w:bidi="ar-SA"/>
        </w:rPr>
        <w:t>3.1.3.1数据加工服务</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完成股权转让个人所得税数据归集、数据加工、系统对接、安全管理</w:t>
      </w:r>
    </w:p>
    <w:bookmarkEnd w:id="117"/>
    <w:p>
      <w:pPr>
        <w:suppressAutoHyphens/>
        <w:kinsoku/>
        <w:wordWrap/>
        <w:topLinePunct w:val="0"/>
        <w:bidi w:val="0"/>
        <w:spacing w:line="360" w:lineRule="auto"/>
        <w:ind w:left="0" w:leftChars="0" w:firstLine="480" w:firstLineChars="200"/>
        <w:outlineLvl w:val="3"/>
        <w:rPr>
          <w:rFonts w:hint="eastAsia" w:asciiTheme="minorEastAsia" w:hAnsiTheme="minorEastAsia" w:eastAsiaTheme="minorEastAsia" w:cstheme="minorEastAsia"/>
          <w:b w:val="0"/>
          <w:color w:val="auto"/>
          <w:kern w:val="2"/>
          <w:sz w:val="24"/>
          <w:szCs w:val="24"/>
          <w:lang w:val="en-US" w:eastAsia="zh-CN" w:bidi="ar-SA"/>
        </w:rPr>
      </w:pPr>
      <w:bookmarkStart w:id="118" w:name="_Toc114410990"/>
      <w:bookmarkStart w:id="119" w:name="_Toc108437475"/>
      <w:r>
        <w:rPr>
          <w:rFonts w:hint="eastAsia" w:asciiTheme="minorEastAsia" w:hAnsiTheme="minorEastAsia" w:eastAsiaTheme="minorEastAsia" w:cstheme="minorEastAsia"/>
          <w:b w:val="0"/>
          <w:color w:val="auto"/>
          <w:kern w:val="2"/>
          <w:sz w:val="24"/>
          <w:szCs w:val="24"/>
          <w:lang w:val="en-US" w:eastAsia="zh-CN" w:bidi="ar-SA"/>
        </w:rPr>
        <w:t>3.1.3.2股权转让个税完税监控</w:t>
      </w:r>
      <w:bookmarkEnd w:id="118"/>
      <w:bookmarkEnd w:id="119"/>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建设股权转让个税完税监控功能。</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股权转让个人所得税申报后，系统自动监测自然人电子税务局缴税入库记录。可区分无税转让、有税转让未入库、有税转让未足额入库、有税转让已足额入库。其中无税转让和有税转让已足额入库可发送市场监管部门完成股权变更。</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【预期成效】</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强化股权转让个人所得税申报完税入库跟踪，确保传递给市场监管的股权转让关键信息已足额完税。</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【政策依据】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《关于进一步做好股权变更登记个人所得税完税凭证查验有关服务工作的通知》（税总所得法[2022]62号）</w:t>
      </w:r>
    </w:p>
    <w:p>
      <w:pPr>
        <w:suppressAutoHyphens/>
        <w:kinsoku/>
        <w:wordWrap/>
        <w:topLinePunct w:val="0"/>
        <w:bidi w:val="0"/>
        <w:spacing w:line="360" w:lineRule="auto"/>
        <w:ind w:left="0" w:leftChars="0" w:firstLine="480" w:firstLineChars="200"/>
        <w:outlineLvl w:val="3"/>
        <w:rPr>
          <w:rFonts w:hint="eastAsia" w:asciiTheme="minorEastAsia" w:hAnsiTheme="minorEastAsia" w:eastAsiaTheme="minorEastAsia" w:cstheme="minorEastAsia"/>
          <w:b w:val="0"/>
          <w:color w:val="auto"/>
          <w:kern w:val="2"/>
          <w:sz w:val="24"/>
          <w:szCs w:val="24"/>
          <w:lang w:val="en-US" w:eastAsia="zh-CN" w:bidi="ar-SA"/>
        </w:rPr>
      </w:pPr>
      <w:bookmarkStart w:id="120" w:name="_Toc114410994"/>
      <w:r>
        <w:rPr>
          <w:rFonts w:hint="eastAsia" w:asciiTheme="minorEastAsia" w:hAnsiTheme="minorEastAsia" w:eastAsiaTheme="minorEastAsia" w:cstheme="minorEastAsia"/>
          <w:b w:val="0"/>
          <w:color w:val="auto"/>
          <w:kern w:val="2"/>
          <w:sz w:val="24"/>
          <w:szCs w:val="24"/>
          <w:lang w:val="en-US" w:eastAsia="zh-CN" w:bidi="ar-SA"/>
        </w:rPr>
        <w:t>3.1.3.3个税完税凭证查验服务</w:t>
      </w:r>
      <w:bookmarkEnd w:id="120"/>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建设个人所得税完税凭证查验服务。</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【功能概述】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通过建立省税务局与省级市场监管部门的信息通道，实现数据互通共享，实现个人所得税完税凭证线上查验。</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【预期成效】</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落实个人所得税法以及总局最新文件要求，实现个人所得税完税凭证线上查验，实现股权变更税收前置。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【政策依据】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《中华人民共和国个人所得税法》第十五条</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《关于进一步做好股权变更登记个人所得税完税凭证查验有关服务工作的通知》（税总所得法[2022]62号）</w:t>
      </w:r>
    </w:p>
    <w:p>
      <w:pPr>
        <w:suppressAutoHyphens/>
        <w:kinsoku/>
        <w:wordWrap/>
        <w:topLinePunct w:val="0"/>
        <w:bidi w:val="0"/>
        <w:spacing w:line="360" w:lineRule="auto"/>
        <w:ind w:left="0" w:leftChars="0"/>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3.1.4社会保险费征收基础数据加工</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3.1.4.1社保费征收基础数据加工</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依托本地数据进行加工，提供社保费定期数据量。主要依托金三社保费管理子系统核心库数据。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社会保险费征收基础数据报表</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内容包括：电子税票号、社会信息代码（纳税人识别号）、纳税人名称、单位社保编码、社保经办机构代码、金额、等内容。（包括入库日期或者退库日期）</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3.1.4.2城乡居民医疗社保费新生儿需求</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黑龙江医保规定新生儿从出生之日起一定期限（90天或三个月）内缴纳出生年度城乡居民医疗保险费即可自出生之日享受医保待遇。出生日期超过一定期限（90天或三个月）的婴幼儿，则不属于新生儿，其城乡居民医疗保险费的征缴政策与一般的城乡居民一致。</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当年出生，缴费时间跨年且仍被认定为新生儿的婴幼儿，可缴纳出生年度的费用；当年出生，缴费时间跨年且被认定为非新生儿的婴幼儿，不可再缴纳出生年度的费用。</w:t>
      </w: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3.1.4.3城乡居民医疗保险社保费0申报需求</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黑龙江省通过人社（医保）部门传递的城乡居民保险登记信息和税务系统的缴费档次信息确认财政全额代缴人员，希望财政全额代缴人员通过管理子系统、税银、网报等途径进行0申报，当前管理子系统标准版大厅已经支持0申报，因此本地特软应用需要对税银子系统接口进行相关0申报改造。</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同时，为提升基层0申报效率，黑龙江希望通过设置城乡居民应缴费额为0档后，可以确认0申报人员，在12月底对当年符合0申报条件且未申报的缴费人进行自动0申报，当前标准版没有支持城乡居民自动0申报，所以，因此本地特软应用需要对这一部分进行差异化改造。</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最后，对于财政全额代缴人员，其0申报数据并无上解入库信息，所以税务机关无法将对应的城乡居民缴费信息和参保登记信息反馈给人社（医保）部门，人社（医保）部门无法记录该类城乡居民的权益，为保障该类城乡居民缴费完成后可正常享受待遇，税务机关需组织0申报的缴费信息和对应的参保登记信息反馈给人社（医保）部门。所以，在明确本地业务规则的基础上，需进行特色改造。</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p>
    <w:p>
      <w:pPr>
        <w:suppressAutoHyphens/>
        <w:kinsoku/>
        <w:wordWrap/>
        <w:topLinePunct w:val="0"/>
        <w:bidi w:val="0"/>
        <w:spacing w:line="360" w:lineRule="auto"/>
        <w:ind w:left="0" w:leftChars="0"/>
        <w:outlineLvl w:val="3"/>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3.1.4.4城乡居民社保费应缴费额批量导入需求</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 xml:space="preserve">黑龙江城乡居民的应缴费额，是由税务机关和人社（医保）部门核实后，税务机关按核实后的名单与金额批量设置的，并非缴费人自行设置。社保费管理子系统标准版中，人社（医保）部门传递城乡居民参保登记信息的新增时，可将核实后的金额通过“缴费标准金额”传递，税务机关依据该金额设置城乡居民的应缴费额。后续若缴费人需要重新设置，则由缴费人自行申请办理，无法导入名单进行批量设置。 </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因此，社保费管理子系统需要进行特色改造。</w:t>
      </w:r>
    </w:p>
    <w:p>
      <w:pPr>
        <w:suppressAutoHyphens/>
        <w:kinsoku/>
        <w:wordWrap/>
        <w:topLinePunct w:val="0"/>
        <w:bidi w:val="0"/>
        <w:spacing w:line="360" w:lineRule="auto"/>
        <w:ind w:left="0" w:leftChars="0"/>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3.1.5纳税信用管理系统数据加工</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依托本地数据进行加工，提供纳税信用管理系统数据服务接口。主要依托金三决策二包纳税信用管理系统应用库数据以及集市库数据。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纳税信用管理系统应用库数据表</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内容包括：社会信息代码（纳税人识别号）、纳税人名称、税务机关代码、税务机关名称、登记注册类型、纳税人状态、税收管理员、评定年度、发起评价人员代码、确认人员代码、终审人员代码、最终得分、最终级别、联合评价级别、联合评价得分、调整流程、发布时间、发布人员、参评标志、纳入范围标识、未参评原因、方案代码、方案名称等内容。</w:t>
      </w:r>
    </w:p>
    <w:p>
      <w:pPr>
        <w:pageBreakBefore w:val="0"/>
        <w:widowControl w:val="0"/>
        <w:suppressAutoHyphens/>
        <w:kinsoku/>
        <w:wordWrap/>
        <w:topLinePunct w:val="0"/>
        <w:bidi w:val="0"/>
        <w:snapToGrid/>
        <w:spacing w:before="0" w:after="0" w:line="360" w:lineRule="auto"/>
        <w:ind w:left="0" w:leftChars="0"/>
        <w:jc w:val="both"/>
        <w:rPr>
          <w:rFonts w:hint="eastAsia" w:asciiTheme="minorEastAsia" w:hAnsiTheme="minorEastAsia" w:eastAsiaTheme="minorEastAsia" w:cstheme="minorEastAsia"/>
          <w:i w:val="0"/>
          <w:iCs w:val="0"/>
          <w:kern w:val="2"/>
          <w:sz w:val="24"/>
          <w:szCs w:val="24"/>
          <w:lang w:val="en-US" w:eastAsia="zh-CN" w:bidi="ar-SA"/>
        </w:rPr>
      </w:pP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第4章 总体技术要求</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1、安全性</w:t>
      </w:r>
    </w:p>
    <w:p>
      <w:p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重点关注应用层安全和数据层安全问题，应用层安全需要重点考虑：</w:t>
      </w:r>
    </w:p>
    <w:p>
      <w:pPr>
        <w:widowControl w:val="0"/>
        <w:numPr>
          <w:ilvl w:val="0"/>
          <w:numId w:val="7"/>
        </w:num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用户身份安全</w:t>
      </w:r>
    </w:p>
    <w:p>
      <w:pPr>
        <w:widowControl w:val="0"/>
        <w:numPr>
          <w:ilvl w:val="0"/>
          <w:numId w:val="7"/>
        </w:num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数据传输安全</w:t>
      </w:r>
    </w:p>
    <w:p>
      <w:pPr>
        <w:widowControl w:val="0"/>
        <w:numPr>
          <w:ilvl w:val="0"/>
          <w:numId w:val="7"/>
        </w:num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外网数据安全</w:t>
      </w:r>
    </w:p>
    <w:p>
      <w:pPr>
        <w:widowControl w:val="0"/>
        <w:numPr>
          <w:ilvl w:val="0"/>
          <w:numId w:val="7"/>
        </w:num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越权访问安全</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bookmarkStart w:id="121" w:name="_Toc41430047"/>
      <w:bookmarkStart w:id="122" w:name="_Toc64714094"/>
      <w:bookmarkStart w:id="123" w:name="_Toc77775180"/>
      <w:r>
        <w:rPr>
          <w:rFonts w:hint="eastAsia" w:asciiTheme="minorEastAsia" w:hAnsiTheme="minorEastAsia" w:eastAsiaTheme="minorEastAsia" w:cstheme="minorEastAsia"/>
          <w:b w:val="0"/>
          <w:color w:val="auto"/>
          <w:kern w:val="2"/>
          <w:sz w:val="24"/>
          <w:szCs w:val="24"/>
          <w:lang w:val="en-US" w:eastAsia="zh-CN" w:bidi="ar-SA"/>
        </w:rPr>
        <w:t>2、可靠性/可用性/可复原性</w:t>
      </w:r>
      <w:bookmarkEnd w:id="121"/>
      <w:bookmarkEnd w:id="122"/>
      <w:bookmarkEnd w:id="123"/>
    </w:p>
    <w:p>
      <w:p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应保证在正常情况下和极端情况下业务逻辑的正确性。</w:t>
      </w:r>
    </w:p>
    <w:p>
      <w:p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要求系统7x24小时运行。</w:t>
      </w:r>
    </w:p>
    <w:p>
      <w:p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提供灾难恢复机制，在发生故障时能够快速恢复正常业务运作。</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bookmarkStart w:id="124" w:name="_Toc77775181"/>
      <w:bookmarkStart w:id="125" w:name="_Toc41430048"/>
      <w:bookmarkStart w:id="126" w:name="_Toc64714095"/>
      <w:r>
        <w:rPr>
          <w:rFonts w:hint="eastAsia" w:asciiTheme="minorEastAsia" w:hAnsiTheme="minorEastAsia" w:eastAsiaTheme="minorEastAsia" w:cstheme="minorEastAsia"/>
          <w:b w:val="0"/>
          <w:color w:val="auto"/>
          <w:kern w:val="2"/>
          <w:sz w:val="24"/>
          <w:szCs w:val="24"/>
          <w:lang w:val="en-US" w:eastAsia="zh-CN" w:bidi="ar-SA"/>
        </w:rPr>
        <w:t>3、可维护性/可扩展性/可伸缩性</w:t>
      </w:r>
      <w:bookmarkEnd w:id="124"/>
      <w:bookmarkEnd w:id="125"/>
      <w:bookmarkEnd w:id="126"/>
    </w:p>
    <w:p>
      <w:p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系统对可扩展性，在设计上必须具有适应业务变化的能力，当系统新增业务功能或现有业务功能改变时（界面的改变、业务实体变化、业务流程变化、规则的改变、代码改变等），应尽可能的保证业务变化造成的影响局部化。</w:t>
      </w:r>
    </w:p>
    <w:p>
      <w:p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需要考虑并解决当系统容量发生变化时，应能动态通过各个层次的扩充，保证系统合理的响应时间和吞吐量，支持负载的划分与均衡。</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bookmarkStart w:id="127" w:name="_Toc41430049"/>
      <w:bookmarkStart w:id="128" w:name="_Toc77775182"/>
      <w:bookmarkStart w:id="129" w:name="_Toc64714096"/>
      <w:r>
        <w:rPr>
          <w:rFonts w:hint="eastAsia" w:asciiTheme="minorEastAsia" w:hAnsiTheme="minorEastAsia" w:eastAsiaTheme="minorEastAsia" w:cstheme="minorEastAsia"/>
          <w:b w:val="0"/>
          <w:color w:val="auto"/>
          <w:kern w:val="2"/>
          <w:sz w:val="24"/>
          <w:szCs w:val="24"/>
          <w:lang w:val="en-US" w:eastAsia="zh-CN" w:bidi="ar-SA"/>
        </w:rPr>
        <w:t>4、可管理性/可运维性</w:t>
      </w:r>
      <w:bookmarkEnd w:id="127"/>
      <w:bookmarkEnd w:id="128"/>
      <w:bookmarkEnd w:id="129"/>
    </w:p>
    <w:p>
      <w:p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应该考虑包括系统在无人工干预条件下的稳定性，自排错能力，可测试性。故障的可排查能力，系统的修正，升级，备份，恢复机制以及方便与否。</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bookmarkStart w:id="130" w:name="_Toc64714097"/>
      <w:bookmarkStart w:id="131" w:name="_Toc77775183"/>
      <w:bookmarkStart w:id="132" w:name="_Toc41430050"/>
      <w:r>
        <w:rPr>
          <w:rFonts w:hint="eastAsia" w:asciiTheme="minorEastAsia" w:hAnsiTheme="minorEastAsia" w:eastAsiaTheme="minorEastAsia" w:cstheme="minorEastAsia"/>
          <w:b w:val="0"/>
          <w:color w:val="auto"/>
          <w:kern w:val="2"/>
          <w:sz w:val="24"/>
          <w:szCs w:val="24"/>
          <w:lang w:val="en-US" w:eastAsia="zh-CN" w:bidi="ar-SA"/>
        </w:rPr>
        <w:t>5、易用性</w:t>
      </w:r>
      <w:bookmarkEnd w:id="130"/>
      <w:bookmarkEnd w:id="131"/>
      <w:bookmarkEnd w:id="132"/>
    </w:p>
    <w:p>
      <w:p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针对税务人员应该设计良好的用户体验，要做到易理解、易学习、易操作。</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bookmarkStart w:id="133" w:name="_Toc77775184"/>
      <w:bookmarkStart w:id="134" w:name="_Toc64714098"/>
      <w:bookmarkStart w:id="135" w:name="_Toc41430051"/>
      <w:r>
        <w:rPr>
          <w:rFonts w:hint="eastAsia" w:asciiTheme="minorEastAsia" w:hAnsiTheme="minorEastAsia" w:eastAsiaTheme="minorEastAsia" w:cstheme="minorEastAsia"/>
          <w:b w:val="0"/>
          <w:color w:val="auto"/>
          <w:kern w:val="2"/>
          <w:sz w:val="24"/>
          <w:szCs w:val="24"/>
          <w:lang w:val="en-US" w:eastAsia="zh-CN" w:bidi="ar-SA"/>
        </w:rPr>
        <w:t>6、数据一致性</w:t>
      </w:r>
      <w:bookmarkEnd w:id="133"/>
      <w:bookmarkEnd w:id="134"/>
      <w:bookmarkEnd w:id="135"/>
    </w:p>
    <w:p>
      <w:pPr>
        <w:suppressAutoHyphens/>
        <w:kinsoku/>
        <w:wordWrap/>
        <w:topLinePunct w:val="0"/>
        <w:bidi w:val="0"/>
        <w:spacing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要确保系统内部各个子系统之间、系统与外部关联系统之间的数据一致性。为了提高性能，允许通过技术手段只保证最终结果一致性。</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 xml:space="preserve">7、性能要求 </w:t>
      </w:r>
    </w:p>
    <w:p>
      <w:pPr>
        <w:pageBreakBefore w:val="0"/>
        <w:suppressAutoHyphens/>
        <w:kinsoku/>
        <w:wordWrap/>
        <w:topLinePunct w:val="0"/>
        <w:bidi w:val="0"/>
        <w:snapToGrid/>
        <w:spacing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为提高用户体验、保证系统流畅性和稳定性，服务接口应满足如下的性能要求：</w:t>
      </w:r>
    </w:p>
    <w:tbl>
      <w:tblPr>
        <w:tblStyle w:val="26"/>
        <w:tblW w:w="851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466"/>
        <w:gridCol w:w="1747"/>
        <w:gridCol w:w="1601"/>
        <w:gridCol w:w="1564"/>
        <w:gridCol w:w="11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1" w:hRule="atLeast"/>
          <w:jc w:val="center"/>
        </w:trPr>
        <w:tc>
          <w:tcPr>
            <w:tcW w:w="2466" w:type="dxa"/>
            <w:vMerge w:val="restart"/>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性能体现的关键点</w:t>
            </w:r>
          </w:p>
        </w:tc>
        <w:tc>
          <w:tcPr>
            <w:tcW w:w="6050" w:type="dxa"/>
            <w:gridSpan w:val="4"/>
            <w:tcBorders>
              <w:bottom w:val="single" w:color="auto" w:sz="4" w:space="0"/>
            </w:tcBorders>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请求响应时间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35" w:hRule="atLeast"/>
          <w:jc w:val="center"/>
        </w:trPr>
        <w:tc>
          <w:tcPr>
            <w:tcW w:w="2466" w:type="dxa"/>
            <w:vMerge w:val="continue"/>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p>
        </w:tc>
        <w:tc>
          <w:tcPr>
            <w:tcW w:w="1747" w:type="dxa"/>
            <w:tcBorders>
              <w:top w:val="single" w:color="auto" w:sz="4" w:space="0"/>
            </w:tcBorders>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优秀（低负荷）</w:t>
            </w:r>
          </w:p>
        </w:tc>
        <w:tc>
          <w:tcPr>
            <w:tcW w:w="1601" w:type="dxa"/>
            <w:tcBorders>
              <w:top w:val="single" w:color="auto" w:sz="4" w:space="0"/>
            </w:tcBorders>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良好（均值）</w:t>
            </w:r>
          </w:p>
        </w:tc>
        <w:tc>
          <w:tcPr>
            <w:tcW w:w="1564" w:type="dxa"/>
            <w:tcBorders>
              <w:top w:val="single" w:color="auto" w:sz="4" w:space="0"/>
            </w:tcBorders>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一般（高负荷）</w:t>
            </w:r>
          </w:p>
        </w:tc>
        <w:tc>
          <w:tcPr>
            <w:tcW w:w="1138" w:type="dxa"/>
            <w:tcBorders>
              <w:top w:val="single" w:color="auto" w:sz="4" w:space="0"/>
            </w:tcBorders>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差（满载）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466"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系统登录</w:t>
            </w:r>
          </w:p>
        </w:tc>
        <w:tc>
          <w:tcPr>
            <w:tcW w:w="1747"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1秒</w:t>
            </w:r>
          </w:p>
        </w:tc>
        <w:tc>
          <w:tcPr>
            <w:tcW w:w="1601"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3秒</w:t>
            </w:r>
          </w:p>
        </w:tc>
        <w:tc>
          <w:tcPr>
            <w:tcW w:w="1564"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5秒</w:t>
            </w:r>
          </w:p>
        </w:tc>
        <w:tc>
          <w:tcPr>
            <w:tcW w:w="1138"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&gt;8秒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466"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表单页面打开时间</w:t>
            </w:r>
          </w:p>
        </w:tc>
        <w:tc>
          <w:tcPr>
            <w:tcW w:w="1747"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2秒</w:t>
            </w:r>
          </w:p>
        </w:tc>
        <w:tc>
          <w:tcPr>
            <w:tcW w:w="1601"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3秒</w:t>
            </w:r>
          </w:p>
        </w:tc>
        <w:tc>
          <w:tcPr>
            <w:tcW w:w="1564"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6秒</w:t>
            </w:r>
          </w:p>
        </w:tc>
        <w:tc>
          <w:tcPr>
            <w:tcW w:w="1138"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&gt;10秒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466"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操作数据提交成功</w:t>
            </w:r>
          </w:p>
        </w:tc>
        <w:tc>
          <w:tcPr>
            <w:tcW w:w="1747"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3秒</w:t>
            </w:r>
          </w:p>
        </w:tc>
        <w:tc>
          <w:tcPr>
            <w:tcW w:w="1601"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5秒</w:t>
            </w:r>
          </w:p>
        </w:tc>
        <w:tc>
          <w:tcPr>
            <w:tcW w:w="1564"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8秒</w:t>
            </w:r>
          </w:p>
        </w:tc>
        <w:tc>
          <w:tcPr>
            <w:tcW w:w="1138"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&gt;10秒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466"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查询类</w:t>
            </w:r>
          </w:p>
        </w:tc>
        <w:tc>
          <w:tcPr>
            <w:tcW w:w="1747"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3秒</w:t>
            </w:r>
          </w:p>
        </w:tc>
        <w:tc>
          <w:tcPr>
            <w:tcW w:w="1601"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6秒</w:t>
            </w:r>
          </w:p>
        </w:tc>
        <w:tc>
          <w:tcPr>
            <w:tcW w:w="1564"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10秒</w:t>
            </w:r>
          </w:p>
        </w:tc>
        <w:tc>
          <w:tcPr>
            <w:tcW w:w="1138"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&gt;15秒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466"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模型加工周期（以1个模型计算）</w:t>
            </w:r>
          </w:p>
        </w:tc>
        <w:tc>
          <w:tcPr>
            <w:tcW w:w="1747"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5分钟</w:t>
            </w:r>
          </w:p>
        </w:tc>
        <w:tc>
          <w:tcPr>
            <w:tcW w:w="1601"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 xml:space="preserve">0.5小时 </w:t>
            </w:r>
          </w:p>
        </w:tc>
        <w:tc>
          <w:tcPr>
            <w:tcW w:w="1564"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3小时</w:t>
            </w:r>
          </w:p>
        </w:tc>
        <w:tc>
          <w:tcPr>
            <w:tcW w:w="1138" w:type="dxa"/>
            <w:noWrap w:val="0"/>
            <w:vAlign w:val="center"/>
          </w:tcPr>
          <w:p>
            <w:pPr>
              <w:pStyle w:val="73"/>
              <w:suppressAutoHyphens/>
              <w:kinsoku/>
              <w:wordWrap/>
              <w:topLinePunct w:val="0"/>
              <w:bidi w:val="0"/>
              <w:spacing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5小时</w:t>
            </w:r>
          </w:p>
        </w:tc>
      </w:tr>
    </w:tbl>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第5章 服务要求</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系统上线后，中标人需要按合同约定的期限进行技术支持保障工作，保证系统平稳运行。在服务期内，中标人提供的服务和技术支持包括但不限于以下内容：</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中标人应对软件使用过程中出现的各类问题进行解答；</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处理建议应以前台操作为主，能够通过前台操作完成的，尽量不在后台调整；</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操作中出现的常见问题，应及时通过技术支持渠道向用户发布；</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第6章 验收要求</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验收工作由招标人组织实施，投标人应完成项目验收的相关验收场景和资料的准备。</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1"/>
        <w:rPr>
          <w:rFonts w:hint="eastAsia" w:asciiTheme="minorEastAsia" w:hAnsiTheme="minorEastAsia" w:eastAsiaTheme="minorEastAsia" w:cstheme="minorEastAsia"/>
          <w:b/>
          <w:bCs/>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6.1验收标准</w:t>
      </w:r>
      <w:r>
        <w:rPr>
          <w:rFonts w:hint="eastAsia" w:asciiTheme="minorEastAsia" w:hAnsiTheme="minorEastAsia" w:eastAsiaTheme="minorEastAsia" w:cstheme="minorEastAsia"/>
          <w:b/>
          <w:bCs/>
          <w:kern w:val="2"/>
          <w:sz w:val="24"/>
          <w:szCs w:val="24"/>
          <w:lang w:val="en-US" w:eastAsia="zh-CN" w:bidi="ar-SA"/>
        </w:rPr>
        <w:tab/>
      </w:r>
    </w:p>
    <w:p>
      <w:pPr>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1.验收的原则和依据</w:t>
      </w:r>
    </w:p>
    <w:p>
      <w:pPr>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本着保证质量、注重应用、功能适用的原则，以本项目招标文件、合同和业务需求及相关技术标准规范为验收的主要依据。</w:t>
      </w:r>
    </w:p>
    <w:p>
      <w:pPr>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2.验收标准</w:t>
      </w:r>
    </w:p>
    <w:p>
      <w:pPr>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（一）系统运行正常。</w:t>
      </w:r>
    </w:p>
    <w:p>
      <w:pPr>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（二）招标文件和合同要求全部完成，并满足要求。</w:t>
      </w:r>
    </w:p>
    <w:p>
      <w:pPr>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（三）各种技术文档和验收资料完备，符合合同的内容。</w:t>
      </w:r>
    </w:p>
    <w:p>
      <w:pPr>
        <w:pageBreakBefore w:val="0"/>
        <w:widowControl/>
        <w:shd w:val="clear" w:color="auto" w:fill="FFFFFF"/>
        <w:suppressAutoHyphens/>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（四）系统监控和数据处理符合信息安全的要求。</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（五）合同或合同附件规定的其他验收条件。</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1"/>
        <w:rPr>
          <w:rFonts w:hint="eastAsia" w:asciiTheme="minorEastAsia" w:hAnsiTheme="minorEastAsia" w:eastAsiaTheme="minorEastAsia" w:cstheme="minorEastAsia"/>
          <w:b/>
          <w:bCs/>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6.2项目验收</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投标人应根据合同约定验收的要求以及验收工作的内容，协助制定验收方案；</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投标人应为验收工作准备相应的验收环境和所需资料；</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协助招标人全面、准确验证软件的各项功能模块是否达到标准；</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协助招标人全面、准确验证软件的各项性能是否能达到要求；</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投标人应对验收中发现的问题制定详细明确的处理方案并及时修改；</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投标人必须按招标人要求提交移交物清单及清单所列内容的最终版本（包括纸制和电子版），并经招标人签字确认；</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投标人协助编写并提交验收报告等文档。</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1"/>
        <w:rPr>
          <w:rFonts w:hint="eastAsia" w:asciiTheme="minorEastAsia" w:hAnsiTheme="minorEastAsia" w:eastAsiaTheme="minorEastAsia" w:cstheme="minorEastAsia"/>
          <w:b/>
          <w:bCs/>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6.3交付物要求</w:t>
      </w:r>
    </w:p>
    <w:p>
      <w:pPr>
        <w:widowControl w:val="0"/>
        <w:suppressAutoHyphens/>
        <w:kinsoku/>
        <w:wordWrap/>
        <w:topLinePunct w:val="0"/>
        <w:bidi w:val="0"/>
        <w:spacing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提请验收前需提供以下文档：</w:t>
      </w:r>
    </w:p>
    <w:p>
      <w:pPr>
        <w:widowControl w:val="0"/>
        <w:suppressAutoHyphens/>
        <w:kinsoku/>
        <w:wordWrap/>
        <w:topLinePunct w:val="0"/>
        <w:bidi w:val="0"/>
        <w:spacing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1、需求分析报告终稿。</w:t>
      </w:r>
    </w:p>
    <w:p>
      <w:pPr>
        <w:widowControl w:val="0"/>
        <w:suppressAutoHyphens/>
        <w:kinsoku/>
        <w:wordWrap/>
        <w:topLinePunct w:val="0"/>
        <w:bidi w:val="0"/>
        <w:spacing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2、概要设计、详细设计终稿。</w:t>
      </w:r>
    </w:p>
    <w:p>
      <w:pPr>
        <w:widowControl w:val="0"/>
        <w:suppressAutoHyphens/>
        <w:kinsoku/>
        <w:wordWrap/>
        <w:topLinePunct w:val="0"/>
        <w:bidi w:val="0"/>
        <w:spacing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3、项目建设报告，包括目标实现情况、计划进度执行情况等。</w:t>
      </w:r>
    </w:p>
    <w:p>
      <w:pPr>
        <w:widowControl w:val="0"/>
        <w:suppressAutoHyphens/>
        <w:kinsoku/>
        <w:wordWrap/>
        <w:topLinePunct w:val="0"/>
        <w:bidi w:val="0"/>
        <w:spacing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4、系统测试报告，包括性能测试和功能测试的方案、用例、结果和反馈等。</w:t>
      </w:r>
    </w:p>
    <w:p>
      <w:pPr>
        <w:widowControl w:val="0"/>
        <w:suppressAutoHyphens/>
        <w:kinsoku/>
        <w:wordWrap/>
        <w:topLinePunct w:val="0"/>
        <w:bidi w:val="0"/>
        <w:spacing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5、系统试运行报告，包括试运行方案、问题和结论等。</w:t>
      </w:r>
    </w:p>
    <w:p>
      <w:pPr>
        <w:widowControl w:val="0"/>
        <w:suppressAutoHyphens/>
        <w:kinsoku/>
        <w:wordWrap/>
        <w:topLinePunct w:val="0"/>
        <w:bidi w:val="0"/>
        <w:spacing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6、用户操作手册。</w:t>
      </w:r>
    </w:p>
    <w:p>
      <w:pPr>
        <w:widowControl w:val="0"/>
        <w:suppressAutoHyphens/>
        <w:kinsoku/>
        <w:wordWrap/>
        <w:topLinePunct w:val="0"/>
        <w:bidi w:val="0"/>
        <w:spacing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7、项目源代码及注释。</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第7章 其他要求</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2"/>
        <w:rPr>
          <w:rFonts w:hint="eastAsia" w:asciiTheme="minorEastAsia" w:hAnsiTheme="minorEastAsia" w:eastAsiaTheme="minorEastAsia" w:cstheme="minorEastAsia"/>
          <w:b/>
          <w:bCs/>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7.1保密要求</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2"/>
        <w:rPr>
          <w:rFonts w:hint="eastAsia" w:asciiTheme="minorEastAsia" w:hAnsiTheme="minorEastAsia" w:eastAsiaTheme="minorEastAsia" w:cstheme="minorEastAsia"/>
          <w:b/>
          <w:bCs/>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7.2知识产权要求</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2、中标人应保证在本项目中所有预装和为本项目安装的软件为在中国境内具有合法版权或使用权的正版软件且无质量瑕疵。</w:t>
      </w:r>
    </w:p>
    <w:p>
      <w:pPr>
        <w:pageBreakBefore w:val="0"/>
        <w:suppressAutoHyphens/>
        <w:kinsoku/>
        <w:wordWrap/>
        <w:overflowPunct/>
        <w:topLinePunct w:val="0"/>
        <w:autoSpaceDE/>
        <w:autoSpaceDN/>
        <w:bidi w:val="0"/>
        <w:adjustRightInd/>
        <w:snapToGrid w:val="0"/>
        <w:spacing w:line="360" w:lineRule="auto"/>
        <w:ind w:left="0" w:leftChars="0"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3、中标人保证所提供的产品及服务不侵犯第三方的知识产权，否则，由此给招标人造成的一切损失由中标人承担。</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2"/>
        <w:rPr>
          <w:rFonts w:hint="eastAsia" w:asciiTheme="minorEastAsia" w:hAnsiTheme="minorEastAsia" w:eastAsiaTheme="minorEastAsia" w:cstheme="minorEastAsia"/>
          <w:b/>
          <w:bCs/>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7.3归档要求</w:t>
      </w:r>
    </w:p>
    <w:p>
      <w:pPr>
        <w:pageBreakBefore w:val="0"/>
        <w:suppressAutoHyphens/>
        <w:kinsoku/>
        <w:wordWrap/>
        <w:overflowPunct/>
        <w:topLinePunct w:val="0"/>
        <w:autoSpaceDE/>
        <w:autoSpaceDN/>
        <w:bidi w:val="0"/>
        <w:adjustRightInd/>
        <w:snapToGrid w:val="0"/>
        <w:spacing w:line="360" w:lineRule="auto"/>
        <w:ind w:left="0" w:leftChars="0" w:firstLine="470" w:firstLineChars="196"/>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中标人应对该项目所涉及的需求分析、联调测试、培训推广等各阶段工作文档，按招标人质量、数量、提供方式、提供时间等要求进行整理，并提交招标人归档。</w:t>
      </w:r>
    </w:p>
    <w:p>
      <w:pPr>
        <w:suppressAutoHyphens/>
        <w:kinsoku/>
        <w:wordWrap/>
        <w:topLinePunct w:val="0"/>
        <w:bidi w:val="0"/>
        <w:spacing w:line="360" w:lineRule="auto"/>
        <w:ind w:left="0" w:leftChars="0"/>
        <w:jc w:val="center"/>
        <w:outlineLvl w:val="0"/>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br w:type="page"/>
      </w:r>
      <w:r>
        <w:rPr>
          <w:rFonts w:hint="eastAsia" w:asciiTheme="minorEastAsia" w:hAnsiTheme="minorEastAsia" w:eastAsiaTheme="minorEastAsia" w:cstheme="minorEastAsia"/>
          <w:sz w:val="24"/>
          <w:szCs w:val="24"/>
        </w:rPr>
        <w:t>第</w:t>
      </w:r>
      <w:r>
        <w:rPr>
          <w:rFonts w:hint="eastAsia" w:asciiTheme="minorEastAsia" w:hAnsiTheme="minorEastAsia" w:eastAsiaTheme="minorEastAsia" w:cstheme="minorEastAsia"/>
          <w:sz w:val="24"/>
          <w:szCs w:val="24"/>
          <w:lang w:val="en-US" w:eastAsia="zh-CN"/>
        </w:rPr>
        <w:t>四</w:t>
      </w:r>
      <w:r>
        <w:rPr>
          <w:rFonts w:hint="eastAsia" w:asciiTheme="minorEastAsia" w:hAnsiTheme="minorEastAsia" w:eastAsiaTheme="minorEastAsia" w:cstheme="minorEastAsia"/>
          <w:sz w:val="24"/>
          <w:szCs w:val="24"/>
        </w:rPr>
        <w:t>包：</w:t>
      </w:r>
      <w:r>
        <w:rPr>
          <w:rFonts w:hint="eastAsia" w:asciiTheme="minorEastAsia" w:hAnsiTheme="minorEastAsia" w:eastAsiaTheme="minorEastAsia" w:cstheme="minorEastAsia"/>
          <w:sz w:val="24"/>
          <w:szCs w:val="24"/>
          <w:lang w:val="en-US" w:eastAsia="zh-CN"/>
        </w:rPr>
        <w:t>黑龙江省车船税联网征收系统升级优化</w:t>
      </w:r>
    </w:p>
    <w:p>
      <w:pPr>
        <w:widowControl w:val="0"/>
        <w:suppressAutoHyphens/>
        <w:kinsoku/>
        <w:wordWrap/>
        <w:topLinePunct w:val="0"/>
        <w:bidi w:val="0"/>
        <w:spacing w:before="0" w:after="0" w:line="360" w:lineRule="auto"/>
        <w:ind w:left="0" w:leftChars="0"/>
        <w:jc w:val="center"/>
        <w:outlineLvl w:val="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（预算9.12万元）</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第1章 项目概述</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车船税自2007年由保险公司代收代缴以来，由于无法与保险和交管进行数据共享，使得税务部门的监管工作无法有效进行，难以落实税收精细化管理的目标。为了认真贯彻落实《中华人民共和国车船税法》及《中华人民共和国车船税实施条例》的要求，加强车船税的税源管理，加强对保险机构代收代缴机动车车船税及其他部门委托代征车船税的监管，强化车船税管理协查把关，确保扣缴义务人和委托代征单位严格执行车船税政策，避免重复征税和产生征管漏洞，并通过信息化手段，为税务机关掌握车船税税源和收入状况，分析征管质量，改革和完善车船税政策提供数据支持，国家税务总局联合保监会，组织专家反复论证，最终确定了全国车船税联网征收系统的建设方案。该方案将税务网和保险网在国家和省级层面进行对接，实现两网的互连互通，并在此基础上应用虚拟化和集群技术搭建平台，通过Web Service技术与保险交强险业务平台对接，实现保险系统和税务系统的数据共享，并通过建立省级车辆登记数据库，核查保险公司代收代缴情况，通过“见税出单”的机制保证税款的应收尽收，从而实现《车船税法》对税收管理的要求。</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第2章 项目内容</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建设内容是以原车船税联网征收系统升级改造为核心，以引入机动车电子合格证中的车辆出厂信息为主，实现税源管理、税款征收的准确性，进一步提高车船税征管质效和纳税服务水平。侧重于车船税联网征收系统获取车辆信息，使车辆在代收车船税时，实时线上核定涉税依据功能。</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第3章 项目具体需求</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3.1.车辆核定功能结构</w:t>
      </w:r>
    </w:p>
    <w:p>
      <w:pPr>
        <w:suppressAutoHyphens/>
        <w:kinsoku/>
        <w:wordWrap/>
        <w:topLinePunct w:val="0"/>
        <w:bidi w:val="0"/>
        <w:spacing w:line="360" w:lineRule="auto"/>
        <w:ind w:left="0" w:left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5420" cy="2592070"/>
            <wp:effectExtent l="0" t="0" r="11430" b="17780"/>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9"/>
                    <a:stretch>
                      <a:fillRect/>
                    </a:stretch>
                  </pic:blipFill>
                  <pic:spPr>
                    <a:xfrm>
                      <a:off x="0" y="0"/>
                      <a:ext cx="5265420" cy="2592070"/>
                    </a:xfrm>
                    <a:prstGeom prst="rect">
                      <a:avLst/>
                    </a:prstGeom>
                    <a:noFill/>
                    <a:ln>
                      <a:noFill/>
                    </a:ln>
                  </pic:spPr>
                </pic:pic>
              </a:graphicData>
            </a:graphic>
          </wp:inline>
        </w:drawing>
      </w:r>
    </w:p>
    <w:p>
      <w:pPr>
        <w:suppressAutoHyphens/>
        <w:kinsoku/>
        <w:wordWrap/>
        <w:topLinePunct w:val="0"/>
        <w:bidi w:val="0"/>
        <w:spacing w:line="360" w:lineRule="auto"/>
        <w:ind w:left="0" w:leftChars="0" w:firstLine="4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说明：</w:t>
      </w:r>
    </w:p>
    <w:p>
      <w:pPr>
        <w:suppressAutoHyphens/>
        <w:kinsoku/>
        <w:wordWrap/>
        <w:topLinePunct w:val="0"/>
        <w:bidi w:val="0"/>
        <w:spacing w:line="360" w:lineRule="auto"/>
        <w:ind w:left="0" w:leftChars="0" w:firstLine="4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1、系统采用模块化结构，每个模块对应不同的数据处理，用户可根据自己目前拥有的数据，运行不同的模块，最终形成车船税税源核定库。</w:t>
      </w:r>
    </w:p>
    <w:p>
      <w:pPr>
        <w:suppressAutoHyphens/>
        <w:kinsoku/>
        <w:wordWrap/>
        <w:topLinePunct w:val="0"/>
        <w:bidi w:val="0"/>
        <w:spacing w:line="360" w:lineRule="auto"/>
        <w:ind w:left="0" w:leftChars="0" w:firstLine="4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2、如果有公安交管数据，直接运行数据处理模块P10、减免审核模块P11和计税处理模块P12生成核定库。</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3.2税费绑定核定需求</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以国家法律、政策规定的车辆应纳税、享受减免税规定为依据，对产生的税源车辆信息进行计税处理，形成每辆车的本年和以后成为保有车的应纳税额。投保询价（或批改询价）时，根据代收代缴公司提供的车辆信息为条件与核定库比对，车辆涉税信息与核定库一致，则采集代收代缴车船税金额。如果涉税信息不一致，系统以核定库的涉税信息为依据，返回车辆应缴纳本年车船税的金额。</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bookmarkStart w:id="136" w:name="_Toc71873471"/>
      <w:r>
        <w:rPr>
          <w:rFonts w:hint="eastAsia" w:asciiTheme="minorEastAsia" w:hAnsiTheme="minorEastAsia" w:eastAsiaTheme="minorEastAsia" w:cstheme="minorEastAsia"/>
          <w:b/>
          <w:kern w:val="2"/>
          <w:sz w:val="24"/>
          <w:szCs w:val="24"/>
          <w:lang w:val="en-US" w:eastAsia="zh-CN" w:bidi="ar-SA"/>
        </w:rPr>
        <w:t>3.3</w:t>
      </w:r>
      <w:bookmarkEnd w:id="136"/>
      <w:r>
        <w:rPr>
          <w:rFonts w:hint="eastAsia" w:asciiTheme="minorEastAsia" w:hAnsiTheme="minorEastAsia" w:eastAsiaTheme="minorEastAsia" w:cstheme="minorEastAsia"/>
          <w:b/>
          <w:kern w:val="2"/>
          <w:sz w:val="24"/>
          <w:szCs w:val="24"/>
          <w:lang w:val="en-US" w:eastAsia="zh-CN" w:bidi="ar-SA"/>
        </w:rPr>
        <w:t>核验数据需求</w:t>
      </w:r>
    </w:p>
    <w:p>
      <w:pPr>
        <w:suppressAutoHyphens/>
        <w:kinsoku/>
        <w:wordWrap/>
        <w:topLinePunct w:val="0"/>
        <w:bidi w:val="0"/>
        <w:spacing w:line="360" w:lineRule="auto"/>
        <w:ind w:left="0" w:leftChars="0" w:firstLine="4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核定功能建设包括两大部分：一是原始数据采集部分；再就是对采集的数据进行处理形成税源核定库，此部分包括：车购税数据处理模块、电子合格证数据处理魔块、自行征收数据处理模块、公安车辆数据处理模块、保险公司代征数据处理模块、征收数据整合模块、减免审核模块、税源数据审核模块、计税模块。</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bookmarkStart w:id="137" w:name="_Toc71873473"/>
      <w:r>
        <w:rPr>
          <w:rFonts w:hint="eastAsia" w:asciiTheme="minorEastAsia" w:hAnsiTheme="minorEastAsia" w:eastAsiaTheme="minorEastAsia" w:cstheme="minorEastAsia"/>
          <w:b/>
          <w:kern w:val="2"/>
          <w:sz w:val="24"/>
          <w:szCs w:val="24"/>
          <w:lang w:val="en-US" w:eastAsia="zh-CN" w:bidi="ar-SA"/>
        </w:rPr>
        <w:t>3.3.1 原始数据采集</w:t>
      </w:r>
      <w:bookmarkEnd w:id="137"/>
    </w:p>
    <w:p>
      <w:pPr>
        <w:suppressAutoHyphens/>
        <w:kinsoku/>
        <w:wordWrap/>
        <w:topLinePunct w:val="0"/>
        <w:bidi w:val="0"/>
        <w:spacing w:line="360" w:lineRule="auto"/>
        <w:ind w:left="0" w:leftChars="0" w:firstLine="4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本部分主要负责各种原始数据的采集工作，具体功能包括如下：</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3.2.1.2 车辆电子合格证信息采集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本功能就是通过采集核心征管系统提供的车辆电子合格证信息（简称电子合格证信息），把采集到的信息同步车船税核定库系统中。</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3.2.1.2 自征数据采集</w:t>
      </w:r>
    </w:p>
    <w:p>
      <w:pPr>
        <w:suppressAutoHyphens/>
        <w:kinsoku/>
        <w:wordWrap/>
        <w:topLinePunct w:val="0"/>
        <w:bidi w:val="0"/>
        <w:spacing w:line="360" w:lineRule="auto"/>
        <w:ind w:left="0" w:leftChars="0" w:firstLine="4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采集金三系统自征数据。根据总局的要求采集核心征管自征数据，为了保证系统同步的正常运行，采集过来的自征数据存储到核定库系统中。</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3.2.1.3 车购税数据采集</w:t>
      </w:r>
    </w:p>
    <w:p>
      <w:pPr>
        <w:suppressAutoHyphens/>
        <w:kinsoku/>
        <w:wordWrap/>
        <w:topLinePunct w:val="0"/>
        <w:bidi w:val="0"/>
        <w:spacing w:line="360" w:lineRule="auto"/>
        <w:ind w:left="0" w:leftChars="0" w:firstLine="4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采集核心征管系统车购税数据。根据总局的要求采集核心征管车购税数据，为了保证系统同步的正常运行，采集过来的车购税数据存储到核定库系统中。</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3.3.1.4 审核减免数据采集</w:t>
      </w:r>
    </w:p>
    <w:p>
      <w:pPr>
        <w:suppressAutoHyphens/>
        <w:kinsoku/>
        <w:wordWrap/>
        <w:topLinePunct w:val="0"/>
        <w:bidi w:val="0"/>
        <w:spacing w:line="360" w:lineRule="auto"/>
        <w:ind w:left="0" w:leftChars="0" w:firstLine="4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采集核心征管系统审核减免数据，根据总局的要求采集核心征管系统的审核减免数据，为了保证系统同步的正常运行，采集过来的审核减免数据存储到核定库系统中。</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3.3.1.5 政策减免数据整理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获取数据为工信部发布的新能源车信息，清洗、规约后的数据写入《核定库政策及审核减免表》数据库表中。</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3.3.1.6 代征数据采集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获取本地区自上线以来的所有的车船税联网征收系统的代收数据到核定库系统中。</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3.3.2 数据处理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对采集到的各种原始数据进行处理形成数据结构统一的各种数据表，处理的内容包括数据清洗、数据唯一、数据规约等，每种数据的处理如下：</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3.3.2.1 电子合格证信息处理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电子合格证的数据整理包括两部分的内容：一是对电子合格证数据进行处理形成每辆车唯一可信的记录，再就是把处理后的数据填写到《核定库电子合格证表》中，便于后续的数据处理。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对于满足规范要求的数据进行数据规约，按照核定库数据表的字段和要求进行规约，写入《核定库电子合格证表》数据库表中。</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对于《核定库电子合格证表》数据库表中要求的数据项而电子合格证数据中没有的数据项，在《核定库电子合格证表》数据库表中根据字段类型填写空白或0。</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3.3.2.2 自征数据处理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主要是针对采集的金三自征数据中异常的数据进行清洗，包括重复记录、车架号异常、座位数、排气量等主要指标异常的数据进行清洗、唯一处理。同时进行规约，把金三自征的数据规约为统一的核定库信息格式和内容。</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3.3.2.3 车购税数据处理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主要是针对新采集的车购税中异常的数据进行清洗，包括车架号异常、座位数、排气量等主要指标异常的数据进行清洗。判断车架号是否重复，如果重复取修改日期最新的数据，其他的数据进行标记，不作为核定的依据数据。</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1.车辆类型规约处理。对于车购税历史数据表中的数据根据归档日期和清洗后的合格数据进行规约，主要的规约内容包括根据车购税中车辆类型计算出的交强险车辆类型代码，以利于以后的计税处理。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数据结构规约处理。利用车购税信息填写核定库临时表的字段包括：车辆识别代码、品牌型号、发动机号、初始登记日期、发证日期、核定载客数、排气量、燃料种类、所有人名称、所有人证件号码、所有人证件类型、购买日期、税种税目代码、税务机关代码、数据来源、厂牌型号、总局统一车辆类型、数据抽取处理标志、核定状态、交强险车辆种类代码、车辆型号、系统采集日期、有效状态、车辆登记地代码、车辆登记地名称、核定时间、核定人名称、核定原因、有效状态变更时间、有效状态变更原因。核定库临时表中未涉及的数据项置空。</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3.对原有系统车购税数据处理的完善。原有系统的数据清洗包括对计税依据的数据清洗（如乘用车排气量不合理、客车座位数不合理）。</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3.3.2.4 审核减免数据处理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主要是针对采集的金三审核减免数据中异常的数据进行清洗，包括重复记录、车架号异常、座位数、排气量等主要指标异常的数据进行清洗、唯一处理。同时进行规约，把金三审核减免的数据规约为统一的核定库信息格式和内容。对于满足规范要求的数据进行数据规约，按照核定库数据表的字段和要求进行规约，写入《核定库政策及审核减免表》数据库表中。对于《核定库政策及审核减免表》数据库表中要求的数据项而自征数据中没有的数据项，在《核定库政策及审核减免表》数据库表中根据字段类型填写空白。</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3.3.2.5 政策减免数据整理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整理的数据为工信部发布的新能源车信息，整理后的数据写入《核定库政策及审核减免表》数据库表中。对于《核定库政策及审核减免表》数据库表中要求的数据项而新能源车数据中没有的数据项，在《核定库政策及审核减免表》数据库表中根据字段类型填写空白。</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3.3.2.6 保险公司代征信息处理</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对产生的代征数据中间表数据进行清洗，清晰内容包括：车架号长度小于6位、为空、包括（I、O、Q）等特殊字符的车辆。原有系统的数据清洗包括对计税依据的数据清洗（如乘用车排气量不合理、客车座位数不合理）对这些车辆进行审核、校正。在保留原有上年处理的基础上，增加上线以来所有年度的处理。增加按照车架号对各年度的数据进行唯一，发现重复，保留录入日期最新的记录，其他数据不计入《核定库车船税代征表》。</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3.3.3 数据整合</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bookmarkStart w:id="138" w:name="_Toc71873474"/>
      <w:r>
        <w:rPr>
          <w:rFonts w:hint="eastAsia" w:asciiTheme="minorEastAsia" w:hAnsiTheme="minorEastAsia" w:eastAsiaTheme="minorEastAsia" w:cstheme="minorEastAsia"/>
          <w:b w:val="0"/>
          <w:kern w:val="44"/>
          <w:sz w:val="24"/>
          <w:szCs w:val="24"/>
          <w:lang w:val="en-US" w:eastAsia="zh-CN" w:bidi="ar-SA"/>
        </w:rPr>
        <w:t>3.3.3.1 征收数据整合模块</w:t>
      </w:r>
      <w:bookmarkEnd w:id="138"/>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模块建设把代收代缴和自行征收的车辆汇总，形成本地的完税车辆库。把《核定库车船税代征表》和《核定库金三自征表》的数据汇总到《核定库征收信息表》。 根据车架号进行唯一处理，并将《核定库征收信息表》的核定原因标志位是《核定库车船税代征表》和《核定库金三自征表》的值相加。</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3.3.3.2 征收与车购税数据整合模块</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模块建设把代收代缴和自行征收的车辆汇总，形成本地的完税车辆库。把《核定库车船税代征表》和《核定库车购税表》的数据全部汇总到《核定库征收信息表》。根据车架号进行唯一处理，并将《核定库征收信息表》的核定原因标志位是《核定库车船税代征表》和《核定库车购税表》的值相加。</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bookmarkStart w:id="139" w:name="_Toc71873475"/>
      <w:r>
        <w:rPr>
          <w:rFonts w:hint="eastAsia" w:asciiTheme="minorEastAsia" w:hAnsiTheme="minorEastAsia" w:eastAsiaTheme="minorEastAsia" w:cstheme="minorEastAsia"/>
          <w:b/>
          <w:kern w:val="2"/>
          <w:sz w:val="24"/>
          <w:szCs w:val="24"/>
          <w:lang w:val="en-US" w:eastAsia="zh-CN" w:bidi="ar-SA"/>
        </w:rPr>
        <w:t>3.3.4 车辆信息审核模块</w:t>
      </w:r>
      <w:bookmarkEnd w:id="139"/>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根据车辆电子合格证的信息对产生的《核定库征收信息表》中的数据记录进行更新完善。以《核定库征收信息表》为主，匹配《核定库电子合格证表》中的车架号，判断车辆类型，并对数据项更新，之后数据写入《核定库税源审核表》。</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bookmarkStart w:id="140" w:name="_Toc71873476"/>
      <w:r>
        <w:rPr>
          <w:rFonts w:hint="eastAsia" w:asciiTheme="minorEastAsia" w:hAnsiTheme="minorEastAsia" w:eastAsiaTheme="minorEastAsia" w:cstheme="minorEastAsia"/>
          <w:b w:val="0"/>
          <w:kern w:val="44"/>
          <w:sz w:val="24"/>
          <w:szCs w:val="24"/>
          <w:lang w:val="en-US" w:eastAsia="zh-CN" w:bidi="ar-SA"/>
        </w:rPr>
        <w:t>3.3.4.1减免审核模块</w:t>
      </w:r>
      <w:bookmarkEnd w:id="140"/>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本模块的运行前提是已经具备了金三系统提供的审核减免税数据信息、工信部发布的新能源车辆公告信息并已经进行了数据处理，我们根据这两种数据对《核定库税源审核表》中的车辆减免信息进行修改。</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iCs/>
          <w:kern w:val="44"/>
          <w:sz w:val="24"/>
          <w:szCs w:val="24"/>
          <w:lang w:val="en-US" w:eastAsia="zh-CN" w:bidi="ar-SA"/>
        </w:rPr>
        <w:t>3.3.4.2审核减免处理模块</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以《核定库税源审核表》为主利用车架号匹配《核定库政策及审核减免表》的记录，匹配上，则修改《核定库税源审核表》中的减免类型、减免原因代码、减免方案代码、减免比例、减免金额等字段。</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3.3.4.3政策减免处理模块</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以《核定库政策及审核减免表》为主利用车辆型号匹配《核定库税源审核表》的记录，匹配上，则修改《核定库税源审核表》中的减免类型、减免原因代码、减免方案代码、减免比例、减免金额等字段。</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bookmarkStart w:id="141" w:name="_Toc71873477"/>
      <w:r>
        <w:rPr>
          <w:rFonts w:hint="eastAsia" w:asciiTheme="minorEastAsia" w:hAnsiTheme="minorEastAsia" w:eastAsiaTheme="minorEastAsia" w:cstheme="minorEastAsia"/>
          <w:b/>
          <w:kern w:val="2"/>
          <w:sz w:val="24"/>
          <w:szCs w:val="24"/>
          <w:lang w:val="en-US" w:eastAsia="zh-CN" w:bidi="ar-SA"/>
        </w:rPr>
        <w:t>3.3.5计税处理模块</w:t>
      </w:r>
      <w:bookmarkEnd w:id="141"/>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iCs/>
          <w:kern w:val="44"/>
          <w:sz w:val="24"/>
          <w:szCs w:val="24"/>
          <w:lang w:val="en-US" w:eastAsia="zh-CN" w:bidi="ar-SA"/>
        </w:rPr>
      </w:pPr>
      <w:r>
        <w:rPr>
          <w:rFonts w:hint="eastAsia" w:asciiTheme="minorEastAsia" w:hAnsiTheme="minorEastAsia" w:eastAsiaTheme="minorEastAsia" w:cstheme="minorEastAsia"/>
          <w:b w:val="0"/>
          <w:iCs/>
          <w:kern w:val="44"/>
          <w:sz w:val="24"/>
          <w:szCs w:val="24"/>
          <w:lang w:val="en-US" w:eastAsia="zh-CN" w:bidi="ar-SA"/>
        </w:rPr>
        <w:t>3.3.5.1货车计税处理模块</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读取《核定库税源审核表》的数据，判断车辆类型是货车，根据表中的整备质量、计税金额、减免信息（减免比例或减免金额）计算出代收金额，如果和表中的年应纳税额一致，则保留原有的数据，否则：</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1、根据整备质量、计税金额、减免信息（减免比例或减免金额）计算出代收金额替换《核定库税源审核表》中的年应纳税额。</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2、根据整备质量、计税金额计算出未减免金额替换《核定库税源审核表》中的减免前金额。</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3、根据整备质量、计税金额、减免信息（减免比例或减免金额）、初始登记日期计算出本年代收金额替换《核定库税源审核表》中的登记年度应纳税额。</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kern w:val="44"/>
          <w:sz w:val="24"/>
          <w:szCs w:val="24"/>
          <w:lang w:val="en-US" w:eastAsia="zh-CN" w:bidi="ar-SA"/>
        </w:rPr>
      </w:pPr>
      <w:r>
        <w:rPr>
          <w:rFonts w:hint="eastAsia" w:asciiTheme="minorEastAsia" w:hAnsiTheme="minorEastAsia" w:eastAsiaTheme="minorEastAsia" w:cstheme="minorEastAsia"/>
          <w:b w:val="0"/>
          <w:kern w:val="44"/>
          <w:sz w:val="24"/>
          <w:szCs w:val="24"/>
          <w:lang w:val="en-US" w:eastAsia="zh-CN" w:bidi="ar-SA"/>
        </w:rPr>
        <w:t>3.3.5.2乘用车计税处理模块</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读取《核定库税源审核表》的数据，判断车辆类型是乘用车，根据表中的排气量、计税金额、减免信息（减免比例或减免金额）计算出代收金额，如果和表中的年应纳税额一致，则保留原有的数据，否则：</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1、根据排气量、计税金额、减免信息（减免比例或减免金额）计算出代收金额替换《核定库税源审核表》中的年应纳税额。</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2、根据排气量、计税金额计算出未减免金额替换《核定库税源审核表》中的减免前金额。</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3、根据排气量、计税金额、减免信息（减免比例或减免金额）、初始登记日期计算出本年代收金额替换《核定库税源审核表》中的登记年度应纳税额。</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val="0"/>
          <w:iCs/>
          <w:kern w:val="44"/>
          <w:sz w:val="24"/>
          <w:szCs w:val="24"/>
          <w:lang w:val="en-US" w:eastAsia="zh-CN" w:bidi="ar-SA"/>
        </w:rPr>
      </w:pPr>
      <w:r>
        <w:rPr>
          <w:rFonts w:hint="eastAsia" w:asciiTheme="minorEastAsia" w:hAnsiTheme="minorEastAsia" w:eastAsiaTheme="minorEastAsia" w:cstheme="minorEastAsia"/>
          <w:b w:val="0"/>
          <w:iCs/>
          <w:kern w:val="44"/>
          <w:sz w:val="24"/>
          <w:szCs w:val="24"/>
          <w:lang w:val="en-US" w:eastAsia="zh-CN" w:bidi="ar-SA"/>
        </w:rPr>
        <w:t>3.3.5.3客车计税处理模块</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读取《核定库税源审核表》的数据，判断车辆类型是客车，根据表中的座位数、计税金额、减免信息（减免比例或减免金额）计算出代收金额，如果和表中的年应纳税额一致，则保留原有的数据，否则：</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1、根据座位数、计税金额、减免信息（减免比例或减免金额）计算出代收金额替换《核定库税源审核表》中的年应纳税额。</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2、根据座位数、计税金额计算出未减免金额替换《核定库税源审核表》中的减免前金额。</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3、根据座位数、计税金额、减免信息（减免比例或减免金额）、初始登记日期计算出本年代收金额替换《核定库税源审核表》中的登记年度应纳税额。</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sz w:val="24"/>
          <w:szCs w:val="24"/>
        </w:rPr>
      </w:pP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第4章 总体技术要求</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 w:eastAsia="zh-CN" w:bidi="ar-SA"/>
        </w:rPr>
      </w:pPr>
      <w:r>
        <w:rPr>
          <w:rFonts w:hint="eastAsia" w:asciiTheme="minorEastAsia" w:hAnsiTheme="minorEastAsia" w:eastAsiaTheme="minorEastAsia" w:cstheme="minorEastAsia"/>
          <w:b/>
          <w:kern w:val="2"/>
          <w:sz w:val="24"/>
          <w:szCs w:val="24"/>
          <w:lang w:val="en-US" w:eastAsia="zh-CN" w:bidi="ar-SA"/>
        </w:rPr>
        <w:t>4.</w:t>
      </w:r>
      <w:r>
        <w:rPr>
          <w:rFonts w:hint="eastAsia" w:asciiTheme="minorEastAsia" w:hAnsiTheme="minorEastAsia" w:eastAsiaTheme="minorEastAsia" w:cstheme="minorEastAsia"/>
          <w:b/>
          <w:kern w:val="2"/>
          <w:sz w:val="24"/>
          <w:szCs w:val="24"/>
          <w:lang w:val="en" w:eastAsia="zh-CN" w:bidi="ar-SA"/>
        </w:rPr>
        <w:t>1技术标准与规范要求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系统在建设过程中必须参照国家电子政务标准和税务系统信息化建设标准与规范的有关要求进行实施，符合国家税务总局金税三期系统建设相关标准规范要求。</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 w:eastAsia="zh-CN" w:bidi="ar-SA"/>
        </w:rPr>
      </w:pPr>
      <w:r>
        <w:rPr>
          <w:rFonts w:hint="eastAsia" w:asciiTheme="minorEastAsia" w:hAnsiTheme="minorEastAsia" w:eastAsiaTheme="minorEastAsia" w:cstheme="minorEastAsia"/>
          <w:b/>
          <w:kern w:val="2"/>
          <w:sz w:val="24"/>
          <w:szCs w:val="24"/>
          <w:lang w:val="en-US" w:eastAsia="zh-CN" w:bidi="ar-SA"/>
        </w:rPr>
        <w:t>4.</w:t>
      </w:r>
      <w:r>
        <w:rPr>
          <w:rFonts w:hint="eastAsia" w:asciiTheme="minorEastAsia" w:hAnsiTheme="minorEastAsia" w:eastAsiaTheme="minorEastAsia" w:cstheme="minorEastAsia"/>
          <w:b/>
          <w:kern w:val="2"/>
          <w:sz w:val="24"/>
          <w:szCs w:val="24"/>
          <w:lang w:val="en" w:eastAsia="zh-CN" w:bidi="ar-SA"/>
        </w:rPr>
        <w:t>2系统先进性要求</w:t>
      </w:r>
    </w:p>
    <w:p>
      <w:pPr>
        <w:widowControl w:val="0"/>
        <w:suppressAutoHyphens/>
        <w:kinsoku/>
        <w:wordWrap/>
        <w:topLinePunct w:val="0"/>
        <w:bidi w:val="0"/>
        <w:spacing w:before="0" w:after="0" w:line="360" w:lineRule="auto"/>
        <w:ind w:left="0" w:leftChars="0" w:firstLine="484" w:firstLineChars="202"/>
        <w:jc w:val="both"/>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由于车辆电子合格证数据库数据量非常大，为了满足查询性能需求，系统数据库的设计需要考虑进行必要的查询性能优化设计，并结合查询需求合理组织查询选项。查询性能优化的方法可以是：在查询选项的字段上添加必要的索引，根据字段数据内容分布选择合适的索引类型，比如位图索引，函数索引或者反向索引等。车辆电子合格证数据进行分区建表等。对于数据量小的查询可以事先将数据内容加载到服务器内存中，以便提高系统响应速度。</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4.3系统安全性要求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数据涵盖黑龙江省全区域内的车船税征缴信息，具有较高的信息安全性需求。在建设过程中需要对数据的安全和开放性设计良好的安全机制，按要求进行设计。在建设系统过程中，着重考虑纳税人的信息安全，避免个人信息外漏，需要针对以下内容重点实施：</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1.遵照“网络安全法”中规定，将个人信息保护列入重点保护范围。</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2.控制查询内容，不返回个人姓名、身份证信息、电话、住址等内容。</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4.4可靠性要求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系统无单点故障，系统具有动态负载均衡处理能力。保证7*24小时不间断工作。须保证即便某些节点发生了永久性的失败，系统架构也能够保证这些节点所处理和存储的数据也不会丢失。</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4.5系统兼容性要求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最大限度地满足实际工作要求的同时，保障新建系统能够完好的和原有各系统兼容。</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系统应具备可伸缩性，提供横纵向扩展能力，增加硬件资源后，能有效提高系统的业务处理能力。</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4.6</w:t>
      </w:r>
      <w:r>
        <w:rPr>
          <w:rFonts w:hint="eastAsia" w:asciiTheme="minorEastAsia" w:hAnsiTheme="minorEastAsia" w:eastAsiaTheme="minorEastAsia" w:cstheme="minorEastAsia"/>
          <w:b/>
          <w:color w:val="000000"/>
          <w:kern w:val="2"/>
          <w:sz w:val="24"/>
          <w:szCs w:val="24"/>
          <w:lang w:val="en-US" w:eastAsia="zh-CN" w:bidi="ar-SA"/>
        </w:rPr>
        <w:t>可管理性</w:t>
      </w:r>
      <w:r>
        <w:rPr>
          <w:rFonts w:hint="eastAsia" w:asciiTheme="minorEastAsia" w:hAnsiTheme="minorEastAsia" w:eastAsiaTheme="minorEastAsia" w:cstheme="minorEastAsia"/>
          <w:b/>
          <w:kern w:val="2"/>
          <w:sz w:val="24"/>
          <w:szCs w:val="24"/>
          <w:lang w:val="en-US" w:eastAsia="zh-CN" w:bidi="ar-SA"/>
        </w:rPr>
        <w:t xml:space="preserve">要求 </w:t>
      </w:r>
    </w:p>
    <w:p>
      <w:pPr>
        <w:widowControl w:val="0"/>
        <w:suppressAutoHyphens/>
        <w:kinsoku/>
        <w:wordWrap/>
        <w:topLinePunct w:val="0"/>
        <w:bidi w:val="0"/>
        <w:spacing w:before="0" w:after="0" w:line="360" w:lineRule="auto"/>
        <w:ind w:left="0" w:leftChars="0" w:firstLine="484" w:firstLineChars="202"/>
        <w:jc w:val="both"/>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color w:val="000000"/>
          <w:kern w:val="2"/>
          <w:sz w:val="24"/>
          <w:szCs w:val="24"/>
          <w:lang w:val="en-US" w:eastAsia="zh-CN" w:bidi="ar-SA"/>
        </w:rPr>
        <w:t>系统长期可靠运行不仅依靠软件设备的可靠性，还必须有良好的可维护性，保证在日常维护工作中减低对维护的依赖，并且在系统故障出现时能够及时发现、迅速排除。</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 xml:space="preserve">4.7性能要求 </w:t>
      </w:r>
    </w:p>
    <w:p>
      <w:pPr>
        <w:suppressAutoHyphens/>
        <w:kinsoku/>
        <w:wordWrap/>
        <w:topLinePunct w:val="0"/>
        <w:bidi w:val="0"/>
        <w:spacing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为提高纳税人办理业务、保证系统流畅性和稳定性，服务接口应满足如下的性能要求：对本项目响应速度的要求如下：</w:t>
      </w:r>
    </w:p>
    <w:p>
      <w:pPr>
        <w:suppressAutoHyphens/>
        <w:kinsoku/>
        <w:wordWrap/>
        <w:topLinePunct w:val="0"/>
        <w:bidi w:val="0"/>
        <w:spacing w:line="360" w:lineRule="auto"/>
        <w:ind w:left="0" w:leftChars="0" w:firstLine="364" w:firstLineChars="15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1.在接入本项目接口时，高峰期业务处理响应速度时间不超过5秒；</w:t>
      </w:r>
    </w:p>
    <w:p>
      <w:pPr>
        <w:suppressAutoHyphens/>
        <w:kinsoku/>
        <w:wordWrap/>
        <w:topLinePunct w:val="0"/>
        <w:bidi w:val="0"/>
        <w:spacing w:line="360" w:lineRule="auto"/>
        <w:ind w:left="0" w:leftChars="0" w:firstLine="364" w:firstLineChars="15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 在接入本项目接口时，非高峰期业务处理响应速度时间不超过3秒。</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第5章 服务要求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系统上线后，中标人需要按合同约定的期限进行技术支持保障工作，保证系统平稳运行。在服务期内，中标人提供的服务和技术支持包括但不限于以下内容：</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1.应对软件使用过程中出现的各类问题进行解答；</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2.快速解决应用系统运行过程出现的系统故障，保障业务办理的连续性。针对每次故障处理提交故障分析报告，总结整理故障案例库；</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3.数据同步维护，根据数据同步配置需求，更新维护数据同步配置。负责生产库与分发库之间的数据一致性。负责生产环境和预生产环境数据同步。</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4.根据采购人要求，定期形成监控报告，并向采购人提供运行环境相关资料和监控报告，以及详细的运维工作记录。</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5.环境优化，根据应用系统运行情况，以及随着数据量的不断增加，定期对系统进行调优。</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第6章 验收要求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验收工作由招标人组织实施，投标人应完成项目验收的相关验收场景和资料的准备。</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6.1验收标准</w:t>
      </w:r>
      <w:r>
        <w:rPr>
          <w:rFonts w:hint="eastAsia" w:asciiTheme="minorEastAsia" w:hAnsiTheme="minorEastAsia" w:eastAsiaTheme="minorEastAsia" w:cstheme="minorEastAsia"/>
          <w:b/>
          <w:bCs/>
          <w:kern w:val="2"/>
          <w:sz w:val="24"/>
          <w:szCs w:val="24"/>
          <w:lang w:val="en-US" w:eastAsia="zh-CN" w:bidi="ar-SA"/>
        </w:rPr>
        <w:tab/>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1.验收的原则和依据</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本着保证质量、注重应用、功能适用的原则，以本项目招标文件、合同和业务需求及相关技术标准规范为验收的主要依据。</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2.验收标准</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（一）系统运行正常。</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（二）招标文件和合同要求全部完成，并满足要求。</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（三）各种技术文档和验收资料完备，符合合同的内容。</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（四）系统监控和数据处理符合信息安全的要求。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（五）合同或合同附件规定的其他验收条件。</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6.2项目验收</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投标人应根据合同约定验收的要求以及验收工作的内容，协助制定验收方案；</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投标人应为验收工作准备相应的验收环境和所需资料；</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协助招标人全面、准确验证软件的各项功能模块是否达到标准；</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协助招标人全面、准确验证软件的各项性能是否能达到要求；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投标人应对验收中发现的问题制定详细明确的处理方案并及时修改；</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投标人必须按招标人要求提交移交物清单及清单所列内容的最终版本（包括纸制和电子版），并经招标人签字确认；</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投标人协助编写并提交验收报告等文档。</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6.3交付物要求</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1、验收方案</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内容包括但不限于：详细描述验收目的、验收内容、技术条件、验收方法、进度安排、人员组成、验收准则、验收数据准备等。</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2、验收报告</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内容包括但不仅限于：详细描述和总结验收依据、验收内容、验收过程、验收准则、验收报告结论存在问题、优化完善建议等。</w:t>
      </w:r>
    </w:p>
    <w:p>
      <w:pPr>
        <w:widowControl/>
        <w:shd w:val="clear" w:color="auto" w:fill="FFFFFF"/>
        <w:suppressAutoHyphens/>
        <w:kinsoku/>
        <w:wordWrap/>
        <w:topLinePunct w:val="0"/>
        <w:bidi w:val="0"/>
        <w:snapToGrid w:val="0"/>
        <w:spacing w:line="360" w:lineRule="auto"/>
        <w:ind w:left="0" w:leftChars="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3、移交物清单及交付物</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内容包括但不局限于：管理文档、用户文档、上线相关文档等。</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第7章 其他要求</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7.1保密要求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7.2知识产权要求</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2、中标人应保证在本项目中所有预装和为本项目安装的软件为在中国境内具有合法版权或使用权的正版软件且无质量瑕疵。</w:t>
      </w:r>
    </w:p>
    <w:p>
      <w:pPr>
        <w:suppressAutoHyphens/>
        <w:kinsoku/>
        <w:wordWrap/>
        <w:topLinePunct w:val="0"/>
        <w:bidi w:val="0"/>
        <w:snapToGrid w:val="0"/>
        <w:spacing w:line="360" w:lineRule="auto"/>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3、中标人保证所提供的产品及服务不侵犯第三方的知识产权，否则，由此给招标人造成的一切损失由中标人承担。</w:t>
      </w:r>
    </w:p>
    <w:p>
      <w:pPr>
        <w:keepNext/>
        <w:keepLines/>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7.3归档要求</w:t>
      </w:r>
    </w:p>
    <w:p>
      <w:pPr>
        <w:suppressAutoHyphens/>
        <w:kinsoku/>
        <w:wordWrap/>
        <w:topLinePunct w:val="0"/>
        <w:bidi w:val="0"/>
        <w:snapToGrid w:val="0"/>
        <w:spacing w:line="360" w:lineRule="auto"/>
        <w:ind w:left="0" w:leftChars="0" w:firstLine="470" w:firstLineChars="196"/>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中标人应对该项目所涉及的需求分析、联调测试、培训推广等各阶段工作文档，按招标人质量、数量、提供方式、提供时间等要求进行整理，并提交招标人归档。</w:t>
      </w:r>
    </w:p>
    <w:p>
      <w:pPr>
        <w:suppressAutoHyphens/>
        <w:kinsoku/>
        <w:wordWrap/>
        <w:topLinePunct w:val="0"/>
        <w:bidi w:val="0"/>
        <w:spacing w:line="360" w:lineRule="auto"/>
        <w:ind w:left="0" w:leftChars="0"/>
        <w:rPr>
          <w:rFonts w:hint="eastAsia" w:asciiTheme="minorEastAsia" w:hAnsiTheme="minorEastAsia" w:eastAsiaTheme="minorEastAsia" w:cstheme="minorEastAsia"/>
          <w:sz w:val="24"/>
          <w:szCs w:val="24"/>
        </w:rPr>
      </w:pPr>
    </w:p>
    <w:p>
      <w:pPr>
        <w:pStyle w:val="2"/>
        <w:rPr>
          <w:rFonts w:hint="eastAsia"/>
          <w:lang w:val="en-US" w:eastAsia="zh-CN"/>
        </w:rPr>
      </w:pPr>
    </w:p>
    <w:p>
      <w:pPr>
        <w:pStyle w:val="22"/>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pPr>
        <w:spacing w:before="200" w:after="200"/>
        <w:jc w:val="center"/>
        <w:outlineLvl w:val="0"/>
        <w:rPr>
          <w:rFonts w:hint="eastAsia" w:ascii="宋体" w:hAnsi="宋体" w:eastAsia="宋体" w:cs="宋体"/>
          <w:color w:val="auto"/>
          <w:highlight w:val="none"/>
        </w:rPr>
      </w:pPr>
      <w:bookmarkStart w:id="142" w:name="_Toc17739"/>
      <w:r>
        <w:rPr>
          <w:rStyle w:val="37"/>
          <w:rFonts w:hint="eastAsia" w:ascii="宋体" w:hAnsi="宋体" w:eastAsia="宋体" w:cs="宋体"/>
          <w:color w:val="auto"/>
          <w:highlight w:val="none"/>
        </w:rPr>
        <w:t>第四章 评标方法</w:t>
      </w:r>
      <w:bookmarkEnd w:id="111"/>
      <w:bookmarkEnd w:id="112"/>
      <w:bookmarkEnd w:id="142"/>
    </w:p>
    <w:p>
      <w:pPr>
        <w:adjustRightInd w:val="0"/>
        <w:snapToGrid w:val="0"/>
        <w:ind w:firstLine="422" w:firstLineChars="200"/>
        <w:rPr>
          <w:rFonts w:hint="eastAsia" w:ascii="宋体" w:hAnsi="宋体" w:eastAsia="宋体" w:cs="宋体"/>
          <w:b/>
          <w:color w:val="auto"/>
          <w:kern w:val="0"/>
          <w:highlight w:val="none"/>
        </w:rPr>
      </w:pPr>
      <w:bookmarkStart w:id="143" w:name="_Toc22313_WPSOffice_Level2"/>
      <w:r>
        <w:rPr>
          <w:rFonts w:hint="eastAsia" w:ascii="宋体" w:hAnsi="宋体" w:eastAsia="宋体" w:cs="宋体"/>
          <w:b/>
          <w:color w:val="auto"/>
          <w:kern w:val="0"/>
          <w:highlight w:val="none"/>
        </w:rPr>
        <w:t>一、评标方法</w:t>
      </w:r>
      <w:bookmarkEnd w:id="143"/>
    </w:p>
    <w:p>
      <w:pPr>
        <w:adjustRightInd w:val="0"/>
        <w:snapToGrid w:val="0"/>
        <w:ind w:firstLine="420" w:firstLineChars="200"/>
        <w:textAlignment w:val="baseline"/>
        <w:rPr>
          <w:rFonts w:hint="eastAsia" w:ascii="宋体" w:hAnsi="宋体" w:eastAsia="宋体" w:cs="宋体"/>
          <w:color w:val="auto"/>
          <w:highlight w:val="none"/>
        </w:rPr>
      </w:pPr>
      <w:bookmarkStart w:id="144" w:name="_Toc21368_WPSOffice_Level2"/>
      <w:r>
        <w:rPr>
          <w:rFonts w:hint="eastAsia" w:ascii="宋体" w:hAnsi="宋体" w:eastAsia="宋体" w:cs="宋体"/>
          <w:color w:val="auto"/>
          <w:highlight w:val="none"/>
        </w:rPr>
        <w:t>本项目将按照招标文件第一章 供应商须知的相关要求及本章的规定评标。</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44"/>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pPr>
        <w:numPr>
          <w:ilvl w:val="0"/>
          <w:numId w:val="8"/>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pPr>
        <w:numPr>
          <w:ilvl w:val="0"/>
          <w:numId w:val="8"/>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pPr>
        <w:numPr>
          <w:ilvl w:val="0"/>
          <w:numId w:val="8"/>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pPr>
        <w:numPr>
          <w:ilvl w:val="0"/>
          <w:numId w:val="9"/>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pPr>
        <w:numPr>
          <w:ilvl w:val="0"/>
          <w:numId w:val="9"/>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pPr>
        <w:adjustRightInd w:val="0"/>
        <w:snapToGrid w:val="0"/>
        <w:ind w:firstLine="422" w:firstLineChars="200"/>
        <w:rPr>
          <w:rFonts w:hint="eastAsia" w:ascii="宋体" w:hAnsi="宋体" w:eastAsia="宋体" w:cs="宋体"/>
          <w:b/>
          <w:color w:val="auto"/>
          <w:kern w:val="0"/>
          <w:highlight w:val="none"/>
        </w:rPr>
      </w:pPr>
      <w:bookmarkStart w:id="145"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45"/>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46" w:name="_Toc32318_WPSOffice_Level2"/>
      <w:r>
        <w:rPr>
          <w:rStyle w:val="39"/>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46"/>
    </w:p>
    <w:tbl>
      <w:tblPr>
        <w:tblStyle w:val="26"/>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
        <w:gridCol w:w="3647"/>
        <w:gridCol w:w="1964"/>
        <w:gridCol w:w="695"/>
        <w:gridCol w:w="886"/>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9" w:hRule="atLeast"/>
        </w:trPr>
        <w:tc>
          <w:tcPr>
            <w:tcW w:w="500"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3647"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964"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2402" w:type="dxa"/>
            <w:gridSpan w:val="3"/>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4" w:hRule="atLeast"/>
        </w:trPr>
        <w:tc>
          <w:tcPr>
            <w:tcW w:w="500" w:type="dxa"/>
            <w:vMerge w:val="continue"/>
            <w:vAlign w:val="center"/>
          </w:tcPr>
          <w:p>
            <w:pPr>
              <w:spacing w:line="300" w:lineRule="exact"/>
              <w:rPr>
                <w:rFonts w:hint="eastAsia" w:ascii="宋体" w:hAnsi="宋体" w:eastAsia="宋体" w:cs="宋体"/>
                <w:color w:val="auto"/>
                <w:highlight w:val="none"/>
              </w:rPr>
            </w:pPr>
          </w:p>
        </w:tc>
        <w:tc>
          <w:tcPr>
            <w:tcW w:w="3647" w:type="dxa"/>
            <w:vMerge w:val="continue"/>
            <w:vAlign w:val="center"/>
          </w:tcPr>
          <w:p>
            <w:pPr>
              <w:spacing w:line="300" w:lineRule="exact"/>
              <w:rPr>
                <w:rFonts w:hint="eastAsia" w:ascii="宋体" w:hAnsi="宋体" w:eastAsia="宋体" w:cs="宋体"/>
                <w:color w:val="auto"/>
                <w:highlight w:val="none"/>
              </w:rPr>
            </w:pPr>
          </w:p>
        </w:tc>
        <w:tc>
          <w:tcPr>
            <w:tcW w:w="1964" w:type="dxa"/>
            <w:vMerge w:val="continue"/>
            <w:vAlign w:val="center"/>
          </w:tcPr>
          <w:p>
            <w:pPr>
              <w:spacing w:line="300" w:lineRule="exact"/>
              <w:rPr>
                <w:rFonts w:hint="eastAsia" w:ascii="宋体" w:hAnsi="宋体" w:eastAsia="宋体" w:cs="宋体"/>
                <w:color w:val="auto"/>
                <w:highlight w:val="none"/>
              </w:rPr>
            </w:pPr>
          </w:p>
        </w:tc>
        <w:tc>
          <w:tcPr>
            <w:tcW w:w="695" w:type="dxa"/>
            <w:vAlign w:val="center"/>
          </w:tcPr>
          <w:p>
            <w:pPr>
              <w:spacing w:line="300" w:lineRule="exact"/>
              <w:rPr>
                <w:rFonts w:hint="eastAsia" w:ascii="宋体" w:hAnsi="宋体" w:eastAsia="宋体" w:cs="宋体"/>
                <w:color w:val="auto"/>
                <w:highlight w:val="none"/>
              </w:rPr>
            </w:pPr>
          </w:p>
        </w:tc>
        <w:tc>
          <w:tcPr>
            <w:tcW w:w="886" w:type="dxa"/>
            <w:vAlign w:val="center"/>
          </w:tcPr>
          <w:p>
            <w:pPr>
              <w:spacing w:line="300" w:lineRule="exact"/>
              <w:rPr>
                <w:rFonts w:hint="eastAsia" w:ascii="宋体" w:hAnsi="宋体" w:eastAsia="宋体" w:cs="宋体"/>
                <w:color w:val="auto"/>
                <w:highlight w:val="none"/>
              </w:rPr>
            </w:pPr>
          </w:p>
        </w:tc>
        <w:tc>
          <w:tcPr>
            <w:tcW w:w="821"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vAlign w:val="center"/>
          </w:tcPr>
          <w:p>
            <w:pPr>
              <w:spacing w:line="300" w:lineRule="exact"/>
              <w:rPr>
                <w:rFonts w:hint="eastAsia" w:ascii="宋体" w:hAnsi="宋体" w:eastAsia="宋体" w:cs="宋体"/>
                <w:color w:val="auto"/>
                <w:highlight w:val="none"/>
              </w:rPr>
            </w:pPr>
          </w:p>
        </w:tc>
        <w:tc>
          <w:tcPr>
            <w:tcW w:w="886" w:type="dxa"/>
            <w:vAlign w:val="center"/>
          </w:tcPr>
          <w:p>
            <w:pPr>
              <w:spacing w:line="300" w:lineRule="exact"/>
              <w:rPr>
                <w:rFonts w:hint="eastAsia" w:ascii="宋体" w:hAnsi="宋体" w:eastAsia="宋体" w:cs="宋体"/>
                <w:color w:val="auto"/>
                <w:highlight w:val="none"/>
              </w:rPr>
            </w:pPr>
          </w:p>
        </w:tc>
        <w:tc>
          <w:tcPr>
            <w:tcW w:w="821"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6111" w:type="dxa"/>
            <w:gridSpan w:val="3"/>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keepNext/>
        <w:keepLines/>
        <w:adjustRightInd w:val="0"/>
        <w:snapToGrid w:val="0"/>
        <w:jc w:val="left"/>
        <w:rPr>
          <w:rFonts w:hint="eastAsia" w:ascii="宋体" w:hAnsi="宋体" w:eastAsia="宋体" w:cs="宋体"/>
          <w:b/>
          <w:color w:val="auto"/>
          <w:highlight w:val="none"/>
        </w:rPr>
      </w:pPr>
    </w:p>
    <w:p>
      <w:pPr>
        <w:pStyle w:val="23"/>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47" w:name="_Toc11558_WPSOffice_Level2"/>
      <w:r>
        <w:rPr>
          <w:rStyle w:val="39"/>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pPr>
        <w:pStyle w:val="23"/>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8"/>
          <w:rFonts w:hint="eastAsia" w:ascii="宋体" w:hAnsi="宋体" w:eastAsia="宋体" w:cs="宋体"/>
          <w:color w:val="auto"/>
          <w:highlight w:val="none"/>
        </w:rPr>
        <w:t xml:space="preserve"> 符合性审查表</w:t>
      </w:r>
      <w:bookmarkEnd w:id="147"/>
    </w:p>
    <w:tbl>
      <w:tblPr>
        <w:tblStyle w:val="26"/>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5"/>
        <w:gridCol w:w="2258"/>
        <w:gridCol w:w="2755"/>
        <w:gridCol w:w="995"/>
        <w:gridCol w:w="969"/>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35"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58"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2755"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2865" w:type="dxa"/>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8" w:hRule="atLeast"/>
        </w:trPr>
        <w:tc>
          <w:tcPr>
            <w:tcW w:w="635" w:type="dxa"/>
            <w:vMerge w:val="continue"/>
            <w:vAlign w:val="center"/>
          </w:tcPr>
          <w:p>
            <w:pPr>
              <w:spacing w:line="300" w:lineRule="exact"/>
              <w:jc w:val="center"/>
              <w:rPr>
                <w:rFonts w:hint="eastAsia" w:ascii="宋体" w:hAnsi="宋体" w:eastAsia="宋体" w:cs="宋体"/>
                <w:color w:val="auto"/>
                <w:highlight w:val="none"/>
              </w:rPr>
            </w:pPr>
          </w:p>
        </w:tc>
        <w:tc>
          <w:tcPr>
            <w:tcW w:w="2258" w:type="dxa"/>
            <w:vMerge w:val="continue"/>
            <w:vAlign w:val="center"/>
          </w:tcPr>
          <w:p>
            <w:pPr>
              <w:spacing w:line="300" w:lineRule="exact"/>
              <w:rPr>
                <w:rFonts w:hint="eastAsia" w:ascii="宋体" w:hAnsi="宋体" w:eastAsia="宋体" w:cs="宋体"/>
                <w:color w:val="auto"/>
                <w:highlight w:val="none"/>
              </w:rPr>
            </w:pPr>
          </w:p>
        </w:tc>
        <w:tc>
          <w:tcPr>
            <w:tcW w:w="2755" w:type="dxa"/>
            <w:vMerge w:val="continue"/>
            <w:vAlign w:val="center"/>
          </w:tcPr>
          <w:p>
            <w:pPr>
              <w:spacing w:line="300" w:lineRule="exact"/>
              <w:rPr>
                <w:rFonts w:hint="eastAsia" w:ascii="宋体" w:hAnsi="宋体" w:eastAsia="宋体" w:cs="宋体"/>
                <w:color w:val="auto"/>
                <w:highlight w:val="none"/>
              </w:rPr>
            </w:pPr>
          </w:p>
        </w:tc>
        <w:tc>
          <w:tcPr>
            <w:tcW w:w="995"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1" w:hRule="atLeast"/>
        </w:trPr>
        <w:tc>
          <w:tcPr>
            <w:tcW w:w="5648" w:type="dxa"/>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pStyle w:val="23"/>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pPr>
        <w:pStyle w:val="23"/>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pStyle w:val="23"/>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23"/>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4"/>
        <w:adjustRightInd w:val="0"/>
        <w:snapToGrid w:val="0"/>
        <w:spacing w:before="0" w:after="0" w:line="240" w:lineRule="auto"/>
        <w:jc w:val="left"/>
        <w:rPr>
          <w:rFonts w:hint="eastAsia" w:ascii="宋体" w:hAnsi="宋体" w:eastAsia="宋体" w:cs="宋体"/>
          <w:color w:val="auto"/>
          <w:highlight w:val="none"/>
        </w:rPr>
      </w:pPr>
      <w:bookmarkStart w:id="148" w:name="_Toc17433_WPSOffice_Level2"/>
      <w:r>
        <w:rPr>
          <w:rStyle w:val="39"/>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pPr>
        <w:pStyle w:val="4"/>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48"/>
    </w:p>
    <w:tbl>
      <w:tblPr>
        <w:tblStyle w:val="26"/>
        <w:tblW w:w="843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5"/>
        <w:gridCol w:w="1309"/>
        <w:gridCol w:w="1164"/>
        <w:gridCol w:w="725"/>
        <w:gridCol w:w="43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noWrap w:val="0"/>
            <w:vAlign w:val="center"/>
          </w:tcPr>
          <w:p>
            <w:pPr>
              <w:suppressAutoHyphens/>
              <w:bidi w:val="0"/>
              <w:spacing w:line="360" w:lineRule="auto"/>
              <w:jc w:val="center"/>
              <w:rPr>
                <w:rFonts w:ascii="Times New Roman" w:hAnsi="Times New Roman" w:eastAsia="宋体" w:cs="Times New Roman"/>
                <w:szCs w:val="21"/>
              </w:rPr>
            </w:pPr>
            <w:r>
              <w:rPr>
                <w:rFonts w:hint="eastAsia" w:ascii="Times New Roman" w:hAnsi="Times New Roman" w:eastAsia="宋体" w:cs="Times New Roman"/>
                <w:szCs w:val="21"/>
              </w:rPr>
              <w:t>序号</w:t>
            </w:r>
          </w:p>
        </w:tc>
        <w:tc>
          <w:tcPr>
            <w:tcW w:w="1309" w:type="dxa"/>
            <w:noWrap w:val="0"/>
            <w:vAlign w:val="center"/>
          </w:tcPr>
          <w:p>
            <w:pPr>
              <w:suppressAutoHyphens/>
              <w:bidi w:val="0"/>
              <w:spacing w:line="360" w:lineRule="auto"/>
              <w:jc w:val="center"/>
              <w:rPr>
                <w:rFonts w:ascii="Times New Roman" w:hAnsi="Times New Roman" w:eastAsia="宋体" w:cs="Times New Roman"/>
                <w:szCs w:val="21"/>
              </w:rPr>
            </w:pPr>
            <w:r>
              <w:rPr>
                <w:rFonts w:hint="eastAsia" w:ascii="Times New Roman" w:hAnsi="Times New Roman" w:eastAsia="宋体" w:cs="Times New Roman"/>
                <w:szCs w:val="21"/>
              </w:rPr>
              <w:t>评审项目</w:t>
            </w:r>
          </w:p>
        </w:tc>
        <w:tc>
          <w:tcPr>
            <w:tcW w:w="1164" w:type="dxa"/>
            <w:noWrap w:val="0"/>
            <w:vAlign w:val="center"/>
          </w:tcPr>
          <w:p>
            <w:pPr>
              <w:suppressAutoHyphens/>
              <w:bidi w:val="0"/>
              <w:spacing w:line="360" w:lineRule="auto"/>
              <w:jc w:val="center"/>
              <w:rPr>
                <w:rFonts w:ascii="Times New Roman" w:hAnsi="Times New Roman" w:eastAsia="宋体" w:cs="Times New Roman"/>
                <w:szCs w:val="21"/>
              </w:rPr>
            </w:pPr>
            <w:r>
              <w:rPr>
                <w:rFonts w:hint="eastAsia" w:ascii="Times New Roman" w:hAnsi="Times New Roman" w:eastAsia="宋体" w:cs="Times New Roman"/>
                <w:szCs w:val="21"/>
              </w:rPr>
              <w:t>分项</w:t>
            </w:r>
          </w:p>
        </w:tc>
        <w:tc>
          <w:tcPr>
            <w:tcW w:w="725" w:type="dxa"/>
            <w:noWrap w:val="0"/>
            <w:vAlign w:val="center"/>
          </w:tcPr>
          <w:p>
            <w:pPr>
              <w:suppressAutoHyphens/>
              <w:bidi w:val="0"/>
              <w:spacing w:line="360" w:lineRule="auto"/>
              <w:jc w:val="center"/>
              <w:rPr>
                <w:rFonts w:ascii="Times New Roman" w:hAnsi="Times New Roman" w:eastAsia="宋体" w:cs="Times New Roman"/>
                <w:szCs w:val="21"/>
              </w:rPr>
            </w:pPr>
            <w:r>
              <w:rPr>
                <w:rFonts w:hint="eastAsia" w:ascii="Times New Roman" w:hAnsi="Times New Roman" w:eastAsia="宋体" w:cs="Times New Roman"/>
                <w:szCs w:val="21"/>
              </w:rPr>
              <w:t>分值</w:t>
            </w:r>
          </w:p>
        </w:tc>
        <w:tc>
          <w:tcPr>
            <w:tcW w:w="4368" w:type="dxa"/>
            <w:noWrap w:val="0"/>
            <w:vAlign w:val="center"/>
          </w:tcPr>
          <w:p>
            <w:pPr>
              <w:suppressAutoHyphens/>
              <w:bidi w:val="0"/>
              <w:spacing w:line="360" w:lineRule="auto"/>
              <w:jc w:val="center"/>
              <w:rPr>
                <w:rFonts w:ascii="Times New Roman" w:hAnsi="Times New Roman" w:eastAsia="宋体" w:cs="Times New Roman"/>
                <w:szCs w:val="21"/>
              </w:rPr>
            </w:pPr>
            <w:r>
              <w:rPr>
                <w:rFonts w:hint="eastAsia" w:ascii="Times New Roman" w:hAnsi="Times New Roman" w:eastAsia="宋体" w:cs="Times New Roman"/>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c>
          <w:tcPr>
            <w:tcW w:w="1309"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价格（30分）</w:t>
            </w:r>
          </w:p>
        </w:tc>
        <w:tc>
          <w:tcPr>
            <w:tcW w:w="1164" w:type="dxa"/>
            <w:noWrap w:val="0"/>
            <w:vAlign w:val="center"/>
          </w:tcPr>
          <w:p>
            <w:pPr>
              <w:spacing w:line="240" w:lineRule="auto"/>
              <w:jc w:val="center"/>
              <w:rPr>
                <w:rFonts w:ascii="宋体" w:hAnsi="宋体" w:eastAsia="宋体" w:cs="宋体"/>
                <w:color w:val="auto"/>
                <w:kern w:val="2"/>
                <w:sz w:val="21"/>
                <w:szCs w:val="24"/>
                <w:lang w:val="en-US" w:eastAsia="zh-CN" w:bidi="ar-SA"/>
              </w:rPr>
            </w:pPr>
            <w:r>
              <w:rPr>
                <w:rFonts w:hint="eastAsia" w:ascii="宋体" w:hAnsi="宋体" w:cs="宋体"/>
              </w:rPr>
              <w:t>报价得分</w:t>
            </w:r>
          </w:p>
        </w:tc>
        <w:tc>
          <w:tcPr>
            <w:tcW w:w="725" w:type="dxa"/>
            <w:noWrap w:val="0"/>
            <w:vAlign w:val="center"/>
          </w:tcPr>
          <w:p>
            <w:pPr>
              <w:spacing w:line="240" w:lineRule="auto"/>
              <w:jc w:val="center"/>
              <w:rPr>
                <w:rFonts w:ascii="宋体" w:hAnsi="宋体" w:eastAsia="宋体" w:cs="宋体"/>
                <w:color w:val="auto"/>
                <w:kern w:val="2"/>
                <w:sz w:val="21"/>
                <w:szCs w:val="24"/>
                <w:lang w:val="en-US" w:eastAsia="zh-CN" w:bidi="ar-SA"/>
              </w:rPr>
            </w:pPr>
            <w:r>
              <w:rPr>
                <w:rFonts w:hint="eastAsia" w:ascii="宋体" w:hAnsi="宋体" w:cs="宋体"/>
              </w:rPr>
              <w:t>30</w:t>
            </w:r>
          </w:p>
        </w:tc>
        <w:tc>
          <w:tcPr>
            <w:tcW w:w="4368" w:type="dxa"/>
            <w:noWrap w:val="0"/>
            <w:vAlign w:val="center"/>
          </w:tcPr>
          <w:p>
            <w:pPr>
              <w:pStyle w:val="53"/>
              <w:jc w:val="both"/>
              <w:rPr>
                <w:rFonts w:ascii="宋体" w:hAnsi="宋体" w:cs="宋体"/>
                <w:kern w:val="2"/>
                <w:sz w:val="21"/>
                <w:szCs w:val="21"/>
              </w:rPr>
            </w:pPr>
            <w:r>
              <w:rPr>
                <w:rFonts w:hint="eastAsia" w:ascii="宋体" w:hAnsi="宋体" w:cs="宋体"/>
                <w:kern w:val="2"/>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suppressAutoHyphens/>
              <w:bidi w:val="0"/>
              <w:spacing w:line="240" w:lineRule="auto"/>
              <w:rPr>
                <w:rFonts w:ascii="Times New Roman" w:hAnsi="Times New Roman" w:eastAsia="宋体" w:cs="Times New Roman"/>
                <w:szCs w:val="21"/>
              </w:rPr>
            </w:pPr>
            <w:r>
              <w:rPr>
                <w:rFonts w:hint="eastAsia" w:ascii="宋体" w:hAnsi="宋体" w:cs="宋体"/>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vMerge w:val="restart"/>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2</w:t>
            </w:r>
          </w:p>
        </w:tc>
        <w:tc>
          <w:tcPr>
            <w:tcW w:w="1309" w:type="dxa"/>
            <w:vMerge w:val="restart"/>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商务部分（1</w:t>
            </w:r>
            <w:r>
              <w:rPr>
                <w:rFonts w:hint="eastAsia" w:ascii="Times New Roman" w:hAnsi="Times New Roman" w:cs="Times New Roman"/>
                <w:szCs w:val="21"/>
                <w:lang w:val="en-US" w:eastAsia="zh-CN"/>
              </w:rPr>
              <w:t>5</w:t>
            </w:r>
            <w:r>
              <w:rPr>
                <w:rFonts w:hint="eastAsia" w:ascii="Times New Roman" w:hAnsi="Times New Roman" w:eastAsia="宋体" w:cs="Times New Roman"/>
                <w:szCs w:val="21"/>
              </w:rPr>
              <w:t>分）</w:t>
            </w:r>
          </w:p>
        </w:tc>
        <w:tc>
          <w:tcPr>
            <w:tcW w:w="1164" w:type="dxa"/>
            <w:noWrap w:val="0"/>
            <w:vAlign w:val="center"/>
          </w:tcPr>
          <w:p>
            <w:pPr>
              <w:spacing w:line="240" w:lineRule="auto"/>
              <w:jc w:val="center"/>
              <w:rPr>
                <w:rFonts w:ascii="宋体" w:hAnsi="宋体" w:eastAsia="宋体" w:cs="宋体"/>
                <w:color w:val="auto"/>
                <w:kern w:val="2"/>
                <w:sz w:val="21"/>
                <w:szCs w:val="24"/>
                <w:lang w:val="en-US" w:eastAsia="zh-CN" w:bidi="ar-SA"/>
              </w:rPr>
            </w:pPr>
            <w:r>
              <w:rPr>
                <w:rFonts w:hint="eastAsia" w:ascii="宋体" w:hAnsi="宋体" w:cs="宋体"/>
              </w:rPr>
              <w:t>售后服务承诺</w:t>
            </w:r>
          </w:p>
        </w:tc>
        <w:tc>
          <w:tcPr>
            <w:tcW w:w="725" w:type="dxa"/>
            <w:noWrap w:val="0"/>
            <w:vAlign w:val="center"/>
          </w:tcPr>
          <w:p>
            <w:pPr>
              <w:spacing w:line="240" w:lineRule="auto"/>
              <w:jc w:val="center"/>
              <w:rPr>
                <w:rFonts w:ascii="宋体" w:hAnsi="宋体" w:eastAsia="宋体" w:cs="宋体"/>
                <w:color w:val="auto"/>
                <w:kern w:val="2"/>
                <w:sz w:val="21"/>
                <w:szCs w:val="24"/>
                <w:lang w:val="en-US" w:eastAsia="zh-CN" w:bidi="ar-SA"/>
              </w:rPr>
            </w:pPr>
            <w:r>
              <w:rPr>
                <w:rFonts w:hint="eastAsia" w:ascii="宋体" w:hAnsi="宋体" w:cs="宋体"/>
              </w:rPr>
              <w:t>4</w:t>
            </w:r>
          </w:p>
        </w:tc>
        <w:tc>
          <w:tcPr>
            <w:tcW w:w="4368" w:type="dxa"/>
            <w:noWrap w:val="0"/>
            <w:vAlign w:val="center"/>
          </w:tcPr>
          <w:p>
            <w:pPr>
              <w:spacing w:line="240" w:lineRule="auto"/>
              <w:rPr>
                <w:rFonts w:ascii="宋体" w:hAnsi="宋体" w:eastAsia="宋体" w:cs="宋体"/>
                <w:color w:val="auto"/>
                <w:kern w:val="2"/>
                <w:sz w:val="21"/>
                <w:szCs w:val="24"/>
                <w:lang w:val="en-US" w:eastAsia="zh-CN" w:bidi="ar-SA"/>
              </w:rPr>
            </w:pPr>
            <w:r>
              <w:rPr>
                <w:rFonts w:hint="eastAsia" w:ascii="宋体" w:hAnsi="宋体" w:cs="宋体"/>
              </w:rPr>
              <w:t>根据供应商提供的售后服务承诺进行打分，内容包括服务大纲、故障响应、服务应答、备机备件等方面，以上内容每具备一项且与本项目相关得1分，最多得4分。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309"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164" w:type="dxa"/>
            <w:noWrap w:val="0"/>
            <w:vAlign w:val="center"/>
          </w:tcPr>
          <w:p>
            <w:pPr>
              <w:spacing w:line="240" w:lineRule="auto"/>
              <w:jc w:val="center"/>
              <w:rPr>
                <w:rFonts w:ascii="宋体" w:hAnsi="宋体" w:eastAsia="宋体" w:cs="宋体"/>
                <w:color w:val="auto"/>
                <w:kern w:val="2"/>
                <w:sz w:val="21"/>
                <w:szCs w:val="24"/>
                <w:lang w:val="en-US" w:eastAsia="zh-CN" w:bidi="ar-SA"/>
              </w:rPr>
            </w:pPr>
            <w:r>
              <w:rPr>
                <w:rFonts w:hint="eastAsia" w:ascii="宋体" w:hAnsi="宋体" w:cs="宋体"/>
              </w:rPr>
              <w:t>供应商资质</w:t>
            </w:r>
          </w:p>
        </w:tc>
        <w:tc>
          <w:tcPr>
            <w:tcW w:w="725" w:type="dxa"/>
            <w:noWrap w:val="0"/>
            <w:vAlign w:val="center"/>
          </w:tcPr>
          <w:p>
            <w:pPr>
              <w:spacing w:line="240" w:lineRule="auto"/>
              <w:jc w:val="center"/>
              <w:rPr>
                <w:rFonts w:ascii="宋体" w:hAnsi="宋体" w:eastAsia="宋体" w:cs="宋体"/>
                <w:color w:val="auto"/>
                <w:kern w:val="2"/>
                <w:sz w:val="21"/>
                <w:szCs w:val="24"/>
                <w:lang w:val="en-US" w:eastAsia="zh-CN" w:bidi="ar-SA"/>
              </w:rPr>
            </w:pPr>
            <w:r>
              <w:rPr>
                <w:rFonts w:hint="eastAsia" w:ascii="宋体" w:hAnsi="宋体" w:cs="宋体"/>
              </w:rPr>
              <w:t>6</w:t>
            </w:r>
          </w:p>
        </w:tc>
        <w:tc>
          <w:tcPr>
            <w:tcW w:w="4368" w:type="dxa"/>
            <w:noWrap w:val="0"/>
            <w:vAlign w:val="center"/>
          </w:tcPr>
          <w:p>
            <w:pPr>
              <w:spacing w:line="240" w:lineRule="auto"/>
              <w:rPr>
                <w:rFonts w:ascii="宋体" w:hAnsi="宋体" w:eastAsia="宋体" w:cs="宋体"/>
                <w:color w:val="auto"/>
                <w:kern w:val="2"/>
                <w:sz w:val="21"/>
                <w:szCs w:val="24"/>
                <w:lang w:val="en-US" w:eastAsia="zh-CN" w:bidi="ar-SA"/>
              </w:rPr>
            </w:pPr>
            <w:r>
              <w:rPr>
                <w:rFonts w:hint="eastAsia" w:ascii="宋体" w:hAnsi="宋体" w:cs="宋体"/>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宋体" w:hAnsi="宋体" w:cs="宋体"/>
                <w:lang w:val="en-US" w:eastAsia="zh-CN"/>
              </w:rPr>
              <w:t>与全国认证认可信息公共服务平台http://cx.cnca.cn查询截图，原件备查</w:t>
            </w:r>
            <w:r>
              <w:rPr>
                <w:rFonts w:hint="eastAsia" w:ascii="宋体" w:hAnsi="宋体" w:cs="宋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309"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164" w:type="dxa"/>
            <w:noWrap w:val="0"/>
            <w:vAlign w:val="center"/>
          </w:tcPr>
          <w:p>
            <w:pPr>
              <w:spacing w:line="240" w:lineRule="auto"/>
              <w:jc w:val="center"/>
              <w:rPr>
                <w:rFonts w:ascii="宋体" w:hAnsi="宋体" w:eastAsia="宋体" w:cs="宋体"/>
                <w:color w:val="auto"/>
                <w:kern w:val="2"/>
                <w:sz w:val="21"/>
                <w:szCs w:val="24"/>
                <w:lang w:val="en-US" w:eastAsia="zh-CN" w:bidi="ar-SA"/>
              </w:rPr>
            </w:pPr>
            <w:r>
              <w:rPr>
                <w:rFonts w:hint="eastAsia" w:ascii="宋体" w:hAnsi="宋体" w:cs="宋体"/>
              </w:rPr>
              <w:t>供应商类似项目业绩</w:t>
            </w:r>
          </w:p>
        </w:tc>
        <w:tc>
          <w:tcPr>
            <w:tcW w:w="725" w:type="dxa"/>
            <w:noWrap w:val="0"/>
            <w:vAlign w:val="center"/>
          </w:tcPr>
          <w:p>
            <w:pPr>
              <w:spacing w:line="240" w:lineRule="auto"/>
              <w:jc w:val="center"/>
              <w:rPr>
                <w:rFonts w:ascii="宋体" w:hAnsi="宋体" w:eastAsia="宋体" w:cs="宋体"/>
                <w:color w:val="auto"/>
                <w:kern w:val="2"/>
                <w:sz w:val="21"/>
                <w:szCs w:val="24"/>
                <w:lang w:val="en-US" w:eastAsia="zh-CN" w:bidi="ar-SA"/>
              </w:rPr>
            </w:pPr>
            <w:r>
              <w:rPr>
                <w:rFonts w:hint="eastAsia" w:ascii="宋体" w:hAnsi="宋体" w:cs="宋体"/>
              </w:rPr>
              <w:t>5</w:t>
            </w:r>
          </w:p>
        </w:tc>
        <w:tc>
          <w:tcPr>
            <w:tcW w:w="4368" w:type="dxa"/>
            <w:noWrap w:val="0"/>
            <w:vAlign w:val="center"/>
          </w:tcPr>
          <w:p>
            <w:pPr>
              <w:spacing w:line="240" w:lineRule="auto"/>
              <w:rPr>
                <w:rFonts w:ascii="宋体" w:hAnsi="宋体" w:cs="宋体"/>
              </w:rPr>
            </w:pPr>
            <w:r>
              <w:rPr>
                <w:rFonts w:hint="eastAsia" w:ascii="宋体" w:hAnsi="宋体" w:cs="宋体"/>
              </w:rPr>
              <w:t>提供20</w:t>
            </w:r>
            <w:r>
              <w:rPr>
                <w:rFonts w:hint="eastAsia" w:ascii="宋体" w:hAnsi="宋体" w:cs="宋体"/>
                <w:lang w:val="en-US" w:eastAsia="zh-CN"/>
              </w:rPr>
              <w:t>21</w:t>
            </w:r>
            <w:r>
              <w:rPr>
                <w:rFonts w:hint="eastAsia" w:ascii="宋体" w:hAnsi="宋体" w:cs="宋体"/>
              </w:rPr>
              <w:t>年1月1日之后供应商类似优化升级项目合同，以合同个数为准，每提供一个合同得1分，最多得5分。时间以签订合同时间为准。</w:t>
            </w:r>
          </w:p>
          <w:p>
            <w:pPr>
              <w:spacing w:line="240" w:lineRule="auto"/>
              <w:rPr>
                <w:rFonts w:ascii="宋体" w:hAnsi="宋体" w:eastAsia="宋体" w:cs="宋体"/>
                <w:color w:val="auto"/>
                <w:kern w:val="2"/>
                <w:sz w:val="21"/>
                <w:szCs w:val="24"/>
                <w:lang w:val="en-US" w:eastAsia="zh-CN" w:bidi="ar-SA"/>
              </w:rPr>
            </w:pPr>
            <w:r>
              <w:rPr>
                <w:rFonts w:hint="eastAsia" w:ascii="宋体" w:hAnsi="宋体" w:cs="宋体"/>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vMerge w:val="restart"/>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3</w:t>
            </w:r>
          </w:p>
        </w:tc>
        <w:tc>
          <w:tcPr>
            <w:tcW w:w="1309" w:type="dxa"/>
            <w:vMerge w:val="restart"/>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技术评分</w:t>
            </w:r>
          </w:p>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（5</w:t>
            </w:r>
            <w:r>
              <w:rPr>
                <w:rFonts w:hint="eastAsia" w:cs="Times New Roman"/>
                <w:szCs w:val="21"/>
                <w:lang w:val="en-US" w:eastAsia="zh-CN"/>
              </w:rPr>
              <w:t>5</w:t>
            </w:r>
            <w:r>
              <w:rPr>
                <w:rFonts w:hint="eastAsia" w:ascii="Times New Roman" w:hAnsi="Times New Roman" w:eastAsia="宋体" w:cs="Times New Roman"/>
                <w:szCs w:val="21"/>
              </w:rPr>
              <w:t>分）</w:t>
            </w:r>
          </w:p>
        </w:tc>
        <w:tc>
          <w:tcPr>
            <w:tcW w:w="1164"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需求理解程度</w:t>
            </w:r>
          </w:p>
        </w:tc>
        <w:tc>
          <w:tcPr>
            <w:tcW w:w="725"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宋体" w:hAnsi="宋体" w:eastAsia="宋体" w:cs="宋体"/>
                <w:color w:val="auto"/>
                <w:kern w:val="2"/>
                <w:sz w:val="21"/>
                <w:szCs w:val="24"/>
                <w:lang w:val="en-US" w:eastAsia="zh-CN" w:bidi="ar-SA"/>
              </w:rPr>
              <w:t>9</w:t>
            </w:r>
          </w:p>
        </w:tc>
        <w:tc>
          <w:tcPr>
            <w:tcW w:w="4368" w:type="dxa"/>
            <w:noWrap w:val="0"/>
            <w:vAlign w:val="center"/>
          </w:tcPr>
          <w:p>
            <w:pPr>
              <w:suppressAutoHyphens/>
              <w:bidi w:val="0"/>
              <w:spacing w:line="240" w:lineRule="auto"/>
              <w:rPr>
                <w:rFonts w:ascii="Times New Roman" w:hAnsi="Times New Roman" w:eastAsia="宋体" w:cs="Times New Roman"/>
                <w:szCs w:val="21"/>
              </w:rPr>
            </w:pPr>
            <w:r>
              <w:rPr>
                <w:rFonts w:hint="eastAsia" w:ascii="Times New Roman" w:hAnsi="Times New Roman" w:eastAsia="宋体" w:cs="Times New Roman"/>
                <w:szCs w:val="21"/>
              </w:rPr>
              <w:t>根据供应商对本次项目系统开发需求以及本项目建设难点、要点的理解程度进行打分，内容包括对本项目硬（软）件系统的业务知识和运行掌握情况、各项功能流程、数据来源和口径描述、系统开发工作现状、相关政策理解、应急响应预案及演练服务、故障处理能力、系统和数据安全、保密运维能力。以上内容每具备一项合理且与本项目相关得1分，最多得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309"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164"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技术设计方案</w:t>
            </w:r>
          </w:p>
        </w:tc>
        <w:tc>
          <w:tcPr>
            <w:tcW w:w="725"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宋体" w:hAnsi="宋体" w:eastAsia="宋体" w:cs="宋体"/>
                <w:color w:val="auto"/>
                <w:kern w:val="2"/>
                <w:sz w:val="21"/>
                <w:szCs w:val="24"/>
                <w:lang w:val="en-US" w:eastAsia="zh-CN" w:bidi="ar-SA"/>
              </w:rPr>
              <w:t>8</w:t>
            </w:r>
          </w:p>
        </w:tc>
        <w:tc>
          <w:tcPr>
            <w:tcW w:w="4368" w:type="dxa"/>
            <w:noWrap w:val="0"/>
            <w:vAlign w:val="center"/>
          </w:tcPr>
          <w:p>
            <w:pPr>
              <w:suppressAutoHyphens/>
              <w:bidi w:val="0"/>
              <w:spacing w:line="240" w:lineRule="auto"/>
              <w:rPr>
                <w:rFonts w:ascii="Times New Roman" w:hAnsi="Times New Roman" w:eastAsia="宋体" w:cs="Times New Roman"/>
                <w:szCs w:val="21"/>
              </w:rPr>
            </w:pPr>
            <w:r>
              <w:rPr>
                <w:rFonts w:hint="eastAsia" w:ascii="Times New Roman" w:hAnsi="Times New Roman" w:eastAsia="宋体" w:cs="Times New Roman"/>
                <w:szCs w:val="21"/>
              </w:rPr>
              <w:t>供应商应结合同类税收应用系统技术现状，提供开发架构设计、系统接口设计、数据运行和数据安全保障、系统部署设计，以上内容每具备一项合理且与本项目相关得2分，无此项响应情况不得分。满分8分。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309"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164"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开发和安全服务方案</w:t>
            </w:r>
          </w:p>
        </w:tc>
        <w:tc>
          <w:tcPr>
            <w:tcW w:w="725" w:type="dxa"/>
            <w:noWrap w:val="0"/>
            <w:vAlign w:val="center"/>
          </w:tcPr>
          <w:p>
            <w:pPr>
              <w:suppressAutoHyphens/>
              <w:bidi w:val="0"/>
              <w:spacing w:line="240" w:lineRule="auto"/>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7</w:t>
            </w:r>
          </w:p>
        </w:tc>
        <w:tc>
          <w:tcPr>
            <w:tcW w:w="4368" w:type="dxa"/>
            <w:noWrap w:val="0"/>
            <w:vAlign w:val="center"/>
          </w:tcPr>
          <w:p>
            <w:pPr>
              <w:suppressAutoHyphens/>
              <w:bidi w:val="0"/>
              <w:spacing w:line="240" w:lineRule="auto"/>
              <w:rPr>
                <w:rFonts w:ascii="Times New Roman" w:hAnsi="Times New Roman" w:eastAsia="宋体" w:cs="Times New Roman"/>
                <w:szCs w:val="21"/>
              </w:rPr>
            </w:pPr>
            <w:r>
              <w:rPr>
                <w:rFonts w:hint="eastAsia" w:ascii="Times New Roman" w:hAnsi="Times New Roman" w:eastAsia="宋体" w:cs="Times New Roman"/>
                <w:szCs w:val="21"/>
              </w:rPr>
              <w:t>对供应商</w:t>
            </w:r>
            <w:r>
              <w:rPr>
                <w:rFonts w:hint="eastAsia" w:ascii="Times New Roman" w:hAnsi="Times New Roman" w:eastAsia="宋体" w:cs="Times New Roman"/>
                <w:szCs w:val="21"/>
                <w:lang w:eastAsia="zh-CN"/>
              </w:rPr>
              <w:t>的</w:t>
            </w:r>
            <w:r>
              <w:rPr>
                <w:rFonts w:hint="eastAsia" w:ascii="Times New Roman" w:hAnsi="Times New Roman" w:eastAsia="宋体" w:cs="Times New Roman"/>
                <w:szCs w:val="21"/>
              </w:rPr>
              <w:t>开发和安全服务方案进行评审，内容包括相关业务与技术开发的衔接、开发人员专职承诺、网络及电话远程服务、系统交互解决方式、开发过程故障的解决、监控服务、安全服务方案，以上内容每具备一项合理且与本项目相关得1分，无此项响应情况不得分。满分7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309"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164" w:type="dxa"/>
            <w:vMerge w:val="restart"/>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技术力量投入情况</w:t>
            </w:r>
          </w:p>
        </w:tc>
        <w:tc>
          <w:tcPr>
            <w:tcW w:w="725" w:type="dxa"/>
            <w:vMerge w:val="restart"/>
            <w:noWrap w:val="0"/>
            <w:vAlign w:val="center"/>
          </w:tcPr>
          <w:p>
            <w:pPr>
              <w:suppressAutoHyphens/>
              <w:bidi w:val="0"/>
              <w:spacing w:line="240" w:lineRule="auto"/>
              <w:jc w:val="center"/>
              <w:rPr>
                <w:rFonts w:hint="default" w:ascii="Times New Roman" w:hAnsi="Times New Roman" w:eastAsia="宋体" w:cs="Times New Roman"/>
                <w:szCs w:val="21"/>
                <w:lang w:val="en-US" w:eastAsia="zh-CN"/>
              </w:rPr>
            </w:pPr>
            <w:r>
              <w:rPr>
                <w:rFonts w:hint="eastAsia" w:asciiTheme="minorEastAsia" w:hAnsiTheme="minorEastAsia" w:eastAsiaTheme="minorEastAsia" w:cstheme="minorEastAsia"/>
                <w:szCs w:val="21"/>
                <w:lang w:val="en-US" w:eastAsia="zh-CN"/>
              </w:rPr>
              <w:t>15</w:t>
            </w:r>
          </w:p>
        </w:tc>
        <w:tc>
          <w:tcPr>
            <w:tcW w:w="4368" w:type="dxa"/>
            <w:noWrap w:val="0"/>
            <w:vAlign w:val="center"/>
          </w:tcPr>
          <w:p>
            <w:pPr>
              <w:suppressAutoHyphens/>
              <w:bidi w:val="0"/>
              <w:spacing w:line="240" w:lineRule="auto"/>
              <w:rPr>
                <w:rFonts w:ascii="Times New Roman" w:hAnsi="Times New Roman" w:eastAsia="宋体" w:cs="Times New Roman"/>
                <w:szCs w:val="21"/>
              </w:rPr>
            </w:pPr>
            <w:r>
              <w:rPr>
                <w:rFonts w:hint="eastAsia" w:ascii="Times New Roman" w:hAnsi="Times New Roman" w:eastAsia="宋体" w:cs="Times New Roman"/>
                <w:szCs w:val="21"/>
              </w:rPr>
              <w:t>供应商为本项目分派专职的项目团队，须提供服务团队所有人员在本单位缴纳的社保证明并装订在响应文件中</w:t>
            </w:r>
            <w:r>
              <w:rPr>
                <w:rFonts w:hint="eastAsia" w:cs="Times New Roman"/>
                <w:szCs w:val="21"/>
                <w:lang w:eastAsia="zh-CN"/>
              </w:rPr>
              <w:t>得</w:t>
            </w:r>
            <w:r>
              <w:rPr>
                <w:rFonts w:hint="eastAsia" w:cs="Times New Roman"/>
                <w:szCs w:val="21"/>
                <w:lang w:val="en-US" w:eastAsia="zh-CN"/>
              </w:rPr>
              <w:t>2分</w:t>
            </w:r>
            <w:r>
              <w:rPr>
                <w:rFonts w:hint="eastAsia" w:ascii="Times New Roman" w:hAnsi="Times New Roman" w:eastAsia="宋体" w:cs="Times New Roman"/>
                <w:szCs w:val="21"/>
              </w:rPr>
              <w:t>，否则不得分。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309"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164"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725"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4368" w:type="dxa"/>
            <w:noWrap w:val="0"/>
            <w:vAlign w:val="center"/>
          </w:tcPr>
          <w:p>
            <w:pPr>
              <w:suppressAutoHyphens/>
              <w:bidi w:val="0"/>
              <w:spacing w:line="240" w:lineRule="auto"/>
              <w:rPr>
                <w:rFonts w:ascii="Times New Roman" w:hAnsi="Times New Roman" w:eastAsia="宋体" w:cs="Times New Roman"/>
                <w:szCs w:val="21"/>
              </w:rPr>
            </w:pPr>
            <w:r>
              <w:rPr>
                <w:rFonts w:hint="eastAsia" w:ascii="Times New Roman" w:hAnsi="Times New Roman" w:eastAsia="宋体" w:cs="Times New Roman"/>
                <w:color w:val="auto"/>
                <w:szCs w:val="21"/>
              </w:rPr>
              <w:t>参与本项目的项目团队成员中包括：系统分析师、系统架构设计师</w:t>
            </w:r>
            <w:r>
              <w:rPr>
                <w:rFonts w:hint="eastAsia" w:ascii="Times New Roman" w:hAnsi="Times New Roman" w:cs="Times New Roman"/>
                <w:color w:val="auto"/>
                <w:szCs w:val="21"/>
                <w:lang w:val="en-US" w:eastAsia="zh-CN"/>
              </w:rPr>
              <w:t>、PMP</w:t>
            </w:r>
            <w:r>
              <w:rPr>
                <w:rFonts w:hint="eastAsia" w:ascii="Times New Roman" w:hAnsi="Times New Roman" w:eastAsia="宋体" w:cs="Times New Roman"/>
                <w:color w:val="auto"/>
                <w:szCs w:val="21"/>
              </w:rPr>
              <w:t>、weblogic系统管理员、UI设计师（提供证书复印件加盖公章装订在响应文件中，原件备查），每提供一类人员证书得2分，不能提供不得分，满分</w:t>
            </w:r>
            <w:r>
              <w:rPr>
                <w:rFonts w:hint="eastAsia" w:ascii="Times New Roman" w:hAnsi="Times New Roman" w:cs="Times New Roman"/>
                <w:color w:val="auto"/>
                <w:szCs w:val="21"/>
                <w:lang w:val="en-US" w:eastAsia="zh-CN"/>
              </w:rPr>
              <w:t>10</w:t>
            </w:r>
            <w:r>
              <w:rPr>
                <w:rFonts w:hint="eastAsia" w:ascii="Times New Roman" w:hAnsi="Times New Roman" w:eastAsia="宋体" w:cs="Times New Roman"/>
                <w:color w:val="auto"/>
                <w:szCs w:val="21"/>
              </w:rPr>
              <w:t>分。须提供服务团队所有人员在本单位缴纳的社保证明并装订在响应文件中，否则不得分。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309"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164"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725"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4368" w:type="dxa"/>
            <w:noWrap w:val="0"/>
            <w:vAlign w:val="center"/>
          </w:tcPr>
          <w:p>
            <w:pPr>
              <w:suppressAutoHyphens/>
              <w:bidi w:val="0"/>
              <w:spacing w:line="240" w:lineRule="auto"/>
              <w:rPr>
                <w:rFonts w:ascii="Times New Roman" w:hAnsi="Times New Roman" w:eastAsia="宋体" w:cs="Times New Roman"/>
                <w:szCs w:val="21"/>
              </w:rPr>
            </w:pPr>
            <w:r>
              <w:rPr>
                <w:rFonts w:hint="eastAsia" w:ascii="Times New Roman" w:hAnsi="Times New Roman" w:eastAsia="宋体" w:cs="Times New Roman"/>
                <w:szCs w:val="21"/>
              </w:rPr>
              <w:t>参与本项目的项目团队成员中包括：每提供一名具有OCP或 OCM证书人员得1分（提供证书复印件加盖公章装订在响应文件中，原件备查），不提供不得分。满分</w:t>
            </w:r>
            <w:r>
              <w:rPr>
                <w:rFonts w:hint="eastAsia" w:ascii="Times New Roman" w:hAnsi="Times New Roman" w:cs="Times New Roman"/>
                <w:szCs w:val="21"/>
                <w:lang w:val="en-US" w:eastAsia="zh-CN"/>
              </w:rPr>
              <w:t>3</w:t>
            </w:r>
            <w:r>
              <w:rPr>
                <w:rFonts w:hint="eastAsia" w:ascii="Times New Roman" w:hAnsi="Times New Roman" w:eastAsia="宋体" w:cs="Times New Roman"/>
                <w:szCs w:val="21"/>
              </w:rPr>
              <w:t>分。须提供服务团队所有人员在本单位缴纳的社保证明并装订在响应文件中，否则不得分。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309"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164"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实施方案</w:t>
            </w:r>
          </w:p>
        </w:tc>
        <w:tc>
          <w:tcPr>
            <w:tcW w:w="725"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heme="minorEastAsia" w:hAnsiTheme="minorEastAsia" w:eastAsiaTheme="minorEastAsia" w:cstheme="minorEastAsia"/>
                <w:szCs w:val="21"/>
              </w:rPr>
              <w:t>6</w:t>
            </w:r>
          </w:p>
        </w:tc>
        <w:tc>
          <w:tcPr>
            <w:tcW w:w="4368" w:type="dxa"/>
            <w:noWrap w:val="0"/>
            <w:vAlign w:val="center"/>
          </w:tcPr>
          <w:p>
            <w:pPr>
              <w:suppressAutoHyphens/>
              <w:bidi w:val="0"/>
              <w:spacing w:line="240" w:lineRule="auto"/>
              <w:rPr>
                <w:rFonts w:ascii="Times New Roman" w:hAnsi="Times New Roman" w:eastAsia="宋体" w:cs="Times New Roman"/>
                <w:szCs w:val="21"/>
              </w:rPr>
            </w:pPr>
            <w:r>
              <w:rPr>
                <w:rFonts w:hint="eastAsia" w:ascii="Times New Roman" w:hAnsi="Times New Roman" w:eastAsia="宋体" w:cs="Times New Roman"/>
                <w:szCs w:val="21"/>
              </w:rPr>
              <w:t>重点考核供应商实施方案的完整性和详细性，包括项目组织、人员安排、项目进度、质量控制、服务保障体系、重大时间节点和节日开展专项应急保障工作，以上内容每具备一项合理且与本项目相关得1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309"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164"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lang w:eastAsia="zh-CN"/>
              </w:rPr>
              <w:t>成果移交</w:t>
            </w:r>
            <w:r>
              <w:rPr>
                <w:rFonts w:hint="eastAsia" w:ascii="Times New Roman" w:hAnsi="Times New Roman" w:eastAsia="宋体" w:cs="Times New Roman"/>
                <w:szCs w:val="21"/>
              </w:rPr>
              <w:t>方案</w:t>
            </w:r>
          </w:p>
        </w:tc>
        <w:tc>
          <w:tcPr>
            <w:tcW w:w="725"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heme="minorEastAsia" w:hAnsiTheme="minorEastAsia" w:eastAsiaTheme="minorEastAsia" w:cstheme="minorEastAsia"/>
                <w:szCs w:val="21"/>
              </w:rPr>
              <w:t>6</w:t>
            </w:r>
          </w:p>
        </w:tc>
        <w:tc>
          <w:tcPr>
            <w:tcW w:w="4368" w:type="dxa"/>
            <w:noWrap w:val="0"/>
            <w:vAlign w:val="center"/>
          </w:tcPr>
          <w:p>
            <w:pPr>
              <w:suppressAutoHyphens/>
              <w:bidi w:val="0"/>
              <w:spacing w:line="240" w:lineRule="auto"/>
              <w:rPr>
                <w:rFonts w:ascii="Times New Roman" w:hAnsi="Times New Roman" w:eastAsia="宋体" w:cs="Times New Roman"/>
                <w:szCs w:val="21"/>
              </w:rPr>
            </w:pPr>
            <w:r>
              <w:rPr>
                <w:rFonts w:hint="eastAsia" w:ascii="Times New Roman" w:hAnsi="Times New Roman" w:eastAsia="宋体" w:cs="Times New Roman"/>
                <w:szCs w:val="21"/>
              </w:rPr>
              <w:t>根据供应商提供的</w:t>
            </w:r>
            <w:r>
              <w:rPr>
                <w:rFonts w:hint="eastAsia" w:ascii="Times New Roman" w:hAnsi="Times New Roman" w:eastAsia="宋体" w:cs="Times New Roman"/>
                <w:szCs w:val="21"/>
                <w:lang w:eastAsia="zh-CN"/>
              </w:rPr>
              <w:t>成果移交</w:t>
            </w:r>
            <w:r>
              <w:rPr>
                <w:rFonts w:hint="eastAsia" w:ascii="Times New Roman" w:hAnsi="Times New Roman" w:eastAsia="宋体" w:cs="Times New Roman"/>
                <w:szCs w:val="21"/>
              </w:rPr>
              <w:t>方案，重点考核供应商为本项目提供的</w:t>
            </w:r>
            <w:r>
              <w:rPr>
                <w:rFonts w:hint="eastAsia" w:ascii="Times New Roman" w:hAnsi="Times New Roman" w:eastAsia="宋体" w:cs="Times New Roman"/>
                <w:szCs w:val="21"/>
                <w:lang w:eastAsia="zh-CN"/>
              </w:rPr>
              <w:t>成果移交</w:t>
            </w:r>
            <w:r>
              <w:rPr>
                <w:rFonts w:hint="eastAsia" w:ascii="Times New Roman" w:hAnsi="Times New Roman" w:eastAsia="宋体" w:cs="Times New Roman"/>
                <w:szCs w:val="21"/>
              </w:rPr>
              <w:t>方案，包括开发过程档案管理；技术成果移交；最终交付物使用说明；</w:t>
            </w:r>
            <w:r>
              <w:rPr>
                <w:rFonts w:hint="eastAsia" w:ascii="Times New Roman" w:hAnsi="Times New Roman" w:eastAsia="宋体" w:cs="Times New Roman"/>
                <w:szCs w:val="21"/>
                <w:lang w:eastAsia="zh-CN"/>
              </w:rPr>
              <w:t>系统运维保障管理；</w:t>
            </w:r>
            <w:r>
              <w:rPr>
                <w:rFonts w:hint="eastAsia" w:ascii="Times New Roman" w:hAnsi="Times New Roman" w:eastAsia="宋体" w:cs="Times New Roman"/>
                <w:szCs w:val="21"/>
              </w:rPr>
              <w:t>一般故障处理；各项档案建立、分类、归档、移交流程，以上内容每具备一项合理且与本项目相关得1分，最多得6分。无此项响应情况不得分。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65"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309" w:type="dxa"/>
            <w:vMerge w:val="continue"/>
            <w:noWrap w:val="0"/>
            <w:vAlign w:val="center"/>
          </w:tcPr>
          <w:p>
            <w:pPr>
              <w:suppressAutoHyphens/>
              <w:bidi w:val="0"/>
              <w:spacing w:line="240" w:lineRule="auto"/>
              <w:jc w:val="center"/>
              <w:rPr>
                <w:rFonts w:ascii="Times New Roman" w:hAnsi="Times New Roman" w:eastAsia="宋体" w:cs="Times New Roman"/>
                <w:szCs w:val="21"/>
              </w:rPr>
            </w:pPr>
          </w:p>
        </w:tc>
        <w:tc>
          <w:tcPr>
            <w:tcW w:w="1164"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imes New Roman" w:hAnsi="Times New Roman" w:eastAsia="宋体" w:cs="Times New Roman"/>
                <w:szCs w:val="21"/>
              </w:rPr>
              <w:t>培训服务方案</w:t>
            </w:r>
          </w:p>
        </w:tc>
        <w:tc>
          <w:tcPr>
            <w:tcW w:w="725" w:type="dxa"/>
            <w:noWrap w:val="0"/>
            <w:vAlign w:val="center"/>
          </w:tcPr>
          <w:p>
            <w:pPr>
              <w:suppressAutoHyphens/>
              <w:bidi w:val="0"/>
              <w:spacing w:line="240" w:lineRule="auto"/>
              <w:jc w:val="center"/>
              <w:rPr>
                <w:rFonts w:ascii="Times New Roman" w:hAnsi="Times New Roman" w:eastAsia="宋体" w:cs="Times New Roman"/>
                <w:szCs w:val="21"/>
              </w:rPr>
            </w:pPr>
            <w:r>
              <w:rPr>
                <w:rFonts w:hint="eastAsia" w:asciiTheme="minorEastAsia" w:hAnsiTheme="minorEastAsia" w:eastAsiaTheme="minorEastAsia" w:cstheme="minorEastAsia"/>
                <w:szCs w:val="21"/>
              </w:rPr>
              <w:t>4</w:t>
            </w:r>
          </w:p>
        </w:tc>
        <w:tc>
          <w:tcPr>
            <w:tcW w:w="4368" w:type="dxa"/>
            <w:noWrap w:val="0"/>
            <w:vAlign w:val="center"/>
          </w:tcPr>
          <w:p>
            <w:pPr>
              <w:suppressAutoHyphens/>
              <w:bidi w:val="0"/>
              <w:spacing w:line="240" w:lineRule="auto"/>
              <w:rPr>
                <w:rFonts w:ascii="Times New Roman" w:hAnsi="Times New Roman" w:eastAsia="宋体" w:cs="Times New Roman"/>
                <w:szCs w:val="21"/>
              </w:rPr>
            </w:pPr>
            <w:r>
              <w:rPr>
                <w:rFonts w:hint="eastAsia" w:ascii="Times New Roman" w:hAnsi="Times New Roman" w:eastAsia="宋体" w:cs="Times New Roman"/>
                <w:szCs w:val="21"/>
              </w:rPr>
              <w:t>重点考核供应商提供的培训服务方案的针对性和时效性，内容包括培训师资水平、培训课程设置、培训讲义内容、本地化培训设施等。以上内容每具备一项合理且与本项目相关得1分，最多得4分。无此项响应情况不得分。</w:t>
            </w:r>
          </w:p>
        </w:tc>
      </w:tr>
    </w:tbl>
    <w:p>
      <w:pPr>
        <w:pStyle w:val="34"/>
        <w:rPr>
          <w:rFonts w:hint="eastAsia" w:ascii="宋体" w:hAnsi="宋体" w:eastAsia="宋体" w:cs="宋体"/>
          <w:color w:val="auto"/>
          <w:highlight w:val="none"/>
          <w:lang w:eastAsia="zh-CN"/>
        </w:rPr>
      </w:pPr>
    </w:p>
    <w:p>
      <w:pPr>
        <w:pStyle w:val="34"/>
        <w:rPr>
          <w:rFonts w:hint="eastAsia" w:ascii="宋体" w:hAnsi="宋体" w:eastAsia="宋体" w:cs="宋体"/>
          <w:color w:val="auto"/>
          <w:highlight w:val="none"/>
          <w:lang w:eastAsia="zh-CN"/>
        </w:rPr>
      </w:pPr>
    </w:p>
    <w:p>
      <w:pPr>
        <w:pStyle w:val="34"/>
        <w:rPr>
          <w:rFonts w:hint="eastAsia" w:ascii="宋体" w:hAnsi="宋体" w:eastAsia="宋体" w:cs="宋体"/>
          <w:color w:val="auto"/>
          <w:highlight w:val="none"/>
          <w:lang w:eastAsia="zh-CN"/>
        </w:rPr>
      </w:pPr>
    </w:p>
    <w:p>
      <w:pPr>
        <w:pStyle w:val="32"/>
        <w:ind w:firstLine="420"/>
        <w:rPr>
          <w:rFonts w:hint="eastAsia" w:ascii="宋体" w:hAnsi="宋体" w:eastAsia="宋体" w:cs="宋体"/>
          <w:color w:val="auto"/>
          <w:highlight w:val="none"/>
        </w:rPr>
      </w:pPr>
    </w:p>
    <w:p>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pPr>
        <w:rPr>
          <w:rFonts w:hint="eastAsia" w:ascii="宋体" w:hAnsi="宋体" w:eastAsia="宋体" w:cs="宋体"/>
          <w:color w:val="auto"/>
          <w:highlight w:val="none"/>
        </w:rPr>
      </w:pPr>
      <w:bookmarkStart w:id="149" w:name="_Toc25922_WPSOffice_Level1"/>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
        <w:rPr>
          <w:rFonts w:hint="eastAsia" w:ascii="宋体" w:hAnsi="宋体" w:eastAsia="宋体" w:cs="宋体"/>
          <w:color w:val="auto"/>
          <w:highlight w:val="none"/>
        </w:rPr>
      </w:pPr>
      <w:bookmarkStart w:id="150" w:name="_Toc25807"/>
      <w:bookmarkStart w:id="151" w:name="_Toc78902195"/>
      <w:r>
        <w:rPr>
          <w:rFonts w:hint="eastAsia" w:ascii="宋体" w:hAnsi="宋体" w:eastAsia="宋体" w:cs="宋体"/>
          <w:color w:val="auto"/>
          <w:highlight w:val="none"/>
        </w:rPr>
        <w:t>第五章 政府采购合同条款</w:t>
      </w:r>
      <w:bookmarkEnd w:id="149"/>
      <w:r>
        <w:rPr>
          <w:rFonts w:hint="eastAsia" w:ascii="宋体" w:hAnsi="宋体" w:eastAsia="宋体" w:cs="宋体"/>
          <w:color w:val="auto"/>
          <w:highlight w:val="none"/>
        </w:rPr>
        <w:t>及格式</w:t>
      </w:r>
      <w:bookmarkEnd w:id="150"/>
      <w:bookmarkEnd w:id="151"/>
    </w:p>
    <w:p>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pPr>
        <w:rPr>
          <w:rFonts w:hint="eastAsia"/>
          <w:b/>
          <w:sz w:val="52"/>
        </w:rPr>
      </w:pPr>
    </w:p>
    <w:p>
      <w:pPr>
        <w:spacing w:line="600" w:lineRule="auto"/>
        <w:jc w:val="center"/>
        <w:rPr>
          <w:rFonts w:hint="eastAsia"/>
          <w:b/>
          <w:sz w:val="48"/>
        </w:rPr>
      </w:pPr>
      <w:r>
        <w:rPr>
          <w:rFonts w:hint="eastAsia"/>
          <w:b/>
          <w:sz w:val="48"/>
        </w:rPr>
        <w:t>国家税务总局黑龙江省税务局</w:t>
      </w:r>
    </w:p>
    <w:p>
      <w:pPr>
        <w:spacing w:line="600" w:lineRule="auto"/>
        <w:jc w:val="center"/>
        <w:rPr>
          <w:rFonts w:hint="eastAsia" w:ascii="Times New Roman" w:hAnsi="Times New Roman" w:eastAsia="宋体" w:cs="Times New Roman"/>
          <w:b/>
          <w:sz w:val="48"/>
        </w:rPr>
      </w:pPr>
      <w:r>
        <w:rPr>
          <w:rFonts w:hint="eastAsia" w:ascii="Times New Roman" w:hAnsi="Times New Roman" w:eastAsia="宋体" w:cs="Times New Roman"/>
          <w:b/>
          <w:sz w:val="48"/>
        </w:rPr>
        <w:t>(</w:t>
      </w:r>
      <w:r>
        <w:rPr>
          <w:rFonts w:hint="eastAsia" w:ascii="Times New Roman" w:hAnsi="Times New Roman" w:eastAsia="宋体" w:cs="Times New Roman"/>
          <w:b/>
          <w:sz w:val="48"/>
          <w:lang w:val="en-US" w:eastAsia="zh-CN"/>
        </w:rPr>
        <w:t>金三等统推系统功能优化升级项目</w:t>
      </w:r>
      <w:r>
        <w:rPr>
          <w:rFonts w:hint="eastAsia" w:ascii="Times New Roman" w:hAnsi="Times New Roman" w:eastAsia="宋体" w:cs="Times New Roman"/>
          <w:b/>
          <w:sz w:val="48"/>
        </w:rPr>
        <w:t>)</w:t>
      </w:r>
    </w:p>
    <w:p>
      <w:pPr>
        <w:spacing w:line="600" w:lineRule="auto"/>
        <w:jc w:val="center"/>
        <w:rPr>
          <w:rFonts w:hint="eastAsia"/>
          <w:b/>
          <w:sz w:val="48"/>
        </w:rPr>
      </w:pPr>
      <w:r>
        <w:rPr>
          <w:rFonts w:hint="eastAsia"/>
          <w:b/>
          <w:sz w:val="48"/>
        </w:rPr>
        <w:t>政府采购合同</w:t>
      </w:r>
    </w:p>
    <w:p>
      <w:pPr>
        <w:jc w:val="center"/>
        <w:rPr>
          <w:rFonts w:hint="eastAsia"/>
          <w:b/>
          <w:sz w:val="48"/>
        </w:rPr>
      </w:pPr>
    </w:p>
    <w:p>
      <w:pPr>
        <w:jc w:val="center"/>
        <w:rPr>
          <w:rFonts w:hint="eastAsia"/>
          <w:b/>
          <w:sz w:val="48"/>
        </w:rPr>
      </w:pPr>
    </w:p>
    <w:p>
      <w:pPr>
        <w:jc w:val="center"/>
        <w:rPr>
          <w:rFonts w:hint="eastAsia"/>
          <w:b/>
          <w:sz w:val="48"/>
        </w:rPr>
      </w:pPr>
    </w:p>
    <w:p>
      <w:pPr>
        <w:jc w:val="both"/>
        <w:rPr>
          <w:rFonts w:hint="eastAsia"/>
          <w:b/>
          <w:sz w:val="48"/>
        </w:rPr>
      </w:pPr>
    </w:p>
    <w:p>
      <w:pPr>
        <w:pStyle w:val="2"/>
        <w:rPr>
          <w:rFonts w:hint="eastAsia"/>
        </w:rPr>
      </w:pPr>
    </w:p>
    <w:p>
      <w:pPr>
        <w:jc w:val="center"/>
        <w:rPr>
          <w:rFonts w:hint="eastAsia"/>
          <w:b/>
          <w:sz w:val="48"/>
        </w:rPr>
      </w:pPr>
    </w:p>
    <w:p>
      <w:pPr>
        <w:jc w:val="center"/>
        <w:rPr>
          <w:b/>
          <w:sz w:val="48"/>
        </w:rPr>
      </w:pPr>
    </w:p>
    <w:p>
      <w:pPr>
        <w:spacing w:line="360" w:lineRule="auto"/>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（招标编号）</w:t>
      </w:r>
    </w:p>
    <w:p>
      <w:pPr>
        <w:spacing w:line="360" w:lineRule="auto"/>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pPr>
        <w:spacing w:line="360" w:lineRule="auto"/>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pPr>
        <w:spacing w:line="360" w:lineRule="auto"/>
        <w:ind w:firstLine="1405" w:firstLineChars="500"/>
        <w:rPr>
          <w:rFonts w:hint="eastAsia" w:ascii="宋体" w:hAnsi="宋体"/>
          <w:b/>
          <w:bCs/>
          <w:sz w:val="28"/>
          <w:szCs w:val="28"/>
        </w:rPr>
      </w:pPr>
      <w:r>
        <w:rPr>
          <w:rFonts w:hint="eastAsia" w:ascii="宋体" w:hAnsi="宋体"/>
          <w:b/>
          <w:bCs/>
          <w:sz w:val="28"/>
          <w:szCs w:val="28"/>
        </w:rPr>
        <w:t>签订日期：20  年   月   日</w:t>
      </w:r>
    </w:p>
    <w:p>
      <w:pPr>
        <w:pStyle w:val="32"/>
        <w:ind w:firstLine="420"/>
      </w:pPr>
    </w:p>
    <w:p>
      <w:pPr>
        <w:rPr>
          <w:rFonts w:ascii="宋体" w:hAnsi="宋体"/>
          <w:i/>
          <w:sz w:val="24"/>
        </w:rPr>
      </w:pPr>
      <w:r>
        <w:rPr>
          <w:rFonts w:hint="eastAsia" w:ascii="宋体" w:hAnsi="宋体"/>
          <w:sz w:val="24"/>
        </w:rPr>
        <w:t>甲方：【国家税务总局黑龙江省税务局】</w:t>
      </w:r>
    </w:p>
    <w:p>
      <w:pPr>
        <w:rPr>
          <w:rFonts w:ascii="宋体" w:hAnsi="宋体"/>
          <w:sz w:val="24"/>
        </w:rPr>
      </w:pPr>
    </w:p>
    <w:p>
      <w:pPr>
        <w:rPr>
          <w:rFonts w:ascii="宋体" w:hAnsi="宋体"/>
          <w:sz w:val="24"/>
        </w:rPr>
      </w:pPr>
      <w:r>
        <w:rPr>
          <w:rFonts w:hint="eastAsia" w:ascii="宋体" w:hAnsi="宋体"/>
          <w:sz w:val="24"/>
        </w:rPr>
        <w:t>乙方：【                】</w:t>
      </w:r>
    </w:p>
    <w:p>
      <w:pPr>
        <w:rPr>
          <w:rFonts w:ascii="宋体" w:hAnsi="宋体"/>
          <w:sz w:val="24"/>
        </w:rPr>
      </w:pPr>
    </w:p>
    <w:p>
      <w:pPr>
        <w:spacing w:line="432" w:lineRule="auto"/>
        <w:ind w:firstLine="480" w:firstLineChars="200"/>
        <w:rPr>
          <w:rFonts w:ascii="宋体" w:hAnsi="宋体"/>
          <w:sz w:val="24"/>
        </w:rPr>
      </w:pPr>
      <w:r>
        <w:rPr>
          <w:rFonts w:hint="eastAsia" w:ascii="宋体" w:hAnsi="宋体"/>
          <w:sz w:val="24"/>
        </w:rPr>
        <w:t>国家税务总局黑龙江省税务局组织的</w:t>
      </w:r>
      <w:bookmarkStart w:id="152" w:name="计划名称_planName"/>
      <w:r>
        <w:rPr>
          <w:rFonts w:hint="eastAsia" w:ascii="宋体" w:hAnsi="宋体" w:eastAsia="宋体" w:cs="Times New Roman"/>
          <w:sz w:val="24"/>
          <w:lang w:val="en-US" w:eastAsia="zh-CN"/>
        </w:rPr>
        <w:t>国家税务总局黑龙江省税务局</w:t>
      </w:r>
      <w:bookmarkEnd w:id="152"/>
      <w:r>
        <w:rPr>
          <w:rFonts w:hint="eastAsia" w:ascii="宋体" w:hAnsi="宋体" w:eastAsia="宋体" w:cs="Times New Roman"/>
          <w:sz w:val="24"/>
          <w:lang w:val="en-US" w:eastAsia="zh-CN"/>
        </w:rPr>
        <w:t>金三等统推系统功能优化升级</w:t>
      </w:r>
      <w:r>
        <w:rPr>
          <w:rFonts w:hint="eastAsia" w:ascii="宋体" w:hAnsi="宋体"/>
          <w:sz w:val="24"/>
        </w:rPr>
        <w:t>项目（招标编号：</w:t>
      </w:r>
      <w:r>
        <w:rPr>
          <w:rFonts w:ascii="宋体" w:hAnsi="宋体"/>
          <w:sz w:val="24"/>
        </w:rPr>
        <w:t xml:space="preserve">        </w:t>
      </w:r>
      <w:r>
        <w:rPr>
          <w:rFonts w:hint="eastAsia" w:ascii="宋体" w:hAnsi="宋体"/>
          <w:sz w:val="24"/>
        </w:rPr>
        <w:t>）经黑龙江省招标公司国内公开招标，(</w:t>
      </w:r>
      <w:r>
        <w:rPr>
          <w:rFonts w:hint="eastAsia" w:ascii="宋体" w:hAnsi="宋体"/>
          <w:sz w:val="24"/>
          <w:u w:val="single"/>
        </w:rPr>
        <w:t>*乙方名称</w:t>
      </w:r>
      <w:r>
        <w:rPr>
          <w:rFonts w:hint="eastAsia" w:ascii="宋体" w:hAnsi="宋体"/>
          <w:sz w:val="24"/>
        </w:rPr>
        <w:t>)为中标单位。根据《中华人民共和国政府采购法》、《中华人民共和国民法典》等法律、法规规定，按照招投标文件规定条款和中标供应商承诺，经平等自愿协商达成一致，甲乙双方签订本合同。</w:t>
      </w:r>
    </w:p>
    <w:p>
      <w:pPr>
        <w:ind w:firstLine="420"/>
        <w:rPr>
          <w:rFonts w:hint="eastAsia" w:ascii="宋体" w:hAnsi="宋体"/>
          <w:sz w:val="24"/>
        </w:rPr>
      </w:pPr>
      <w:r>
        <w:rPr>
          <w:rFonts w:hint="eastAsia" w:ascii="宋体" w:hAnsi="宋体"/>
          <w:sz w:val="24"/>
        </w:rPr>
        <w:t>甲乙双方本着相互信任、真诚合作、共同发展的原则，在友好协商的基础上共同制定如下合同内容。</w:t>
      </w:r>
    </w:p>
    <w:p>
      <w:pPr>
        <w:pStyle w:val="32"/>
        <w:rPr>
          <w:rFonts w:hint="eastAsia" w:ascii="宋体" w:hAnsi="宋体"/>
          <w:sz w:val="24"/>
        </w:rPr>
      </w:pPr>
    </w:p>
    <w:p>
      <w:pPr>
        <w:pStyle w:val="4"/>
        <w:rPr>
          <w:rFonts w:hint="eastAsia" w:ascii="宋体" w:hAnsi="宋体"/>
          <w:sz w:val="24"/>
          <w:szCs w:val="24"/>
        </w:rPr>
      </w:pPr>
      <w:r>
        <w:rPr>
          <w:rFonts w:hint="eastAsia" w:ascii="宋体" w:hAnsi="宋体"/>
          <w:sz w:val="24"/>
          <w:szCs w:val="24"/>
        </w:rPr>
        <w:t>第一条  总则</w:t>
      </w:r>
    </w:p>
    <w:p>
      <w:pPr>
        <w:rPr>
          <w:rFonts w:hint="eastAsia" w:ascii="宋体" w:hAnsi="宋体"/>
          <w:sz w:val="24"/>
        </w:rPr>
      </w:pPr>
      <w:r>
        <w:rPr>
          <w:rFonts w:hint="eastAsia" w:ascii="宋体" w:hAnsi="宋体"/>
          <w:sz w:val="24"/>
        </w:rPr>
        <w:t>1．定义</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合同：除非特别说明，“合同”一词均指本合同。</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项目：本合同是乙方对甲方信息系统技术服务的维护，对系统运行中发生的故障进行软件升级、系统巡检等服务。</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pPr>
        <w:rPr>
          <w:rFonts w:hint="eastAsia" w:ascii="宋体" w:hAnsi="宋体"/>
          <w:sz w:val="24"/>
        </w:rPr>
      </w:pPr>
      <w:r>
        <w:rPr>
          <w:rFonts w:hint="eastAsia" w:ascii="宋体" w:hAnsi="宋体"/>
          <w:sz w:val="24"/>
        </w:rPr>
        <w:t>2．合同生效</w:t>
      </w:r>
    </w:p>
    <w:p>
      <w:pPr>
        <w:rPr>
          <w:rFonts w:hint="eastAsia" w:ascii="宋体" w:hAnsi="宋体"/>
          <w:sz w:val="24"/>
        </w:rPr>
      </w:pPr>
      <w:r>
        <w:rPr>
          <w:rFonts w:hint="eastAsia" w:ascii="宋体" w:hAnsi="宋体"/>
          <w:sz w:val="24"/>
        </w:rPr>
        <w:t>本合同经甲、乙双方签字盖章后生效。本合同壹式肆份，甲、乙双方各持贰份，具有同等法律效力。</w:t>
      </w:r>
    </w:p>
    <w:p>
      <w:pPr>
        <w:rPr>
          <w:rFonts w:hint="eastAsia" w:ascii="宋体" w:hAnsi="宋体"/>
          <w:sz w:val="24"/>
        </w:rPr>
      </w:pPr>
      <w:r>
        <w:rPr>
          <w:rFonts w:hint="eastAsia" w:ascii="宋体" w:hAnsi="宋体"/>
          <w:sz w:val="24"/>
        </w:rPr>
        <w:t>3．合同修改</w:t>
      </w:r>
    </w:p>
    <w:p>
      <w:pPr>
        <w:rPr>
          <w:rFonts w:hint="eastAsia" w:ascii="宋体" w:hAnsi="宋体"/>
          <w:sz w:val="24"/>
        </w:rPr>
      </w:pPr>
      <w:r>
        <w:rPr>
          <w:rFonts w:hint="eastAsia" w:ascii="宋体" w:hAnsi="宋体"/>
          <w:sz w:val="24"/>
        </w:rPr>
        <w:t>除非由双方签订书面修改文件，否则合同不得修改。符合这一程序的修改将构成合同的一部分，并将与合同具有同等的法律效力。</w:t>
      </w:r>
    </w:p>
    <w:p>
      <w:pPr>
        <w:rPr>
          <w:rFonts w:hint="eastAsia" w:ascii="宋体" w:hAnsi="宋体"/>
          <w:sz w:val="24"/>
        </w:rPr>
      </w:pPr>
      <w:r>
        <w:rPr>
          <w:rFonts w:hint="eastAsia" w:ascii="宋体" w:hAnsi="宋体"/>
          <w:sz w:val="24"/>
        </w:rPr>
        <w:t>4．补充条款</w:t>
      </w:r>
    </w:p>
    <w:p>
      <w:pPr>
        <w:rPr>
          <w:rFonts w:hint="eastAsia" w:ascii="宋体" w:hAnsi="宋体"/>
          <w:sz w:val="24"/>
        </w:rPr>
      </w:pPr>
      <w:r>
        <w:rPr>
          <w:rFonts w:hint="eastAsia" w:ascii="宋体" w:hAnsi="宋体"/>
          <w:sz w:val="24"/>
        </w:rPr>
        <w:t>本合同生效后，经双方共同协商，可以达成书面补充协议，补充协议与本合同具有同等效力。</w:t>
      </w:r>
    </w:p>
    <w:p>
      <w:pPr>
        <w:rPr>
          <w:rFonts w:hint="eastAsia" w:ascii="宋体" w:hAnsi="宋体"/>
          <w:sz w:val="24"/>
        </w:rPr>
      </w:pPr>
      <w:r>
        <w:rPr>
          <w:rFonts w:hint="eastAsia" w:ascii="宋体" w:hAnsi="宋体"/>
          <w:sz w:val="24"/>
        </w:rPr>
        <w:t>5．告知</w:t>
      </w:r>
    </w:p>
    <w:p>
      <w:pPr>
        <w:rPr>
          <w:rFonts w:hint="eastAsia" w:ascii="宋体" w:hAnsi="宋体"/>
          <w:sz w:val="24"/>
        </w:rPr>
      </w:pPr>
      <w:r>
        <w:rPr>
          <w:rFonts w:hint="eastAsia" w:ascii="宋体" w:hAnsi="宋体"/>
          <w:sz w:val="24"/>
        </w:rPr>
        <w:t xml:space="preserve">涉及本合同的一切事宜均以书面形式提交，对方应及时响应。 </w:t>
      </w:r>
    </w:p>
    <w:p>
      <w:pPr>
        <w:rPr>
          <w:rFonts w:hint="eastAsia" w:ascii="宋体" w:hAnsi="宋体"/>
          <w:sz w:val="24"/>
        </w:rPr>
      </w:pPr>
      <w:r>
        <w:rPr>
          <w:rFonts w:hint="eastAsia" w:ascii="宋体" w:hAnsi="宋体"/>
          <w:sz w:val="24"/>
        </w:rPr>
        <w:t>6．保密责任</w:t>
      </w:r>
    </w:p>
    <w:p>
      <w:pPr>
        <w:rPr>
          <w:rFonts w:hint="eastAsia" w:ascii="宋体" w:hAnsi="宋体"/>
          <w:sz w:val="24"/>
        </w:rPr>
      </w:pPr>
      <w:r>
        <w:rPr>
          <w:rFonts w:hint="eastAsia" w:ascii="宋体" w:hAnsi="宋体"/>
          <w:sz w:val="24"/>
        </w:rPr>
        <w:t>双方共同恪守对技术及对项目的保密责任。</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所有项目相关人员不得以任何形式向第三方泄露项目合作计划和内容。</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所有项目相关人员，不得以任何方式向第三方泄露有关项目的技术资料。</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乙方对甲方提供给乙方的注明保密的信息系统数据、信息系统实务及相关信息，不得外泄。</w:t>
      </w:r>
    </w:p>
    <w:p>
      <w:pPr>
        <w:rPr>
          <w:rFonts w:hint="eastAsia" w:ascii="宋体" w:hAnsi="宋体"/>
          <w:sz w:val="24"/>
        </w:rPr>
      </w:pPr>
    </w:p>
    <w:p>
      <w:pPr>
        <w:pStyle w:val="4"/>
        <w:rPr>
          <w:rFonts w:hint="eastAsia" w:ascii="宋体" w:hAnsi="宋体"/>
          <w:sz w:val="24"/>
          <w:szCs w:val="24"/>
        </w:rPr>
      </w:pPr>
      <w:r>
        <w:rPr>
          <w:rFonts w:hint="eastAsia" w:ascii="宋体" w:hAnsi="宋体"/>
          <w:sz w:val="24"/>
          <w:szCs w:val="24"/>
        </w:rPr>
        <w:t>第二条服务内容及相关事项</w:t>
      </w:r>
    </w:p>
    <w:tbl>
      <w:tblPr>
        <w:tblStyle w:val="26"/>
        <w:tblW w:w="849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9" w:type="dxa"/>
            <w:noWrap w:val="0"/>
            <w:vAlign w:val="center"/>
          </w:tcPr>
          <w:p>
            <w:pPr>
              <w:jc w:val="center"/>
              <w:rPr>
                <w:rFonts w:ascii="宋体" w:hAnsi="宋体"/>
                <w:b/>
                <w:sz w:val="24"/>
              </w:rPr>
            </w:pPr>
            <w:r>
              <w:rPr>
                <w:rFonts w:ascii="宋体" w:hAnsi="宋体"/>
                <w:b/>
                <w:sz w:val="24"/>
              </w:rPr>
              <w:t>项目</w:t>
            </w:r>
            <w:r>
              <w:rPr>
                <w:rFonts w:hint="eastAsia" w:ascii="宋体" w:hAnsi="宋体"/>
                <w:b/>
                <w:sz w:val="24"/>
              </w:rPr>
              <w:t>名称</w:t>
            </w:r>
          </w:p>
        </w:tc>
        <w:tc>
          <w:tcPr>
            <w:tcW w:w="2131" w:type="dxa"/>
            <w:noWrap w:val="0"/>
            <w:vAlign w:val="center"/>
          </w:tcPr>
          <w:p>
            <w:pPr>
              <w:jc w:val="center"/>
              <w:rPr>
                <w:rFonts w:ascii="宋体" w:hAnsi="宋体"/>
                <w:b/>
                <w:sz w:val="24"/>
              </w:rPr>
            </w:pPr>
            <w:r>
              <w:rPr>
                <w:rFonts w:hint="eastAsia" w:ascii="宋体" w:hAnsi="宋体"/>
                <w:b/>
                <w:sz w:val="24"/>
              </w:rPr>
              <w:t>服务</w:t>
            </w:r>
            <w:r>
              <w:rPr>
                <w:rFonts w:ascii="宋体" w:hAnsi="宋体"/>
                <w:b/>
                <w:sz w:val="24"/>
              </w:rPr>
              <w:t>内容</w:t>
            </w:r>
          </w:p>
        </w:tc>
        <w:tc>
          <w:tcPr>
            <w:tcW w:w="4818" w:type="dxa"/>
            <w:noWrap w:val="0"/>
            <w:vAlign w:val="center"/>
          </w:tcPr>
          <w:p>
            <w:pPr>
              <w:jc w:val="center"/>
              <w:rPr>
                <w:rFonts w:ascii="宋体" w:hAnsi="宋体"/>
                <w:b/>
                <w:sz w:val="24"/>
              </w:rPr>
            </w:pPr>
            <w:r>
              <w:rPr>
                <w:rFonts w:hint="eastAsia" w:ascii="宋体" w:hAnsi="宋体"/>
                <w:b/>
                <w:sz w:val="24"/>
              </w:rPr>
              <w:t>服务条款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restart"/>
            <w:noWrap w:val="0"/>
            <w:vAlign w:val="center"/>
          </w:tcPr>
          <w:p>
            <w:pPr>
              <w:rPr>
                <w:rFonts w:hint="eastAsia" w:ascii="宋体" w:hAnsi="宋体"/>
                <w:sz w:val="24"/>
              </w:rPr>
            </w:pPr>
            <w:r>
              <w:rPr>
                <w:rFonts w:hint="eastAsia" w:ascii="宋体" w:hAnsi="宋体"/>
                <w:sz w:val="24"/>
              </w:rPr>
              <w:t>国家税务总局黑龙江省</w:t>
            </w:r>
          </w:p>
          <w:p>
            <w:pPr>
              <w:rPr>
                <w:rFonts w:ascii="宋体" w:hAnsi="宋体"/>
                <w:sz w:val="24"/>
              </w:rPr>
            </w:pPr>
            <w:r>
              <w:rPr>
                <w:rFonts w:hint="eastAsia" w:ascii="宋体" w:hAnsi="宋体"/>
                <w:sz w:val="24"/>
              </w:rPr>
              <w:t>税务局</w:t>
            </w:r>
            <w:r>
              <w:rPr>
                <w:rFonts w:hint="eastAsia" w:ascii="宋体" w:hAnsi="宋体" w:eastAsia="宋体" w:cs="Times New Roman"/>
                <w:sz w:val="24"/>
                <w:lang w:val="en-US" w:eastAsia="zh-CN"/>
              </w:rPr>
              <w:t>金三等统推系统功能优化升级项目</w:t>
            </w: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left"/>
              <w:rPr>
                <w:rFonts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center"/>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right w:val="single" w:color="auto" w:sz="4" w:space="0"/>
            </w:tcBorders>
            <w:noWrap w:val="0"/>
            <w:vAlign w:val="top"/>
          </w:tcPr>
          <w:p>
            <w:pPr>
              <w:ind w:firstLine="482" w:firstLineChars="200"/>
              <w:jc w:val="left"/>
              <w:rPr>
                <w:rFonts w:hint="eastAsia" w:ascii="宋体" w:hAnsi="宋体"/>
                <w:b/>
                <w:sz w:val="24"/>
              </w:rPr>
            </w:pPr>
          </w:p>
        </w:tc>
        <w:tc>
          <w:tcPr>
            <w:tcW w:w="4818" w:type="dxa"/>
            <w:tcBorders>
              <w:top w:val="single" w:color="auto" w:sz="4" w:space="0"/>
              <w:left w:val="single" w:color="auto" w:sz="4" w:space="0"/>
              <w:right w:val="single" w:color="auto" w:sz="4" w:space="0"/>
            </w:tcBorders>
            <w:noWrap w:val="0"/>
            <w:vAlign w:val="center"/>
          </w:tcPr>
          <w:p>
            <w:pPr>
              <w:rPr>
                <w:rFonts w:ascii="宋体" w:hAnsi="宋体"/>
                <w:sz w:val="24"/>
              </w:rPr>
            </w:pPr>
          </w:p>
        </w:tc>
      </w:tr>
    </w:tbl>
    <w:p>
      <w:pPr>
        <w:rPr>
          <w:rFonts w:hint="eastAsia" w:ascii="宋体" w:hAnsi="宋体"/>
          <w:sz w:val="24"/>
        </w:rPr>
      </w:pPr>
    </w:p>
    <w:p>
      <w:pPr>
        <w:pStyle w:val="3"/>
        <w:spacing w:before="200" w:after="200" w:line="240" w:lineRule="auto"/>
        <w:rPr>
          <w:rFonts w:hint="eastAsia" w:ascii="宋体" w:hAnsi="宋体"/>
          <w:kern w:val="2"/>
          <w:sz w:val="24"/>
          <w:szCs w:val="24"/>
        </w:rPr>
      </w:pPr>
      <w:r>
        <w:rPr>
          <w:rFonts w:hint="eastAsia" w:ascii="宋体" w:hAnsi="宋体"/>
          <w:kern w:val="2"/>
          <w:sz w:val="24"/>
          <w:szCs w:val="24"/>
        </w:rPr>
        <w:t xml:space="preserve">第三条  </w:t>
      </w:r>
      <w:r>
        <w:rPr>
          <w:rFonts w:hint="eastAsia" w:ascii="宋体" w:hAnsi="宋体"/>
          <w:kern w:val="2"/>
          <w:sz w:val="24"/>
          <w:szCs w:val="24"/>
          <w:lang w:eastAsia="zh-CN"/>
        </w:rPr>
        <w:t>服务</w:t>
      </w:r>
      <w:r>
        <w:rPr>
          <w:rFonts w:hint="eastAsia" w:ascii="宋体" w:hAnsi="宋体"/>
          <w:kern w:val="2"/>
          <w:sz w:val="24"/>
          <w:szCs w:val="24"/>
        </w:rPr>
        <w:t>内容</w:t>
      </w:r>
    </w:p>
    <w:p>
      <w:pPr>
        <w:numPr>
          <w:ilvl w:val="0"/>
          <w:numId w:val="10"/>
        </w:numPr>
        <w:rPr>
          <w:rFonts w:hint="eastAsia" w:ascii="宋体" w:hAnsi="宋体"/>
          <w:sz w:val="24"/>
        </w:rPr>
      </w:pPr>
      <w:r>
        <w:rPr>
          <w:rFonts w:hint="eastAsia" w:ascii="宋体" w:hAnsi="宋体"/>
          <w:sz w:val="24"/>
        </w:rPr>
        <w:t>在一年服务期内，乙方为完成“</w:t>
      </w:r>
      <w:r>
        <w:rPr>
          <w:rFonts w:hint="eastAsia" w:ascii="宋体" w:hAnsi="宋体" w:eastAsia="宋体" w:cs="Times New Roman"/>
          <w:sz w:val="24"/>
        </w:rPr>
        <w:t>（</w:t>
      </w:r>
      <w:r>
        <w:rPr>
          <w:rFonts w:hint="eastAsia" w:ascii="宋体" w:hAnsi="宋体" w:eastAsia="宋体" w:cs="Times New Roman"/>
          <w:sz w:val="24"/>
          <w:lang w:val="en-US" w:eastAsia="zh-CN"/>
        </w:rPr>
        <w:t>国家税务总局黑龙江省税务局金三等统推系统功能优化升级项目</w:t>
      </w:r>
      <w:r>
        <w:rPr>
          <w:rFonts w:hint="eastAsia" w:ascii="宋体" w:hAnsi="宋体"/>
          <w:sz w:val="24"/>
          <w:u w:val="single"/>
        </w:rPr>
        <w:t>）</w:t>
      </w:r>
      <w:r>
        <w:rPr>
          <w:rFonts w:hint="eastAsia" w:ascii="宋体" w:hAnsi="宋体"/>
          <w:sz w:val="24"/>
        </w:rPr>
        <w:t>”招标文件所列全部服务内容,</w:t>
      </w:r>
      <w:r>
        <w:rPr>
          <w:rFonts w:ascii="宋体" w:hAnsi="宋体"/>
          <w:sz w:val="24"/>
        </w:rPr>
        <w:t>范围内的</w:t>
      </w:r>
      <w:r>
        <w:rPr>
          <w:rFonts w:hint="eastAsia" w:ascii="宋体" w:hAnsi="宋体"/>
          <w:sz w:val="24"/>
        </w:rPr>
        <w:t>乙方自行使用的</w:t>
      </w:r>
      <w:r>
        <w:rPr>
          <w:rFonts w:ascii="宋体" w:hAnsi="宋体"/>
          <w:sz w:val="24"/>
        </w:rPr>
        <w:t>所有设备、耗材</w:t>
      </w:r>
      <w:r>
        <w:rPr>
          <w:rFonts w:hint="eastAsia" w:ascii="宋体" w:hAnsi="宋体"/>
          <w:sz w:val="24"/>
        </w:rPr>
        <w:t>等</w:t>
      </w:r>
      <w:r>
        <w:rPr>
          <w:rFonts w:ascii="宋体" w:hAnsi="宋体"/>
          <w:sz w:val="24"/>
        </w:rPr>
        <w:t>由乙方</w:t>
      </w:r>
      <w:r>
        <w:rPr>
          <w:rFonts w:hint="eastAsia" w:ascii="宋体" w:hAnsi="宋体"/>
          <w:sz w:val="24"/>
        </w:rPr>
        <w:t>自行</w:t>
      </w:r>
      <w:r>
        <w:rPr>
          <w:rFonts w:ascii="宋体" w:hAnsi="宋体"/>
          <w:sz w:val="24"/>
        </w:rPr>
        <w:t>承担</w:t>
      </w:r>
      <w:r>
        <w:rPr>
          <w:rFonts w:hint="eastAsia" w:ascii="宋体" w:hAnsi="宋体"/>
          <w:sz w:val="24"/>
        </w:rPr>
        <w:t>。</w:t>
      </w:r>
    </w:p>
    <w:p>
      <w:pPr>
        <w:numPr>
          <w:ilvl w:val="0"/>
          <w:numId w:val="10"/>
        </w:numPr>
        <w:rPr>
          <w:rFonts w:hint="eastAsia" w:ascii="宋体" w:hAnsi="宋体"/>
          <w:sz w:val="24"/>
        </w:rPr>
      </w:pPr>
      <w:r>
        <w:rPr>
          <w:rFonts w:hint="eastAsia" w:ascii="宋体" w:hAnsi="宋体"/>
          <w:sz w:val="24"/>
        </w:rPr>
        <w:t>乙方委派。</w:t>
      </w:r>
    </w:p>
    <w:p>
      <w:pPr>
        <w:pStyle w:val="32"/>
        <w:ind w:firstLine="420"/>
        <w:rPr>
          <w:rFonts w:hint="eastAsia"/>
        </w:rPr>
      </w:pPr>
      <w:r>
        <w:rPr>
          <w:rFonts w:hint="eastAsia"/>
        </w:rPr>
        <w:t>（同“附件2”人员）</w:t>
      </w:r>
    </w:p>
    <w:p>
      <w:pPr>
        <w:numPr>
          <w:ilvl w:val="0"/>
          <w:numId w:val="10"/>
        </w:numPr>
        <w:rPr>
          <w:rFonts w:hint="eastAsia" w:ascii="宋体" w:hAnsi="宋体"/>
          <w:sz w:val="24"/>
        </w:rPr>
      </w:pPr>
      <w:r>
        <w:rPr>
          <w:rFonts w:hint="eastAsia" w:ascii="宋体" w:hAnsi="宋体"/>
          <w:sz w:val="24"/>
        </w:rPr>
        <w:t>服务电话。</w:t>
      </w:r>
    </w:p>
    <w:p>
      <w:pPr>
        <w:pStyle w:val="32"/>
        <w:rPr>
          <w:rFonts w:hint="eastAsia" w:ascii="宋体" w:hAnsi="宋体"/>
          <w:sz w:val="24"/>
        </w:rPr>
      </w:pPr>
      <w:r>
        <w:rPr>
          <w:rFonts w:hint="eastAsia" w:ascii="宋体" w:hAnsi="宋体"/>
          <w:sz w:val="24"/>
        </w:rPr>
        <w:t>（售后电话，必填项）</w:t>
      </w:r>
    </w:p>
    <w:p>
      <w:pPr>
        <w:pStyle w:val="3"/>
        <w:spacing w:before="200" w:after="200" w:line="240" w:lineRule="auto"/>
        <w:rPr>
          <w:rFonts w:ascii="宋体" w:hAnsi="宋体"/>
          <w:kern w:val="2"/>
          <w:sz w:val="24"/>
          <w:szCs w:val="24"/>
        </w:rPr>
      </w:pPr>
      <w:r>
        <w:rPr>
          <w:rFonts w:hint="eastAsia" w:ascii="宋体" w:hAnsi="宋体"/>
          <w:kern w:val="2"/>
          <w:sz w:val="24"/>
          <w:szCs w:val="24"/>
        </w:rPr>
        <w:t>第四条  服务期限及服务生效时间</w:t>
      </w:r>
    </w:p>
    <w:p>
      <w:pPr>
        <w:ind w:firstLine="240" w:firstLineChars="100"/>
        <w:rPr>
          <w:rFonts w:hint="eastAsia" w:ascii="宋体" w:hAnsi="宋体"/>
          <w:color w:val="000000"/>
          <w:sz w:val="24"/>
        </w:rPr>
      </w:pPr>
      <w:r>
        <w:rPr>
          <w:rFonts w:hint="eastAsia" w:ascii="宋体" w:hAnsi="宋体"/>
          <w:color w:val="000000"/>
          <w:sz w:val="24"/>
        </w:rPr>
        <w:t>本合同有效期一年，自＿年  ＿月＿日起至＿年＿月＿日止。</w:t>
      </w:r>
    </w:p>
    <w:p>
      <w:pPr>
        <w:pStyle w:val="3"/>
        <w:spacing w:before="200" w:after="200" w:line="240" w:lineRule="auto"/>
        <w:rPr>
          <w:rFonts w:hint="eastAsia" w:ascii="宋体" w:hAnsi="宋体"/>
          <w:kern w:val="2"/>
          <w:sz w:val="24"/>
          <w:szCs w:val="24"/>
        </w:rPr>
      </w:pPr>
      <w:r>
        <w:rPr>
          <w:rFonts w:hint="eastAsia" w:ascii="宋体" w:hAnsi="宋体"/>
          <w:kern w:val="2"/>
          <w:sz w:val="24"/>
          <w:szCs w:val="24"/>
        </w:rPr>
        <w:t>第五条 具体服务项目计费标准</w:t>
      </w:r>
    </w:p>
    <w:tbl>
      <w:tblPr>
        <w:tblStyle w:val="26"/>
        <w:tblpPr w:leftFromText="180" w:rightFromText="180" w:vertAnchor="text" w:horzAnchor="page" w:tblpX="1402" w:tblpY="505"/>
        <w:tblOverlap w:val="never"/>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left="250" w:right="71" w:hanging="250" w:hangingChars="101"/>
              <w:jc w:val="center"/>
              <w:rPr>
                <w:rFonts w:ascii="宋体" w:hAnsi="宋体"/>
                <w:spacing w:val="4"/>
                <w:sz w:val="24"/>
              </w:rPr>
            </w:pPr>
            <w:r>
              <w:rPr>
                <w:rFonts w:hint="eastAsia" w:ascii="宋体" w:hAnsi="宋体"/>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spacing w:val="4"/>
                <w:sz w:val="24"/>
              </w:rPr>
            </w:pPr>
            <w:r>
              <w:rPr>
                <w:rFonts w:hint="eastAsia" w:ascii="宋体" w:hAnsi="宋体"/>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left"/>
              <w:rPr>
                <w:rFonts w:ascii="宋体" w:hAnsi="宋体"/>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pPr>
              <w:spacing w:line="440" w:lineRule="exact"/>
              <w:ind w:right="71"/>
              <w:rPr>
                <w:rFonts w:ascii="宋体" w:hAnsi="宋体"/>
                <w:spacing w:val="4"/>
                <w:sz w:val="24"/>
              </w:rPr>
            </w:pPr>
            <w:r>
              <w:rPr>
                <w:rFonts w:hint="eastAsia" w:ascii="宋体" w:hAnsi="宋体"/>
                <w:spacing w:val="4"/>
                <w:sz w:val="24"/>
              </w:rPr>
              <w:t>金额合计：人民币</w:t>
            </w:r>
            <w:r>
              <w:rPr>
                <w:rFonts w:hint="eastAsia" w:ascii="宋体" w:hAnsi="宋体"/>
                <w:spacing w:val="4"/>
                <w:sz w:val="24"/>
                <w:u w:val="single"/>
              </w:rPr>
              <w:t>￥</w:t>
            </w:r>
            <w:r>
              <w:rPr>
                <w:rFonts w:ascii="宋体" w:hAnsi="宋体"/>
                <w:spacing w:val="4"/>
                <w:sz w:val="24"/>
                <w:u w:val="single"/>
              </w:rPr>
              <w:t xml:space="preserve"> </w:t>
            </w:r>
            <w:r>
              <w:rPr>
                <w:rFonts w:hint="eastAsia" w:ascii="宋体" w:hAnsi="宋体"/>
                <w:spacing w:val="4"/>
                <w:sz w:val="24"/>
                <w:u w:val="single"/>
              </w:rPr>
              <w:t xml:space="preserve">           ，（大写） </w:t>
            </w:r>
            <w:r>
              <w:rPr>
                <w:rFonts w:ascii="宋体" w:hAnsi="宋体"/>
                <w:spacing w:val="4"/>
                <w:sz w:val="24"/>
                <w:u w:val="single"/>
              </w:rPr>
              <w:t xml:space="preserve"> </w:t>
            </w:r>
          </w:p>
        </w:tc>
      </w:tr>
    </w:tbl>
    <w:p>
      <w:pPr>
        <w:pStyle w:val="3"/>
        <w:spacing w:before="200" w:after="200" w:line="240" w:lineRule="auto"/>
        <w:rPr>
          <w:rFonts w:hint="eastAsia" w:ascii="宋体" w:hAnsi="宋体"/>
          <w:kern w:val="2"/>
          <w:sz w:val="24"/>
          <w:szCs w:val="24"/>
        </w:rPr>
      </w:pPr>
      <w:r>
        <w:rPr>
          <w:rFonts w:hint="eastAsia" w:ascii="宋体" w:hAnsi="宋体"/>
          <w:kern w:val="2"/>
          <w:sz w:val="24"/>
          <w:szCs w:val="24"/>
        </w:rPr>
        <w:t>第六条 费用支付方式</w:t>
      </w:r>
    </w:p>
    <w:p>
      <w:pPr>
        <w:rPr>
          <w:rFonts w:hint="eastAsia" w:ascii="宋体" w:hAnsi="宋体" w:eastAsia="宋体" w:cs="Times New Roman"/>
          <w:color w:val="000000"/>
          <w:sz w:val="24"/>
          <w:lang w:val="en-US" w:eastAsia="zh-CN"/>
        </w:rPr>
      </w:pPr>
      <w:r>
        <w:rPr>
          <w:rFonts w:hint="eastAsia" w:ascii="宋体" w:hAnsi="宋体" w:eastAsia="宋体" w:cs="Times New Roman"/>
          <w:color w:val="000000"/>
          <w:sz w:val="24"/>
          <w:lang w:val="en-US" w:eastAsia="zh-CN"/>
        </w:rPr>
        <w:t>包1：合同标的服务费金额为人民币     万元（大写：整）。合同签订后，收到乙方发票后30个工作日内，甲方支付给乙方合同价款的50%，人民币     万元（大写：      元整）；项目中期验收合格后，收到乙方发票后30个工作日内，甲方支付给乙方人民币合同价款的40%，人民币   万元（大写：      元整）；服务期满后，收到乙方发票后30个工作日内，甲方支付合同价款的10%，人民币   万元（大写：      元整）。乙方应在每次付款前向甲方提供等额发票等凭据。</w:t>
      </w:r>
    </w:p>
    <w:p>
      <w:pPr>
        <w:rPr>
          <w:rFonts w:hint="eastAsia" w:ascii="宋体" w:hAnsi="宋体" w:eastAsia="宋体" w:cs="Times New Roman"/>
          <w:color w:val="000000"/>
          <w:sz w:val="24"/>
          <w:lang w:val="en-US" w:eastAsia="zh-CN"/>
        </w:rPr>
      </w:pPr>
      <w:r>
        <w:rPr>
          <w:rFonts w:hint="eastAsia" w:ascii="宋体" w:hAnsi="宋体" w:eastAsia="宋体" w:cs="Times New Roman"/>
          <w:color w:val="000000"/>
          <w:sz w:val="24"/>
          <w:lang w:val="en-US" w:eastAsia="zh-CN"/>
        </w:rPr>
        <w:t>包2：合同标的服务费金额为人民币     万元（大写：整）。合同签订后，收到乙方发票后30个工作日内，甲方支付给乙方合同价款的50%，人民币     万元（大写：      元整）；项目中期验收合格后，收到乙方发票后30个工作日内，甲方支付给乙方人民币合同价款的40%，人民币   万元（大写：      元整）；服务期满后，收到乙方发票后30个工作日内，甲方支付合同价款的10%，人民币   万元（大写：      元整）。乙方应在每次付款前向甲方提供等额发票等凭据。</w:t>
      </w:r>
    </w:p>
    <w:p>
      <w:pPr>
        <w:rPr>
          <w:rFonts w:hint="eastAsia" w:ascii="宋体" w:hAnsi="宋体" w:eastAsia="宋体" w:cs="Times New Roman"/>
          <w:color w:val="000000"/>
          <w:sz w:val="24"/>
          <w:lang w:val="en-US" w:eastAsia="zh-CN"/>
        </w:rPr>
      </w:pPr>
      <w:r>
        <w:rPr>
          <w:rFonts w:hint="eastAsia" w:ascii="宋体" w:hAnsi="宋体" w:eastAsia="宋体" w:cs="Times New Roman"/>
          <w:color w:val="000000"/>
          <w:sz w:val="24"/>
          <w:lang w:val="en-US" w:eastAsia="zh-CN"/>
        </w:rPr>
        <w:t>包3：合同标的服务费金额为人民币     万元（大写：整）。合同签订后，收到乙方发票后30个工作日内，甲方支付给乙方合同价款的50%，人民币     万元（大写：      元整）；项目终期验收合格后，收到乙方发票后30个工作日内，甲方支付给乙方人民币合同价款的50%，人民币   万元（大写：      元整）。乙方应在每次付款前向甲方提供等额发票等凭据。</w:t>
      </w:r>
    </w:p>
    <w:p>
      <w:pPr>
        <w:rPr>
          <w:rFonts w:hint="eastAsia" w:ascii="宋体" w:hAnsi="宋体" w:eastAsia="宋体" w:cs="Times New Roman"/>
          <w:color w:val="000000"/>
          <w:sz w:val="24"/>
          <w:lang w:val="en-US" w:eastAsia="zh-CN"/>
        </w:rPr>
      </w:pPr>
      <w:r>
        <w:rPr>
          <w:rFonts w:hint="eastAsia" w:ascii="宋体" w:hAnsi="宋体" w:eastAsia="宋体" w:cs="Times New Roman"/>
          <w:color w:val="000000"/>
          <w:sz w:val="24"/>
          <w:lang w:val="en-US" w:eastAsia="zh-CN"/>
        </w:rPr>
        <w:t>包4：合同标的服务费金额为人民币     万元（大写：整）。合同签订后，收到乙方发票后30个工作日内，甲方支付给乙方合同价款的50%，人民币     万元（大写：      元整）；项目终期验收合格后，收到乙方发票后30个工作日内，甲方支付给乙方人民币合同价款的50%，人民币   万元（大写：      元整）。乙方应在每次付款前向甲方提供等额发票等凭据。</w:t>
      </w:r>
    </w:p>
    <w:p>
      <w:pPr>
        <w:rPr>
          <w:rFonts w:ascii="宋体" w:hAnsi="宋体"/>
          <w:sz w:val="24"/>
        </w:rPr>
      </w:pPr>
      <w:r>
        <w:rPr>
          <w:rFonts w:hint="eastAsia" w:ascii="宋体" w:hAnsi="宋体"/>
          <w:sz w:val="24"/>
        </w:rPr>
        <w:t>乙方指定收款账户如下：</w:t>
      </w:r>
    </w:p>
    <w:p>
      <w:pPr>
        <w:rPr>
          <w:rFonts w:hint="eastAsia" w:ascii="宋体" w:hAnsi="宋体"/>
          <w:sz w:val="24"/>
        </w:rPr>
      </w:pPr>
      <w:r>
        <w:rPr>
          <w:rFonts w:hint="eastAsia" w:ascii="宋体" w:hAnsi="宋体"/>
          <w:sz w:val="24"/>
        </w:rPr>
        <w:t xml:space="preserve">单位全称： </w:t>
      </w:r>
    </w:p>
    <w:p>
      <w:pPr>
        <w:rPr>
          <w:rFonts w:hint="eastAsia" w:ascii="宋体" w:hAnsi="宋体"/>
          <w:sz w:val="24"/>
        </w:rPr>
      </w:pPr>
      <w:r>
        <w:rPr>
          <w:rFonts w:hint="eastAsia" w:ascii="宋体" w:hAnsi="宋体"/>
          <w:sz w:val="24"/>
        </w:rPr>
        <w:t xml:space="preserve">开 户 行： </w:t>
      </w:r>
    </w:p>
    <w:p>
      <w:pPr>
        <w:rPr>
          <w:rFonts w:hint="eastAsia" w:ascii="宋体" w:hAnsi="宋体"/>
          <w:sz w:val="24"/>
        </w:rPr>
      </w:pPr>
      <w:r>
        <w:rPr>
          <w:rFonts w:hint="eastAsia" w:ascii="宋体" w:hAnsi="宋体"/>
          <w:sz w:val="24"/>
        </w:rPr>
        <w:t xml:space="preserve">帐    号： </w:t>
      </w:r>
    </w:p>
    <w:p>
      <w:pPr>
        <w:pStyle w:val="3"/>
        <w:spacing w:before="200" w:after="200" w:line="240" w:lineRule="auto"/>
        <w:rPr>
          <w:rFonts w:ascii="宋体" w:hAnsi="宋体"/>
          <w:kern w:val="2"/>
          <w:sz w:val="24"/>
          <w:szCs w:val="24"/>
        </w:rPr>
      </w:pPr>
      <w:r>
        <w:rPr>
          <w:rFonts w:hint="eastAsia" w:ascii="宋体" w:hAnsi="宋体"/>
          <w:kern w:val="2"/>
          <w:sz w:val="24"/>
          <w:szCs w:val="24"/>
        </w:rPr>
        <w:t>第七条 甲乙双方责任与义务</w:t>
      </w:r>
    </w:p>
    <w:p>
      <w:pPr>
        <w:rPr>
          <w:rFonts w:hint="eastAsia" w:ascii="宋体" w:hAnsi="宋体"/>
          <w:color w:val="000000"/>
          <w:sz w:val="24"/>
        </w:rPr>
      </w:pPr>
      <w:r>
        <w:rPr>
          <w:rFonts w:hint="eastAsia" w:ascii="宋体" w:hAnsi="宋体"/>
          <w:color w:val="000000"/>
          <w:sz w:val="24"/>
        </w:rPr>
        <w:t>甲方责任：</w:t>
      </w:r>
    </w:p>
    <w:p>
      <w:pPr>
        <w:rPr>
          <w:rFonts w:ascii="宋体" w:hAnsi="宋体"/>
          <w:color w:val="000000"/>
          <w:sz w:val="24"/>
        </w:rPr>
      </w:pPr>
      <w:r>
        <w:rPr>
          <w:rFonts w:hint="eastAsia" w:ascii="宋体" w:hAnsi="宋体"/>
          <w:color w:val="000000"/>
          <w:sz w:val="24"/>
        </w:rPr>
        <w:t>1、在乙方进行支持服务时，根据乙方要求，指定配合工作的人员，提供必要的设备。</w:t>
      </w:r>
    </w:p>
    <w:p>
      <w:pPr>
        <w:rPr>
          <w:rFonts w:hint="eastAsia" w:ascii="宋体" w:hAnsi="宋体"/>
          <w:color w:val="000000"/>
          <w:sz w:val="24"/>
        </w:rPr>
      </w:pPr>
      <w:r>
        <w:rPr>
          <w:rFonts w:hint="eastAsia" w:ascii="宋体" w:hAnsi="宋体"/>
          <w:color w:val="000000"/>
          <w:sz w:val="24"/>
        </w:rPr>
        <w:t>2、在乙方服务人员支持服务完成时，配合检查设备、系统运行是否正常。</w:t>
      </w:r>
    </w:p>
    <w:p>
      <w:pPr>
        <w:rPr>
          <w:rFonts w:ascii="宋体" w:hAnsi="宋体"/>
          <w:color w:val="000000"/>
          <w:sz w:val="24"/>
        </w:rPr>
      </w:pPr>
      <w:r>
        <w:rPr>
          <w:rFonts w:hint="eastAsia" w:ascii="宋体" w:hAnsi="宋体"/>
          <w:color w:val="000000"/>
          <w:sz w:val="24"/>
        </w:rPr>
        <w:t>3、甲方如果要求乙方超出本合同及其附件约定的范围提供支持服务，甲方应与乙方另行协商签署相关合同，并向乙方支付相应的服务费用。</w:t>
      </w: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乙方责任：</w:t>
      </w:r>
    </w:p>
    <w:p>
      <w:pPr>
        <w:rPr>
          <w:rFonts w:hint="eastAsia" w:ascii="宋体" w:hAnsi="宋体"/>
          <w:color w:val="000000"/>
          <w:sz w:val="24"/>
        </w:rPr>
      </w:pPr>
      <w:r>
        <w:rPr>
          <w:rFonts w:hint="eastAsia" w:ascii="宋体" w:hAnsi="宋体"/>
          <w:color w:val="000000"/>
          <w:sz w:val="24"/>
        </w:rPr>
        <w:t>1. 严格执行作息制度，按规定时间上下班并根据工作需要按甲方要求进行加班。当产生加班时由甲方为加班人员开具加班证明，乙方必须按照有关规定给予加班人员加班补助。</w:t>
      </w:r>
    </w:p>
    <w:p>
      <w:pPr>
        <w:rPr>
          <w:rFonts w:hint="eastAsia" w:ascii="宋体" w:hAnsi="宋体"/>
          <w:color w:val="000000"/>
          <w:sz w:val="24"/>
        </w:rPr>
      </w:pPr>
      <w:r>
        <w:rPr>
          <w:rFonts w:hint="eastAsia" w:ascii="宋体" w:hAnsi="宋体"/>
          <w:color w:val="000000"/>
          <w:sz w:val="24"/>
        </w:rPr>
        <w:t>2. 严格遵守甲方安全保密制度和规定，签署保密协议。</w:t>
      </w:r>
    </w:p>
    <w:p>
      <w:pPr>
        <w:rPr>
          <w:rFonts w:hint="eastAsia" w:ascii="宋体" w:hAnsi="宋体"/>
          <w:color w:val="000000"/>
          <w:sz w:val="24"/>
        </w:rPr>
      </w:pPr>
      <w:r>
        <w:rPr>
          <w:rFonts w:hint="eastAsia" w:ascii="宋体" w:hAnsi="宋体"/>
          <w:color w:val="000000"/>
          <w:sz w:val="24"/>
        </w:rPr>
        <w:t>3. 严格按照甲方的管理维护制度要求进行相关工作。</w:t>
      </w:r>
    </w:p>
    <w:p>
      <w:pPr>
        <w:rPr>
          <w:rFonts w:hint="eastAsia" w:ascii="宋体" w:hAnsi="宋体"/>
          <w:color w:val="000000"/>
          <w:sz w:val="24"/>
        </w:rPr>
      </w:pPr>
      <w:r>
        <w:rPr>
          <w:rFonts w:hint="eastAsia" w:ascii="宋体" w:hAnsi="宋体"/>
          <w:color w:val="000000"/>
          <w:sz w:val="24"/>
        </w:rPr>
        <w:t>4.发生重大故障立即报告并进行故障排查，故障解决后立即形成书面材料进行上报，说明故障原因、排查过程 、解决方法及预防故障发生的措施或建议等。</w:t>
      </w:r>
    </w:p>
    <w:p>
      <w:pPr>
        <w:rPr>
          <w:rFonts w:hint="eastAsia" w:ascii="宋体" w:hAnsi="宋体"/>
          <w:color w:val="000000"/>
          <w:sz w:val="24"/>
        </w:rPr>
      </w:pPr>
      <w:r>
        <w:rPr>
          <w:rFonts w:hint="eastAsia" w:ascii="宋体" w:hAnsi="宋体"/>
          <w:color w:val="000000"/>
          <w:sz w:val="24"/>
        </w:rPr>
        <w:t>5. 及时填写各类维护记录，保证每次维护工作可进行有效追踪和核查。</w:t>
      </w:r>
    </w:p>
    <w:p>
      <w:pPr>
        <w:rPr>
          <w:rFonts w:hint="eastAsia" w:ascii="宋体" w:hAnsi="宋体"/>
          <w:color w:val="000000"/>
          <w:sz w:val="24"/>
        </w:rPr>
      </w:pPr>
      <w:r>
        <w:rPr>
          <w:rFonts w:hint="eastAsia" w:ascii="宋体" w:hAnsi="宋体"/>
          <w:color w:val="000000"/>
          <w:sz w:val="24"/>
        </w:rPr>
        <w:t>6. 甲方对聘用人员进行工作考核，对不符合要求的人员随时进行撤换。</w:t>
      </w:r>
    </w:p>
    <w:p>
      <w:pPr>
        <w:rPr>
          <w:rFonts w:hint="eastAsia" w:ascii="宋体" w:hAnsi="宋体"/>
          <w:color w:val="000000"/>
          <w:sz w:val="24"/>
        </w:rPr>
      </w:pPr>
      <w:r>
        <w:rPr>
          <w:rFonts w:hint="eastAsia" w:ascii="宋体" w:hAnsi="宋体"/>
          <w:color w:val="000000"/>
          <w:sz w:val="24"/>
        </w:rPr>
        <w:t>7. 甲方只负责按照合同约定的金额向乙方支付人员聘用费用，维护人员的工资、社会保险及其它待遇或相关费用等均由乙方负责。</w:t>
      </w:r>
    </w:p>
    <w:p>
      <w:pPr>
        <w:rPr>
          <w:rFonts w:hint="eastAsia" w:ascii="宋体" w:hAnsi="宋体"/>
          <w:color w:val="000000"/>
          <w:sz w:val="24"/>
        </w:rPr>
      </w:pPr>
      <w:r>
        <w:rPr>
          <w:rFonts w:hint="eastAsia" w:ascii="宋体" w:hAnsi="宋体"/>
          <w:color w:val="000000"/>
          <w:sz w:val="24"/>
        </w:rPr>
        <w:t>8. 未经甲方批准，获聘单位不准随意更换聘用人员。</w:t>
      </w:r>
    </w:p>
    <w:p>
      <w:pPr>
        <w:rPr>
          <w:rFonts w:hint="eastAsia" w:ascii="宋体" w:hAnsi="宋体"/>
          <w:color w:val="000000"/>
          <w:sz w:val="24"/>
        </w:rPr>
      </w:pPr>
      <w:r>
        <w:rPr>
          <w:rFonts w:hint="eastAsia" w:ascii="宋体" w:hAnsi="宋体"/>
          <w:color w:val="000000"/>
          <w:sz w:val="24"/>
        </w:rPr>
        <w:t>9. 聘用人员在聘用期间必须完全遵守甲方的有关规定和服从管理。</w:t>
      </w:r>
    </w:p>
    <w:p>
      <w:pPr>
        <w:rPr>
          <w:rFonts w:hint="eastAsia" w:ascii="宋体" w:hAnsi="宋体"/>
          <w:color w:val="000000"/>
          <w:sz w:val="24"/>
        </w:rPr>
      </w:pPr>
      <w:r>
        <w:rPr>
          <w:rFonts w:hint="eastAsia" w:ascii="宋体" w:hAnsi="宋体"/>
          <w:color w:val="000000"/>
          <w:sz w:val="24"/>
        </w:rPr>
        <w:t>10. 所有获聘人员均有三个月试用期，期间不满足甲方要求，需无条件更换获聘人员，若整个试用期间一直无法满足甲方的要求，甲方有权解除聘用合同，不承担任何违约责任。</w:t>
      </w:r>
    </w:p>
    <w:p>
      <w:pPr>
        <w:rPr>
          <w:rFonts w:ascii="宋体" w:hAnsi="宋体"/>
          <w:color w:val="000000"/>
          <w:sz w:val="24"/>
        </w:rPr>
      </w:pPr>
    </w:p>
    <w:p>
      <w:pPr>
        <w:pStyle w:val="4"/>
        <w:rPr>
          <w:rFonts w:hint="eastAsia" w:ascii="宋体" w:hAnsi="宋体"/>
          <w:sz w:val="24"/>
          <w:szCs w:val="24"/>
        </w:rPr>
      </w:pPr>
      <w:r>
        <w:rPr>
          <w:rFonts w:hint="eastAsia" w:ascii="宋体" w:hAnsi="宋体"/>
          <w:sz w:val="24"/>
          <w:szCs w:val="24"/>
        </w:rPr>
        <w:t>第八条 违约责任</w:t>
      </w:r>
    </w:p>
    <w:p>
      <w:pPr>
        <w:rPr>
          <w:rFonts w:hint="eastAsia" w:ascii="宋体" w:hAnsi="宋体"/>
          <w:sz w:val="24"/>
        </w:rPr>
      </w:pPr>
      <w:r>
        <w:rPr>
          <w:rFonts w:hint="eastAsia" w:ascii="宋体" w:hAnsi="宋体"/>
          <w:sz w:val="24"/>
        </w:rPr>
        <w:t>1、由于一方违约，造成本合同及其附件不能履行或不能完全履行时，由违约方承担违约责任；如属双方违约，根据实际情况，由双方分别承担各自应负的违约责任。</w:t>
      </w:r>
    </w:p>
    <w:p>
      <w:pPr>
        <w:rPr>
          <w:rFonts w:hint="eastAsia" w:ascii="宋体" w:hAnsi="宋体"/>
          <w:sz w:val="24"/>
        </w:rPr>
      </w:pPr>
      <w:r>
        <w:rPr>
          <w:rFonts w:hint="eastAsia" w:ascii="宋体" w:hAnsi="宋体"/>
          <w:sz w:val="24"/>
        </w:rPr>
        <w:t>2、如甲方未按合同约定的时间和金额向乙方支付应付款项，则自本合同约定的付款之日起，每延迟一天，甲方应向乙方支付本合同应付而未付金额的万分之一的违约金。</w:t>
      </w:r>
    </w:p>
    <w:p>
      <w:pPr>
        <w:rPr>
          <w:rFonts w:hint="eastAsia" w:ascii="宋体" w:hAnsi="宋体"/>
          <w:sz w:val="24"/>
        </w:rPr>
      </w:pPr>
      <w:r>
        <w:rPr>
          <w:rFonts w:hint="eastAsia" w:ascii="宋体" w:hAnsi="宋体"/>
          <w:sz w:val="24"/>
        </w:rPr>
        <w:t>3、如因乙方责任造成项目延期，则自项目应完成之日起，每延迟一天，乙方应向甲方支付未完成部分的合同金额，违约金最高限额为本合同标的总金额的百分之五。</w:t>
      </w:r>
    </w:p>
    <w:p>
      <w:pPr>
        <w:rPr>
          <w:rFonts w:hint="eastAsia" w:ascii="宋体" w:hAnsi="宋体"/>
          <w:sz w:val="24"/>
        </w:rPr>
      </w:pPr>
      <w:r>
        <w:rPr>
          <w:rFonts w:hint="eastAsia" w:ascii="宋体" w:hAnsi="宋体"/>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pPr>
        <w:rPr>
          <w:rFonts w:hint="eastAsia" w:ascii="宋体" w:hAnsi="宋体"/>
          <w:sz w:val="24"/>
        </w:rPr>
      </w:pPr>
      <w:r>
        <w:rPr>
          <w:rFonts w:hint="eastAsia" w:ascii="宋体" w:hAnsi="宋体"/>
          <w:sz w:val="24"/>
        </w:rPr>
        <w:t>5、对本合同项下某一条款的争议，不应影响合同双方对其他条款的履行。</w:t>
      </w:r>
    </w:p>
    <w:p>
      <w:pPr>
        <w:rPr>
          <w:rFonts w:hint="eastAsia" w:ascii="宋体" w:hAnsi="宋体"/>
          <w:color w:val="FF0000"/>
          <w:sz w:val="30"/>
          <w:szCs w:val="30"/>
        </w:rPr>
      </w:pPr>
      <w:r>
        <w:rPr>
          <w:rFonts w:hint="eastAsia" w:ascii="宋体" w:hAnsi="宋体"/>
          <w:sz w:val="24"/>
        </w:rPr>
        <w:t>6、乙方的服务人员不履行或不按本合同约定履行服务，并给甲方造成了实际损失，乙方应该对甲方实际损失给予赔偿。</w:t>
      </w:r>
      <w:r>
        <w:rPr>
          <w:rFonts w:hint="eastAsia" w:ascii="宋体" w:hAnsi="宋体"/>
          <w:color w:val="FF0000"/>
          <w:sz w:val="30"/>
          <w:szCs w:val="30"/>
        </w:rPr>
        <w:t xml:space="preserve">   </w:t>
      </w:r>
    </w:p>
    <w:p>
      <w:pPr>
        <w:rPr>
          <w:rFonts w:hint="eastAsia" w:ascii="宋体" w:hAnsi="宋体"/>
          <w:sz w:val="24"/>
        </w:rPr>
      </w:pPr>
      <w:r>
        <w:rPr>
          <w:rFonts w:hint="eastAsia" w:ascii="宋体" w:hAnsi="宋体"/>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pPr>
        <w:rPr>
          <w:rFonts w:hint="eastAsia" w:ascii="宋体" w:hAnsi="宋体"/>
          <w:sz w:val="24"/>
        </w:rPr>
      </w:pPr>
      <w:r>
        <w:rPr>
          <w:rFonts w:hint="eastAsia" w:ascii="宋体" w:hAnsi="宋体"/>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pPr>
        <w:rPr>
          <w:rFonts w:hint="eastAsia" w:ascii="宋体" w:hAnsi="宋体"/>
          <w:sz w:val="24"/>
        </w:rPr>
      </w:pPr>
      <w:r>
        <w:rPr>
          <w:rFonts w:hint="eastAsia" w:ascii="宋体" w:hAnsi="宋体"/>
          <w:sz w:val="24"/>
        </w:rPr>
        <w:t>9、乙方运维人员工作时间，严格遵守局方工作制度和工作纪律要求，包括节假日在内的各类加班和值班。否则，按照每天5%人月费用从运维费用中扣除。</w:t>
      </w:r>
    </w:p>
    <w:p>
      <w:pPr>
        <w:rPr>
          <w:rFonts w:hint="eastAsia" w:ascii="宋体" w:hAnsi="宋体"/>
          <w:sz w:val="24"/>
        </w:rPr>
      </w:pPr>
      <w:r>
        <w:rPr>
          <w:rFonts w:hint="eastAsia" w:ascii="宋体" w:hAnsi="宋体"/>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pPr>
        <w:rPr>
          <w:rFonts w:hint="eastAsia" w:ascii="宋体" w:hAnsi="宋体"/>
          <w:sz w:val="24"/>
        </w:rPr>
      </w:pPr>
      <w:r>
        <w:rPr>
          <w:rFonts w:hint="eastAsia" w:ascii="宋体" w:hAnsi="宋体"/>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pPr>
        <w:rPr>
          <w:rFonts w:ascii="宋体" w:hAnsi="宋体"/>
          <w:sz w:val="24"/>
        </w:rPr>
      </w:pPr>
      <w:r>
        <w:rPr>
          <w:rFonts w:hint="eastAsia" w:ascii="宋体" w:hAnsi="宋体"/>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pPr>
        <w:pStyle w:val="32"/>
        <w:ind w:firstLine="0" w:firstLineChars="0"/>
        <w:rPr>
          <w:rFonts w:hint="eastAsia"/>
        </w:rPr>
      </w:pPr>
    </w:p>
    <w:p>
      <w:pPr>
        <w:pStyle w:val="4"/>
        <w:rPr>
          <w:rFonts w:ascii="宋体" w:hAnsi="宋体"/>
          <w:sz w:val="24"/>
          <w:szCs w:val="24"/>
        </w:rPr>
      </w:pPr>
      <w:r>
        <w:rPr>
          <w:rFonts w:hint="eastAsia" w:ascii="宋体" w:hAnsi="宋体"/>
          <w:sz w:val="24"/>
          <w:szCs w:val="24"/>
        </w:rPr>
        <w:t>第九条 合同终止</w:t>
      </w:r>
    </w:p>
    <w:p>
      <w:pPr>
        <w:rPr>
          <w:rFonts w:ascii="宋体" w:hAnsi="宋体"/>
          <w:color w:val="000000"/>
          <w:sz w:val="24"/>
        </w:rPr>
      </w:pPr>
      <w:r>
        <w:rPr>
          <w:rFonts w:hint="eastAsia" w:ascii="宋体" w:hAnsi="宋体"/>
          <w:color w:val="000000"/>
          <w:sz w:val="24"/>
        </w:rPr>
        <w:t>1、甲方逾期付款超过90日，乙方将有权利单方终止本合同。</w:t>
      </w:r>
    </w:p>
    <w:p>
      <w:pPr>
        <w:rPr>
          <w:rFonts w:hint="eastAsia" w:ascii="宋体" w:hAnsi="宋体"/>
          <w:sz w:val="24"/>
        </w:rPr>
      </w:pPr>
      <w:r>
        <w:rPr>
          <w:rFonts w:hint="eastAsia" w:ascii="宋体" w:hAnsi="宋体"/>
          <w:sz w:val="24"/>
        </w:rPr>
        <w:t>2、甲方在当年计费周期届满前30日内向乙方提出是否续签合同的书面通知，如未书面通知的合同期满后自然终止。</w:t>
      </w:r>
    </w:p>
    <w:p>
      <w:pPr>
        <w:pStyle w:val="32"/>
        <w:rPr>
          <w:rFonts w:hint="eastAsia" w:ascii="宋体" w:hAnsi="宋体"/>
          <w:sz w:val="24"/>
        </w:rPr>
      </w:pPr>
    </w:p>
    <w:p>
      <w:pPr>
        <w:pStyle w:val="4"/>
        <w:rPr>
          <w:rFonts w:hint="eastAsia" w:ascii="宋体" w:hAnsi="宋体"/>
          <w:sz w:val="24"/>
          <w:szCs w:val="24"/>
        </w:rPr>
      </w:pPr>
      <w:r>
        <w:rPr>
          <w:rFonts w:hint="eastAsia" w:ascii="宋体" w:hAnsi="宋体"/>
          <w:sz w:val="24"/>
          <w:szCs w:val="24"/>
        </w:rPr>
        <w:t>第十条 免责条款</w:t>
      </w:r>
    </w:p>
    <w:p>
      <w:pPr>
        <w:rPr>
          <w:rFonts w:hint="eastAsia" w:ascii="宋体" w:hAnsi="宋体"/>
          <w:color w:val="000000"/>
          <w:sz w:val="24"/>
        </w:rPr>
      </w:pPr>
      <w:r>
        <w:rPr>
          <w:rFonts w:hint="eastAsia" w:ascii="宋体" w:hAnsi="宋体"/>
          <w:color w:val="000000"/>
          <w:sz w:val="24"/>
        </w:rPr>
        <w:t>1、因自然灾害、战争、特别恶劣天气等原因造成乙方维修人员不能按承诺时限到达现场，甲方对乙方不予处罚。</w:t>
      </w:r>
    </w:p>
    <w:p>
      <w:pPr>
        <w:rPr>
          <w:rFonts w:hint="eastAsia" w:ascii="宋体" w:hAnsi="宋体"/>
          <w:color w:val="000000"/>
          <w:sz w:val="24"/>
        </w:rPr>
      </w:pPr>
      <w:r>
        <w:rPr>
          <w:rFonts w:hint="eastAsia" w:ascii="宋体" w:hAnsi="宋体"/>
          <w:color w:val="000000"/>
          <w:sz w:val="24"/>
        </w:rPr>
        <w:t>2、因雷击、火灾、供电事故、人为因素造成设备损坏，甲方另行按实支付维修费。</w:t>
      </w:r>
    </w:p>
    <w:p>
      <w:pPr>
        <w:pStyle w:val="4"/>
        <w:rPr>
          <w:rFonts w:ascii="宋体" w:hAnsi="宋体"/>
          <w:sz w:val="24"/>
          <w:szCs w:val="24"/>
        </w:rPr>
      </w:pPr>
      <w:r>
        <w:rPr>
          <w:rFonts w:hint="eastAsia" w:ascii="宋体" w:hAnsi="宋体"/>
          <w:sz w:val="24"/>
          <w:szCs w:val="24"/>
        </w:rPr>
        <w:t>第十一条 其他</w:t>
      </w:r>
    </w:p>
    <w:p>
      <w:pPr>
        <w:rPr>
          <w:rFonts w:hint="eastAsia" w:ascii="宋体" w:hAnsi="宋体"/>
          <w:color w:val="000000"/>
          <w:sz w:val="24"/>
        </w:rPr>
      </w:pPr>
      <w:r>
        <w:rPr>
          <w:rFonts w:hint="eastAsia" w:ascii="宋体" w:hAnsi="宋体"/>
          <w:color w:val="000000"/>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w:t>
      </w:r>
      <w:r>
        <w:rPr>
          <w:rFonts w:hint="eastAsia" w:ascii="宋体" w:hAnsi="宋体"/>
          <w:sz w:val="24"/>
        </w:rPr>
        <w:t>本合同的履行地为甲方所在地。</w:t>
      </w:r>
    </w:p>
    <w:p>
      <w:pPr>
        <w:rPr>
          <w:rFonts w:hint="eastAsia" w:ascii="宋体" w:hAnsi="宋体"/>
          <w:color w:val="000000"/>
          <w:sz w:val="24"/>
        </w:rPr>
      </w:pPr>
      <w:r>
        <w:rPr>
          <w:rFonts w:hint="eastAsia" w:ascii="宋体" w:hAnsi="宋体"/>
          <w:color w:val="000000"/>
          <w:sz w:val="24"/>
        </w:rPr>
        <w:t>2、适用法律。本合同的成立、有效性、解释、履行及由此产生的争议的解决，均应适用中华人民共和国法律。</w:t>
      </w:r>
    </w:p>
    <w:p>
      <w:pPr>
        <w:rPr>
          <w:rFonts w:hint="eastAsia" w:ascii="宋体" w:hAnsi="宋体"/>
          <w:color w:val="000000"/>
          <w:sz w:val="24"/>
        </w:rPr>
      </w:pPr>
      <w:r>
        <w:rPr>
          <w:rFonts w:hint="eastAsia" w:ascii="宋体" w:hAnsi="宋体"/>
          <w:color w:val="000000"/>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6"/>
        <w:tblW w:w="8752" w:type="dxa"/>
        <w:jc w:val="center"/>
        <w:tblInd w:w="0" w:type="dxa"/>
        <w:tblLayout w:type="fixed"/>
        <w:tblCellMar>
          <w:top w:w="567" w:type="dxa"/>
          <w:left w:w="105" w:type="dxa"/>
          <w:bottom w:w="567" w:type="dxa"/>
          <w:right w:w="105" w:type="dxa"/>
        </w:tblCellMar>
      </w:tblPr>
      <w:tblGrid>
        <w:gridCol w:w="4074"/>
        <w:gridCol w:w="4678"/>
      </w:tblGrid>
      <w:tr>
        <w:tblPrEx>
          <w:tblLayout w:type="fixed"/>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ascii="方正宋黑简体" w:eastAsia="方正宋黑简体"/>
                <w:color w:val="000000"/>
                <w:kern w:val="0"/>
                <w:sz w:val="24"/>
              </w:rPr>
              <w:br w:type="page"/>
            </w:r>
            <w:r>
              <w:rPr>
                <w:rFonts w:hint="eastAsia" w:ascii="方正宋黑简体" w:hAnsi="微软雅黑" w:eastAsia="方正宋黑简体" w:cs="宋体"/>
                <w:color w:val="000000"/>
                <w:kern w:val="0"/>
                <w:sz w:val="24"/>
              </w:rPr>
              <w:t>甲方（章）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tblPrEx>
          <w:tblLayout w:type="fixed"/>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pPr>
        <w:rPr>
          <w:rFonts w:hint="eastAsia" w:ascii="宋体" w:hAnsi="宋体"/>
          <w:color w:val="000000"/>
          <w:sz w:val="24"/>
        </w:rPr>
      </w:pP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附件:</w:t>
      </w:r>
    </w:p>
    <w:p>
      <w:pPr>
        <w:rPr>
          <w:rFonts w:hint="eastAsia" w:ascii="宋体" w:hAnsi="宋体"/>
          <w:color w:val="000000"/>
          <w:sz w:val="24"/>
        </w:rPr>
      </w:pPr>
      <w:r>
        <w:rPr>
          <w:rFonts w:hint="eastAsia" w:ascii="宋体" w:hAnsi="宋体"/>
          <w:color w:val="000000"/>
          <w:sz w:val="24"/>
        </w:rPr>
        <w:t>1、售后服务承诺</w:t>
      </w:r>
    </w:p>
    <w:p>
      <w:pPr>
        <w:rPr>
          <w:rFonts w:hint="eastAsia" w:ascii="宋体" w:hAnsi="宋体"/>
          <w:color w:val="000000"/>
          <w:sz w:val="24"/>
        </w:rPr>
      </w:pPr>
      <w:r>
        <w:rPr>
          <w:rFonts w:hint="eastAsia" w:ascii="宋体" w:hAnsi="宋体"/>
          <w:color w:val="000000"/>
          <w:sz w:val="24"/>
        </w:rPr>
        <w:t>2、服务队伍</w:t>
      </w:r>
    </w:p>
    <w:p>
      <w:pPr>
        <w:rPr>
          <w:rFonts w:hint="eastAsia" w:ascii="宋体" w:hAnsi="宋体"/>
          <w:color w:val="000000"/>
          <w:sz w:val="24"/>
        </w:rPr>
      </w:pPr>
      <w:r>
        <w:rPr>
          <w:rFonts w:hint="eastAsia" w:ascii="宋体" w:hAnsi="宋体"/>
          <w:color w:val="000000"/>
          <w:sz w:val="24"/>
        </w:rPr>
        <w:t>3、中标通知书</w:t>
      </w:r>
    </w:p>
    <w:p>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panose1 w:val="02010601030101010101"/>
    <w:charset w:val="86"/>
    <w:family w:val="script"/>
    <w:pitch w:val="default"/>
    <w:sig w:usb0="00000001" w:usb1="080E0000" w:usb2="00000000" w:usb3="00000000" w:csb0="00040000" w:csb1="00000000"/>
  </w:font>
  <w:font w:name="Cambria Math">
    <w:panose1 w:val="02040503050406030204"/>
    <w:charset w:val="00"/>
    <w:family w:val="roman"/>
    <w:pitch w:val="default"/>
    <w:sig w:usb0="E00002FF" w:usb1="420024FF" w:usb2="00000000" w:usb3="00000000" w:csb0="2000019F" w:csb1="00000000"/>
  </w:font>
  <w:font w:name="Wingdings 2">
    <w:panose1 w:val="05020102010507070707"/>
    <w:charset w:val="02"/>
    <w:family w:val="roman"/>
    <w:pitch w:val="default"/>
    <w:sig w:usb0="00000000" w:usb1="00000000" w:usb2="00000000" w:usb3="00000000" w:csb0="80000000" w:csb1="00000000"/>
  </w:font>
  <w:font w:name="方正宋黑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7"/>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Zaoo7bIB&#10;AABZAwAADgAAAAAAAAABACAAAAAeAQAAZHJzL2Uyb0RvYy54bWxQSwUGAAAAAAYABgBZAQAAQgUA&#10;AAAA&#10;">
              <v:fill on="f" focussize="0,0"/>
              <v:stroke on="f"/>
              <v:imagedata o:title=""/>
              <o:lock v:ext="edit" aspectratio="f"/>
              <v:textbox inset="0mm,0mm,0mm,0mm" style="mso-fit-shape-to-text:t;">
                <w:txbxContent>
                  <w:p>
                    <w:pPr>
                      <w:pStyle w:val="17"/>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7"/>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EYQVhSwAQAA&#10;WQMAAA4AAAAAAAAAAQAgAAAAHgEAAGRycy9lMm9Eb2MueG1sUEsFBgAAAAAGAAYAWQEAAEAFAAAA&#10;AA==&#10;">
              <v:fill on="f" focussize="0,0"/>
              <v:stroke on="f"/>
              <v:imagedata o:title=""/>
              <o:lock v:ext="edit" aspectratio="f"/>
              <v:textbox inset="0mm,0mm,0mm,0mm" style="mso-fit-shape-to-text:t;">
                <w:txbxContent>
                  <w:p>
                    <w:pPr>
                      <w:pStyle w:val="17"/>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7"/>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cXQ6n9EAAAADAQAA&#10;DwAAAAAAAAABACAAAAAiAAAAZHJzL2Rvd25yZXYueG1sUEsBAhQAFAAAAAgAh07iQK00V/muAQAA&#10;SgMAAA4AAAAAAAAAAQAgAAAAIAEAAGRycy9lMm9Eb2MueG1sUEsFBgAAAAAGAAYAWQEAAEAFAAAA&#10;AA==&#10;">
              <v:fill on="f" focussize="0,0"/>
              <v:stroke on="f"/>
              <v:imagedata o:title=""/>
              <o:lock v:ext="edit" aspectratio="f"/>
              <v:textbox inset="0mm,0mm,0mm,0mm" style="mso-fit-shape-to-text:t;">
                <w:txbxContent>
                  <w:p>
                    <w:pPr>
                      <w:pStyle w:val="17"/>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F466A374"/>
    <w:multiLevelType w:val="singleLevel"/>
    <w:tmpl w:val="F466A374"/>
    <w:lvl w:ilvl="0" w:tentative="0">
      <w:start w:val="1"/>
      <w:numFmt w:val="decimal"/>
      <w:pStyle w:val="8"/>
      <w:lvlText w:val="%1."/>
      <w:lvlJc w:val="left"/>
      <w:pPr>
        <w:tabs>
          <w:tab w:val="left" w:pos="780"/>
        </w:tabs>
        <w:ind w:left="780" w:hanging="360"/>
      </w:pPr>
    </w:lvl>
  </w:abstractNum>
  <w:abstractNum w:abstractNumId="3">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50"/>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6">
    <w:nsid w:val="72741B45"/>
    <w:multiLevelType w:val="multilevel"/>
    <w:tmpl w:val="72741B45"/>
    <w:lvl w:ilvl="0" w:tentative="0">
      <w:start w:val="1"/>
      <w:numFmt w:val="decimal"/>
      <w:lvlText w:val="%1."/>
      <w:lvlJc w:val="left"/>
      <w:pPr>
        <w:ind w:left="425" w:hanging="425"/>
      </w:pPr>
    </w:lvl>
    <w:lvl w:ilvl="1" w:tentative="0">
      <w:start w:val="1"/>
      <w:numFmt w:val="decimal"/>
      <w:lvlText w:val="%1.%2."/>
      <w:lvlJc w:val="left"/>
      <w:pPr>
        <w:ind w:left="567" w:hanging="567"/>
      </w:pPr>
    </w:lvl>
    <w:lvl w:ilvl="2" w:tentative="0">
      <w:start w:val="1"/>
      <w:numFmt w:val="decimal"/>
      <w:lvlText w:val="%1.%2.%3."/>
      <w:lvlJc w:val="left"/>
      <w:pPr>
        <w:ind w:left="709" w:hanging="709"/>
      </w:pPr>
    </w:lvl>
    <w:lvl w:ilvl="3" w:tentative="0">
      <w:start w:val="1"/>
      <w:numFmt w:val="decimal"/>
      <w:lvlText w:val="%1.%2.%3.%4."/>
      <w:lvlJc w:val="left"/>
      <w:pPr>
        <w:ind w:left="851" w:hanging="851"/>
      </w:pPr>
    </w:lvl>
    <w:lvl w:ilvl="4" w:tentative="0">
      <w:start w:val="1"/>
      <w:numFmt w:val="decimal"/>
      <w:lvlText w:val="%1.%2.%3.%4.%5."/>
      <w:lvlJc w:val="left"/>
      <w:pPr>
        <w:ind w:left="992" w:hanging="992"/>
      </w:pPr>
    </w:lvl>
    <w:lvl w:ilvl="5" w:tentative="0">
      <w:start w:val="1"/>
      <w:numFmt w:val="decimal"/>
      <w:lvlText w:val="%1.%2.%3.%4.%5.%6."/>
      <w:lvlJc w:val="left"/>
      <w:pPr>
        <w:ind w:left="1134" w:hanging="1134"/>
      </w:p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7">
    <w:nsid w:val="733B7577"/>
    <w:multiLevelType w:val="multilevel"/>
    <w:tmpl w:val="733B7577"/>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8">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9">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3"/>
  </w:num>
  <w:num w:numId="3">
    <w:abstractNumId w:val="8"/>
  </w:num>
  <w:num w:numId="4">
    <w:abstractNumId w:val="0"/>
  </w:num>
  <w:num w:numId="5">
    <w:abstractNumId w:val="1"/>
  </w:num>
  <w:num w:numId="6">
    <w:abstractNumId w:val="6"/>
  </w:num>
  <w:num w:numId="7">
    <w:abstractNumId w:val="7"/>
  </w:num>
  <w:num w:numId="8">
    <w:abstractNumId w:val="5"/>
  </w:num>
  <w:num w:numId="9">
    <w:abstractNumId w:val="9"/>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307CBD"/>
    <w:rsid w:val="02994E80"/>
    <w:rsid w:val="038C7237"/>
    <w:rsid w:val="03B24C65"/>
    <w:rsid w:val="055174C8"/>
    <w:rsid w:val="05594FD2"/>
    <w:rsid w:val="07861826"/>
    <w:rsid w:val="082C0673"/>
    <w:rsid w:val="088562C4"/>
    <w:rsid w:val="08B573AC"/>
    <w:rsid w:val="0C6B37C3"/>
    <w:rsid w:val="0D1A4228"/>
    <w:rsid w:val="0E575CBB"/>
    <w:rsid w:val="0E7D42BB"/>
    <w:rsid w:val="0EE71081"/>
    <w:rsid w:val="103F356B"/>
    <w:rsid w:val="115F1A85"/>
    <w:rsid w:val="13533D6F"/>
    <w:rsid w:val="13593647"/>
    <w:rsid w:val="14FE49FC"/>
    <w:rsid w:val="15132098"/>
    <w:rsid w:val="18807C4B"/>
    <w:rsid w:val="18BC6A4A"/>
    <w:rsid w:val="19D626B5"/>
    <w:rsid w:val="1BE64FC7"/>
    <w:rsid w:val="1C5346CC"/>
    <w:rsid w:val="1DF100D4"/>
    <w:rsid w:val="1FBC673A"/>
    <w:rsid w:val="23F07DC3"/>
    <w:rsid w:val="26170342"/>
    <w:rsid w:val="27C13B82"/>
    <w:rsid w:val="28DA283E"/>
    <w:rsid w:val="2AEB3A8A"/>
    <w:rsid w:val="2B821B32"/>
    <w:rsid w:val="2F611A30"/>
    <w:rsid w:val="30BD213F"/>
    <w:rsid w:val="33F60296"/>
    <w:rsid w:val="3533276E"/>
    <w:rsid w:val="35980CA9"/>
    <w:rsid w:val="36B31F5F"/>
    <w:rsid w:val="37DA4CA6"/>
    <w:rsid w:val="38B16276"/>
    <w:rsid w:val="38E427EC"/>
    <w:rsid w:val="392F341B"/>
    <w:rsid w:val="398D59F8"/>
    <w:rsid w:val="3A197CA5"/>
    <w:rsid w:val="3A573E56"/>
    <w:rsid w:val="3D597A2D"/>
    <w:rsid w:val="40137CA8"/>
    <w:rsid w:val="40A73D35"/>
    <w:rsid w:val="423A6C9B"/>
    <w:rsid w:val="42A62ACD"/>
    <w:rsid w:val="446723D4"/>
    <w:rsid w:val="448F691B"/>
    <w:rsid w:val="459314F7"/>
    <w:rsid w:val="49425DFB"/>
    <w:rsid w:val="4B262FC3"/>
    <w:rsid w:val="4B6F4E42"/>
    <w:rsid w:val="4C242C23"/>
    <w:rsid w:val="4CBE335D"/>
    <w:rsid w:val="4DC27B03"/>
    <w:rsid w:val="4EFF6BD2"/>
    <w:rsid w:val="4FCE8257"/>
    <w:rsid w:val="50B415EA"/>
    <w:rsid w:val="53C92CD5"/>
    <w:rsid w:val="54AF23FC"/>
    <w:rsid w:val="57182A2A"/>
    <w:rsid w:val="581A4428"/>
    <w:rsid w:val="59DF6221"/>
    <w:rsid w:val="5A6E105D"/>
    <w:rsid w:val="5DA7155A"/>
    <w:rsid w:val="5DC53457"/>
    <w:rsid w:val="5F4468FD"/>
    <w:rsid w:val="603375DC"/>
    <w:rsid w:val="610B60EE"/>
    <w:rsid w:val="61CD6F76"/>
    <w:rsid w:val="627333FC"/>
    <w:rsid w:val="62985ABA"/>
    <w:rsid w:val="64207B96"/>
    <w:rsid w:val="64547F70"/>
    <w:rsid w:val="64F01F66"/>
    <w:rsid w:val="696D37AB"/>
    <w:rsid w:val="6A144077"/>
    <w:rsid w:val="6BBDEA0E"/>
    <w:rsid w:val="6EF9071C"/>
    <w:rsid w:val="6F74096F"/>
    <w:rsid w:val="6FF006A6"/>
    <w:rsid w:val="7052058D"/>
    <w:rsid w:val="70B1597A"/>
    <w:rsid w:val="71815530"/>
    <w:rsid w:val="72BD75D3"/>
    <w:rsid w:val="74FD35B0"/>
    <w:rsid w:val="77E73431"/>
    <w:rsid w:val="78916B04"/>
    <w:rsid w:val="7AA83FCF"/>
    <w:rsid w:val="7AAF66A3"/>
    <w:rsid w:val="7CD63399"/>
    <w:rsid w:val="7D974A70"/>
    <w:rsid w:val="7DCB1D58"/>
    <w:rsid w:val="7E8E48BA"/>
    <w:rsid w:val="7FEDFA98"/>
    <w:rsid w:val="7FFF2236"/>
    <w:rsid w:val="B3FFE009"/>
    <w:rsid w:val="C6FE5207"/>
    <w:rsid w:val="EA3F23E4"/>
    <w:rsid w:val="FBFFBCB5"/>
    <w:rsid w:val="FDBC35A3"/>
    <w:rsid w:val="FF927E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99"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7"/>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8"/>
    <w:qFormat/>
    <w:uiPriority w:val="0"/>
    <w:pPr>
      <w:keepNext/>
      <w:keepLines/>
      <w:spacing w:before="200" w:after="200"/>
      <w:jc w:val="center"/>
      <w:outlineLvl w:val="1"/>
    </w:pPr>
    <w:rPr>
      <w:rFonts w:eastAsia="黑体"/>
      <w:sz w:val="32"/>
      <w:szCs w:val="32"/>
    </w:rPr>
  </w:style>
  <w:style w:type="paragraph" w:styleId="5">
    <w:name w:val="heading 3"/>
    <w:basedOn w:val="1"/>
    <w:next w:val="1"/>
    <w:link w:val="39"/>
    <w:qFormat/>
    <w:uiPriority w:val="0"/>
    <w:pPr>
      <w:keepNext/>
      <w:keepLines/>
      <w:spacing w:before="200" w:after="200"/>
      <w:outlineLvl w:val="2"/>
    </w:pPr>
    <w:rPr>
      <w:rFonts w:eastAsia="黑体"/>
      <w:sz w:val="28"/>
      <w:szCs w:val="28"/>
    </w:rPr>
  </w:style>
  <w:style w:type="paragraph" w:styleId="6">
    <w:name w:val="heading 4"/>
    <w:basedOn w:val="3"/>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2">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7">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Layout w:type="fixed"/>
      <w:tblCellMar>
        <w:top w:w="0" w:type="dxa"/>
        <w:left w:w="108" w:type="dxa"/>
        <w:bottom w:w="0" w:type="dxa"/>
        <w:right w:w="108" w:type="dxa"/>
      </w:tblCellMar>
    </w:tblPr>
  </w:style>
  <w:style w:type="paragraph" w:styleId="8">
    <w:name w:val="List Number 2"/>
    <w:basedOn w:val="1"/>
    <w:qFormat/>
    <w:uiPriority w:val="0"/>
    <w:pPr>
      <w:numPr>
        <w:ilvl w:val="0"/>
        <w:numId w:val="1"/>
      </w:numPr>
    </w:pPr>
  </w:style>
  <w:style w:type="paragraph" w:styleId="9">
    <w:name w:val="Normal Indent"/>
    <w:basedOn w:val="1"/>
    <w:qFormat/>
    <w:uiPriority w:val="0"/>
    <w:pPr>
      <w:ind w:firstLine="420" w:firstLineChars="200"/>
    </w:pPr>
  </w:style>
  <w:style w:type="paragraph" w:styleId="10">
    <w:name w:val="annotation text"/>
    <w:basedOn w:val="1"/>
    <w:qFormat/>
    <w:uiPriority w:val="0"/>
    <w:pPr>
      <w:jc w:val="left"/>
    </w:pPr>
  </w:style>
  <w:style w:type="paragraph" w:styleId="11">
    <w:name w:val="Body Text"/>
    <w:basedOn w:val="1"/>
    <w:next w:val="12"/>
    <w:qFormat/>
    <w:uiPriority w:val="0"/>
    <w:pPr>
      <w:adjustRightInd w:val="0"/>
      <w:spacing w:line="360" w:lineRule="atLeast"/>
      <w:jc w:val="center"/>
      <w:textAlignment w:val="baseline"/>
    </w:pPr>
    <w:rPr>
      <w:kern w:val="0"/>
      <w:sz w:val="24"/>
      <w:szCs w:val="20"/>
    </w:rPr>
  </w:style>
  <w:style w:type="paragraph" w:styleId="12">
    <w:name w:val="Body Text Indent"/>
    <w:basedOn w:val="1"/>
    <w:qFormat/>
    <w:uiPriority w:val="0"/>
    <w:pPr>
      <w:spacing w:after="120"/>
      <w:ind w:left="420" w:leftChars="200"/>
    </w:pPr>
  </w:style>
  <w:style w:type="paragraph" w:styleId="13">
    <w:name w:val="index 4"/>
    <w:basedOn w:val="1"/>
    <w:next w:val="1"/>
    <w:unhideWhenUsed/>
    <w:qFormat/>
    <w:uiPriority w:val="99"/>
    <w:pPr>
      <w:ind w:left="600" w:leftChars="600"/>
    </w:pPr>
  </w:style>
  <w:style w:type="paragraph" w:styleId="14">
    <w:name w:val="Plain Text"/>
    <w:basedOn w:val="1"/>
    <w:qFormat/>
    <w:uiPriority w:val="0"/>
    <w:rPr>
      <w:rFonts w:ascii="宋体" w:hAnsi="宋体" w:cs="Courier New"/>
    </w:rPr>
  </w:style>
  <w:style w:type="paragraph" w:styleId="15">
    <w:name w:val="Date"/>
    <w:basedOn w:val="1"/>
    <w:next w:val="1"/>
    <w:unhideWhenUsed/>
    <w:qFormat/>
    <w:uiPriority w:val="99"/>
    <w:pPr>
      <w:ind w:left="100" w:leftChars="2500"/>
    </w:pPr>
  </w:style>
  <w:style w:type="paragraph" w:styleId="16">
    <w:name w:val="Balloon Text"/>
    <w:basedOn w:val="1"/>
    <w:link w:val="48"/>
    <w:qFormat/>
    <w:uiPriority w:val="0"/>
    <w:pPr>
      <w:spacing w:line="240" w:lineRule="auto"/>
    </w:pPr>
    <w:rPr>
      <w:sz w:val="18"/>
      <w:szCs w:val="18"/>
    </w:rPr>
  </w:style>
  <w:style w:type="paragraph" w:styleId="17">
    <w:name w:val="footer"/>
    <w:basedOn w:val="1"/>
    <w:qFormat/>
    <w:uiPriority w:val="0"/>
    <w:pPr>
      <w:tabs>
        <w:tab w:val="center" w:pos="4153"/>
        <w:tab w:val="right" w:pos="8306"/>
      </w:tabs>
      <w:snapToGrid w:val="0"/>
      <w:jc w:val="left"/>
    </w:pPr>
    <w:rPr>
      <w:sz w:val="18"/>
    </w:rPr>
  </w:style>
  <w:style w:type="paragraph" w:styleId="18">
    <w:name w:val="header"/>
    <w:basedOn w:val="1"/>
    <w:qFormat/>
    <w:uiPriority w:val="0"/>
    <w:pPr>
      <w:pBdr>
        <w:bottom w:val="single" w:color="auto" w:sz="4" w:space="1"/>
      </w:pBdr>
      <w:tabs>
        <w:tab w:val="center" w:pos="4153"/>
        <w:tab w:val="right" w:pos="8306"/>
      </w:tabs>
      <w:snapToGrid w:val="0"/>
    </w:pPr>
    <w:rPr>
      <w:sz w:val="18"/>
    </w:rPr>
  </w:style>
  <w:style w:type="paragraph" w:styleId="19">
    <w:name w:val="toc 1"/>
    <w:basedOn w:val="1"/>
    <w:next w:val="1"/>
    <w:qFormat/>
    <w:uiPriority w:val="0"/>
    <w:pPr>
      <w:spacing w:before="120" w:after="120"/>
      <w:jc w:val="left"/>
    </w:pPr>
    <w:rPr>
      <w:rFonts w:ascii="等线" w:eastAsia="等线"/>
      <w:b/>
      <w:bCs/>
      <w:caps/>
      <w:sz w:val="20"/>
      <w:szCs w:val="20"/>
    </w:rPr>
  </w:style>
  <w:style w:type="paragraph" w:styleId="20">
    <w:name w:val="footnote text"/>
    <w:basedOn w:val="1"/>
    <w:qFormat/>
    <w:uiPriority w:val="0"/>
    <w:pPr>
      <w:snapToGrid w:val="0"/>
      <w:jc w:val="left"/>
    </w:pPr>
    <w:rPr>
      <w:sz w:val="18"/>
    </w:rPr>
  </w:style>
  <w:style w:type="paragraph" w:styleId="21">
    <w:name w:val="index 9"/>
    <w:basedOn w:val="1"/>
    <w:next w:val="1"/>
    <w:qFormat/>
    <w:uiPriority w:val="0"/>
    <w:pPr>
      <w:ind w:left="3360"/>
    </w:pPr>
  </w:style>
  <w:style w:type="paragraph" w:styleId="22">
    <w:name w:val="Body Text 2"/>
    <w:basedOn w:val="1"/>
    <w:qFormat/>
    <w:uiPriority w:val="0"/>
    <w:pPr>
      <w:spacing w:after="120" w:line="480" w:lineRule="auto"/>
    </w:pPr>
  </w:style>
  <w:style w:type="paragraph" w:styleId="23">
    <w:name w:val="Normal (Web)"/>
    <w:basedOn w:val="1"/>
    <w:qFormat/>
    <w:uiPriority w:val="0"/>
    <w:pPr>
      <w:widowControl/>
      <w:spacing w:before="100" w:beforeAutospacing="1" w:after="100" w:afterAutospacing="1"/>
      <w:jc w:val="left"/>
    </w:pPr>
    <w:rPr>
      <w:rFonts w:ascii="宋体" w:cs="宋体"/>
      <w:kern w:val="0"/>
      <w:sz w:val="24"/>
    </w:rPr>
  </w:style>
  <w:style w:type="paragraph" w:styleId="24">
    <w:name w:val="Body Text First Indent"/>
    <w:basedOn w:val="11"/>
    <w:unhideWhenUsed/>
    <w:qFormat/>
    <w:uiPriority w:val="99"/>
    <w:pPr>
      <w:adjustRightInd/>
      <w:spacing w:after="120" w:line="240" w:lineRule="auto"/>
      <w:ind w:firstLine="420" w:firstLineChars="100"/>
      <w:jc w:val="both"/>
      <w:textAlignment w:val="auto"/>
    </w:pPr>
    <w:rPr>
      <w:kern w:val="2"/>
      <w:sz w:val="21"/>
      <w:szCs w:val="24"/>
    </w:rPr>
  </w:style>
  <w:style w:type="paragraph" w:styleId="25">
    <w:name w:val="Body Text First Indent 2"/>
    <w:basedOn w:val="12"/>
    <w:qFormat/>
    <w:uiPriority w:val="0"/>
    <w:pPr>
      <w:ind w:firstLine="420" w:firstLineChars="200"/>
    </w:p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29">
    <w:name w:val="page number"/>
    <w:basedOn w:val="28"/>
    <w:qFormat/>
    <w:uiPriority w:val="0"/>
  </w:style>
  <w:style w:type="character" w:styleId="30">
    <w:name w:val="Hyperlink"/>
    <w:qFormat/>
    <w:uiPriority w:val="0"/>
    <w:rPr>
      <w:color w:val="0000FF"/>
      <w:u w:val="single"/>
    </w:rPr>
  </w:style>
  <w:style w:type="character" w:styleId="31">
    <w:name w:val="annotation reference"/>
    <w:basedOn w:val="28"/>
    <w:qFormat/>
    <w:uiPriority w:val="0"/>
    <w:rPr>
      <w:sz w:val="21"/>
      <w:szCs w:val="21"/>
    </w:rPr>
  </w:style>
  <w:style w:type="paragraph" w:customStyle="1" w:styleId="32">
    <w:name w:val="正文（缩进）"/>
    <w:basedOn w:val="1"/>
    <w:qFormat/>
    <w:uiPriority w:val="0"/>
    <w:pPr>
      <w:spacing w:before="156" w:after="156"/>
      <w:ind w:firstLine="480" w:firstLineChars="200"/>
    </w:pPr>
  </w:style>
  <w:style w:type="paragraph" w:customStyle="1" w:styleId="33">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列出段落1"/>
    <w:basedOn w:val="1"/>
    <w:qFormat/>
    <w:uiPriority w:val="0"/>
    <w:pPr>
      <w:ind w:firstLine="200" w:firstLineChars="200"/>
    </w:pPr>
    <w:rPr>
      <w:rFonts w:cs="Calibri"/>
    </w:rPr>
  </w:style>
  <w:style w:type="paragraph" w:customStyle="1" w:styleId="36">
    <w:name w:val="WPSOffice手动目录 1"/>
    <w:qFormat/>
    <w:uiPriority w:val="0"/>
    <w:rPr>
      <w:rFonts w:ascii="Times New Roman" w:hAnsi="Times New Roman" w:eastAsia="宋体" w:cs="Times New Roman"/>
      <w:lang w:val="en-US" w:eastAsia="zh-CN" w:bidi="ar-SA"/>
    </w:rPr>
  </w:style>
  <w:style w:type="character" w:customStyle="1" w:styleId="37">
    <w:name w:val="标题 1 Char"/>
    <w:link w:val="3"/>
    <w:qFormat/>
    <w:uiPriority w:val="0"/>
    <w:rPr>
      <w:rFonts w:ascii="Times New Roman" w:hAnsi="Times New Roman" w:eastAsia="黑体" w:cs="Times New Roman"/>
      <w:kern w:val="44"/>
      <w:sz w:val="44"/>
      <w:szCs w:val="44"/>
    </w:rPr>
  </w:style>
  <w:style w:type="character" w:customStyle="1" w:styleId="38">
    <w:name w:val="标题 2 Char"/>
    <w:link w:val="4"/>
    <w:qFormat/>
    <w:uiPriority w:val="0"/>
    <w:rPr>
      <w:rFonts w:eastAsia="黑体"/>
      <w:sz w:val="32"/>
      <w:szCs w:val="32"/>
    </w:rPr>
  </w:style>
  <w:style w:type="character" w:customStyle="1" w:styleId="39">
    <w:name w:val="标题 3 Char"/>
    <w:link w:val="5"/>
    <w:qFormat/>
    <w:uiPriority w:val="0"/>
    <w:rPr>
      <w:rFonts w:eastAsia="黑体"/>
      <w:sz w:val="28"/>
      <w:szCs w:val="28"/>
    </w:rPr>
  </w:style>
  <w:style w:type="paragraph" w:customStyle="1" w:styleId="40">
    <w:name w:val="_Style 1"/>
    <w:basedOn w:val="1"/>
    <w:qFormat/>
    <w:uiPriority w:val="0"/>
    <w:pPr>
      <w:ind w:firstLine="200" w:firstLineChars="200"/>
    </w:pPr>
    <w:rPr>
      <w:sz w:val="32"/>
    </w:rPr>
  </w:style>
  <w:style w:type="paragraph" w:customStyle="1" w:styleId="41">
    <w:name w:val="无间隔1"/>
    <w:basedOn w:val="1"/>
    <w:qFormat/>
    <w:uiPriority w:val="0"/>
    <w:pPr>
      <w:widowControl/>
      <w:spacing w:line="240" w:lineRule="auto"/>
      <w:jc w:val="left"/>
    </w:pPr>
    <w:rPr>
      <w:rFonts w:ascii="Calibri" w:hAnsi="Calibri"/>
      <w:kern w:val="0"/>
      <w:sz w:val="22"/>
      <w:szCs w:val="20"/>
    </w:rPr>
  </w:style>
  <w:style w:type="paragraph" w:styleId="42">
    <w:name w:val="List Paragraph"/>
    <w:basedOn w:val="1"/>
    <w:qFormat/>
    <w:uiPriority w:val="34"/>
    <w:pPr>
      <w:ind w:firstLine="420"/>
    </w:pPr>
  </w:style>
  <w:style w:type="paragraph" w:customStyle="1" w:styleId="43">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4">
    <w:name w:val="无间隔2"/>
    <w:qFormat/>
    <w:uiPriority w:val="0"/>
    <w:rPr>
      <w:rFonts w:ascii="Calibri" w:hAnsi="Calibri" w:eastAsia="宋体" w:cs="Times New Roman"/>
      <w:sz w:val="22"/>
      <w:lang w:val="en-US" w:eastAsia="zh-CN" w:bidi="ar-SA"/>
    </w:rPr>
  </w:style>
  <w:style w:type="paragraph" w:customStyle="1" w:styleId="45">
    <w:name w:val="表"/>
    <w:next w:val="9"/>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6">
    <w:name w:val="评分"/>
    <w:qFormat/>
    <w:uiPriority w:val="0"/>
    <w:rPr>
      <w:rFonts w:ascii="宋体" w:hAnsi="宋体" w:eastAsia="宋体" w:cs="Times New Roman"/>
      <w:snapToGrid w:val="0"/>
      <w:sz w:val="21"/>
      <w:szCs w:val="22"/>
      <w:lang w:val="en-US" w:eastAsia="zh-CN" w:bidi="ar-SA"/>
    </w:rPr>
  </w:style>
  <w:style w:type="paragraph" w:customStyle="1" w:styleId="47">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8">
    <w:name w:val="批注框文本 Char"/>
    <w:basedOn w:val="28"/>
    <w:link w:val="16"/>
    <w:qFormat/>
    <w:uiPriority w:val="0"/>
    <w:rPr>
      <w:rFonts w:ascii="Times New Roman" w:hAnsi="Times New Roman" w:eastAsia="宋体" w:cs="Times New Roman"/>
      <w:kern w:val="2"/>
      <w:sz w:val="18"/>
      <w:szCs w:val="18"/>
    </w:rPr>
  </w:style>
  <w:style w:type="paragraph" w:customStyle="1" w:styleId="49">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1">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3">
    <w:name w:val="No Spacing"/>
    <w:qFormat/>
    <w:uiPriority w:val="0"/>
    <w:rPr>
      <w:rFonts w:ascii="Calibri" w:hAnsi="Calibri" w:eastAsia="宋体" w:cs="Times New Roman"/>
      <w:sz w:val="22"/>
      <w:lang w:val="en-US" w:eastAsia="zh-CN" w:bidi="ar-SA"/>
    </w:rPr>
  </w:style>
  <w:style w:type="paragraph" w:customStyle="1" w:styleId="54">
    <w:name w:val="我的正文"/>
    <w:basedOn w:val="1"/>
    <w:qFormat/>
    <w:uiPriority w:val="0"/>
    <w:pPr>
      <w:ind w:firstLine="528"/>
    </w:pPr>
  </w:style>
  <w:style w:type="paragraph" w:customStyle="1" w:styleId="55">
    <w:name w:val="章标题"/>
    <w:next w:val="56"/>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样式1"/>
    <w:basedOn w:val="1"/>
    <w:qFormat/>
    <w:uiPriority w:val="0"/>
    <w:pPr>
      <w:jc w:val="center"/>
    </w:pPr>
    <w:rPr>
      <w:rFonts w:eastAsia="方正大标宋简体"/>
      <w:sz w:val="52"/>
    </w:rPr>
  </w:style>
  <w:style w:type="paragraph" w:customStyle="1" w:styleId="58">
    <w:name w:val="正常"/>
    <w:basedOn w:val="59"/>
    <w:qFormat/>
    <w:uiPriority w:val="0"/>
    <w:rPr>
      <w:sz w:val="24"/>
    </w:rPr>
  </w:style>
  <w:style w:type="paragraph" w:customStyle="1" w:styleId="59">
    <w:name w:val="小正常"/>
    <w:basedOn w:val="1"/>
    <w:qFormat/>
    <w:uiPriority w:val="0"/>
    <w:rPr>
      <w:rFonts w:cs="Times New Roman"/>
      <w:sz w:val="20"/>
      <w:szCs w:val="20"/>
    </w:rPr>
  </w:style>
  <w:style w:type="paragraph" w:customStyle="1" w:styleId="60">
    <w:name w:val="Table Text"/>
    <w:basedOn w:val="1"/>
    <w:semiHidden/>
    <w:qFormat/>
    <w:uiPriority w:val="0"/>
    <w:rPr>
      <w:rFonts w:ascii="宋体" w:hAnsi="宋体" w:eastAsia="宋体" w:cs="宋体"/>
      <w:sz w:val="21"/>
      <w:szCs w:val="21"/>
      <w:lang w:val="en-US" w:eastAsia="en-US" w:bidi="ar-SA"/>
    </w:rPr>
  </w:style>
  <w:style w:type="table" w:customStyle="1" w:styleId="61">
    <w:name w:val="Table Normal"/>
    <w:unhideWhenUsed/>
    <w:qFormat/>
    <w:uiPriority w:val="0"/>
    <w:tblPr>
      <w:tblLayout w:type="fixed"/>
      <w:tblCellMar>
        <w:top w:w="0" w:type="dxa"/>
        <w:left w:w="0" w:type="dxa"/>
        <w:bottom w:w="0" w:type="dxa"/>
        <w:right w:w="0" w:type="dxa"/>
      </w:tblCellMar>
    </w:tblPr>
  </w:style>
  <w:style w:type="paragraph" w:customStyle="1" w:styleId="62">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3">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4">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5">
    <w:name w:val="建设5级"/>
    <w:basedOn w:val="66"/>
    <w:qFormat/>
    <w:uiPriority w:val="0"/>
    <w:pPr>
      <w:ind w:firstLine="643"/>
      <w:outlineLvl w:val="5"/>
    </w:pPr>
    <w:rPr>
      <w:lang w:val="zh-CN"/>
    </w:rPr>
  </w:style>
  <w:style w:type="paragraph" w:customStyle="1" w:styleId="66">
    <w:name w:val="建设4级"/>
    <w:basedOn w:val="67"/>
    <w:qFormat/>
    <w:uiPriority w:val="0"/>
    <w:pPr>
      <w:outlineLvl w:val="4"/>
    </w:pPr>
  </w:style>
  <w:style w:type="paragraph" w:customStyle="1" w:styleId="67">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8">
    <w:name w:val="Normal Indent1"/>
    <w:basedOn w:val="11"/>
    <w:qFormat/>
    <w:uiPriority w:val="0"/>
    <w:pPr>
      <w:suppressAutoHyphens/>
      <w:spacing w:line="660" w:lineRule="exact"/>
      <w:ind w:firstLine="720"/>
    </w:pPr>
    <w:rPr>
      <w:rFonts w:ascii="Calibri" w:hAnsi="Calibri" w:eastAsia="Cambria Math"/>
      <w:sz w:val="36"/>
      <w:szCs w:val="36"/>
    </w:rPr>
  </w:style>
  <w:style w:type="character" w:customStyle="1" w:styleId="69">
    <w:name w:val="标题 3 Char1"/>
    <w:qFormat/>
    <w:uiPriority w:val="9"/>
    <w:rPr>
      <w:rFonts w:ascii="Times New Roman" w:hAnsi="Times New Roman" w:eastAsia="仿宋_GB2312"/>
      <w:b/>
      <w:bCs/>
      <w:sz w:val="32"/>
      <w:szCs w:val="32"/>
    </w:rPr>
  </w:style>
  <w:style w:type="paragraph" w:customStyle="1" w:styleId="70">
    <w:name w:val="表格文字 左对齐"/>
    <w:qFormat/>
    <w:uiPriority w:val="0"/>
    <w:pPr>
      <w:overflowPunct w:val="0"/>
      <w:autoSpaceDE w:val="0"/>
      <w:autoSpaceDN w:val="0"/>
      <w:adjustRightInd w:val="0"/>
      <w:jc w:val="both"/>
      <w:textAlignment w:val="baseline"/>
    </w:pPr>
    <w:rPr>
      <w:rFonts w:ascii="Times New Roman" w:hAnsi="Times New Roman" w:eastAsia="宋体" w:cs="Times New Roman"/>
      <w:sz w:val="21"/>
      <w:lang w:val="en-US" w:eastAsia="zh-CN" w:bidi="ar-SA"/>
    </w:rPr>
  </w:style>
  <w:style w:type="character" w:customStyle="1" w:styleId="71">
    <w:name w:val="15"/>
    <w:qFormat/>
    <w:uiPriority w:val="0"/>
    <w:rPr>
      <w:rFonts w:hint="default" w:ascii="Times New Roman" w:hAnsi="Times New Roman" w:eastAsia="宋体" w:cs="Times New Roman"/>
    </w:rPr>
  </w:style>
  <w:style w:type="paragraph" w:customStyle="1" w:styleId="72">
    <w:name w:val="列表段落"/>
    <w:basedOn w:val="1"/>
    <w:qFormat/>
    <w:uiPriority w:val="0"/>
    <w:pPr>
      <w:ind w:firstLine="200" w:firstLineChars="200"/>
    </w:pPr>
  </w:style>
  <w:style w:type="paragraph" w:customStyle="1" w:styleId="73">
    <w:name w:val="表格正文"/>
    <w:basedOn w:val="1"/>
    <w:qFormat/>
    <w:uiPriority w:val="0"/>
    <w:pPr>
      <w:spacing w:line="312" w:lineRule="auto"/>
    </w:pPr>
    <w:rPr>
      <w:rFonts w:ascii="宋体" w:hAnsi="宋体" w:eastAsia="宋体" w:cs="Times New Roman"/>
      <w:szCs w:val="21"/>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169</Pages>
  <Words>89104</Words>
  <Characters>97307</Characters>
  <Lines>302</Lines>
  <Paragraphs>85</Paragraphs>
  <TotalTime>39</TotalTime>
  <ScaleCrop>false</ScaleCrop>
  <LinksUpToDate>false</LinksUpToDate>
  <CharactersWithSpaces>99852</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2022-07-13T20:44:00Z</dcterms:created>
  <dc:creator>QIQI</dc:creator>
  <cp:lastModifiedBy>haochunyang</cp:lastModifiedBy>
  <dcterms:modified xsi:type="dcterms:W3CDTF">2025-02-11T06:36:11Z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C251EBDE8CAE449FA99D3D77AE3CC162_13</vt:lpwstr>
  </property>
</Properties>
</file>