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center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非正常户公告</w:t>
      </w:r>
    </w:p>
    <w:p>
      <w:pPr>
        <w:spacing w:line="520" w:lineRule="exact"/>
        <w:jc w:val="center"/>
        <w:rPr>
          <w:rFonts w:hint="eastAsia" w:eastAsia="方正小标宋简体"/>
          <w:sz w:val="44"/>
          <w:szCs w:val="44"/>
        </w:rPr>
      </w:pPr>
    </w:p>
    <w:p>
      <w:pPr>
        <w:spacing w:line="520" w:lineRule="exact"/>
        <w:jc w:val="both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 xml:space="preserve">                   </w:t>
      </w:r>
      <w:r>
        <w:rPr>
          <w:rFonts w:hint="eastAsia" w:eastAsia="仿宋_GB2312"/>
          <w:sz w:val="32"/>
          <w:lang w:eastAsia="zh-CN"/>
        </w:rPr>
        <w:t>呼玛税</w:t>
      </w:r>
      <w:r>
        <w:rPr>
          <w:rFonts w:hint="eastAsia" w:eastAsia="仿宋_GB2312"/>
          <w:sz w:val="32"/>
          <w:lang w:val="en-US" w:eastAsia="zh-CN"/>
        </w:rPr>
        <w:t xml:space="preserve"> 税告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〔2024〕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lang w:val="en-US" w:eastAsia="zh-CN"/>
        </w:rPr>
        <w:t xml:space="preserve"> 4</w:t>
      </w:r>
      <w:r>
        <w:rPr>
          <w:rFonts w:hint="eastAsia" w:eastAsia="仿宋_GB2312"/>
          <w:sz w:val="32"/>
          <w:lang w:val="en-US" w:eastAsia="zh-CN"/>
        </w:rPr>
        <w:t>号</w:t>
      </w:r>
    </w:p>
    <w:p>
      <w:pPr>
        <w:spacing w:line="520" w:lineRule="exact"/>
        <w:jc w:val="both"/>
        <w:rPr>
          <w:rFonts w:hint="eastAsia" w:eastAsia="仿宋_GB2312"/>
          <w:sz w:val="32"/>
          <w:lang w:val="en-US" w:eastAsia="zh-CN"/>
        </w:rPr>
      </w:pPr>
    </w:p>
    <w:p>
      <w:pPr>
        <w:spacing w:line="57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根据《税务登记管理办法》第</w:t>
      </w:r>
      <w:r>
        <w:rPr>
          <w:rFonts w:hint="eastAsia" w:ascii="仿宋_GB2312" w:eastAsia="仿宋_GB2312"/>
          <w:sz w:val="32"/>
          <w:szCs w:val="32"/>
          <w:lang w:eastAsia="zh-CN"/>
        </w:rPr>
        <w:t>四十一</w:t>
      </w:r>
      <w:r>
        <w:rPr>
          <w:rFonts w:hint="eastAsia" w:ascii="仿宋_GB2312" w:eastAsia="仿宋_GB2312"/>
          <w:sz w:val="32"/>
          <w:szCs w:val="32"/>
        </w:rPr>
        <w:t>条规定，下列纳税人被认定为非正常户，其税务登记证件、发票领购簿和发票暂停使用。</w:t>
      </w:r>
    </w:p>
    <w:p>
      <w:pPr>
        <w:spacing w:line="57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特此公告</w:t>
      </w:r>
    </w:p>
    <w:p>
      <w:pPr>
        <w:spacing w:line="570" w:lineRule="exact"/>
        <w:ind w:left="1596" w:leftChars="760" w:right="-64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</w:t>
      </w:r>
    </w:p>
    <w:p>
      <w:pPr>
        <w:spacing w:line="570" w:lineRule="exact"/>
        <w:ind w:left="1596" w:leftChars="760" w:right="-64"/>
        <w:jc w:val="left"/>
        <w:rPr>
          <w:rFonts w:hint="eastAsia" w:ascii="仿宋_GB2312" w:eastAsia="仿宋_GB2312"/>
          <w:sz w:val="32"/>
          <w:szCs w:val="32"/>
        </w:rPr>
      </w:pPr>
    </w:p>
    <w:p>
      <w:pPr>
        <w:spacing w:line="570" w:lineRule="exact"/>
        <w:ind w:left="5440" w:hanging="5440" w:hangingChars="17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国家税务总局呼玛县税务局</w:t>
      </w:r>
    </w:p>
    <w:p>
      <w:pPr>
        <w:tabs>
          <w:tab w:val="left" w:pos="7770"/>
        </w:tabs>
        <w:spacing w:line="570" w:lineRule="exact"/>
        <w:ind w:firstLine="4960" w:firstLineChars="1550"/>
        <w:jc w:val="left"/>
        <w:rPr>
          <w:rFonts w:hint="eastAsia" w:eastAsia="仿宋_GB2312"/>
          <w:sz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2024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tabs>
          <w:tab w:val="left" w:pos="7770"/>
        </w:tabs>
        <w:spacing w:line="600" w:lineRule="exact"/>
        <w:ind w:firstLine="6400" w:firstLineChars="2000"/>
        <w:jc w:val="left"/>
        <w:rPr>
          <w:rFonts w:eastAsia="仿宋_GB2312"/>
          <w:sz w:val="32"/>
        </w:rPr>
        <w:sectPr>
          <w:footerReference r:id="rId3" w:type="default"/>
          <w:footerReference r:id="rId4" w:type="even"/>
          <w:pgSz w:w="11907" w:h="16840"/>
          <w:pgMar w:top="2098" w:right="1474" w:bottom="1985" w:left="1588" w:header="567" w:footer="1474" w:gutter="0"/>
          <w:cols w:space="720" w:num="1"/>
        </w:sectPr>
      </w:pPr>
    </w:p>
    <w:p>
      <w:pPr>
        <w:tabs>
          <w:tab w:val="left" w:pos="7770"/>
        </w:tabs>
        <w:spacing w:line="600" w:lineRule="exact"/>
        <w:jc w:val="center"/>
        <w:rPr>
          <w:rFonts w:hint="eastAsia" w:ascii="仿宋_GB2312" w:eastAsia="仿宋_GB2312"/>
          <w:b/>
          <w:bCs/>
          <w:sz w:val="32"/>
          <w:szCs w:val="32"/>
          <w:lang w:eastAsia="zh-CN"/>
        </w:rPr>
      </w:pPr>
    </w:p>
    <w:p>
      <w:pPr>
        <w:tabs>
          <w:tab w:val="left" w:pos="7770"/>
        </w:tabs>
        <w:spacing w:line="600" w:lineRule="exact"/>
        <w:jc w:val="center"/>
        <w:rPr>
          <w:rFonts w:hint="eastAsia" w:ascii="仿宋_GB2312" w:eastAsia="仿宋_GB2312"/>
          <w:b/>
          <w:bCs/>
          <w:sz w:val="44"/>
          <w:szCs w:val="44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44"/>
          <w:szCs w:val="44"/>
          <w:lang w:val="en-US" w:eastAsia="zh-CN" w:bidi="ar-SA"/>
        </w:rPr>
        <w:pict>
          <v:shape id="Text Box 2" o:spid="_x0000_s1026" o:spt="202" type="#_x0000_t202" style="position:absolute;left:0pt;margin-left:-47.3pt;margin-top:14.25pt;height:71.25pt;width:52.5pt;z-index:-251658240;mso-width-relative:page;mso-height-relative:page;" fillcolor="#FFFFFF" filled="t" o:preferrelative="t" stroked="t" coordsize="21600,21600">
            <v:path/>
            <v:fill on="t" focussize="0,0"/>
            <v:stroke color="#FFFFFF" color2="#FFFFFF" miterlimit="2"/>
            <v:imagedata gain="65536f" blacklevel="0f" gamma="0" o:title=""/>
            <o:lock v:ext="edit" position="f" selection="f" grouping="f" rotation="f" cropping="f" text="f" aspectratio="f"/>
            <v:textbox style="layout-flow:vertical-ideographic;">
              <w:txbxContent>
                <w:p>
                  <w:pPr>
                    <w:rPr>
                      <w:rFonts w:hint="eastAsia"/>
                      <w:szCs w:val="28"/>
                    </w:rPr>
                  </w:pPr>
                </w:p>
              </w:txbxContent>
            </v:textbox>
          </v:shape>
        </w:pic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非正常户纳税人</w:t>
      </w:r>
    </w:p>
    <w:tbl>
      <w:tblPr>
        <w:tblStyle w:val="3"/>
        <w:tblpPr w:leftFromText="180" w:rightFromText="180" w:vertAnchor="text" w:horzAnchor="page" w:tblpX="1434" w:tblpY="739"/>
        <w:tblOverlap w:val="never"/>
        <w:tblW w:w="126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"/>
        <w:gridCol w:w="2107"/>
        <w:gridCol w:w="1500"/>
        <w:gridCol w:w="1410"/>
        <w:gridCol w:w="1410"/>
        <w:gridCol w:w="1769"/>
        <w:gridCol w:w="1636"/>
        <w:gridCol w:w="1050"/>
        <w:gridCol w:w="12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6" w:hRule="atLeast"/>
        </w:trPr>
        <w:tc>
          <w:tcPr>
            <w:tcW w:w="588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序号</w:t>
            </w:r>
          </w:p>
        </w:tc>
        <w:tc>
          <w:tcPr>
            <w:tcW w:w="2107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bCs/>
                <w:lang w:eastAsia="zh-CN"/>
              </w:rPr>
              <w:t>纳税人识别号</w:t>
            </w:r>
          </w:p>
        </w:tc>
        <w:tc>
          <w:tcPr>
            <w:tcW w:w="1500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  <w:lang w:eastAsia="zh-CN"/>
              </w:rPr>
              <w:t>纳税人名称</w:t>
            </w:r>
          </w:p>
        </w:tc>
        <w:tc>
          <w:tcPr>
            <w:tcW w:w="1410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法定代表人（负责人、业主）</w:t>
            </w:r>
          </w:p>
        </w:tc>
        <w:tc>
          <w:tcPr>
            <w:tcW w:w="1410" w:type="dxa"/>
            <w:vAlign w:val="center"/>
          </w:tcPr>
          <w:p>
            <w:pPr>
              <w:jc w:val="both"/>
              <w:rPr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法定代表人（负责人、业主）身份证件种类</w:t>
            </w:r>
          </w:p>
        </w:tc>
        <w:tc>
          <w:tcPr>
            <w:tcW w:w="1769" w:type="dxa"/>
            <w:vAlign w:val="center"/>
          </w:tcPr>
          <w:p>
            <w:pPr>
              <w:jc w:val="both"/>
              <w:rPr>
                <w:b/>
                <w:bCs/>
              </w:rPr>
            </w:pPr>
            <w:r>
              <w:rPr>
                <w:rFonts w:hint="eastAsia"/>
                <w:b/>
                <w:bCs/>
                <w:lang w:eastAsia="zh-CN"/>
              </w:rPr>
              <w:t>法定代表人（负责人、业主）身份证件号码</w:t>
            </w:r>
          </w:p>
        </w:tc>
        <w:tc>
          <w:tcPr>
            <w:tcW w:w="1636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生产经营地址</w:t>
            </w:r>
          </w:p>
        </w:tc>
        <w:tc>
          <w:tcPr>
            <w:tcW w:w="1050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非正常户认定日</w:t>
            </w:r>
            <w:r>
              <w:rPr>
                <w:rFonts w:hint="eastAsia"/>
                <w:b/>
                <w:bCs/>
                <w:lang w:val="en-US" w:eastAsia="zh-CN"/>
              </w:rPr>
              <w:t xml:space="preserve">   </w:t>
            </w:r>
            <w:r>
              <w:rPr>
                <w:rFonts w:hint="eastAsia"/>
                <w:b/>
                <w:bCs/>
                <w:lang w:eastAsia="zh-CN"/>
              </w:rPr>
              <w:t>期</w:t>
            </w:r>
          </w:p>
        </w:tc>
        <w:tc>
          <w:tcPr>
            <w:tcW w:w="1215" w:type="dxa"/>
            <w:vAlign w:val="center"/>
          </w:tcPr>
          <w:p>
            <w:pPr>
              <w:jc w:val="both"/>
              <w:rPr>
                <w:rFonts w:hint="eastAsia" w:eastAsia="宋体"/>
                <w:b/>
                <w:bCs/>
                <w:lang w:eastAsia="zh-CN"/>
              </w:rPr>
            </w:pPr>
            <w:r>
              <w:rPr>
                <w:rFonts w:hint="eastAsia"/>
                <w:b/>
                <w:bCs/>
                <w:lang w:eastAsia="zh-CN"/>
              </w:rPr>
              <w:t>预计公告日</w:t>
            </w:r>
            <w:r>
              <w:rPr>
                <w:rFonts w:hint="eastAsia"/>
                <w:b/>
                <w:bCs/>
                <w:lang w:val="en-US" w:eastAsia="zh-CN"/>
              </w:rPr>
              <w:t xml:space="preserve">     </w:t>
            </w:r>
            <w:r>
              <w:rPr>
                <w:rFonts w:hint="eastAsia"/>
                <w:b/>
                <w:bCs/>
                <w:lang w:eastAsia="zh-CN"/>
              </w:rPr>
              <w:t>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6" w:hRule="atLeast"/>
        </w:trPr>
        <w:tc>
          <w:tcPr>
            <w:tcW w:w="588" w:type="dxa"/>
            <w:vAlign w:val="center"/>
          </w:tcPr>
          <w:p>
            <w:pPr>
              <w:jc w:val="both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1</w:t>
            </w:r>
          </w:p>
        </w:tc>
        <w:tc>
          <w:tcPr>
            <w:tcW w:w="2107" w:type="dxa"/>
            <w:vAlign w:val="center"/>
          </w:tcPr>
          <w:p>
            <w:pPr>
              <w:jc w:val="both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91232721MA1BHC1E5B</w:t>
            </w:r>
          </w:p>
        </w:tc>
        <w:tc>
          <w:tcPr>
            <w:tcW w:w="1500" w:type="dxa"/>
            <w:vAlign w:val="center"/>
          </w:tcPr>
          <w:p>
            <w:pPr>
              <w:jc w:val="both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大兴安岭铭泰营林绿化有限公司</w:t>
            </w:r>
          </w:p>
        </w:tc>
        <w:tc>
          <w:tcPr>
            <w:tcW w:w="1410" w:type="dxa"/>
            <w:vAlign w:val="center"/>
          </w:tcPr>
          <w:p>
            <w:pPr>
              <w:jc w:val="both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</w:t>
            </w:r>
            <w:r>
              <w:rPr>
                <w:rFonts w:ascii="宋体" w:hAnsi="宋体" w:eastAsia="宋体" w:cs="宋体"/>
                <w:sz w:val="21"/>
                <w:szCs w:val="21"/>
              </w:rPr>
              <w:t>费学玉</w:t>
            </w:r>
          </w:p>
        </w:tc>
        <w:tc>
          <w:tcPr>
            <w:tcW w:w="1410" w:type="dxa"/>
            <w:vAlign w:val="center"/>
          </w:tcPr>
          <w:p>
            <w:pPr>
              <w:jc w:val="both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居民身份证</w:t>
            </w:r>
          </w:p>
        </w:tc>
        <w:tc>
          <w:tcPr>
            <w:tcW w:w="1769" w:type="dxa"/>
            <w:vAlign w:val="center"/>
          </w:tcPr>
          <w:p>
            <w:pPr>
              <w:jc w:val="both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232303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XXXXXXXX</w:t>
            </w:r>
            <w:r>
              <w:rPr>
                <w:rFonts w:ascii="宋体" w:hAnsi="宋体" w:eastAsia="宋体" w:cs="宋体"/>
                <w:sz w:val="21"/>
                <w:szCs w:val="21"/>
              </w:rPr>
              <w:t>0811</w:t>
            </w:r>
          </w:p>
        </w:tc>
        <w:tc>
          <w:tcPr>
            <w:tcW w:w="1636" w:type="dxa"/>
            <w:vAlign w:val="center"/>
          </w:tcPr>
          <w:p>
            <w:pPr>
              <w:jc w:val="both"/>
              <w:rPr>
                <w:sz w:val="21"/>
                <w:szCs w:val="21"/>
              </w:rPr>
            </w:pPr>
            <w:r>
              <w:rPr>
                <w:rFonts w:ascii="宋体" w:hAnsi="宋体" w:eastAsia="宋体" w:cs="宋体"/>
                <w:sz w:val="21"/>
                <w:szCs w:val="21"/>
              </w:rPr>
              <w:t>黑龙江省大兴安岭地区呼玛县韩家园韩局工业区华洋住宅区</w:t>
            </w:r>
          </w:p>
        </w:tc>
        <w:tc>
          <w:tcPr>
            <w:tcW w:w="1050" w:type="dxa"/>
            <w:vAlign w:val="center"/>
          </w:tcPr>
          <w:p>
            <w:pPr>
              <w:jc w:val="both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2024年3月1日</w:t>
            </w:r>
          </w:p>
        </w:tc>
        <w:tc>
          <w:tcPr>
            <w:tcW w:w="1215" w:type="dxa"/>
            <w:vAlign w:val="center"/>
          </w:tcPr>
          <w:p>
            <w:pPr>
              <w:jc w:val="both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2024年4月2日</w:t>
            </w:r>
          </w:p>
        </w:tc>
      </w:tr>
    </w:tbl>
    <w:p/>
    <w:sectPr>
      <w:pgSz w:w="15840" w:h="12240" w:orient="landscape"/>
      <w:pgMar w:top="1803" w:right="1440" w:bottom="1803" w:left="1440" w:header="720" w:footer="720" w:gutter="0"/>
      <w:paperSrc/>
      <w:cols w:space="720" w:num="1"/>
      <w:docGrid w:linePitch="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left="315" w:leftChars="150" w:right="315" w:rightChars="150"/>
      <w:rPr>
        <w:rStyle w:val="5"/>
        <w:rFonts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>—</w:t>
    </w: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1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separate"/>
    </w:r>
    <w:r>
      <w:rPr>
        <w:rStyle w:val="5"/>
      </w:rPr>
      <w:t>1</w: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true"/>
  <w:bordersDoNotSurroundHeader w:val="false"/>
  <w:bordersDoNotSurroundFooter w:val="false"/>
  <w:documentProtection w:enforcement="0"/>
  <w:defaultTabStop w:val="500"/>
  <w:drawingGridHorizontalSpacing w:val="1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suppressSpBfAfterPgBrk/>
    <w:adjustLineHeightInTable/>
    <w:doNotBreakWrappedTables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FDFF821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name="header"/>
    <w:lsdException w:qFormat="1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qFormat/>
    <w:uiPriority w:val="0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0"/>
    <w:pPr>
      <w:widowControl/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kern w:val="0"/>
      <w:sz w:val="20"/>
      <w:szCs w:val="20"/>
    </w:rPr>
  </w:style>
  <w:style w:type="character" w:styleId="5">
    <w:name w:val="page number"/>
    <w:basedOn w:val="4"/>
    <w:semiHidden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2024-04-02T09:20:00Z</dcterms:created>
  <dc:creator>user</dc:creator>
  <cp:lastModifiedBy>user</cp:lastModifiedBy>
  <dcterms:modified xsi:type="dcterms:W3CDTF">2024-04-02T14:12:18Z</dcterms:modified>
  <dc:title>非正常户公告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