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2"/>
        <w:spacing w:line="360" w:lineRule="auto"/>
        <w:rPr>
          <w:rFonts w:hint="eastAsia" w:ascii="宋体" w:hAnsi="宋体" w:eastAsia="宋体" w:cs="宋体"/>
          <w:color w:val="auto"/>
          <w:sz w:val="28"/>
          <w:szCs w:val="28"/>
          <w:highlight w:val="none"/>
        </w:rPr>
      </w:pPr>
    </w:p>
    <w:p>
      <w:pPr>
        <w:pStyle w:val="12"/>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国家税务总局黑龙江省税务局云平台及附属系统运维服务项目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HTCL-ZB-243192</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11</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20"/>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6"/>
        <w:tabs>
          <w:tab w:val="right" w:leader="dot" w:pos="8306"/>
        </w:tabs>
        <w:spacing w:line="600" w:lineRule="exact"/>
        <w:rPr>
          <w:rFonts w:hint="eastAsia" w:ascii="宋体" w:hAnsi="宋体" w:eastAsia="宋体" w:cs="宋体"/>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3"/>
        <w:rPr>
          <w:rFonts w:hint="eastAsia" w:ascii="宋体" w:hAnsi="宋体" w:eastAsia="宋体" w:cs="宋体"/>
          <w:color w:val="auto"/>
          <w:highlight w:val="none"/>
        </w:rPr>
      </w:pPr>
      <w:bookmarkStart w:id="0" w:name="_Toc78902190"/>
      <w:bookmarkStart w:id="1" w:name="_Toc1124_WPSOffice_Level1"/>
      <w:bookmarkStart w:id="2" w:name="_Toc15817"/>
      <w:r>
        <w:rPr>
          <w:rFonts w:hint="eastAsia" w:ascii="宋体" w:hAnsi="宋体" w:eastAsia="宋体" w:cs="宋体"/>
          <w:color w:val="auto"/>
          <w:highlight w:val="none"/>
        </w:rPr>
        <w:t>招标公告</w:t>
      </w:r>
      <w:bookmarkEnd w:id="0"/>
      <w:bookmarkEnd w:id="1"/>
      <w:bookmarkEnd w:id="2"/>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国家税务总局黑龙江省税务局云平台及附属系统运维服务项目</w:t>
            </w:r>
            <w:r>
              <w:rPr>
                <w:rFonts w:hint="eastAsia" w:ascii="宋体" w:hAnsi="宋体" w:eastAsia="宋体" w:cs="宋体"/>
                <w:color w:val="auto"/>
                <w:highlight w:val="none"/>
              </w:rPr>
              <w:t>的潜在供应商应</w:t>
            </w:r>
            <w:r>
              <w:rPr>
                <w:rFonts w:hint="eastAsia" w:ascii="宋体" w:hAnsi="宋体" w:cs="宋体"/>
                <w:color w:val="auto"/>
                <w:highlight w:val="none"/>
                <w:lang w:eastAsia="zh-CN"/>
              </w:rPr>
              <w:t>线上</w:t>
            </w:r>
            <w:r>
              <w:rPr>
                <w:rFonts w:hint="eastAsia" w:ascii="宋体" w:hAnsi="宋体" w:eastAsia="宋体" w:cs="宋体"/>
                <w:color w:val="auto"/>
                <w:highlight w:val="none"/>
              </w:rPr>
              <w:t>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日9点00分（北京时间）前递交投标文件。</w:t>
            </w:r>
          </w:p>
        </w:tc>
      </w:tr>
    </w:tbl>
    <w:p>
      <w:pPr>
        <w:outlineLvl w:val="0"/>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HTCL-ZB-243192</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国家税务总局黑龙江省税务局云平台及附属系统运维服务项目</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262.1875万元/年</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262.1875万元/年</w:t>
      </w:r>
    </w:p>
    <w:p>
      <w:pPr>
        <w:rPr>
          <w:rFonts w:hint="default" w:eastAsia="宋体"/>
          <w:color w:val="auto"/>
          <w:highlight w:val="none"/>
          <w:lang w:val="en-US" w:eastAsia="zh-CN"/>
        </w:rPr>
      </w:pPr>
      <w:r>
        <w:rPr>
          <w:rFonts w:hint="eastAsia" w:ascii="宋体" w:hAnsi="宋体" w:eastAsia="宋体" w:cs="宋体"/>
          <w:color w:val="auto"/>
          <w:highlight w:val="none"/>
        </w:rPr>
        <w:t>采购需求：</w:t>
      </w:r>
      <w:r>
        <w:rPr>
          <w:rFonts w:hint="eastAsia"/>
          <w:color w:val="auto"/>
          <w:highlight w:val="none"/>
          <w:lang w:val="en-US" w:eastAsia="zh-CN"/>
        </w:rPr>
        <w:t>第一包：</w:t>
      </w:r>
      <w:r>
        <w:rPr>
          <w:rFonts w:hint="eastAsia"/>
          <w:color w:val="auto"/>
        </w:rPr>
        <w:t>云平台运维项目</w:t>
      </w:r>
      <w:r>
        <w:rPr>
          <w:rFonts w:hint="eastAsia"/>
          <w:color w:val="auto"/>
          <w:lang w:eastAsia="zh-CN"/>
        </w:rPr>
        <w:t>。</w:t>
      </w:r>
      <w:r>
        <w:rPr>
          <w:rFonts w:hint="eastAsia"/>
          <w:color w:val="auto"/>
        </w:rPr>
        <w:t>本项目拟采购专有云平台运维服务，通过驻场方式为平台提供全面的运维支持。服务内容包括告警处理、日常及临时巡检、垃圾数据清理、版本升级、资料整理与移交等工作，确保平台的稳定、安全、高效运行</w:t>
      </w:r>
      <w:r>
        <w:rPr>
          <w:rFonts w:hint="eastAsia"/>
          <w:color w:val="auto"/>
          <w:highlight w:val="none"/>
          <w:lang w:val="en-US" w:eastAsia="zh-CN"/>
        </w:rPr>
        <w:t>。</w:t>
      </w:r>
      <w:r>
        <w:rPr>
          <w:rFonts w:hint="eastAsia" w:ascii="Times New Roman" w:hAnsi="Times New Roman" w:eastAsia="宋体" w:cs="Times New Roman"/>
          <w:color w:val="auto"/>
          <w:kern w:val="2"/>
          <w:sz w:val="21"/>
          <w:szCs w:val="21"/>
          <w:highlight w:val="none"/>
          <w:lang w:val="en-US" w:eastAsia="zh-CN" w:bidi="ar-SA"/>
        </w:rPr>
        <w:t>本项目要求提供</w:t>
      </w:r>
      <w:r>
        <w:rPr>
          <w:rFonts w:hint="eastAsia" w:cs="Times New Roman"/>
          <w:color w:val="auto"/>
          <w:kern w:val="2"/>
          <w:sz w:val="21"/>
          <w:szCs w:val="21"/>
          <w:highlight w:val="none"/>
          <w:lang w:val="en-US" w:eastAsia="zh-CN" w:bidi="ar-SA"/>
        </w:rPr>
        <w:t>6</w:t>
      </w:r>
      <w:r>
        <w:rPr>
          <w:rFonts w:hint="eastAsia" w:ascii="Times New Roman" w:hAnsi="Times New Roman" w:eastAsia="宋体" w:cs="Times New Roman"/>
          <w:color w:val="auto"/>
          <w:kern w:val="2"/>
          <w:sz w:val="21"/>
          <w:szCs w:val="21"/>
          <w:highlight w:val="none"/>
          <w:lang w:val="en-US" w:eastAsia="zh-CN" w:bidi="ar-SA"/>
        </w:rPr>
        <w:t>名驻场运维工程师，</w:t>
      </w:r>
      <w:r>
        <w:rPr>
          <w:rFonts w:hint="eastAsia"/>
          <w:color w:val="auto"/>
          <w:highlight w:val="none"/>
          <w:lang w:val="en-US" w:eastAsia="zh-CN"/>
        </w:rPr>
        <w:t>预算96.25万元</w:t>
      </w:r>
      <w:r>
        <w:rPr>
          <w:rFonts w:hint="eastAsia" w:ascii="宋体" w:hAnsi="宋体" w:cs="宋体"/>
          <w:color w:val="auto"/>
          <w:highlight w:val="none"/>
          <w:lang w:val="en-US" w:eastAsia="zh-CN"/>
        </w:rPr>
        <w:t>/年</w:t>
      </w:r>
      <w:r>
        <w:rPr>
          <w:rFonts w:hint="eastAsia"/>
          <w:color w:val="auto"/>
          <w:highlight w:val="none"/>
          <w:lang w:val="en-US" w:eastAsia="zh-CN"/>
        </w:rPr>
        <w:t>。</w:t>
      </w:r>
    </w:p>
    <w:p>
      <w:pPr>
        <w:rPr>
          <w:rFonts w:hint="eastAsia"/>
          <w:color w:val="auto"/>
          <w:highlight w:val="none"/>
          <w:lang w:val="en-US" w:eastAsia="zh-CN"/>
        </w:rPr>
      </w:pPr>
      <w:r>
        <w:rPr>
          <w:rFonts w:hint="eastAsia"/>
          <w:color w:val="auto"/>
          <w:highlight w:val="none"/>
          <w:lang w:val="en-US" w:eastAsia="zh-CN"/>
        </w:rPr>
        <w:t>第二包：多云平台运维项目。</w:t>
      </w:r>
      <w:r>
        <w:rPr>
          <w:rFonts w:hint="eastAsia" w:ascii="Times New Roman" w:hAnsi="Times New Roman" w:eastAsia="宋体" w:cs="Times New Roman"/>
          <w:color w:val="auto"/>
          <w:kern w:val="2"/>
          <w:sz w:val="21"/>
          <w:szCs w:val="21"/>
          <w:highlight w:val="none"/>
          <w:lang w:val="en-US" w:eastAsia="zh-CN" w:bidi="ar-SA"/>
        </w:rPr>
        <w:t>为保障多云运维平台系统正常开展，国家税务总局黑龙江省税务局需对多云运维平台运维服务事项购买相关技术服务。</w:t>
      </w:r>
      <w:r>
        <w:rPr>
          <w:rFonts w:hint="eastAsia" w:cs="Times New Roman"/>
          <w:color w:val="auto"/>
          <w:kern w:val="2"/>
          <w:sz w:val="21"/>
          <w:szCs w:val="21"/>
          <w:highlight w:val="none"/>
          <w:lang w:val="en-US" w:eastAsia="zh-CN" w:bidi="ar-SA"/>
        </w:rPr>
        <w:t>技术服务包括但不限于</w:t>
      </w:r>
      <w:r>
        <w:rPr>
          <w:rFonts w:hint="default" w:ascii="Times New Roman" w:hAnsi="Times New Roman" w:eastAsia="宋体" w:cs="Times New Roman"/>
          <w:color w:val="auto"/>
          <w:kern w:val="2"/>
          <w:sz w:val="21"/>
          <w:szCs w:val="21"/>
          <w:highlight w:val="none"/>
          <w:lang w:val="en-US" w:eastAsia="zh-CN" w:bidi="ar-SA"/>
        </w:rPr>
        <w:t>日常监控</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平台运维保障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监控实施保障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数据服务保障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配置维护保障</w:t>
      </w:r>
      <w:r>
        <w:rPr>
          <w:rFonts w:hint="eastAsia" w:cs="Times New Roman"/>
          <w:color w:val="auto"/>
          <w:kern w:val="2"/>
          <w:sz w:val="21"/>
          <w:szCs w:val="21"/>
          <w:highlight w:val="none"/>
          <w:lang w:val="en-US" w:eastAsia="zh-CN" w:bidi="ar-SA"/>
        </w:rPr>
        <w:t>和</w:t>
      </w:r>
      <w:r>
        <w:rPr>
          <w:rFonts w:hint="default" w:ascii="Times New Roman" w:hAnsi="Times New Roman" w:eastAsia="宋体" w:cs="Times New Roman"/>
          <w:color w:val="auto"/>
          <w:kern w:val="2"/>
          <w:sz w:val="21"/>
          <w:szCs w:val="21"/>
          <w:highlight w:val="none"/>
          <w:lang w:val="en-US" w:eastAsia="zh-CN" w:bidi="ar-SA"/>
        </w:rPr>
        <w:t>系统运行保障</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本项目要求提供3名驻场运维工程师，预算金额44.6875万元</w:t>
      </w:r>
      <w:r>
        <w:rPr>
          <w:rFonts w:hint="eastAsia" w:ascii="宋体" w:hAnsi="宋体" w:cs="宋体"/>
          <w:color w:val="auto"/>
          <w:highlight w:val="none"/>
          <w:lang w:val="en-US" w:eastAsia="zh-CN"/>
        </w:rPr>
        <w:t>/年</w:t>
      </w:r>
      <w:r>
        <w:rPr>
          <w:rFonts w:hint="eastAsia" w:ascii="Times New Roman" w:hAnsi="Times New Roman" w:eastAsia="宋体" w:cs="Times New Roman"/>
          <w:color w:val="auto"/>
          <w:kern w:val="2"/>
          <w:sz w:val="21"/>
          <w:szCs w:val="21"/>
          <w:highlight w:val="none"/>
          <w:lang w:val="en-US" w:eastAsia="zh-CN" w:bidi="ar-SA"/>
        </w:rPr>
        <w:t>。</w:t>
      </w:r>
    </w:p>
    <w:p>
      <w:pPr>
        <w:rPr>
          <w:rFonts w:hint="default"/>
          <w:color w:val="auto"/>
          <w:highlight w:val="none"/>
          <w:lang w:val="en-US" w:eastAsia="zh-CN"/>
        </w:rPr>
      </w:pPr>
      <w:r>
        <w:rPr>
          <w:rFonts w:hint="eastAsia"/>
          <w:color w:val="auto"/>
          <w:highlight w:val="none"/>
          <w:lang w:val="en-US" w:eastAsia="zh-CN"/>
        </w:rPr>
        <w:t>第三包：</w:t>
      </w:r>
      <w:r>
        <w:rPr>
          <w:rFonts w:hint="eastAsia"/>
          <w:color w:val="auto"/>
        </w:rPr>
        <w:t>决策管理指挥平台运维项目</w:t>
      </w:r>
      <w:r>
        <w:rPr>
          <w:rFonts w:hint="eastAsia"/>
          <w:color w:val="auto"/>
          <w:lang w:eastAsia="zh-CN"/>
        </w:rPr>
        <w:t>。为</w:t>
      </w:r>
      <w:r>
        <w:rPr>
          <w:rFonts w:hint="eastAsia"/>
          <w:color w:val="auto"/>
        </w:rPr>
        <w:t>保障我省决策管理指挥平台安全、稳定运行，除提供各系统日常问题处理以外，还要为保障各系统稳定、快速、高效的运行提供系统巡检、健康检查、系统优化等服务；为满足总局、省局的日常工作需要提供服务。本项目含驻场工程师1人，预算20.625万元</w:t>
      </w:r>
      <w:r>
        <w:rPr>
          <w:rFonts w:hint="eastAsia" w:ascii="宋体" w:hAnsi="宋体" w:cs="宋体"/>
          <w:color w:val="auto"/>
          <w:highlight w:val="none"/>
          <w:lang w:val="en-US" w:eastAsia="zh-CN"/>
        </w:rPr>
        <w:t>/年</w:t>
      </w:r>
      <w:r>
        <w:rPr>
          <w:rFonts w:hint="eastAsia"/>
          <w:color w:val="auto"/>
        </w:rPr>
        <w:t>。</w:t>
      </w:r>
    </w:p>
    <w:p>
      <w:pPr>
        <w:pStyle w:val="35"/>
        <w:ind w:firstLine="0" w:firstLineChars="0"/>
        <w:rPr>
          <w:rFonts w:hint="eastAsia"/>
          <w:color w:val="auto"/>
          <w:lang w:eastAsia="zh-CN"/>
        </w:rPr>
      </w:pPr>
      <w:r>
        <w:rPr>
          <w:rFonts w:hint="eastAsia"/>
          <w:color w:val="auto"/>
          <w:highlight w:val="none"/>
          <w:lang w:val="en-US" w:eastAsia="zh-CN"/>
        </w:rPr>
        <w:t>第四包：</w:t>
      </w:r>
      <w:r>
        <w:rPr>
          <w:rFonts w:hint="eastAsia"/>
          <w:color w:val="auto"/>
          <w:highlight w:val="none"/>
        </w:rPr>
        <w:t>统一身份管理平台运维项目</w:t>
      </w:r>
      <w:r>
        <w:rPr>
          <w:rFonts w:hint="eastAsia"/>
          <w:color w:val="auto"/>
          <w:highlight w:val="none"/>
          <w:lang w:eastAsia="zh-CN"/>
        </w:rPr>
        <w:t>。购买不少于</w:t>
      </w:r>
      <w:r>
        <w:rPr>
          <w:rFonts w:hint="eastAsia"/>
          <w:color w:val="auto"/>
          <w:highlight w:val="none"/>
          <w:lang w:val="en-US" w:eastAsia="zh-CN"/>
        </w:rPr>
        <w:t>3人的驻场运维团队服务，</w:t>
      </w:r>
      <w:r>
        <w:rPr>
          <w:rFonts w:hint="eastAsia" w:cs="Times New Roman"/>
          <w:color w:val="auto"/>
          <w:kern w:val="2"/>
          <w:sz w:val="21"/>
          <w:szCs w:val="21"/>
          <w:highlight w:val="none"/>
          <w:lang w:val="en-US" w:eastAsia="zh-CN" w:bidi="ar-SA"/>
        </w:rPr>
        <w:t>服务内容包括但不限于</w:t>
      </w:r>
      <w:r>
        <w:rPr>
          <w:rFonts w:hint="default" w:ascii="Times New Roman" w:hAnsi="Times New Roman" w:eastAsia="宋体" w:cs="Times New Roman"/>
          <w:color w:val="auto"/>
          <w:kern w:val="2"/>
          <w:sz w:val="21"/>
          <w:szCs w:val="21"/>
          <w:highlight w:val="none"/>
          <w:lang w:val="en-US" w:eastAsia="zh-CN" w:bidi="ar-SA"/>
        </w:rPr>
        <w:t>日常监控</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平台运维保障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监控实施保障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数据服务保障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配置维护保障</w:t>
      </w:r>
      <w:r>
        <w:rPr>
          <w:rFonts w:hint="eastAsia" w:cs="Times New Roman"/>
          <w:color w:val="auto"/>
          <w:kern w:val="2"/>
          <w:sz w:val="21"/>
          <w:szCs w:val="21"/>
          <w:highlight w:val="none"/>
          <w:lang w:val="en-US" w:eastAsia="zh-CN" w:bidi="ar-SA"/>
        </w:rPr>
        <w:t>和</w:t>
      </w:r>
      <w:r>
        <w:rPr>
          <w:rFonts w:hint="default" w:ascii="Times New Roman" w:hAnsi="Times New Roman" w:eastAsia="宋体" w:cs="Times New Roman"/>
          <w:color w:val="auto"/>
          <w:kern w:val="2"/>
          <w:sz w:val="21"/>
          <w:szCs w:val="21"/>
          <w:highlight w:val="none"/>
          <w:lang w:val="en-US" w:eastAsia="zh-CN" w:bidi="ar-SA"/>
        </w:rPr>
        <w:t>系统运行保障</w:t>
      </w:r>
      <w:r>
        <w:rPr>
          <w:rFonts w:hint="eastAsia"/>
          <w:color w:val="auto"/>
          <w:highlight w:val="none"/>
          <w:lang w:val="en-US" w:eastAsia="zh-CN"/>
        </w:rPr>
        <w:t>。</w:t>
      </w:r>
      <w:r>
        <w:rPr>
          <w:rFonts w:hint="eastAsia"/>
          <w:color w:val="auto"/>
        </w:rPr>
        <w:t>预算</w:t>
      </w:r>
      <w:r>
        <w:rPr>
          <w:rFonts w:hint="eastAsia"/>
          <w:color w:val="auto"/>
          <w:highlight w:val="none"/>
          <w:lang w:val="en-US" w:eastAsia="zh-CN"/>
        </w:rPr>
        <w:t>48.125</w:t>
      </w:r>
      <w:r>
        <w:rPr>
          <w:rFonts w:hint="eastAsia"/>
          <w:color w:val="auto"/>
        </w:rPr>
        <w:t>万元</w:t>
      </w:r>
      <w:r>
        <w:rPr>
          <w:rFonts w:hint="eastAsia" w:ascii="宋体" w:hAnsi="宋体" w:cs="宋体"/>
          <w:color w:val="auto"/>
          <w:highlight w:val="none"/>
          <w:lang w:val="en-US" w:eastAsia="zh-CN"/>
        </w:rPr>
        <w:t>/年</w:t>
      </w:r>
      <w:r>
        <w:rPr>
          <w:rFonts w:hint="eastAsia"/>
          <w:color w:val="auto"/>
          <w:lang w:eastAsia="zh-CN"/>
        </w:rPr>
        <w:t>。</w:t>
      </w:r>
    </w:p>
    <w:p>
      <w:pPr>
        <w:pStyle w:val="35"/>
        <w:ind w:firstLine="0" w:firstLineChars="0"/>
        <w:rPr>
          <w:rFonts w:hint="eastAsia" w:eastAsia="宋体"/>
          <w:color w:val="auto"/>
          <w:lang w:val="en-US" w:eastAsia="zh-CN"/>
        </w:rPr>
      </w:pPr>
      <w:r>
        <w:rPr>
          <w:rFonts w:hint="eastAsia"/>
          <w:color w:val="auto"/>
          <w:highlight w:val="none"/>
          <w:lang w:val="en-US" w:eastAsia="zh-CN"/>
        </w:rPr>
        <w:t>第五包：</w:t>
      </w:r>
      <w:r>
        <w:rPr>
          <w:rFonts w:hint="eastAsia"/>
          <w:color w:val="auto"/>
          <w:highlight w:val="none"/>
        </w:rPr>
        <w:t>安全管理平台运维项目</w:t>
      </w:r>
      <w:r>
        <w:rPr>
          <w:rFonts w:hint="eastAsia"/>
          <w:color w:val="auto"/>
          <w:highlight w:val="none"/>
          <w:lang w:eastAsia="zh-CN"/>
        </w:rPr>
        <w:t>。</w:t>
      </w:r>
      <w:r>
        <w:rPr>
          <w:rFonts w:hint="eastAsia"/>
          <w:color w:val="auto"/>
          <w:highlight w:val="none"/>
        </w:rPr>
        <w:t>购买不少于3人的驻场运维团队</w:t>
      </w:r>
      <w:r>
        <w:rPr>
          <w:rFonts w:hint="eastAsia"/>
          <w:color w:val="auto"/>
          <w:highlight w:val="none"/>
          <w:lang w:eastAsia="zh-CN"/>
        </w:rPr>
        <w:t>服务</w:t>
      </w:r>
      <w:r>
        <w:rPr>
          <w:rFonts w:hint="eastAsia"/>
          <w:color w:val="auto"/>
          <w:highlight w:val="none"/>
        </w:rPr>
        <w:t>，</w:t>
      </w:r>
      <w:r>
        <w:rPr>
          <w:rFonts w:hint="eastAsia"/>
          <w:color w:val="auto"/>
          <w:highlight w:val="none"/>
          <w:lang w:eastAsia="zh-CN"/>
        </w:rPr>
        <w:t>服务</w:t>
      </w:r>
      <w:r>
        <w:rPr>
          <w:rFonts w:hint="eastAsia"/>
          <w:color w:val="auto"/>
          <w:highlight w:val="none"/>
        </w:rPr>
        <w:t>内容包括</w:t>
      </w:r>
      <w:r>
        <w:rPr>
          <w:rFonts w:hint="eastAsia"/>
          <w:color w:val="auto"/>
          <w:highlight w:val="none"/>
          <w:lang w:eastAsia="zh-CN"/>
        </w:rPr>
        <w:t>但不</w:t>
      </w:r>
      <w:r>
        <w:rPr>
          <w:rFonts w:hint="eastAsia" w:cs="Times New Roman"/>
          <w:color w:val="auto"/>
          <w:kern w:val="2"/>
          <w:sz w:val="21"/>
          <w:szCs w:val="21"/>
          <w:highlight w:val="none"/>
          <w:lang w:val="en-US" w:eastAsia="zh-CN" w:bidi="ar-SA"/>
        </w:rPr>
        <w:t>限于</w:t>
      </w:r>
      <w:r>
        <w:rPr>
          <w:rFonts w:hint="eastAsia"/>
          <w:color w:val="auto"/>
          <w:highlight w:val="none"/>
        </w:rPr>
        <w:t>平台运维、资产梳理、风险识别、建模及模型优化、基线检测、漏洞扫描、监测预警、问题处置、安全值守等服务。</w:t>
      </w:r>
      <w:r>
        <w:rPr>
          <w:rFonts w:hint="eastAsia"/>
          <w:color w:val="auto"/>
        </w:rPr>
        <w:t>预算</w:t>
      </w:r>
      <w:r>
        <w:rPr>
          <w:rFonts w:hint="eastAsia"/>
          <w:color w:val="auto"/>
          <w:highlight w:val="none"/>
          <w:lang w:val="en-US" w:eastAsia="zh-CN"/>
        </w:rPr>
        <w:t>52.5</w:t>
      </w:r>
      <w:r>
        <w:rPr>
          <w:rFonts w:hint="eastAsia"/>
          <w:color w:val="auto"/>
        </w:rPr>
        <w:t>万元</w:t>
      </w:r>
      <w:r>
        <w:rPr>
          <w:rFonts w:hint="eastAsia" w:ascii="宋体" w:hAnsi="宋体" w:cs="宋体"/>
          <w:color w:val="auto"/>
          <w:highlight w:val="none"/>
          <w:lang w:val="en-US" w:eastAsia="zh-CN"/>
        </w:rPr>
        <w:t>/年</w:t>
      </w:r>
      <w:r>
        <w:rPr>
          <w:rFonts w:hint="eastAsia"/>
          <w:color w:val="auto"/>
          <w:lang w:eastAsia="zh-CN"/>
        </w:rPr>
        <w:t>。</w:t>
      </w:r>
    </w:p>
    <w:p>
      <w:pPr>
        <w:pStyle w:val="35"/>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自合同签字起生效，服务期限为一年。一年服务期满，根据《财政部关于推进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outlineLvl w:val="0"/>
        <w:rPr>
          <w:rFonts w:hint="eastAsia" w:ascii="宋体" w:hAnsi="宋体" w:eastAsia="宋体" w:cs="宋体"/>
          <w:color w:val="auto"/>
          <w:highlight w:val="none"/>
        </w:rPr>
      </w:pPr>
      <w:bookmarkStart w:id="6" w:name="_Toc28359080"/>
      <w:bookmarkStart w:id="7" w:name="_Toc28359003"/>
      <w:r>
        <w:rPr>
          <w:rFonts w:hint="eastAsia" w:ascii="宋体" w:hAnsi="宋体" w:eastAsia="宋体" w:cs="宋体"/>
          <w:color w:val="auto"/>
          <w:highlight w:val="none"/>
        </w:rPr>
        <w:t>二、申请人的资格要求</w:t>
      </w:r>
      <w:bookmarkEnd w:id="6"/>
      <w:bookmarkEnd w:id="7"/>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outlineLvl w:val="0"/>
        <w:rPr>
          <w:rFonts w:hint="eastAsia" w:ascii="宋体" w:hAnsi="宋体" w:eastAsia="宋体" w:cs="宋体"/>
          <w:color w:val="auto"/>
          <w:highlight w:val="none"/>
        </w:rPr>
      </w:pPr>
      <w:bookmarkStart w:id="8" w:name="_Toc28359081"/>
      <w:bookmarkStart w:id="9" w:name="_Toc28359004"/>
      <w:r>
        <w:rPr>
          <w:rFonts w:hint="eastAsia" w:ascii="宋体" w:hAnsi="宋体" w:eastAsia="宋体" w:cs="宋体"/>
          <w:color w:val="auto"/>
          <w:highlight w:val="none"/>
        </w:rPr>
        <w:t>三、获取招标文件</w:t>
      </w:r>
      <w:bookmarkEnd w:id="8"/>
      <w:bookmarkEnd w:id="9"/>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4</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11</w:t>
      </w:r>
      <w:r>
        <w:rPr>
          <w:rFonts w:hint="eastAsia" w:ascii="宋体" w:hAnsi="宋体" w:eastAsia="宋体" w:cs="宋体"/>
          <w:color w:val="auto"/>
          <w:highlight w:val="none"/>
        </w:rPr>
        <w:t>日，每天上午8点30分至11点30分，下午13点至16点（北京时间，法定节假日除外）</w:t>
      </w:r>
    </w:p>
    <w:p>
      <w:pPr>
        <w:rPr>
          <w:rFonts w:hint="default" w:ascii="宋体" w:hAnsi="宋体" w:eastAsia="宋体" w:cs="宋体"/>
          <w:color w:val="auto"/>
          <w:highlight w:val="none"/>
          <w:lang w:val="en-US" w:eastAsia="zh-CN"/>
        </w:rPr>
      </w:pPr>
      <w:bookmarkStart w:id="10" w:name="_Toc28359005"/>
      <w:bookmarkStart w:id="11" w:name="_Toc28359082"/>
      <w:r>
        <w:rPr>
          <w:rFonts w:hint="eastAsia" w:ascii="宋体" w:hAnsi="宋体" w:eastAsia="宋体" w:cs="宋体"/>
          <w:color w:val="auto"/>
          <w:highlight w:val="none"/>
        </w:rPr>
        <w:t>地点：</w:t>
      </w:r>
      <w:r>
        <w:rPr>
          <w:rFonts w:hint="eastAsia" w:ascii="宋体" w:hAnsi="宋体" w:cs="宋体"/>
          <w:color w:val="auto"/>
          <w:highlight w:val="none"/>
          <w:lang w:val="en-US" w:eastAsia="zh-CN"/>
        </w:rPr>
        <w:t>线上获取。</w:t>
      </w:r>
    </w:p>
    <w:p>
      <w:pPr>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方式：</w:t>
      </w:r>
      <w:r>
        <w:rPr>
          <w:rFonts w:hint="eastAsia" w:ascii="宋体" w:hAnsi="宋体" w:eastAsia="宋体" w:cs="Times New Roman"/>
          <w:color w:val="auto"/>
          <w:szCs w:val="21"/>
          <w:highlight w:val="none"/>
        </w:rPr>
        <w:t>凡有意参加投标者，请</w:t>
      </w:r>
      <w:r>
        <w:rPr>
          <w:rFonts w:hint="eastAsia" w:ascii="宋体" w:hAnsi="宋体"/>
          <w:color w:val="auto"/>
          <w:szCs w:val="21"/>
          <w:highlight w:val="none"/>
        </w:rPr>
        <w:t>登陆中招联合招标采购平台下载电子招标文件。下载者登陆平台前，须前往中招联合招标采购平台:http://www.365trade.com.cn/免费注册（平台仅对供应商注册信息与其提供的附件信息进行一致性检查）；注册为一次性工作，以后若有需要只需变更及完善相关信息；注册成功后，可以及时参与平台上所有发布的招标项目。平台注册成功后，登陆平台真实准确完善用户信息</w:t>
      </w:r>
      <w:r>
        <w:rPr>
          <w:rFonts w:hint="eastAsia"/>
          <w:color w:val="auto"/>
          <w:spacing w:val="-3"/>
          <w:highlight w:val="none"/>
        </w:rPr>
        <w:t>。</w:t>
      </w:r>
      <w:r>
        <w:rPr>
          <w:rFonts w:hint="eastAsia" w:ascii="宋体" w:hAnsi="宋体" w:eastAsia="宋体" w:cs="Times New Roman"/>
          <w:color w:val="auto"/>
          <w:kern w:val="2"/>
          <w:sz w:val="21"/>
          <w:szCs w:val="21"/>
          <w:highlight w:val="none"/>
          <w:lang w:val="en-US" w:eastAsia="zh-CN" w:bidi="ar-SA"/>
        </w:rPr>
        <w:t>投标人可通过中招联合招标采购平台官网首页右侧“帮助中心”，获取投标人投标操作手册。</w:t>
      </w:r>
    </w:p>
    <w:p>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售价：</w:t>
      </w:r>
      <w:r>
        <w:rPr>
          <w:rFonts w:hint="eastAsia" w:ascii="宋体" w:hAnsi="宋体" w:cs="宋体"/>
          <w:color w:val="auto"/>
          <w:highlight w:val="none"/>
          <w:lang w:val="en-US" w:eastAsia="zh-CN"/>
        </w:rPr>
        <w:t>0</w:t>
      </w:r>
      <w:r>
        <w:rPr>
          <w:rFonts w:hint="eastAsia" w:ascii="宋体" w:hAnsi="宋体" w:eastAsia="宋体" w:cs="宋体"/>
          <w:color w:val="auto"/>
          <w:highlight w:val="none"/>
        </w:rPr>
        <w:t>元</w:t>
      </w:r>
    </w:p>
    <w:p>
      <w:pPr>
        <w:outlineLvl w:val="0"/>
        <w:rPr>
          <w:rFonts w:hint="eastAsia" w:ascii="宋体" w:hAnsi="宋体" w:eastAsia="宋体" w:cs="宋体"/>
          <w:color w:val="auto"/>
          <w:highlight w:val="none"/>
        </w:rPr>
      </w:pPr>
      <w:r>
        <w:rPr>
          <w:rFonts w:hint="eastAsia" w:ascii="宋体" w:hAnsi="宋体" w:eastAsia="宋体" w:cs="宋体"/>
          <w:color w:val="auto"/>
          <w:highlight w:val="none"/>
        </w:rPr>
        <w:t>四、投标文件递交</w:t>
      </w:r>
      <w:bookmarkEnd w:id="10"/>
      <w:bookmarkEnd w:id="11"/>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outlineLvl w:val="0"/>
        <w:rPr>
          <w:rFonts w:hint="eastAsia" w:ascii="宋体" w:hAnsi="宋体" w:eastAsia="宋体" w:cs="宋体"/>
          <w:color w:val="auto"/>
          <w:highlight w:val="none"/>
        </w:rPr>
      </w:pPr>
      <w:bookmarkStart w:id="12" w:name="_Toc28359006"/>
      <w:bookmarkStart w:id="13" w:name="_Toc28359083"/>
      <w:r>
        <w:rPr>
          <w:rFonts w:hint="eastAsia" w:ascii="宋体" w:hAnsi="宋体" w:eastAsia="宋体" w:cs="宋体"/>
          <w:color w:val="auto"/>
          <w:highlight w:val="none"/>
        </w:rPr>
        <w:t>五、开标</w:t>
      </w:r>
      <w:bookmarkEnd w:id="12"/>
      <w:bookmarkEnd w:id="13"/>
    </w:p>
    <w:p>
      <w:pPr>
        <w:rPr>
          <w:rFonts w:hint="eastAsia" w:ascii="宋体" w:hAnsi="宋体" w:eastAsia="宋体" w:cs="宋体"/>
          <w:color w:val="auto"/>
          <w:highlight w:val="none"/>
        </w:rPr>
      </w:pPr>
      <w:bookmarkStart w:id="14" w:name="_Toc28359007"/>
      <w:bookmarkStart w:id="15"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outlineLvl w:val="0"/>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outlineLvl w:val="0"/>
        <w:rPr>
          <w:rFonts w:hint="eastAsia" w:ascii="宋体" w:hAnsi="宋体" w:eastAsia="宋体" w:cs="宋体"/>
          <w:color w:val="auto"/>
          <w:highlight w:val="none"/>
        </w:rPr>
      </w:pPr>
      <w:bookmarkStart w:id="16" w:name="_Toc28359008"/>
      <w:bookmarkStart w:id="17" w:name="_Toc28359085"/>
      <w:r>
        <w:rPr>
          <w:rFonts w:hint="eastAsia" w:ascii="宋体" w:hAnsi="宋体" w:eastAsia="宋体" w:cs="宋体"/>
          <w:color w:val="auto"/>
          <w:highlight w:val="none"/>
        </w:rPr>
        <w:t>七、对本次招标提出询问，请按以下方式联系。</w:t>
      </w:r>
      <w:bookmarkEnd w:id="16"/>
      <w:bookmarkEnd w:id="17"/>
    </w:p>
    <w:p>
      <w:pPr>
        <w:outlineLvl w:val="1"/>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w:t>
      </w:r>
      <w:r>
        <w:rPr>
          <w:rFonts w:hint="eastAsia" w:ascii="宋体" w:hAnsi="宋体" w:cs="宋体"/>
          <w:color w:val="auto"/>
          <w:highlight w:val="none"/>
          <w:lang w:val="en-US" w:eastAsia="zh-CN"/>
        </w:rPr>
        <w:t>高</w:t>
      </w:r>
      <w:r>
        <w:rPr>
          <w:rFonts w:hint="eastAsia" w:ascii="宋体" w:hAnsi="宋体" w:eastAsia="宋体" w:cs="宋体"/>
          <w:color w:val="auto"/>
          <w:highlight w:val="none"/>
        </w:rPr>
        <w:t>女士</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r>
        <w:rPr>
          <w:rFonts w:hint="eastAsia" w:ascii="宋体" w:hAnsi="宋体" w:eastAsia="宋体" w:cs="宋体"/>
          <w:color w:val="auto"/>
          <w:highlight w:val="none"/>
        </w:rPr>
        <w:t xml:space="preserve"> </w:t>
      </w:r>
    </w:p>
    <w:p>
      <w:pPr>
        <w:outlineLvl w:val="1"/>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outlineLvl w:val="1"/>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outlineLvl w:val="0"/>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26518_WPSOffice_Level1"/>
      <w:bookmarkStart w:id="19" w:name="_Toc78902191"/>
      <w:bookmarkStart w:id="20" w:name="_Toc27915"/>
      <w:r>
        <w:rPr>
          <w:rStyle w:val="37"/>
          <w:rFonts w:hint="eastAsia" w:ascii="宋体" w:hAnsi="宋体" w:eastAsia="宋体" w:cs="宋体"/>
          <w:color w:val="auto"/>
          <w:highlight w:val="none"/>
        </w:rPr>
        <w:t>第一章 供应商须知</w:t>
      </w:r>
      <w:bookmarkEnd w:id="18"/>
      <w:bookmarkEnd w:id="19"/>
      <w:bookmarkEnd w:id="20"/>
    </w:p>
    <w:p>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7"/>
        <w:tblW w:w="8656" w:type="dxa"/>
        <w:tblInd w:w="108" w:type="dxa"/>
        <w:tblLayout w:type="fixed"/>
        <w:tblCellMar>
          <w:top w:w="0" w:type="dxa"/>
          <w:left w:w="108" w:type="dxa"/>
          <w:bottom w:w="0" w:type="dxa"/>
          <w:right w:w="108" w:type="dxa"/>
        </w:tblCellMar>
      </w:tblPr>
      <w:tblGrid>
        <w:gridCol w:w="852"/>
        <w:gridCol w:w="1917"/>
        <w:gridCol w:w="5887"/>
      </w:tblGrid>
      <w:tr>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2" w:name="sys_招标项目基本内容及要求其他：Block"/>
            <w:bookmarkEnd w:id="22"/>
            <w:bookmarkStart w:id="23" w:name="招标项目基本内容及要求：Block"/>
            <w:bookmarkEnd w:id="23"/>
            <w:bookmarkStart w:id="24" w:name="招标项目基本内容及要求其他：Block"/>
            <w:bookmarkEnd w:id="24"/>
            <w:bookmarkStart w:id="25" w:name="sys_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联系人：</w:t>
            </w:r>
            <w:r>
              <w:rPr>
                <w:rFonts w:hint="eastAsia" w:ascii="宋体" w:hAnsi="宋体" w:cs="宋体"/>
                <w:color w:val="auto"/>
                <w:highlight w:val="none"/>
                <w:lang w:eastAsia="zh-CN"/>
              </w:rPr>
              <w:t>高女士</w:t>
            </w:r>
          </w:p>
          <w:p>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color w:val="auto"/>
                <w:highlight w:val="none"/>
              </w:rPr>
              <w:t>电话：0451-53611</w:t>
            </w:r>
            <w:r>
              <w:rPr>
                <w:rFonts w:hint="eastAsia" w:ascii="宋体" w:hAnsi="宋体" w:cs="宋体"/>
                <w:color w:val="auto"/>
                <w:highlight w:val="none"/>
                <w:lang w:val="en-US" w:eastAsia="zh-CN"/>
              </w:rPr>
              <w:t>260</w:t>
            </w:r>
          </w:p>
        </w:tc>
      </w:tr>
      <w:tr>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color w:val="auto"/>
                <w:lang w:val="en-US" w:eastAsia="zh-CN"/>
              </w:rPr>
            </w:pPr>
            <w:r>
              <w:rPr>
                <w:rFonts w:hint="eastAsia"/>
                <w:color w:val="auto"/>
                <w:lang w:val="en-US" w:eastAsia="zh-CN"/>
              </w:rPr>
              <w:t>第一包：96.25万元</w:t>
            </w:r>
            <w:r>
              <w:rPr>
                <w:rFonts w:hint="eastAsia" w:ascii="宋体" w:hAnsi="宋体" w:cs="宋体"/>
                <w:color w:val="auto"/>
                <w:highlight w:val="none"/>
                <w:lang w:val="en-US" w:eastAsia="zh-CN"/>
              </w:rPr>
              <w:t>/年</w:t>
            </w:r>
          </w:p>
          <w:p>
            <w:pPr>
              <w:spacing w:line="300" w:lineRule="exact"/>
              <w:rPr>
                <w:rFonts w:hint="eastAsia" w:ascii="Times New Roman" w:hAnsi="Times New Roman" w:eastAsia="宋体" w:cs="Times New Roman"/>
                <w:color w:val="auto"/>
                <w:lang w:val="en-US" w:eastAsia="zh-CN"/>
              </w:rPr>
            </w:pPr>
            <w:r>
              <w:rPr>
                <w:rFonts w:hint="eastAsia"/>
                <w:color w:val="auto"/>
                <w:lang w:val="en-US" w:eastAsia="zh-CN"/>
              </w:rPr>
              <w:t>第二</w:t>
            </w:r>
            <w:r>
              <w:rPr>
                <w:rFonts w:hint="eastAsia" w:ascii="Times New Roman" w:hAnsi="Times New Roman" w:eastAsia="宋体" w:cs="Times New Roman"/>
                <w:color w:val="auto"/>
                <w:lang w:val="en-US" w:eastAsia="zh-CN"/>
              </w:rPr>
              <w:t>包：44.6875万元</w:t>
            </w:r>
            <w:r>
              <w:rPr>
                <w:rFonts w:hint="eastAsia" w:ascii="宋体" w:hAnsi="宋体" w:cs="宋体"/>
                <w:color w:val="auto"/>
                <w:highlight w:val="none"/>
                <w:lang w:val="en-US" w:eastAsia="zh-CN"/>
              </w:rPr>
              <w:t>/年</w:t>
            </w:r>
          </w:p>
          <w:p>
            <w:pPr>
              <w:spacing w:line="300" w:lineRule="exact"/>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第三包：20.625万元</w:t>
            </w:r>
            <w:r>
              <w:rPr>
                <w:rFonts w:hint="eastAsia" w:ascii="宋体" w:hAnsi="宋体" w:cs="宋体"/>
                <w:color w:val="auto"/>
                <w:highlight w:val="none"/>
                <w:lang w:val="en-US" w:eastAsia="zh-CN"/>
              </w:rPr>
              <w:t>/年</w:t>
            </w:r>
          </w:p>
          <w:p>
            <w:pPr>
              <w:spacing w:line="300" w:lineRule="exact"/>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第四包：48.125万元</w:t>
            </w:r>
            <w:r>
              <w:rPr>
                <w:rFonts w:hint="eastAsia" w:ascii="宋体" w:hAnsi="宋体" w:cs="宋体"/>
                <w:color w:val="auto"/>
                <w:highlight w:val="none"/>
                <w:lang w:val="en-US" w:eastAsia="zh-CN"/>
              </w:rPr>
              <w:t>/年</w:t>
            </w:r>
          </w:p>
          <w:p>
            <w:pPr>
              <w:spacing w:line="300" w:lineRule="exact"/>
              <w:rPr>
                <w:rFonts w:hint="default"/>
                <w:color w:val="auto"/>
                <w:lang w:val="en-US" w:eastAsia="zh-CN"/>
              </w:rPr>
            </w:pPr>
            <w:r>
              <w:rPr>
                <w:rFonts w:hint="eastAsia" w:ascii="Times New Roman" w:hAnsi="Times New Roman" w:eastAsia="宋体" w:cs="Times New Roman"/>
                <w:color w:val="auto"/>
                <w:lang w:val="en-US" w:eastAsia="zh-CN"/>
              </w:rPr>
              <w:t>第五包：52.5万元</w:t>
            </w:r>
            <w:r>
              <w:rPr>
                <w:rFonts w:hint="eastAsia" w:ascii="宋体" w:hAnsi="宋体" w:cs="宋体"/>
                <w:color w:val="auto"/>
                <w:highlight w:val="none"/>
                <w:lang w:val="en-US" w:eastAsia="zh-CN"/>
              </w:rPr>
              <w:t>/年</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第一包：30000元；第二包：20000元；第三包10000元；第四包：20000元；第五包：20000元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cs="宋体"/>
                <w:color w:val="auto"/>
                <w:highlight w:val="none"/>
                <w:lang w:val="en-US" w:eastAsia="zh-CN"/>
              </w:rPr>
              <w:t>每包</w:t>
            </w:r>
            <w:r>
              <w:rPr>
                <w:rFonts w:hint="eastAsia" w:ascii="宋体" w:hAnsi="宋体" w:eastAsia="宋体" w:cs="宋体"/>
                <w:color w:val="auto"/>
                <w:kern w:val="0"/>
                <w:highlight w:val="none"/>
              </w:rPr>
              <w:t>不低于3名</w:t>
            </w:r>
          </w:p>
        </w:tc>
      </w:tr>
      <w:tr>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w:t>
            </w:r>
            <w:r>
              <w:rPr>
                <w:rFonts w:hint="eastAsia" w:ascii="宋体" w:hAnsi="宋体" w:cs="宋体"/>
                <w:color w:val="auto"/>
                <w:highlight w:val="none"/>
                <w:lang w:val="en-US" w:eastAsia="zh-CN"/>
              </w:rPr>
              <w:t>每包</w:t>
            </w:r>
            <w:r>
              <w:rPr>
                <w:rFonts w:hint="eastAsia" w:ascii="宋体" w:hAnsi="宋体" w:eastAsia="宋体" w:cs="宋体"/>
                <w:color w:val="auto"/>
                <w:highlight w:val="none"/>
              </w:rPr>
              <w:t>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w:t>
            </w:r>
            <w:r>
              <w:rPr>
                <w:rFonts w:hint="eastAsia" w:ascii="宋体" w:hAnsi="宋体" w:cs="宋体"/>
                <w:color w:val="auto"/>
                <w:highlight w:val="none"/>
                <w:lang w:val="en-US" w:eastAsia="zh-CN"/>
              </w:rPr>
              <w:t>年</w:t>
            </w:r>
            <w:r>
              <w:rPr>
                <w:rFonts w:hint="eastAsia" w:ascii="宋体" w:hAnsi="宋体" w:eastAsia="宋体" w:cs="宋体"/>
                <w:color w:val="auto"/>
                <w:highlight w:val="none"/>
              </w:rPr>
              <w:t>中标</w:t>
            </w:r>
            <w:r>
              <w:rPr>
                <w:rFonts w:hint="eastAsia" w:ascii="宋体" w:hAnsi="宋体" w:eastAsia="宋体" w:cs="宋体"/>
                <w:color w:val="auto"/>
                <w:highlight w:val="none"/>
                <w:lang w:val="en-US" w:eastAsia="zh-CN"/>
              </w:rPr>
              <w:t>金额</w:t>
            </w:r>
            <w:r>
              <w:rPr>
                <w:rFonts w:hint="eastAsia" w:ascii="宋体" w:hAnsi="宋体" w:cs="宋体"/>
                <w:color w:val="auto"/>
                <w:highlight w:val="none"/>
                <w:lang w:val="en-US" w:eastAsia="zh-CN"/>
              </w:rPr>
              <w:t>乘以三年</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8"/>
          <w:rFonts w:hint="eastAsia" w:ascii="宋体" w:hAnsi="宋体" w:eastAsia="宋体" w:cs="宋体"/>
          <w:color w:val="auto"/>
          <w:highlight w:val="none"/>
        </w:rPr>
        <w:t>二 总则</w:t>
      </w:r>
      <w:bookmarkEnd w:id="2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3"/>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4"/>
        <w:rPr>
          <w:rFonts w:hint="eastAsia" w:ascii="宋体" w:hAnsi="宋体" w:eastAsia="宋体" w:cs="宋体"/>
          <w:color w:val="auto"/>
          <w:highlight w:val="none"/>
        </w:rPr>
      </w:pPr>
      <w:bookmarkStart w:id="32" w:name="_Toc10106_WPSOffice_Level2"/>
    </w:p>
    <w:p>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3" w:name="_Toc4961_WPSOffice_Level2"/>
      <w:bookmarkStart w:id="34" w:name="_Toc24604_WPSOffice_Level2"/>
      <w:bookmarkStart w:id="35" w:name="_Toc25935_WPSOffice_Level2"/>
      <w:bookmarkStart w:id="36" w:name="_Toc188_WPSOffice_Level2"/>
      <w:r>
        <w:rPr>
          <w:rFonts w:hint="eastAsia" w:ascii="宋体" w:hAnsi="宋体" w:eastAsia="宋体" w:cs="宋体"/>
          <w:color w:val="auto"/>
          <w:highlight w:val="none"/>
        </w:rPr>
        <w:t>供应商须知</w:t>
      </w:r>
      <w:bookmarkEnd w:id="33"/>
      <w:bookmarkEnd w:id="34"/>
      <w:bookmarkEnd w:id="35"/>
      <w:bookmarkEnd w:id="36"/>
    </w:p>
    <w:p>
      <w:pPr>
        <w:adjustRightInd w:val="0"/>
        <w:snapToGrid w:val="0"/>
        <w:ind w:firstLine="420" w:firstLineChars="200"/>
        <w:rPr>
          <w:rFonts w:hint="eastAsia" w:ascii="宋体" w:hAnsi="宋体" w:eastAsia="宋体" w:cs="宋体"/>
          <w:color w:val="auto"/>
          <w:highlight w:val="none"/>
        </w:rPr>
      </w:pPr>
      <w:bookmarkStart w:id="37" w:name="_Toc13276_WPSOffice_Level2"/>
      <w:bookmarkStart w:id="38" w:name="_Toc31424_WPSOffice_Level2"/>
      <w:bookmarkStart w:id="39" w:name="_Toc32235_WPSOffice_Level2"/>
      <w:bookmarkStart w:id="40" w:name="_Toc2443_WPSOffice_Level2"/>
      <w:r>
        <w:rPr>
          <w:rFonts w:hint="eastAsia" w:ascii="宋体" w:hAnsi="宋体" w:eastAsia="宋体" w:cs="宋体"/>
          <w:color w:val="auto"/>
          <w:highlight w:val="none"/>
        </w:rPr>
        <w:t>第二章 投标文件内容及格式</w:t>
      </w:r>
      <w:bookmarkEnd w:id="37"/>
      <w:bookmarkEnd w:id="38"/>
      <w:bookmarkEnd w:id="39"/>
      <w:bookmarkEnd w:id="40"/>
    </w:p>
    <w:p>
      <w:pPr>
        <w:adjustRightInd w:val="0"/>
        <w:snapToGrid w:val="0"/>
        <w:ind w:firstLine="420" w:firstLineChars="200"/>
        <w:rPr>
          <w:rFonts w:hint="eastAsia" w:ascii="宋体" w:hAnsi="宋体" w:eastAsia="宋体" w:cs="宋体"/>
          <w:color w:val="auto"/>
          <w:highlight w:val="none"/>
        </w:rPr>
      </w:pPr>
      <w:bookmarkStart w:id="41" w:name="_Toc4416_WPSOffice_Level2"/>
      <w:bookmarkStart w:id="42" w:name="_Toc7005_WPSOffice_Level2"/>
      <w:bookmarkStart w:id="43" w:name="_Toc16269_WPSOffice_Level2"/>
      <w:bookmarkStart w:id="44" w:name="_Toc24836_WPSOffice_Level2"/>
      <w:r>
        <w:rPr>
          <w:rFonts w:hint="eastAsia" w:ascii="宋体" w:hAnsi="宋体" w:eastAsia="宋体" w:cs="宋体"/>
          <w:color w:val="auto"/>
          <w:highlight w:val="none"/>
        </w:rPr>
        <w:t>第三章 服务需求</w:t>
      </w:r>
      <w:bookmarkEnd w:id="41"/>
      <w:bookmarkEnd w:id="42"/>
      <w:bookmarkEnd w:id="43"/>
      <w:bookmarkEnd w:id="44"/>
    </w:p>
    <w:p>
      <w:pPr>
        <w:adjustRightInd w:val="0"/>
        <w:snapToGrid w:val="0"/>
        <w:ind w:firstLine="420" w:firstLineChars="200"/>
        <w:rPr>
          <w:rFonts w:hint="eastAsia" w:ascii="宋体" w:hAnsi="宋体" w:eastAsia="宋体" w:cs="宋体"/>
          <w:color w:val="auto"/>
          <w:highlight w:val="none"/>
        </w:rPr>
      </w:pPr>
      <w:bookmarkStart w:id="45" w:name="_Toc16294_WPSOffice_Level2"/>
      <w:bookmarkStart w:id="46" w:name="_Toc16119_WPSOffice_Level2"/>
      <w:bookmarkStart w:id="47" w:name="_Toc23459_WPSOffice_Level2"/>
      <w:bookmarkStart w:id="48" w:name="_Toc25382_WPSOffice_Level2"/>
      <w:r>
        <w:rPr>
          <w:rFonts w:hint="eastAsia" w:ascii="宋体" w:hAnsi="宋体" w:eastAsia="宋体" w:cs="宋体"/>
          <w:color w:val="auto"/>
          <w:highlight w:val="none"/>
        </w:rPr>
        <w:t>第四章 评标方法</w:t>
      </w:r>
      <w:bookmarkEnd w:id="45"/>
      <w:bookmarkEnd w:id="46"/>
      <w:bookmarkEnd w:id="47"/>
      <w:bookmarkEnd w:id="48"/>
    </w:p>
    <w:p>
      <w:pPr>
        <w:adjustRightInd w:val="0"/>
        <w:snapToGrid w:val="0"/>
        <w:ind w:firstLine="420" w:firstLineChars="200"/>
        <w:rPr>
          <w:rFonts w:hint="eastAsia" w:ascii="宋体" w:hAnsi="宋体" w:eastAsia="宋体" w:cs="宋体"/>
          <w:color w:val="auto"/>
          <w:highlight w:val="none"/>
        </w:rPr>
      </w:pPr>
      <w:bookmarkStart w:id="49" w:name="_Toc17794_WPSOffice_Level2"/>
      <w:bookmarkStart w:id="50" w:name="_Toc28106_WPSOffice_Level2"/>
      <w:bookmarkStart w:id="51" w:name="_Toc9629_WPSOffice_Level2"/>
      <w:bookmarkStart w:id="52" w:name="_Toc16368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3"/>
        <w:rPr>
          <w:rFonts w:hint="eastAsia" w:ascii="宋体" w:hAnsi="宋体" w:eastAsia="宋体" w:cs="宋体"/>
          <w:color w:val="auto"/>
          <w:highlight w:val="none"/>
        </w:rPr>
      </w:pPr>
      <w:bookmarkStart w:id="61" w:name="_Toc78902192"/>
      <w:bookmarkStart w:id="62" w:name="_Toc17725_WPSOffice_Level1"/>
      <w:bookmarkStart w:id="63" w:name="_Toc29813"/>
      <w:r>
        <w:rPr>
          <w:rFonts w:hint="eastAsia" w:ascii="宋体" w:hAnsi="宋体" w:eastAsia="宋体" w:cs="宋体"/>
          <w:color w:val="auto"/>
          <w:highlight w:val="none"/>
        </w:rPr>
        <w:t>第二章 投标文件内容及格式</w:t>
      </w:r>
      <w:bookmarkEnd w:id="61"/>
      <w:bookmarkEnd w:id="62"/>
      <w:bookmarkEnd w:id="63"/>
    </w:p>
    <w:p>
      <w:pPr>
        <w:pStyle w:val="5"/>
        <w:rPr>
          <w:rFonts w:hint="eastAsia" w:ascii="宋体" w:hAnsi="宋体" w:eastAsia="宋体" w:cs="宋体"/>
          <w:color w:val="auto"/>
          <w:highlight w:val="none"/>
        </w:rPr>
      </w:pPr>
      <w:bookmarkStart w:id="64" w:name="投标文件内容及格式：Block"/>
      <w:bookmarkEnd w:id="64"/>
      <w:bookmarkStart w:id="65" w:name="sys_投标文件内容及格式：Block"/>
      <w:bookmarkEnd w:id="65"/>
      <w:bookmarkStart w:id="66" w:name="_Toc2481_WPSOffice_Level2"/>
      <w:bookmarkStart w:id="67" w:name="_Toc1538_WPSOffice_Level2"/>
      <w:r>
        <w:rPr>
          <w:rFonts w:hint="eastAsia" w:ascii="宋体" w:hAnsi="宋体" w:eastAsia="宋体" w:cs="宋体"/>
          <w:color w:val="auto"/>
          <w:highlight w:val="none"/>
        </w:rPr>
        <w:t>一、投标文件、电子文档的外封面、封口、封皮及目录</w:t>
      </w:r>
      <w:bookmarkEnd w:id="66"/>
      <w:bookmarkEnd w:id="67"/>
    </w:p>
    <w:tbl>
      <w:tblPr>
        <w:tblStyle w:val="2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0"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6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6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6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6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5"/>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7"/>
        <w:tblW w:w="4997" w:type="pct"/>
        <w:jc w:val="center"/>
        <w:tblLayout w:type="autofit"/>
        <w:tblCellMar>
          <w:top w:w="0" w:type="dxa"/>
          <w:left w:w="0" w:type="dxa"/>
          <w:bottom w:w="0" w:type="dxa"/>
          <w:right w:w="0" w:type="dxa"/>
        </w:tblCellMar>
      </w:tblPr>
      <w:tblGrid>
        <w:gridCol w:w="737"/>
        <w:gridCol w:w="7711"/>
        <w:gridCol w:w="834"/>
      </w:tblGrid>
      <w:tr>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0" w:name="资格性证明材料：Document"/>
            <w:bookmarkStart w:id="71" w:name="sys_资格性证明材料：Document"/>
            <w:r>
              <w:rPr>
                <w:rFonts w:hint="eastAsia" w:ascii="宋体" w:hAnsi="宋体" w:eastAsia="宋体" w:cs="宋体"/>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5"/>
        <w:rPr>
          <w:rFonts w:hint="eastAsia" w:ascii="宋体" w:hAnsi="宋体" w:eastAsia="宋体" w:cs="宋体"/>
          <w:b/>
          <w:color w:val="auto"/>
          <w:highlight w:val="none"/>
        </w:rPr>
      </w:pPr>
      <w:bookmarkStart w:id="72" w:name="_Toc25206_WPSOffice_Level2"/>
      <w:bookmarkStart w:id="73" w:name="_Toc22359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85"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53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85"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1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85" w:type="pct"/>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1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85"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1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p>
        </w:tc>
        <w:tc>
          <w:tcPr>
            <w:tcW w:w="4085"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537" w:type="pct"/>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6" w:name="_Toc23127_WPSOffice_Level2"/>
      <w:bookmarkStart w:id="77" w:name="_Toc24011_WPSOffice_Level2"/>
      <w:r>
        <w:rPr>
          <w:rFonts w:hint="eastAsia" w:ascii="宋体" w:hAnsi="宋体" w:eastAsia="宋体" w:cs="宋体"/>
          <w:b/>
          <w:color w:val="auto"/>
          <w:highlight w:val="none"/>
        </w:rPr>
        <w:t>重要提示：</w:t>
      </w:r>
      <w:bookmarkEnd w:id="76"/>
      <w:bookmarkEnd w:id="77"/>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pPr>
        <w:pStyle w:val="4"/>
        <w:spacing w:before="0" w:after="0"/>
        <w:rPr>
          <w:rFonts w:hint="eastAsia" w:ascii="宋体" w:hAnsi="宋体" w:eastAsia="宋体" w:cs="宋体"/>
          <w:b/>
          <w:bCs/>
          <w:color w:val="auto"/>
          <w:highlight w:val="none"/>
        </w:rPr>
      </w:pPr>
      <w:bookmarkStart w:id="78" w:name="_Toc26322_WPSOffice_Level2"/>
      <w:bookmarkStart w:id="79" w:name="_Toc21090_WPSOffice_Level2"/>
      <w:r>
        <w:rPr>
          <w:rFonts w:hint="eastAsia" w:ascii="宋体" w:hAnsi="宋体" w:eastAsia="宋体" w:cs="宋体"/>
          <w:color w:val="auto"/>
          <w:highlight w:val="none"/>
        </w:rPr>
        <w:t>投标文件、电子文档外封面、封口格式</w:t>
      </w:r>
      <w:bookmarkEnd w:id="78"/>
      <w:bookmarkEnd w:id="79"/>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7"/>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0" w:name="_Toc2304_WPSOffice_Level2"/>
      <w:bookmarkStart w:id="81" w:name="_Toc21414_WPSOffice_Level2"/>
      <w:r>
        <w:rPr>
          <w:rFonts w:hint="eastAsia" w:ascii="宋体" w:hAnsi="宋体" w:eastAsia="宋体" w:cs="宋体"/>
          <w:color w:val="auto"/>
          <w:sz w:val="32"/>
          <w:szCs w:val="32"/>
          <w:highlight w:val="none"/>
        </w:rPr>
        <w:t>目  录</w:t>
      </w:r>
      <w:bookmarkEnd w:id="80"/>
      <w:bookmarkEnd w:id="81"/>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4"/>
        <w:adjustRightInd w:val="0"/>
        <w:snapToGrid w:val="0"/>
        <w:spacing w:before="0" w:after="0"/>
        <w:jc w:val="left"/>
        <w:outlineLvl w:val="0"/>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2" w:name="_Toc3401_WPSOffice_Level2"/>
      <w:bookmarkStart w:id="83" w:name="_Toc16924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4" w:name="_Toc122_WPSOffice_Level2"/>
      <w:bookmarkStart w:id="85" w:name="_Toc21833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pPr>
        <w:pStyle w:val="5"/>
        <w:jc w:val="center"/>
        <w:rPr>
          <w:rFonts w:hint="eastAsia" w:ascii="宋体" w:hAnsi="宋体" w:eastAsia="宋体" w:cs="宋体"/>
          <w:color w:val="auto"/>
          <w:highlight w:val="none"/>
        </w:rPr>
      </w:pPr>
      <w:bookmarkStart w:id="86" w:name="_Toc23728_WPSOffice_Level2"/>
      <w:bookmarkStart w:id="87" w:name="_Toc12037_WPSOffice_Level2"/>
      <w:r>
        <w:rPr>
          <w:rFonts w:hint="eastAsia" w:ascii="宋体" w:hAnsi="宋体" w:eastAsia="宋体" w:cs="宋体"/>
          <w:color w:val="auto"/>
          <w:highlight w:val="none"/>
        </w:rPr>
        <w:t>具备履行合同所必需的设备和专业技术能力声明函</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4"/>
        <w:rPr>
          <w:rFonts w:hint="eastAsia" w:ascii="宋体" w:hAnsi="宋体" w:eastAsia="宋体" w:cs="宋体"/>
          <w:color w:val="auto"/>
          <w:highlight w:val="none"/>
        </w:rPr>
      </w:pPr>
      <w:bookmarkStart w:id="88" w:name="_Toc11967_WPSOffice_Level2"/>
      <w:bookmarkStart w:id="89" w:name="_Toc7498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4"/>
        <w:rPr>
          <w:rFonts w:hint="eastAsia" w:ascii="宋体" w:hAnsi="宋体" w:eastAsia="宋体" w:cs="宋体"/>
          <w:color w:val="auto"/>
          <w:highlight w:val="none"/>
        </w:rPr>
      </w:pPr>
      <w:bookmarkStart w:id="90" w:name="_Toc30548_WPSOffice_Level2"/>
      <w:bookmarkStart w:id="91" w:name="_Toc16873_WPSOffice_Level2"/>
      <w:r>
        <w:rPr>
          <w:rFonts w:hint="eastAsia" w:ascii="宋体" w:hAnsi="宋体" w:eastAsia="宋体" w:cs="宋体"/>
          <w:color w:val="auto"/>
          <w:highlight w:val="none"/>
        </w:rPr>
        <w:t>联合体协议书</w:t>
      </w:r>
      <w:bookmarkEnd w:id="90"/>
      <w:bookmarkEnd w:id="91"/>
    </w:p>
    <w:p>
      <w:pPr>
        <w:pStyle w:val="15"/>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5"/>
        <w:ind w:firstLine="420" w:firstLineChars="200"/>
        <w:rPr>
          <w:rFonts w:hint="eastAsia" w:ascii="宋体" w:hAnsi="宋体" w:eastAsia="宋体" w:cs="宋体"/>
          <w:color w:val="auto"/>
          <w:highlight w:val="none"/>
          <w:u w:val="single"/>
        </w:rPr>
      </w:pPr>
      <w:bookmarkStart w:id="92" w:name="_Toc15561_WPSOffice_Level2"/>
      <w:bookmarkStart w:id="93" w:name="_Toc23749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4" w:name="_Toc405_WPSOffice_Level2"/>
      <w:bookmarkStart w:id="95" w:name="_Toc22173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5"/>
        <w:ind w:firstLine="420" w:firstLineChars="200"/>
        <w:rPr>
          <w:rFonts w:hint="eastAsia" w:ascii="宋体" w:hAnsi="宋体" w:eastAsia="宋体" w:cs="宋体"/>
          <w:color w:val="auto"/>
          <w:highlight w:val="none"/>
        </w:rPr>
      </w:pP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5"/>
        <w:ind w:firstLine="560"/>
        <w:rPr>
          <w:rFonts w:hint="eastAsia" w:ascii="宋体" w:hAnsi="宋体" w:eastAsia="宋体" w:cs="宋体"/>
          <w:color w:val="auto"/>
          <w:sz w:val="28"/>
          <w:szCs w:val="28"/>
          <w:highlight w:val="none"/>
        </w:rPr>
      </w:pP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5"/>
        <w:ind w:firstLine="420" w:firstLineChars="200"/>
        <w:rPr>
          <w:rFonts w:hint="eastAsia" w:ascii="宋体" w:hAnsi="宋体" w:eastAsia="宋体"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4"/>
        <w:rPr>
          <w:rFonts w:hint="eastAsia" w:ascii="宋体" w:hAnsi="宋体" w:eastAsia="宋体" w:cs="宋体"/>
          <w:color w:val="auto"/>
          <w:highlight w:val="none"/>
        </w:rPr>
      </w:pPr>
      <w:bookmarkStart w:id="98" w:name="_Toc24841_WPSOffice_Level2"/>
      <w:bookmarkStart w:id="99" w:name="_Toc14782_WPSOffice_Level2"/>
      <w:r>
        <w:rPr>
          <w:rFonts w:hint="eastAsia" w:ascii="宋体" w:hAnsi="宋体" w:eastAsia="宋体" w:cs="宋体"/>
          <w:color w:val="auto"/>
          <w:highlight w:val="none"/>
        </w:rPr>
        <w:t>投标函</w:t>
      </w:r>
      <w:bookmarkEnd w:id="98"/>
      <w:bookmarkEnd w:id="99"/>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val="en-US" w:eastAsia="zh-CN"/>
        </w:rPr>
        <w:t>如我方在多个包中标，优先选择的顺序为第 包→第 包</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5"/>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pPr>
        <w:pStyle w:val="4"/>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0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88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750"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84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64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pPr>
              <w:spacing w:line="300" w:lineRule="exact"/>
              <w:jc w:val="center"/>
              <w:rPr>
                <w:rFonts w:hint="eastAsia" w:ascii="宋体" w:hAnsi="宋体" w:eastAsia="宋体" w:cs="宋体"/>
                <w:color w:val="auto"/>
                <w:highlight w:val="none"/>
              </w:rPr>
            </w:pPr>
          </w:p>
        </w:tc>
        <w:tc>
          <w:tcPr>
            <w:tcW w:w="1004" w:type="pct"/>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886" w:type="pct"/>
            <w:vAlign w:val="center"/>
          </w:tcPr>
          <w:p>
            <w:pPr>
              <w:spacing w:line="300" w:lineRule="exact"/>
              <w:jc w:val="center"/>
              <w:rPr>
                <w:rFonts w:hint="eastAsia" w:ascii="宋体" w:hAnsi="宋体" w:eastAsia="宋体" w:cs="宋体"/>
                <w:color w:val="auto"/>
                <w:highlight w:val="none"/>
              </w:rPr>
            </w:pPr>
          </w:p>
        </w:tc>
        <w:tc>
          <w:tcPr>
            <w:tcW w:w="750" w:type="pct"/>
            <w:vAlign w:val="center"/>
          </w:tcPr>
          <w:p>
            <w:pPr>
              <w:spacing w:line="300" w:lineRule="exact"/>
              <w:jc w:val="center"/>
              <w:rPr>
                <w:rFonts w:hint="eastAsia" w:ascii="宋体" w:hAnsi="宋体" w:eastAsia="宋体" w:cs="宋体"/>
                <w:color w:val="auto"/>
                <w:highlight w:val="none"/>
              </w:rPr>
            </w:pPr>
          </w:p>
        </w:tc>
        <w:tc>
          <w:tcPr>
            <w:tcW w:w="847" w:type="pct"/>
            <w:vAlign w:val="center"/>
          </w:tcPr>
          <w:p>
            <w:pPr>
              <w:spacing w:line="300" w:lineRule="exact"/>
              <w:jc w:val="center"/>
              <w:rPr>
                <w:rFonts w:hint="eastAsia" w:ascii="宋体" w:hAnsi="宋体" w:eastAsia="宋体" w:cs="宋体"/>
                <w:color w:val="auto"/>
                <w:highlight w:val="none"/>
              </w:rPr>
            </w:pPr>
          </w:p>
        </w:tc>
        <w:tc>
          <w:tcPr>
            <w:tcW w:w="643" w:type="pct"/>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9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68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4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45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448"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448"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45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53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4"/>
        <w:rPr>
          <w:rFonts w:hint="eastAsia" w:ascii="宋体" w:hAnsi="宋体" w:eastAsia="宋体" w:cs="宋体"/>
          <w:color w:val="auto"/>
          <w:highlight w:val="none"/>
        </w:rPr>
      </w:pPr>
      <w:bookmarkStart w:id="102" w:name="_Toc9235_WPSOffice_Level2"/>
      <w:bookmarkStart w:id="103" w:name="_Toc31555_WPSOffice_Level2"/>
      <w:r>
        <w:rPr>
          <w:rFonts w:hint="eastAsia" w:ascii="宋体" w:hAnsi="宋体" w:eastAsia="宋体" w:cs="宋体"/>
          <w:color w:val="auto"/>
          <w:highlight w:val="none"/>
        </w:rPr>
        <w:t>服务需求响应表</w:t>
      </w:r>
      <w:bookmarkEnd w:id="102"/>
      <w:bookmarkEnd w:id="103"/>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pPr>
        <w:adjustRightInd w:val="0"/>
        <w:snapToGrid w:val="0"/>
        <w:ind w:right="105" w:rightChars="50" w:firstLine="479" w:firstLineChars="227"/>
        <w:jc w:val="center"/>
        <w:outlineLvl w:val="2"/>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0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1385"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58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49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w:t>
            </w:r>
            <w:r>
              <w:rPr>
                <w:rFonts w:hint="eastAsia" w:ascii="宋体" w:hAnsi="宋体" w:eastAsia="宋体" w:cs="宋体"/>
                <w:color w:val="auto"/>
                <w:highlight w:val="none"/>
                <w:lang w:val="en-US" w:eastAsia="zh-CN"/>
              </w:rPr>
              <w:t>自合同签字起生效，服务期限为一年。一年服务期满，根据《财政部关于推进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tc>
        <w:tc>
          <w:tcPr>
            <w:tcW w:w="1385" w:type="pct"/>
            <w:vAlign w:val="center"/>
          </w:tcPr>
          <w:p>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1385" w:type="pct"/>
            <w:vAlign w:val="center"/>
          </w:tcPr>
          <w:p>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1385" w:type="pct"/>
            <w:vAlign w:val="center"/>
          </w:tcPr>
          <w:p>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pPr>
              <w:spacing w:line="300" w:lineRule="exact"/>
              <w:jc w:val="center"/>
              <w:rPr>
                <w:rFonts w:hint="eastAsia" w:ascii="宋体" w:hAnsi="宋体" w:eastAsia="宋体" w:cs="宋体"/>
                <w:color w:val="auto"/>
                <w:highlight w:val="none"/>
              </w:rPr>
            </w:pPr>
          </w:p>
        </w:tc>
        <w:tc>
          <w:tcPr>
            <w:tcW w:w="220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385"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5"/>
        <w:ind w:firstLine="420"/>
        <w:rPr>
          <w:rFonts w:hint="eastAsia" w:ascii="宋体" w:hAnsi="宋体" w:eastAsia="宋体" w:cs="宋体"/>
          <w:color w:val="auto"/>
          <w:highlight w:val="none"/>
        </w:rPr>
      </w:pPr>
    </w:p>
    <w:p>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21"/>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4"/>
        <w:rPr>
          <w:rFonts w:hint="eastAsia" w:ascii="宋体" w:hAnsi="宋体" w:eastAsia="宋体" w:cs="宋体"/>
          <w:color w:val="auto"/>
          <w:szCs w:val="21"/>
          <w:highlight w:val="none"/>
        </w:rPr>
      </w:pPr>
      <w:bookmarkStart w:id="106" w:name="_Toc29880_WPSOffice_Level2"/>
      <w:bookmarkStart w:id="107" w:name="_Toc13566_WPSOffice_Level2"/>
      <w:r>
        <w:rPr>
          <w:rFonts w:hint="eastAsia" w:ascii="宋体" w:hAnsi="宋体" w:eastAsia="宋体" w:cs="宋体"/>
          <w:color w:val="auto"/>
          <w:highlight w:val="none"/>
        </w:rPr>
        <w:t>残疾人福利性单位声明函</w:t>
      </w:r>
      <w:bookmarkEnd w:id="106"/>
      <w:bookmarkEnd w:id="107"/>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7"/>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50"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95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85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85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80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5"/>
        <w:spacing w:before="0" w:after="0"/>
        <w:outlineLvl w:val="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spacing w:before="200" w:after="200"/>
        <w:jc w:val="center"/>
        <w:outlineLvl w:val="0"/>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18902"/>
      <w:bookmarkStart w:id="110" w:name="_Toc78902193"/>
      <w:r>
        <w:rPr>
          <w:rStyle w:val="37"/>
          <w:rFonts w:hint="eastAsia" w:ascii="宋体" w:hAnsi="宋体" w:eastAsia="宋体" w:cs="宋体"/>
          <w:color w:val="auto"/>
          <w:highlight w:val="none"/>
        </w:rPr>
        <w:t>第三章 服务需求</w:t>
      </w:r>
      <w:bookmarkEnd w:id="108"/>
      <w:bookmarkEnd w:id="109"/>
      <w:bookmarkEnd w:id="110"/>
    </w:p>
    <w:p>
      <w:pPr>
        <w:suppressAutoHyphens/>
        <w:kinsoku/>
        <w:wordWrap/>
        <w:topLinePunct w:val="0"/>
        <w:bidi w:val="0"/>
        <w:spacing w:line="360" w:lineRule="auto"/>
        <w:ind w:left="0" w:leftChars="0"/>
        <w:jc w:val="center"/>
        <w:rPr>
          <w:rFonts w:hint="eastAsia" w:asciiTheme="minorEastAsia" w:hAnsiTheme="minorEastAsia" w:eastAsiaTheme="minorEastAsia" w:cstheme="minorEastAsia"/>
          <w:color w:val="auto"/>
          <w:sz w:val="21"/>
          <w:szCs w:val="21"/>
          <w:lang w:val="en-US" w:eastAsia="zh-CN"/>
        </w:rPr>
      </w:pPr>
      <w:bookmarkStart w:id="111" w:name="_Toc2821_WPSOffice_Level1"/>
      <w:bookmarkStart w:id="112" w:name="_Toc78902194"/>
      <w:r>
        <w:rPr>
          <w:rFonts w:hint="eastAsia" w:asciiTheme="minorEastAsia" w:hAnsiTheme="minorEastAsia" w:eastAsiaTheme="minorEastAsia" w:cstheme="minorEastAsia"/>
          <w:color w:val="auto"/>
          <w:sz w:val="21"/>
          <w:szCs w:val="21"/>
          <w:lang w:val="en-US" w:eastAsia="zh-CN"/>
        </w:rPr>
        <w:t>第一包：云平台运维项目</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一、项目概述</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1.项目背景</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为了更好的保障应用平台平稳、安全和高效的运行，拟采购云平台运维服务，通过驻场服务的方式提供告警处理、日常巡检及运维</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临时巡检及运维</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垃圾数据清理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版本升级</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参加</w:t>
      </w:r>
      <w:r>
        <w:rPr>
          <w:rFonts w:hint="eastAsia" w:ascii="宋体" w:hAnsi="宋体" w:eastAsia="宋体" w:cs="宋体"/>
          <w:color w:val="auto"/>
          <w:sz w:val="21"/>
          <w:szCs w:val="21"/>
        </w:rPr>
        <w:t>日常培训及保障会议</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四云平台资料整理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工作资料整理移交等运维服务，支撑基于专有云TCE平台的业务运营。</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2.项目内容</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（1）日常巡检</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每天进行两次巡检，由两名工作人员负责，覆盖专网、互联网云哨、天巡和常用组件等17640余项内容。巡检过程中发现的问题需形成报告并发送给项目负责人，其中1类问题需及时汇报给局方负责人。同时，处理告警问题，包括每日巡检和总局下发的告警，1类告警问题需当天清零，其他类告警问题需在2天内完成分析和归类，并按步骤清零。此外，7x24小时值班播报金四平台业务侧拨测结果，工作时段每2小时播报一次，非工作时段每4-8小时播报一次，并组织发送日巡检报告、月健康报告及相关数据表，按月重启固定组件、进行宕机演练，编制运维计划等。</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（2）垃圾数据清理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定期编制并执行数据清理脚本，清理云平台容器和物理机上占用磁盘过大的日志及垃圾数据。每日报告清理结果给局方负责人，以确保数据存储的高效管理。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（3）版本升级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进行周期性的大版本升级，包括下载、验证、解压总局下发的物料包，在业务不繁忙时段进行升级，并处理升级过程中出现的错误。升级后形成报告提交给局方负责人。同时，检查和优化组件配置，依据SOP文档进行调整，发现问题及时解决并上报。定期升级安全组件，如WAF规则库、云镜漏洞知识库等，以保持系统的安全性和稳定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（4）参加日常培训及保障会议</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参与总局组织的日常云平台运维培训和保障会议，确保了解最新的运维知识和保障措施，提高运维能力。</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（5）金四云平台资料整理并纳入金四一账式平台管理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整理并上报金四云平台的各类信息表，包括应用项目信息、系统信息、虚拟化集群信息等，对总局核验结果进行及时修改反馈，确保数据质量符合要求。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（6）金四云平台试点工作资料整理移交</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在完成基础信息整理后，对数据流向进行梳理，主要包括dsg链路、ckafka多源异构数据库同步系统、tdmq分布式消息队列等，生成黑龙江省金四云平台全链路情况表，按时上报总局，并对核验结果进行及时修改反馈，以保证数据质量。</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（7）突发问题处理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b/>
          <w:bCs/>
          <w:strike/>
          <w:color w:val="auto"/>
          <w:sz w:val="21"/>
          <w:szCs w:val="21"/>
        </w:rPr>
      </w:pPr>
      <w:r>
        <w:rPr>
          <w:rFonts w:hint="eastAsia" w:ascii="宋体" w:hAnsi="宋体" w:eastAsia="宋体" w:cs="宋体"/>
          <w:color w:val="auto"/>
          <w:sz w:val="21"/>
          <w:szCs w:val="21"/>
        </w:rPr>
        <w:t>处理租户端上报的问题，要求在2小时内响应、8小时内解决。对云平台出现的硬件或软件故障进行提单处理，详细记录故障现象、原因和解决方案，确保及时有效处理并进行深入分析。多云工单需在1小时内受理，24小时内处理并反馈，同时配合局方安排的临时云平台运维相关工作。</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b/>
          <w:bCs/>
          <w:color w:val="auto"/>
          <w:sz w:val="21"/>
          <w:szCs w:val="21"/>
        </w:rPr>
      </w:pPr>
      <w:r>
        <w:rPr>
          <w:rFonts w:hint="eastAsia" w:ascii="宋体" w:hAnsi="宋体" w:eastAsia="宋体" w:cs="宋体"/>
          <w:color w:val="auto"/>
          <w:sz w:val="21"/>
          <w:szCs w:val="21"/>
        </w:rPr>
        <w:t>二、投标</w:t>
      </w:r>
      <w:r>
        <w:rPr>
          <w:rFonts w:hint="eastAsia" w:ascii="宋体" w:hAnsi="宋体" w:eastAsia="宋体" w:cs="宋体"/>
          <w:color w:val="auto"/>
          <w:sz w:val="21"/>
          <w:szCs w:val="21"/>
          <w:lang w:val="en"/>
        </w:rPr>
        <w:t>/</w:t>
      </w:r>
      <w:r>
        <w:rPr>
          <w:rFonts w:hint="eastAsia" w:ascii="宋体" w:hAnsi="宋体" w:eastAsia="宋体" w:cs="宋体"/>
          <w:color w:val="auto"/>
          <w:sz w:val="21"/>
          <w:szCs w:val="21"/>
        </w:rPr>
        <w:t>响应要求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 xml:space="preserve">1.本项目由符合国家有关法律法规规定、同时满足本项目资质要求、在中国境内注册的独立法人。投标人必须具备《政府采购法》第二十二条的规定； </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（1）具有独立承担民事责任的能力；</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（2）具有良好的商业信誉和健全的财务会计制度；</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（3）具有履行合同所必需的设备和专业技术能力；</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（4）具有依法缴纳税收和社会保障资金的良好记录；</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（5）参加此项采购活动前三年内，在经营活动中没有重大违法记录；</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（6）法律、行政法规规定的其他条件。</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对在“信用中国”网站(www.creditchina.gov.cn)、“中国政府采购网”(www.ccgp.gov.cn)等渠道列入失信被执行人、重大税收违法案件当事人名单、政府采购严重违法失信行为记录名单及其他不符合《中华人民共和国政府采购法》第二十二条规定条件的投标人，不得参与本次招标活动；</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3.本项目不接受联合体投标。</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.供应商依据</w:t>
      </w:r>
      <w:r>
        <w:rPr>
          <w:rFonts w:hint="eastAsia" w:ascii="宋体" w:hAnsi="宋体" w:eastAsia="宋体" w:cs="宋体"/>
          <w:color w:val="auto"/>
          <w:sz w:val="21"/>
          <w:szCs w:val="21"/>
          <w:lang w:val="en-US" w:eastAsia="zh-CN"/>
        </w:rPr>
        <w:t>本项目内容，提供投入项目技术力量、采购需求理解程度、维保服务方案、巡检方案、突发紧急事件处理能力、履约考核和档案管理、项目质量控制方案、技术培训等相关响应方案。</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三、项目需求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1.日常巡检</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1.1 巡检</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每天进行2次巡检，巡检要求1人巡检1人复检，巡检内容包含专网、互联网云哨，天巡，常用组件情况等共17640余个巡检项，巡检过程中发现的所有问题要形成文字报告发送给项目负责人，1类问题要由项目负责人及时汇报给局方负责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1.2 播报</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针对金四平台各业务侧拨测，7*24小时值班，工作时段2小时播报一次，非工作时段4-8小时播报一次，主要针对拨测结果及可用性进行汇总汇报；组织填写、整理、发送给总局日巡检报告、月健康报告、月健康报告数据表；按月对固定组件进行重启；按月进行母机宕机演练；编制各种计划，如运维计划、保障计划、资源缩减计划等。包含服务器400余台，运营端虚拟机240余台。</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1.3 告警处理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针对每日巡检及总局下发的巡检公告中的告警问题进行处理，要求1类告警问题当天清零，其它类告警问题2天内完成分析归类，按步进行清零操作。</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2.垃圾数据清理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包括按照规则编制定时数据清理脚本，对占用磁盘过大的云平台容器进行定期清理；手工对磁盘占用过大的云平台物理机进行日志类数据、垃圾类数据进行清理。每日将清理结果上报局方负责人。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3.版本升级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3.1 周期性大版本升级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包括对总局下发的版本升级物料包进行下载，并上传到对应的跳板机，解压并进行验证。晚7点后，业务不繁忙时段进行总局下发的云平台版本升级。对升级过程中出现的错误进行修正，无法及时修正的联系腾讯工程师处理。升级结束后形成升级报告上报局方负责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3.2 组件配置检查及优化</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包括对总局下发的组件配置检查项进行对应的检查，按照SOP文档中的内容进行对应优化，检查优化过程中发现问题及时解决，并将结果上报局方负责人。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3.3 安全组件升级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周期性对WAF安全规则库、云镜漏洞知识库、御界安全规则库、云安全平台等安全组件进行升级，包括软件升级和规则库知识库等升级。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4.参加日常培训及保障会议</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参加总局日常对云平台运维培训会议；参加总局日常征期保障会议。</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5.金四云平台资料整理并纳入金四一账式平台管理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完成【1.黑龙江省局一本账应用项目信息表】、【2.黑龙江省局一本账应用系统信息表】、【3.黑龙江省局一本账虚拟化集群信息表】、【4.黑龙江省局一本账虚拟化节点信息表】、【5.黑龙江省局一本账虚拟资源表】、【6.黑龙江省局一本账操作系统信息表】、【7.黑龙江省局一本账硬件设备信息表】、【8.黑龙江省局一本账PC服务器信息表】【9.黑龙江省局一本账数据库信息表】、【10.黑龙江省局一本账数据库实例信息表】、【11.黑龙江省局一本账应用系统中间件信息表】、【12.黑龙江省局一本账应用中间件实例信息表】、【13.黑龙江省局一本账其他软件信息表】、【14.黑龙江省局一本账其他软件实例信息表】【15.黑龙江省局一本账云容器信息表】、【16.黑龙江省局一本账云容器节点信息表】、【17.黑龙江省局一本账云数据库信息表】、【18.黑龙江省局一本账云中间件信息表】、【19.黑龙江省局一本账微服务信息表】整理工作并按时上报总局，对总局核验结果进行及时修改反馈，保证上报数据质量。</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6.金四云平台试点工作资料整理移交</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一本账基础信息整理完成后，在整理好的资源基础上，对数据流向进行梳理，主要梳理内容包括dsg链路情况梳理、ckafka多源异构数据库同步系统梳理、tdmq分布式消息队列管理情况梳理、数据源端及目标端数据库情况梳理、梳理结果与全国链路进行数据比对校验，最终生成黑龙江省金四云平台全链路情况表。</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按总局要求按时上报总局，对总局核验结果进行及时修改反馈，保证上报数据质量。</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7.突发问题处理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7.1 租户端上报问题处理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在日常工作中，租户端管理员进行日常业务工作和部署工作时，会遇到云平台出现报错或业务中断等问题。当这些问题发生时，租户端管理员需要第一时间联系运营端管理员，请求云平台管理员协助处理。要求问题在2小时内有相应，8小时内解决问题。</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7.2 云平台突发问题处理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除了跟进运维信息外，我们还要负责处理云平台发生的硬件、软件故障。一旦云平台出现故障，必须立即进行提单处理，详细记录故障现象、原因和解决方案，确保故障能够得到及时有效的处理。同时，还要对故障进行深入分析，找出根本原因，防止类似故障再次发生。问题处理过程及时与局方负责人沟通。</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7.3 多云工单处理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总局监控发生问题时，会通过微信群进行通知，通知后会将监控问题通过多云工单下发到各省。要求多云工单在1小时内受理，24小时内处理并反馈。</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7.4 临时工作配合处理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对局方安排的与云平台运维相关的工作，要进行配合，按时按量完成工作。</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四、项目实施要求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1.服务要求：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要提供7*24小时免费产品保修服务（免上门费、人工费及其他相关费用）。包括但不限于软件系统故障处理、技术支持、现场支持、性能调优、每月度远程巡检、每季度现场巡检、软件升级实施服务，技术现场改造等。</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2.投标人实施人员要求：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中标供应商需为本项目配备专门的实施团队，实施团队要求具有类似项目经验。</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中标供应商应选派专人担任项目经理，要求具有2年以上项目管理经验，具有成功实施类似项目的实际经验，熟悉行业情况。</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中标供应商提供驻场运维服务团队内技术支持人员不少于6人。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中标供应商应保证项目组成员的稳定性，如特殊情况需要调整项目组成员的，应提前一个月书面通知招标人，招标人同意后才能安排调整。</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五、项目验收要求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合同签订一年后</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中标供应商准备年度验收总结和验收申请，采购人验收通过后，出具验收报告。</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六、项目技术支持服务要求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1.人员要求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供应商应按采购人要求在项目实施及维保期间派遣服务人员完成指定工作，服务人员所提供的服务必须满足项目实施及技术支持、维保服务的各项要求。供应商提供满足合同资质要求的现场技术服务人员名单，在合同中明确或在合同签订后</w:t>
      </w:r>
      <w:r>
        <w:rPr>
          <w:rFonts w:hint="eastAsia" w:ascii="宋体" w:hAnsi="宋体" w:eastAsia="宋体" w:cs="宋体"/>
          <w:color w:val="auto"/>
          <w:sz w:val="21"/>
          <w:szCs w:val="21"/>
          <w:lang w:val="en-US" w:eastAsia="zh-CN"/>
        </w:rPr>
        <w:t>提</w:t>
      </w:r>
      <w:r>
        <w:rPr>
          <w:rFonts w:hint="eastAsia" w:ascii="宋体" w:hAnsi="宋体" w:eastAsia="宋体" w:cs="宋体"/>
          <w:color w:val="auto"/>
          <w:sz w:val="21"/>
          <w:szCs w:val="21"/>
        </w:rPr>
        <w:t>交采购人需求部门登记备案。如供应商需进行人员变更，应提前将相关材料提交甲方需求部门审核同意后方可进行变更。如服务人员无法满足采购人服务质量要求，采购人有权要求更换服务人员或是提出服务质量改进要求，供应商应在5个工作日内满足采购人要求，否则，采购人视情况严重程度有权终止项目，所有损失由供应商承担。（非有特指，以下条款中服务人员均指供应商服务人员）。</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2.现场服务要求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highlight w:val="none"/>
        </w:rPr>
        <w:t>现场技术服务人员应主动出示身份证件，经采购人需求部门依据备案材料核验通过后方可入场开展技术服务。对未完全解决的问题，服务人员须至少每周与采购人联系，跟踪问题，分析协商处理方案，直至问题解决。若服务人员无法解决故障，需协调原厂商派人解决，由此产生的所有费用由供应商承担。如服务内容为技术调优或故障排除，需由采购人需求部门</w:t>
      </w:r>
      <w:r>
        <w:rPr>
          <w:rFonts w:hint="eastAsia" w:ascii="宋体" w:hAnsi="宋体" w:eastAsia="宋体" w:cs="宋体"/>
          <w:color w:val="auto"/>
          <w:sz w:val="21"/>
          <w:szCs w:val="21"/>
          <w:highlight w:val="none"/>
          <w:lang w:val="en-US" w:eastAsia="zh-CN"/>
        </w:rPr>
        <w:t>同意</w:t>
      </w:r>
      <w:r>
        <w:rPr>
          <w:rFonts w:hint="eastAsia" w:ascii="宋体" w:hAnsi="宋体" w:eastAsia="宋体" w:cs="宋体"/>
          <w:color w:val="auto"/>
          <w:sz w:val="21"/>
          <w:szCs w:val="21"/>
          <w:highlight w:val="none"/>
        </w:rPr>
        <w:t>后方可将设备或软件投入生产。现场技术服务人员在采购人场地工作期间，需严格遵守采购人相关规定，如需携带电子设备进入采购人机房或网点高柜区等核心区域，现场技术服务人员应提前告知采购人陪同人员，且不得随意拍照，不得将采购人重要信息保存至电子设备。如有必须带走或向外发送的信息，需由采购人需求部门现场确认后方可带离场地。</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3.现场服务报告要求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每次现场服务后，服务人员均须向采购人提交服务报告，现场技术服务内容和成果需经双方人员签字确认验收，采购人留存服务验收报告底单或复印件。</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七、税收信息化项目开发和应用管理工作要求</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outlineLvl w:val="1"/>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（一）失信行为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outlineLvl w:val="2"/>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 一般失信行为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（1）违反网络安全管理规定，但未造成不良后果的；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（2）运维服务质量评价上季度得分被扣减较多，且未按承诺改进到位的；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（3）违反合同约定内容，但未造成不良后果的；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（4）不配合监理工作或对监理指出问题整改不到位的；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（5）其他违反规定但未造成不良后果的行为。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outlineLvl w:val="2"/>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 严重失信行为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（1）攻击或侵入税务信息系统（包括 CA 等）； </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（2）违反网络安全管理规定，造成不良后果的；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（3）违反合同约定内容，造成不良后果的；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（4）利用为税务机关提供信息化服务的便利，向纳税人、缴费人搭车收费或变相收费；</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（5）另行开发销售合同业务需求范围内，供纳税人、缴费人使用的软件； </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（6）以明显低于成本的报价恶意竞标；</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（7）存在“ 围猎 ”税务人员行为的； </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（8）违规聘用离职税务人员；</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（9）一年内发生 2 次以上（含 2 次）一般失信行为的； </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（10）其他违反规定造成不良后果的行为。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outlineLvl w:val="1"/>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（二）对失信行为的惩罚</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 部门按规定将其推送财政部纳入政府采购严重违法失信行为记录名单。</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约定对于违反网络安全规定行为造成不良后果的服务商，3 年内限制参加税务系统政府采购活动；经其认定存在失信行为的服务商，3 年内限制参加税收信 息化项目政府采购活动。</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八、其他要求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1.项目保密要求：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（1）双方应对在合同签订或履行过程中所接触的对方信息，包括但不限于知识产权、技术资料、技术诀窍、内部管理及其他相关信息，负有保密义务。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中标供应商在使用用户方为其提供的数据、程序、用户名、口令、资料及采购方相关的业务和技术文档，包括税收政策、方案设计细节、程序文件、数据结构，以及相关业务系统的硬软件、文档、测试和测试产生的数据时，应遵循以下约定:</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应以审慎态度避免泄露、公开或传播用户方的信息;</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未经用户方书面许可，不得对有关信息进行修改、补充、复制: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未经用户方书面许可，不得将信息以任何方式(如 E-mail)携带出采购方场所:</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未经用户方书面许可，不得将信息透露给任何其他人: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用户方以书面形式提出的其他保密措施。</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（3）保密期限不受合同有效期的限制，在合同有效期结束后，信息接受方仍应承担保密义务，直至该等信息成为公开信息。</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（4）双方如出现泄密行为，泄密方应承担相关的法律责任并承担由此给对方造成的经济损失。</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2.知识产权要求：</w:t>
      </w:r>
    </w:p>
    <w:p>
      <w:pPr>
        <w:keepNext w:val="0"/>
        <w:keepLines w:val="0"/>
        <w:pageBreakBefore w:val="0"/>
        <w:kinsoku/>
        <w:wordWrap/>
        <w:overflowPunct w:val="0"/>
        <w:topLinePunct w:val="0"/>
        <w:autoSpaceDE w:val="0"/>
        <w:autoSpaceDN w:val="0"/>
        <w:bidi w:val="0"/>
        <w:adjustRightInd w:val="0"/>
        <w:spacing w:line="360" w:lineRule="auto"/>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中标供应商需保证所提供的服务不侵犯第三方的知识产权（专利权、商标权、版权等），因侵害第三方知识产权而产生的法律责任，全部由中标供应商承担。</w:t>
      </w:r>
    </w:p>
    <w:p>
      <w:pPr>
        <w:rPr>
          <w:rFonts w:hint="eastAsia"/>
          <w:color w:val="auto"/>
        </w:rPr>
      </w:pPr>
      <w:r>
        <w:rPr>
          <w:rFonts w:hint="eastAsia"/>
          <w:color w:val="auto"/>
        </w:rPr>
        <w:br w:type="page"/>
      </w:r>
    </w:p>
    <w:p>
      <w:pPr>
        <w:pStyle w:val="2"/>
        <w:jc w:val="center"/>
        <w:rPr>
          <w:rFonts w:hint="eastAsia" w:eastAsia="宋体"/>
          <w:color w:val="auto"/>
          <w:lang w:val="en-US" w:eastAsia="zh-CN"/>
        </w:rPr>
      </w:pPr>
      <w:r>
        <w:rPr>
          <w:rFonts w:hint="eastAsia"/>
          <w:color w:val="auto"/>
          <w:lang w:val="en-US" w:eastAsia="zh-CN"/>
        </w:rPr>
        <w:t>第二包：多云平台运维项目</w:t>
      </w:r>
    </w:p>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一、</w:t>
      </w:r>
      <w:r>
        <w:rPr>
          <w:rFonts w:hint="eastAsia" w:ascii="宋体" w:hAnsi="宋体" w:eastAsia="宋体" w:cs="宋体"/>
          <w:snapToGrid w:val="0"/>
          <w:color w:val="auto"/>
          <w:sz w:val="21"/>
          <w:szCs w:val="21"/>
        </w:rPr>
        <w:t>项目概述</w:t>
      </w:r>
    </w:p>
    <w:p>
      <w:pPr>
        <w:pStyle w:val="3"/>
        <w:pageBreakBefore w:val="0"/>
        <w:widowControl w:val="0"/>
        <w:kinsoku/>
        <w:wordWrap/>
        <w:overflowPunct/>
        <w:topLinePunct w:val="0"/>
        <w:autoSpaceDE/>
        <w:autoSpaceDN/>
        <w:bidi w:val="0"/>
        <w:spacing w:before="0" w:after="0" w:line="360" w:lineRule="auto"/>
        <w:ind w:left="425" w:hanging="425"/>
        <w:jc w:val="left"/>
        <w:textAlignment w:val="auto"/>
        <w:outlineLvl w:val="1"/>
        <w:rPr>
          <w:rFonts w:hint="eastAsia" w:ascii="宋体" w:hAnsi="宋体" w:eastAsia="宋体" w:cs="宋体"/>
          <w:b w:val="0"/>
          <w:color w:val="auto"/>
          <w:kern w:val="2"/>
          <w:sz w:val="21"/>
          <w:szCs w:val="21"/>
          <w:lang w:val="en-US" w:eastAsia="zh-CN" w:bidi="ar-SA"/>
        </w:rPr>
      </w:pPr>
      <w:r>
        <w:rPr>
          <w:rFonts w:hint="eastAsia" w:ascii="宋体" w:hAnsi="宋体" w:eastAsia="宋体" w:cs="宋体"/>
          <w:b w:val="0"/>
          <w:color w:val="auto"/>
          <w:kern w:val="2"/>
          <w:sz w:val="21"/>
          <w:szCs w:val="21"/>
          <w:lang w:val="en-US" w:eastAsia="zh-CN" w:bidi="ar-SA"/>
        </w:rPr>
        <w:t>（一）项目背景</w:t>
      </w:r>
    </w:p>
    <w:p>
      <w:pPr>
        <w:pStyle w:val="12"/>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国家税务总局</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目前在用的多云运维平台涉及业务功能专业性强、覆盖面宽、集成系统多、对接外部系统多、业务处理链条长，日常应用指导、系统升级、系统维护、数据处理等工作量大、技术能力要求高。单一依托我局现有技术力量难以高质量满足工作需求和要求，为保障系统平稳运行，及时优化系统性能和功能，解决系统运行中的问题，快速处理用户服务请求，确保工作的正常开展，国家税务总局</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税务局需对上述在内的应用信息系统运维服务事项购买相关技术服务。</w:t>
      </w:r>
    </w:p>
    <w:p>
      <w:pPr>
        <w:pStyle w:val="4"/>
        <w:pageBreakBefore w:val="0"/>
        <w:widowControl w:val="0"/>
        <w:kinsoku/>
        <w:wordWrap/>
        <w:overflowPunct/>
        <w:topLinePunct w:val="0"/>
        <w:autoSpaceDE/>
        <w:autoSpaceDN/>
        <w:bidi w:val="0"/>
        <w:spacing w:before="0" w:after="0" w:line="360" w:lineRule="auto"/>
        <w:ind w:left="567" w:hanging="567"/>
        <w:jc w:val="left"/>
        <w:textAlignment w:val="auto"/>
        <w:rPr>
          <w:rFonts w:hint="eastAsia" w:ascii="宋体" w:hAnsi="宋体" w:eastAsia="宋体" w:cs="宋体"/>
          <w:b w:val="0"/>
          <w:color w:val="auto"/>
          <w:kern w:val="2"/>
          <w:sz w:val="21"/>
          <w:szCs w:val="21"/>
          <w:lang w:val="en-US" w:eastAsia="zh-CN" w:bidi="ar-SA"/>
        </w:rPr>
      </w:pPr>
      <w:r>
        <w:rPr>
          <w:rFonts w:hint="eastAsia" w:ascii="宋体" w:hAnsi="宋体" w:eastAsia="宋体" w:cs="宋体"/>
          <w:b w:val="0"/>
          <w:color w:val="auto"/>
          <w:kern w:val="2"/>
          <w:sz w:val="21"/>
          <w:szCs w:val="21"/>
          <w:lang w:val="en-US" w:eastAsia="zh-CN" w:bidi="ar-SA"/>
        </w:rPr>
        <w:t>（二）项目内容</w:t>
      </w:r>
    </w:p>
    <w:p>
      <w:pPr>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rPr>
      </w:pPr>
      <w:bookmarkStart w:id="113" w:name="投标响应要求_Block"/>
      <w:r>
        <w:rPr>
          <w:rFonts w:hint="eastAsia" w:ascii="宋体" w:hAnsi="宋体" w:eastAsia="宋体" w:cs="宋体"/>
          <w:color w:val="auto"/>
          <w:sz w:val="21"/>
          <w:szCs w:val="21"/>
        </w:rPr>
        <w:t>1.项目目标：全面监控本项目所涉应用信息系统的运行情况，在提高整体运行效率的同时，确保应用信息系统应用性能最大程度满足设计要求，建立应用信息系统保障机制，保障系统稳定顺畅提供各项服务，保证各级税务机关工作及纳税人缴费人涉税涉费业务顺利开展。</w:t>
      </w:r>
    </w:p>
    <w:p>
      <w:pPr>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2.需运维的应用信息系统概况：</w:t>
      </w:r>
    </w:p>
    <w:p>
      <w:pPr>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应用覆盖范围包括多云运维平台的1个门户、7个中心，分别为运维门户、监控中心、告警中心、流程中心、配置中心、作业中心、日志中心、知识中心，以及多云运维平台对外提供的各类服务，包括告警接入、外部流程接入、对外提供的集成页面及数据推送。</w:t>
      </w:r>
    </w:p>
    <w:p>
      <w:pPr>
        <w:pStyle w:val="3"/>
        <w:pageBreakBefore w:val="0"/>
        <w:widowControl w:val="0"/>
        <w:kinsoku/>
        <w:wordWrap/>
        <w:overflowPunct/>
        <w:topLinePunct w:val="0"/>
        <w:autoSpaceDE/>
        <w:autoSpaceDN/>
        <w:bidi w:val="0"/>
        <w:spacing w:before="0" w:after="0" w:line="360" w:lineRule="auto"/>
        <w:jc w:val="left"/>
        <w:textAlignment w:val="auto"/>
        <w:rPr>
          <w:rFonts w:hint="eastAsia" w:ascii="宋体" w:hAnsi="宋体" w:eastAsia="宋体" w:cs="宋体"/>
          <w:color w:val="auto"/>
          <w:sz w:val="21"/>
          <w:szCs w:val="21"/>
        </w:rPr>
      </w:pPr>
      <w:r>
        <w:rPr>
          <w:rFonts w:hint="eastAsia" w:ascii="宋体" w:hAnsi="宋体" w:eastAsia="宋体" w:cs="宋体"/>
          <w:snapToGrid w:val="0"/>
          <w:color w:val="auto"/>
          <w:sz w:val="21"/>
          <w:szCs w:val="21"/>
          <w:lang w:eastAsia="zh-CN"/>
        </w:rPr>
        <w:t>二、</w:t>
      </w:r>
      <w:r>
        <w:rPr>
          <w:rFonts w:hint="eastAsia" w:ascii="宋体" w:hAnsi="宋体" w:eastAsia="宋体" w:cs="宋体"/>
          <w:snapToGrid w:val="0"/>
          <w:color w:val="auto"/>
          <w:sz w:val="21"/>
          <w:szCs w:val="21"/>
        </w:rPr>
        <w:t>投标</w:t>
      </w:r>
      <w:r>
        <w:rPr>
          <w:rFonts w:hint="eastAsia" w:ascii="宋体" w:hAnsi="宋体" w:eastAsia="宋体" w:cs="宋体"/>
          <w:snapToGrid w:val="0"/>
          <w:color w:val="auto"/>
          <w:sz w:val="21"/>
          <w:szCs w:val="21"/>
          <w:lang w:val="en"/>
        </w:rPr>
        <w:t>/</w:t>
      </w:r>
      <w:r>
        <w:rPr>
          <w:rFonts w:hint="eastAsia" w:ascii="宋体" w:hAnsi="宋体" w:eastAsia="宋体" w:cs="宋体"/>
          <w:snapToGrid w:val="0"/>
          <w:color w:val="auto"/>
          <w:sz w:val="21"/>
          <w:szCs w:val="21"/>
        </w:rPr>
        <w:t>响应要求</w:t>
      </w:r>
    </w:p>
    <w:bookmarkEnd w:id="113"/>
    <w:p>
      <w:pPr>
        <w:pageBreakBefore w:val="0"/>
        <w:widowControl w:val="0"/>
        <w:kinsoku/>
        <w:wordWrap/>
        <w:overflowPunct/>
        <w:topLinePunct w:val="0"/>
        <w:autoSpaceDE/>
        <w:autoSpaceDN/>
        <w:bidi w:val="0"/>
        <w:spacing w:line="360" w:lineRule="auto"/>
        <w:ind w:firstLine="420" w:firstLineChars="200"/>
        <w:jc w:val="left"/>
        <w:textAlignment w:val="auto"/>
        <w:outlineLvl w:val="1"/>
        <w:rPr>
          <w:rFonts w:hint="eastAsia" w:ascii="宋体" w:hAnsi="宋体" w:eastAsia="宋体" w:cs="宋体"/>
          <w:color w:val="auto"/>
          <w:sz w:val="21"/>
          <w:szCs w:val="21"/>
        </w:rPr>
      </w:pPr>
      <w:bookmarkStart w:id="114" w:name="项目需求_Block"/>
      <w:r>
        <w:rPr>
          <w:rFonts w:hint="eastAsia" w:ascii="宋体" w:hAnsi="宋体" w:eastAsia="宋体" w:cs="宋体"/>
          <w:color w:val="auto"/>
          <w:sz w:val="21"/>
          <w:szCs w:val="21"/>
        </w:rPr>
        <w:t>1.项目理解要求</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（1）投标供应商能够准确理解本次招标运维系统的规模、业务复杂度，准确把握涉及本项目应用信息系统的业务特点并且进行详细阐述。</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（2）投标供应商能够准确理解本次招标运维系统功能划分、主要功能描述并且进行详细阐述。</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（3）投标供应商能够准确理解本次招标运维系统的数据架构、技术架构、应用架构，熟悉掌握涉及的应用关系、部署关系以及数据关系、对外部关联系统已提供的接口类型及用途并且进行详细阐述。</w:t>
      </w:r>
    </w:p>
    <w:p>
      <w:pPr>
        <w:pageBreakBefore w:val="0"/>
        <w:widowControl w:val="0"/>
        <w:kinsoku/>
        <w:wordWrap/>
        <w:overflowPunct/>
        <w:topLinePunct w:val="0"/>
        <w:autoSpaceDE/>
        <w:autoSpaceDN/>
        <w:bidi w:val="0"/>
        <w:spacing w:line="360" w:lineRule="auto"/>
        <w:ind w:firstLine="420" w:firstLineChars="200"/>
        <w:jc w:val="left"/>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2.技术实施运维服务方案要求</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（1）投标供应商应描述针对本项目的技术实施方案。投标供应商应描述所投入运维团队的组织结构及人员，应描述具备在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税务局现场准确实施所运维系统统一升级和维护系统源代码的能力；应描述技术实施的策略、管理、规程、流程等。上述内容描述合理、适宜、全面和高效。</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投标供应商应提供针对本项目的运维服务方案，投标供应商能够根据运维服务需求，实现对异构云平台资源统筹管理，云上、云下应用系统一体运维。实现人员信息、监控信息、工单信息、软硬件配置信息、版本和补丁、运维知识案例等各类运维信息的集中管理，实现“金四”生产系统边建设、边推广、边运转的运维保障要求，支撑省局规范、有序、高效开展各金四系统运维工作，做好金四运维保障。</w:t>
      </w:r>
    </w:p>
    <w:p>
      <w:pPr>
        <w:pStyle w:val="3"/>
        <w:pageBreakBefore w:val="0"/>
        <w:widowControl w:val="0"/>
        <w:kinsoku/>
        <w:wordWrap/>
        <w:overflowPunct/>
        <w:topLinePunct w:val="0"/>
        <w:autoSpaceDE/>
        <w:autoSpaceDN/>
        <w:bidi w:val="0"/>
        <w:spacing w:before="0" w:after="0" w:line="360" w:lineRule="auto"/>
        <w:jc w:val="left"/>
        <w:textAlignment w:val="auto"/>
        <w:outlineLvl w:val="1"/>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三、</w:t>
      </w:r>
      <w:r>
        <w:rPr>
          <w:rFonts w:hint="eastAsia" w:ascii="宋体" w:hAnsi="宋体" w:eastAsia="宋体" w:cs="宋体"/>
          <w:snapToGrid w:val="0"/>
          <w:color w:val="auto"/>
          <w:sz w:val="21"/>
          <w:szCs w:val="21"/>
        </w:rPr>
        <w:t>项目需求</w:t>
      </w:r>
      <w:bookmarkEnd w:id="114"/>
    </w:p>
    <w:p>
      <w:pPr>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rPr>
      </w:pPr>
      <w:bookmarkStart w:id="115" w:name="技术支持服务要求_Block"/>
      <w:r>
        <w:rPr>
          <w:rFonts w:hint="eastAsia" w:ascii="宋体" w:hAnsi="宋体" w:eastAsia="宋体" w:cs="宋体"/>
          <w:color w:val="auto"/>
          <w:sz w:val="21"/>
          <w:szCs w:val="21"/>
        </w:rPr>
        <w:t>中标供应商需对本项目包含的应用信息系统提供运维服务，具体如下：</w:t>
      </w:r>
    </w:p>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多云运维管理平台运维主要工作内容包括以下4个方面：</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（1）多云运维管理平台自身的日常运行保障，包括各功能模块、监控采集、基础环境的维护工作；</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（2）被监控系统的运行监控，包括业务监控、应用监控、基础设施监控等，并发布监控事件；</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（3）协助省局开展运维工作，包括运维人员的权限开通、流程节点维护、告警策略优化调整、新监控工具的实施、增加新的被监控系统。</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（4）维护省局信息化资产配置库，包括配置信息的完善、个性化模型设计、个性化模型采集、第三方数据对接、信息化资产的统计分析支持工作。</w:t>
      </w:r>
    </w:p>
    <w:p>
      <w:pPr>
        <w:pStyle w:val="3"/>
        <w:pageBreakBefore w:val="0"/>
        <w:widowControl w:val="0"/>
        <w:numPr>
          <w:ilvl w:val="0"/>
          <w:numId w:val="0"/>
        </w:numPr>
        <w:kinsoku/>
        <w:wordWrap/>
        <w:overflowPunct/>
        <w:topLinePunct w:val="0"/>
        <w:autoSpaceDE/>
        <w:autoSpaceDN/>
        <w:bidi w:val="0"/>
        <w:spacing w:before="0" w:after="0" w:line="360" w:lineRule="auto"/>
        <w:ind w:leftChars="0"/>
        <w:jc w:val="left"/>
        <w:textAlignment w:val="auto"/>
        <w:outlineLvl w:val="1"/>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四、</w:t>
      </w:r>
      <w:r>
        <w:rPr>
          <w:rFonts w:hint="eastAsia" w:ascii="宋体" w:hAnsi="宋体" w:eastAsia="宋体" w:cs="宋体"/>
          <w:snapToGrid w:val="0"/>
          <w:color w:val="auto"/>
          <w:sz w:val="21"/>
          <w:szCs w:val="21"/>
        </w:rPr>
        <w:t>技术支持服务要求</w:t>
      </w:r>
      <w:bookmarkEnd w:id="115"/>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（一）工作时间要求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中标供应商运维工作时间，应充分考虑</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各市局工作时间的差异，保障基层人员能够及时找到人员进行问题处理及咨询，同时，实行5*8工作制，7*24小时保障系统运行，重点监控系统平台及应用信息系统层面，并根据局方实际工作需要，参与包括节假日在内的各类加班和值班。</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中标供应商派驻税务局方现场的运维技术人员，需列明主要工作资历，并详细说明拟承担的岗位、工作内容等。总驻场运维人数不少于</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人。</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bookmarkStart w:id="116" w:name="项目管理和实施要求_Block"/>
      <w:r>
        <w:rPr>
          <w:rFonts w:hint="eastAsia" w:ascii="宋体" w:hAnsi="宋体" w:eastAsia="宋体" w:cs="宋体"/>
          <w:color w:val="auto"/>
          <w:sz w:val="21"/>
          <w:szCs w:val="21"/>
          <w:lang w:val="en-US" w:eastAsia="zh-CN"/>
        </w:rPr>
        <w:t>（二）</w:t>
      </w:r>
      <w:r>
        <w:rPr>
          <w:rFonts w:hint="eastAsia" w:ascii="宋体" w:hAnsi="宋体" w:eastAsia="宋体" w:cs="宋体"/>
          <w:color w:val="auto"/>
          <w:sz w:val="21"/>
          <w:szCs w:val="21"/>
        </w:rPr>
        <w:t>运维日常工作要求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1.日常监控保障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多云运维平台目前已经完成对电子发票服务平台、统一身份管理平台、新电子税务局、应用支撑平台、税务人端等金四核心应用系统的重点监控，同时总局</w:t>
      </w:r>
      <w:r>
        <w:rPr>
          <w:rFonts w:hint="eastAsia" w:ascii="宋体" w:hAnsi="宋体" w:eastAsia="宋体" w:cs="宋体"/>
          <w:color w:val="auto"/>
          <w:sz w:val="21"/>
          <w:szCs w:val="21"/>
          <w:lang w:val="en-US" w:eastAsia="zh-CN"/>
        </w:rPr>
        <w:t>也已</w:t>
      </w:r>
      <w:r>
        <w:rPr>
          <w:rFonts w:hint="eastAsia" w:ascii="宋体" w:hAnsi="宋体" w:eastAsia="宋体" w:cs="宋体"/>
          <w:color w:val="auto"/>
          <w:sz w:val="21"/>
          <w:szCs w:val="21"/>
        </w:rPr>
        <w:t>通过数据集中对全国核心应用系统进行统一监控。为了省局尽早发现系统故障、及时进行故障处置、问题响应，做好总省协同，提供日常监控保障。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2.平台运维保障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平台作为金四时期的新一代运维管理平台，实现了对运维人员的统一集中管理，金四各应用系统运维人员通过多云运维平台开展运行监控、告警处置、问题流转、版本发布、知识沉淀等工作，并作为工作考核的唯一依据。为了协助省局快速有效开展金四运维工作，</w:t>
      </w:r>
      <w:r>
        <w:rPr>
          <w:rFonts w:hint="eastAsia" w:ascii="宋体" w:hAnsi="宋体" w:eastAsia="宋体" w:cs="宋体"/>
          <w:color w:val="auto"/>
          <w:sz w:val="21"/>
          <w:szCs w:val="21"/>
          <w:lang w:val="en-US" w:eastAsia="zh-CN"/>
        </w:rPr>
        <w:t>需</w:t>
      </w:r>
      <w:r>
        <w:rPr>
          <w:rFonts w:hint="eastAsia" w:ascii="宋体" w:hAnsi="宋体" w:eastAsia="宋体" w:cs="宋体"/>
          <w:color w:val="auto"/>
          <w:sz w:val="21"/>
          <w:szCs w:val="21"/>
        </w:rPr>
        <w:t>提供平台运维保障。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3.监控实施保障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随着金四各应用系统的逐步建设推广以及多云运维平台的逐步升级，为了达到更好的监控效果和覆盖范围，多云运维平台根据需要进行各类监控实施任务。</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4.数据服务保障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多云运维平台已经完成全国推广，各应用系统运维人员通过平台开展运维工作已有一段时间，积累了一定的工单、告警、知识等数据，为了协助省局了解各类运维工作开展情况，支撑运维工作优化改进，</w:t>
      </w:r>
      <w:r>
        <w:rPr>
          <w:rFonts w:hint="eastAsia" w:ascii="宋体" w:hAnsi="宋体" w:eastAsia="宋体" w:cs="宋体"/>
          <w:color w:val="auto"/>
          <w:sz w:val="21"/>
          <w:szCs w:val="21"/>
          <w:lang w:val="en-US" w:eastAsia="zh-CN"/>
        </w:rPr>
        <w:t>需要</w:t>
      </w:r>
      <w:r>
        <w:rPr>
          <w:rFonts w:hint="eastAsia" w:ascii="宋体" w:hAnsi="宋体" w:eastAsia="宋体" w:cs="宋体"/>
          <w:color w:val="auto"/>
          <w:sz w:val="21"/>
          <w:szCs w:val="21"/>
        </w:rPr>
        <w:t>利用平台中的各类数据</w:t>
      </w:r>
      <w:r>
        <w:rPr>
          <w:rFonts w:hint="eastAsia" w:ascii="宋体" w:hAnsi="宋体" w:eastAsia="宋体" w:cs="宋体"/>
          <w:color w:val="auto"/>
          <w:sz w:val="21"/>
          <w:szCs w:val="21"/>
          <w:lang w:val="en-US" w:eastAsia="zh-CN"/>
        </w:rPr>
        <w:t>进行数据分析</w:t>
      </w:r>
      <w:r>
        <w:rPr>
          <w:rFonts w:hint="eastAsia" w:ascii="宋体" w:hAnsi="宋体" w:eastAsia="宋体" w:cs="宋体"/>
          <w:color w:val="auto"/>
          <w:sz w:val="21"/>
          <w:szCs w:val="21"/>
        </w:rPr>
        <w:t>。</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5.配置维护保障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配置管理是运维工作的基石，完整、动态、准确的配置信息是做好监控、告警丰富、故障分析、资源统筹的有利保障，但同时配置管理也是一个需要长期坚持，不断维护的工作。</w:t>
      </w:r>
      <w:r>
        <w:rPr>
          <w:rFonts w:hint="eastAsia" w:ascii="宋体" w:hAnsi="宋体" w:eastAsia="宋体" w:cs="宋体"/>
          <w:color w:val="auto"/>
          <w:sz w:val="21"/>
          <w:szCs w:val="21"/>
          <w:lang w:val="en-US" w:eastAsia="zh-CN"/>
        </w:rPr>
        <w:t>需要对</w:t>
      </w:r>
      <w:r>
        <w:rPr>
          <w:rFonts w:hint="eastAsia" w:ascii="宋体" w:hAnsi="宋体" w:eastAsia="宋体" w:cs="宋体"/>
          <w:color w:val="auto"/>
          <w:sz w:val="21"/>
          <w:szCs w:val="21"/>
        </w:rPr>
        <w:t>多云运维平台配置库采集</w:t>
      </w:r>
      <w:r>
        <w:rPr>
          <w:rFonts w:hint="eastAsia" w:ascii="宋体" w:hAnsi="宋体" w:eastAsia="宋体" w:cs="宋体"/>
          <w:color w:val="auto"/>
          <w:sz w:val="21"/>
          <w:szCs w:val="21"/>
          <w:lang w:val="en-US" w:eastAsia="zh-CN"/>
        </w:rPr>
        <w:t>的</w:t>
      </w:r>
      <w:r>
        <w:rPr>
          <w:rFonts w:hint="eastAsia" w:ascii="宋体" w:hAnsi="宋体" w:eastAsia="宋体" w:cs="宋体"/>
          <w:color w:val="auto"/>
          <w:sz w:val="21"/>
          <w:szCs w:val="21"/>
        </w:rPr>
        <w:t>来源包括金税云平台（覆盖电票、可信、新电局、税智撑、税务人端等应用系统租户的各类云资源信息）、应用支撑平台数据链路（数据链路）、云集平台（关联关系）</w:t>
      </w:r>
      <w:r>
        <w:rPr>
          <w:rFonts w:hint="eastAsia" w:ascii="宋体" w:hAnsi="宋体" w:eastAsia="宋体" w:cs="宋体"/>
          <w:color w:val="auto"/>
          <w:sz w:val="21"/>
          <w:szCs w:val="21"/>
          <w:lang w:val="en-US" w:eastAsia="zh-CN"/>
        </w:rPr>
        <w:t>等进行配置维护管理等</w:t>
      </w:r>
      <w:r>
        <w:rPr>
          <w:rFonts w:hint="eastAsia" w:ascii="宋体" w:hAnsi="宋体" w:eastAsia="宋体" w:cs="宋体"/>
          <w:color w:val="auto"/>
          <w:sz w:val="21"/>
          <w:szCs w:val="21"/>
        </w:rPr>
        <w:t>。</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6.系统运行保障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平台采用微服务架构、容器化管理，部署涉及云上云下基础环境，有众多辅助支撑工具和多品牌数据库，对接云平台、统一身份管理平台、征纳互动、税务人端等多应用系统及平台，环境及策略都比较复杂。为了多云运维平台自身功能、数据采集、外系统对接的正常平稳运行，</w:t>
      </w:r>
      <w:r>
        <w:rPr>
          <w:rFonts w:hint="eastAsia" w:ascii="宋体" w:hAnsi="宋体" w:eastAsia="宋体" w:cs="宋体"/>
          <w:color w:val="auto"/>
          <w:sz w:val="21"/>
          <w:szCs w:val="21"/>
          <w:lang w:val="en-US" w:eastAsia="zh-CN"/>
        </w:rPr>
        <w:t>需要</w:t>
      </w:r>
      <w:r>
        <w:rPr>
          <w:rFonts w:hint="eastAsia" w:ascii="宋体" w:hAnsi="宋体" w:eastAsia="宋体" w:cs="宋体"/>
          <w:color w:val="auto"/>
          <w:sz w:val="21"/>
          <w:szCs w:val="21"/>
        </w:rPr>
        <w:t>提供系统运行保障。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4.3</w:t>
      </w:r>
      <w:r>
        <w:rPr>
          <w:rFonts w:hint="eastAsia" w:ascii="宋体" w:hAnsi="宋体" w:eastAsia="宋体" w:cs="宋体"/>
          <w:color w:val="auto"/>
          <w:sz w:val="21"/>
          <w:szCs w:val="21"/>
        </w:rPr>
        <w:t>服务响应时间要求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合同履行期间，所负责运维系统一旦有紧急事件发生，中标供应商应立即逐级上报并启动应急预案，填写应用信息系统故障排查任务单。若发生重大事项，故障恢复后要填写征期信息系统运行重大事项说明并上报</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网络安全和信息化领导小组办公室。对征期发生重大事项且四小时未能解决的，扣减运维服务方当月10%的运维费用。因系统监控、风险排查不到位或运维人员操作不当引发的重大事项，扣减运维服务方当月10%的运维费用。全年同一系统连续两次发生重大事项的，采购方有权终止合同或扣减全年20%的运维费用。若发生重大安全事件，按照相关法律程序办理，并扣减全年20%的运维费用。</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信息系统重大事项是指出现业务阻断、系统停机、系统卡顿30分钟以上的情况，或者出现重大安全事件，以及导致纳税人回流办税服务厅、引发负面舆情、法定或重点工作无法按期完成的问题。</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1.维护响应时间</w:t>
      </w:r>
    </w:p>
    <w:tbl>
      <w:tblPr>
        <w:tblStyle w:val="27"/>
        <w:tblW w:w="91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6"/>
        <w:gridCol w:w="2432"/>
        <w:gridCol w:w="43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5" w:type="dxa"/>
            <w:tcBorders>
              <w:top w:val="single" w:color="auto" w:sz="4" w:space="0"/>
              <w:left w:val="single" w:color="auto" w:sz="4" w:space="0"/>
              <w:bottom w:val="single" w:color="auto" w:sz="4" w:space="0"/>
              <w:right w:val="single" w:color="auto" w:sz="4" w:space="0"/>
            </w:tcBorders>
            <w:shd w:val="pct10" w:color="auto" w:fill="auto"/>
            <w:vAlign w:val="center"/>
          </w:tcPr>
          <w:p>
            <w:pPr>
              <w:pageBreakBefore w:val="0"/>
              <w:widowControl w:val="0"/>
              <w:kinsoku/>
              <w:wordWrap/>
              <w:overflowPunct/>
              <w:topLinePunct w:val="0"/>
              <w:autoSpaceDE/>
              <w:autoSpaceDN/>
              <w:bidi w:val="0"/>
              <w:spacing w:line="360" w:lineRule="auto"/>
              <w:ind w:firstLine="316" w:firstLineChars="15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支持类型</w:t>
            </w:r>
          </w:p>
        </w:tc>
        <w:tc>
          <w:tcPr>
            <w:tcW w:w="2430" w:type="dxa"/>
            <w:tcBorders>
              <w:top w:val="single" w:color="auto" w:sz="4" w:space="0"/>
              <w:left w:val="single" w:color="auto" w:sz="4" w:space="0"/>
              <w:bottom w:val="single" w:color="auto" w:sz="4" w:space="0"/>
              <w:right w:val="single" w:color="auto" w:sz="4" w:space="0"/>
            </w:tcBorders>
            <w:shd w:val="pct10" w:color="auto" w:fill="auto"/>
            <w:vAlign w:val="center"/>
          </w:tcPr>
          <w:p>
            <w:pPr>
              <w:pageBreakBefore w:val="0"/>
              <w:widowControl w:val="0"/>
              <w:kinsoku/>
              <w:wordWrap/>
              <w:overflowPunct/>
              <w:topLinePunct w:val="0"/>
              <w:autoSpaceDE/>
              <w:autoSpaceDN/>
              <w:bidi w:val="0"/>
              <w:spacing w:line="360" w:lineRule="auto"/>
              <w:ind w:firstLine="422" w:firstLineChars="20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响应标准</w:t>
            </w:r>
          </w:p>
        </w:tc>
        <w:tc>
          <w:tcPr>
            <w:tcW w:w="4389" w:type="dxa"/>
            <w:tcBorders>
              <w:top w:val="single" w:color="auto" w:sz="4" w:space="0"/>
              <w:left w:val="single" w:color="auto" w:sz="4" w:space="0"/>
              <w:bottom w:val="single" w:color="auto" w:sz="4" w:space="0"/>
              <w:right w:val="single" w:color="auto" w:sz="4" w:space="0"/>
            </w:tcBorders>
            <w:shd w:val="pct10" w:color="auto" w:fill="auto"/>
            <w:vAlign w:val="center"/>
          </w:tcPr>
          <w:p>
            <w:pPr>
              <w:pageBreakBefore w:val="0"/>
              <w:widowControl w:val="0"/>
              <w:kinsoku/>
              <w:wordWrap/>
              <w:overflowPunct/>
              <w:topLinePunct w:val="0"/>
              <w:autoSpaceDE/>
              <w:autoSpaceDN/>
              <w:bidi w:val="0"/>
              <w:spacing w:line="360" w:lineRule="auto"/>
              <w:ind w:firstLine="1370" w:firstLineChars="65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2295"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操作问题解答</w:t>
            </w:r>
          </w:p>
        </w:tc>
        <w:tc>
          <w:tcPr>
            <w:tcW w:w="243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现场及时答复</w:t>
            </w:r>
          </w:p>
        </w:tc>
        <w:tc>
          <w:tcPr>
            <w:tcW w:w="438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420" w:firstLineChars="200"/>
              <w:jc w:val="center"/>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2295"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数据修改</w:t>
            </w:r>
          </w:p>
        </w:tc>
        <w:tc>
          <w:tcPr>
            <w:tcW w:w="243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小于2个工作日</w:t>
            </w:r>
          </w:p>
        </w:tc>
        <w:tc>
          <w:tcPr>
            <w:tcW w:w="438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从问题流转到中标供应商开始计算</w:t>
            </w:r>
          </w:p>
        </w:tc>
      </w:tr>
    </w:tbl>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2.故障响应时间</w:t>
      </w:r>
    </w:p>
    <w:tbl>
      <w:tblPr>
        <w:tblStyle w:val="27"/>
        <w:tblW w:w="91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1"/>
        <w:gridCol w:w="3951"/>
        <w:gridCol w:w="3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471" w:type="dxa"/>
            <w:tcBorders>
              <w:top w:val="single" w:color="auto" w:sz="4" w:space="0"/>
              <w:left w:val="single" w:color="auto" w:sz="4" w:space="0"/>
              <w:bottom w:val="single" w:color="auto" w:sz="4" w:space="0"/>
              <w:right w:val="single" w:color="auto" w:sz="4" w:space="0"/>
            </w:tcBorders>
            <w:shd w:val="clear" w:color="auto" w:fill="E6E6E6"/>
            <w:vAlign w:val="center"/>
          </w:tcPr>
          <w:p>
            <w:pPr>
              <w:pageBreakBefore w:val="0"/>
              <w:widowControl w:val="0"/>
              <w:kinsoku/>
              <w:wordWrap/>
              <w:overflowPunct/>
              <w:topLinePunct w:val="0"/>
              <w:autoSpaceDE/>
              <w:autoSpaceDN/>
              <w:bidi w:val="0"/>
              <w:spacing w:line="360" w:lineRule="auto"/>
              <w:ind w:firstLine="105" w:firstLineChars="5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故障等级</w:t>
            </w:r>
          </w:p>
        </w:tc>
        <w:tc>
          <w:tcPr>
            <w:tcW w:w="3951" w:type="dxa"/>
            <w:tcBorders>
              <w:top w:val="single" w:color="auto" w:sz="4" w:space="0"/>
              <w:left w:val="single" w:color="auto" w:sz="4" w:space="0"/>
              <w:bottom w:val="single" w:color="auto" w:sz="4" w:space="0"/>
              <w:right w:val="single" w:color="auto" w:sz="4" w:space="0"/>
            </w:tcBorders>
            <w:shd w:val="clear" w:color="auto" w:fill="E6E6E6"/>
            <w:vAlign w:val="center"/>
          </w:tcPr>
          <w:p>
            <w:pPr>
              <w:pageBreakBefore w:val="0"/>
              <w:widowControl w:val="0"/>
              <w:kinsoku/>
              <w:wordWrap/>
              <w:overflowPunct/>
              <w:topLinePunct w:val="0"/>
              <w:autoSpaceDE/>
              <w:autoSpaceDN/>
              <w:bidi w:val="0"/>
              <w:spacing w:line="360" w:lineRule="auto"/>
              <w:ind w:firstLine="1160" w:firstLineChars="55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现象描述</w:t>
            </w:r>
          </w:p>
        </w:tc>
        <w:tc>
          <w:tcPr>
            <w:tcW w:w="3743" w:type="dxa"/>
            <w:tcBorders>
              <w:top w:val="single" w:color="auto" w:sz="4" w:space="0"/>
              <w:left w:val="single" w:color="auto" w:sz="4" w:space="0"/>
              <w:bottom w:val="single" w:color="auto" w:sz="4" w:space="0"/>
              <w:right w:val="single" w:color="auto" w:sz="4" w:space="0"/>
            </w:tcBorders>
            <w:shd w:val="clear" w:color="auto" w:fill="E6E6E6"/>
            <w:vAlign w:val="center"/>
          </w:tcPr>
          <w:p>
            <w:pPr>
              <w:pageBreakBefore w:val="0"/>
              <w:widowControl w:val="0"/>
              <w:kinsoku/>
              <w:wordWrap/>
              <w:overflowPunct/>
              <w:topLinePunct w:val="0"/>
              <w:autoSpaceDE/>
              <w:autoSpaceDN/>
              <w:bidi w:val="0"/>
              <w:spacing w:line="360" w:lineRule="auto"/>
              <w:ind w:firstLine="1054" w:firstLineChars="50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响应时间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4" w:hRule="atLeast"/>
          <w:jc w:val="center"/>
        </w:trPr>
        <w:tc>
          <w:tcPr>
            <w:tcW w:w="147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严重程度I</w:t>
            </w:r>
          </w:p>
        </w:tc>
        <w:tc>
          <w:tcPr>
            <w:tcW w:w="395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导致</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税务局的业务系统完全丧失服务功能，对业务至关重要的工作无法继续进行，如数据库主机宕。</w:t>
            </w:r>
          </w:p>
        </w:tc>
        <w:tc>
          <w:tcPr>
            <w:tcW w:w="3743"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非硬件故障和非系统软件本身BUG问题引起的宕机30分钟内恢复系统运行；</w:t>
            </w:r>
          </w:p>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硬件故障和系统软件本身BUG问题应立即与局方协调，主机故障解决时间要视厂商解决时间。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47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严重程度Ⅱ</w:t>
            </w:r>
          </w:p>
        </w:tc>
        <w:tc>
          <w:tcPr>
            <w:tcW w:w="395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系统中关键功能实现错误，直接导致业务无法正常进行并且无补救措施。</w:t>
            </w:r>
          </w:p>
        </w:tc>
        <w:tc>
          <w:tcPr>
            <w:tcW w:w="3743"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47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严重程度Ⅲ</w:t>
            </w:r>
          </w:p>
        </w:tc>
        <w:tc>
          <w:tcPr>
            <w:tcW w:w="395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系统中非关键功能实现错误，单一模块不能继续运转或错误，但不影响业务的正常进。</w:t>
            </w:r>
          </w:p>
        </w:tc>
        <w:tc>
          <w:tcPr>
            <w:tcW w:w="3743"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147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严重程序Ⅳ</w:t>
            </w:r>
          </w:p>
        </w:tc>
        <w:tc>
          <w:tcPr>
            <w:tcW w:w="395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系统中非关键功能实现错误，如系统操作时间过长，界面需要改进等，但不影响系统正常运转。</w:t>
            </w:r>
          </w:p>
        </w:tc>
        <w:tc>
          <w:tcPr>
            <w:tcW w:w="3743"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bookmarkEnd w:id="116"/>
    </w:tbl>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bookmarkStart w:id="117" w:name="税收信息化项目开发和应用管理工作要求_Block"/>
      <w:r>
        <w:rPr>
          <w:rFonts w:hint="eastAsia" w:ascii="宋体" w:hAnsi="宋体" w:eastAsia="宋体" w:cs="宋体"/>
          <w:snapToGrid w:val="0"/>
          <w:color w:val="auto"/>
          <w:sz w:val="21"/>
          <w:szCs w:val="21"/>
          <w:lang w:eastAsia="zh-CN"/>
        </w:rPr>
        <w:t>五、</w:t>
      </w:r>
      <w:r>
        <w:rPr>
          <w:rFonts w:hint="eastAsia" w:ascii="宋体" w:hAnsi="宋体" w:eastAsia="宋体" w:cs="宋体"/>
          <w:snapToGrid w:val="0"/>
          <w:color w:val="auto"/>
          <w:sz w:val="21"/>
          <w:szCs w:val="21"/>
        </w:rPr>
        <w:t>项目管理和实施要求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r>
        <w:rPr>
          <w:rFonts w:hint="eastAsia" w:ascii="宋体" w:hAnsi="宋体" w:eastAsia="宋体" w:cs="宋体"/>
          <w:color w:val="auto"/>
          <w:sz w:val="21"/>
          <w:szCs w:val="21"/>
        </w:rPr>
        <w:t>（一）安全及保密要求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项目合同期内，中标供应商要严格遵守局方的各项运维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二</w:t>
      </w:r>
      <w:r>
        <w:rPr>
          <w:rFonts w:hint="eastAsia" w:ascii="宋体" w:hAnsi="宋体" w:eastAsia="宋体" w:cs="宋体"/>
          <w:color w:val="auto"/>
          <w:sz w:val="21"/>
          <w:szCs w:val="21"/>
        </w:rPr>
        <w:t>）人员变动要求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中标供应商合同期内，投标时所列人员如有变化，需提前一个月向用户方提出人员变更申请，在确认不影响运维工作的情况下，经局方许可后，方可调换人员。并保证一段时间的并行转换期。</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三</w:t>
      </w:r>
      <w:r>
        <w:rPr>
          <w:rFonts w:hint="eastAsia" w:ascii="宋体" w:hAnsi="宋体" w:eastAsia="宋体" w:cs="宋体"/>
          <w:color w:val="auto"/>
          <w:sz w:val="21"/>
          <w:szCs w:val="21"/>
        </w:rPr>
        <w:t>）考核要求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中标供应商应严格按照采购方相关应用信息系统运维管理要求开展运维工作，接受采购方的定期考核，并承诺接受采购方考核要求。对采购方提出的按照考核成绩与合同款项支付挂钩的安排不提出异议。</w:t>
      </w:r>
    </w:p>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六、</w:t>
      </w:r>
      <w:r>
        <w:rPr>
          <w:rFonts w:hint="eastAsia" w:ascii="宋体" w:hAnsi="宋体" w:eastAsia="宋体" w:cs="宋体"/>
          <w:snapToGrid w:val="0"/>
          <w:color w:val="auto"/>
          <w:sz w:val="21"/>
          <w:szCs w:val="21"/>
        </w:rPr>
        <w:t>验收要求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本项目运维服务结束15日内，采购方对中标供应商的运维服务进行验收，中标供应商需向采购方提供以下验收材料：</w:t>
      </w:r>
    </w:p>
    <w:tbl>
      <w:tblPr>
        <w:tblStyle w:val="27"/>
        <w:tblW w:w="92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1"/>
        <w:gridCol w:w="2590"/>
        <w:gridCol w:w="2739"/>
        <w:gridCol w:w="2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1142" w:type="dxa"/>
            <w:tcBorders>
              <w:top w:val="single" w:color="auto" w:sz="4" w:space="0"/>
              <w:left w:val="single" w:color="auto" w:sz="4" w:space="0"/>
              <w:bottom w:val="single" w:color="auto" w:sz="4" w:space="0"/>
              <w:right w:val="single" w:color="auto" w:sz="4" w:space="0"/>
            </w:tcBorders>
            <w:shd w:val="clear" w:color="auto" w:fill="EEECE1"/>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编号</w:t>
            </w:r>
          </w:p>
        </w:tc>
        <w:tc>
          <w:tcPr>
            <w:tcW w:w="2590" w:type="dxa"/>
            <w:tcBorders>
              <w:top w:val="single" w:color="auto" w:sz="4" w:space="0"/>
              <w:left w:val="single" w:color="auto" w:sz="4" w:space="0"/>
              <w:bottom w:val="single" w:color="auto" w:sz="4" w:space="0"/>
              <w:right w:val="single" w:color="auto" w:sz="4" w:space="0"/>
            </w:tcBorders>
            <w:shd w:val="clear" w:color="auto" w:fill="EEECE1"/>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文档</w:t>
            </w:r>
          </w:p>
        </w:tc>
        <w:tc>
          <w:tcPr>
            <w:tcW w:w="2739" w:type="dxa"/>
            <w:tcBorders>
              <w:top w:val="single" w:color="auto" w:sz="4" w:space="0"/>
              <w:left w:val="single" w:color="auto" w:sz="4" w:space="0"/>
              <w:bottom w:val="single" w:color="auto" w:sz="4" w:space="0"/>
              <w:right w:val="single" w:color="auto" w:sz="4" w:space="0"/>
            </w:tcBorders>
            <w:shd w:val="clear" w:color="auto" w:fill="EEECE1"/>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说明</w:t>
            </w:r>
          </w:p>
        </w:tc>
        <w:tc>
          <w:tcPr>
            <w:tcW w:w="2740" w:type="dxa"/>
            <w:tcBorders>
              <w:top w:val="single" w:color="auto" w:sz="4" w:space="0"/>
              <w:left w:val="single" w:color="auto" w:sz="4" w:space="0"/>
              <w:bottom w:val="single" w:color="auto" w:sz="4" w:space="0"/>
              <w:right w:val="single" w:color="auto" w:sz="4" w:space="0"/>
            </w:tcBorders>
            <w:shd w:val="clear" w:color="auto" w:fill="EEECE1"/>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提交形式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运维项目合同及附件</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无</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运维人员清单</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需注明姓名</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运维工作计划（含人员清单，各类运维活动安排）</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列出运维服务中包括的服务类型，运维服务人员的组织结构。</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4</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运维工作实施流程</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各类运维活动的实施流程，如故障响应流程、问题处理流程。</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5</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运维工作量记录（实际发生）</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记录运维工作实际工作量的记录，如果没有相关记录，提供相关人员上下班打卡或同等记录。</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6</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运维工作周报告</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开展运维工作时的日志，记录各项工作实施情况。</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7</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运维工作月报告</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开展运维工作时的日志，记录各项工作实施情况。</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8</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运维工作年报告</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开展运维工作时的日志，记录各项工作实施情况。</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9</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运维问题记录</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记录运维工作中处理的各种系统问题，如无详细记录，提供各类问题的大致数量供后续验证，或提供系统运行日志。</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10</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巡检记录等运维过程当中的相关文档</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相关巡检记录等其他开展运维活动时产生的记录。</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bookmarkEnd w:id="117"/>
    </w:tbl>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bookmarkStart w:id="118" w:name="其他要求_Block"/>
      <w:r>
        <w:rPr>
          <w:rFonts w:hint="eastAsia" w:ascii="宋体" w:hAnsi="宋体" w:eastAsia="宋体" w:cs="宋体"/>
          <w:snapToGrid w:val="0"/>
          <w:color w:val="auto"/>
          <w:sz w:val="21"/>
          <w:szCs w:val="21"/>
          <w:lang w:eastAsia="zh-CN"/>
        </w:rPr>
        <w:t>七、</w:t>
      </w:r>
      <w:r>
        <w:rPr>
          <w:rFonts w:hint="eastAsia" w:ascii="宋体" w:hAnsi="宋体" w:eastAsia="宋体" w:cs="宋体"/>
          <w:snapToGrid w:val="0"/>
          <w:color w:val="auto"/>
          <w:sz w:val="21"/>
          <w:szCs w:val="21"/>
        </w:rPr>
        <w:t>税收信息化项目开发和应用管理工作要求</w:t>
      </w:r>
      <w:bookmarkEnd w:id="118"/>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（一）失信行为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 一般失信行为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（1）违反网络安全管理规定，但未造成不良后果的；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（2）运维服务质量评价上季度得分被扣减较多，且未按承诺改进到位的；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（3）违反合同约定内容，但未造成不良后果的；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（4）不配合监理工作或对监理指出问题整改不到位的；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（5）其他违反规定但未造成不良后果的行为。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 严重失信行为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（1）攻击或侵入税务信息系统（包括 CA 等）； </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（2）违反网络安全管理规定，造成不良后果的；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（3）违反合同约定内容，造成不良后果的；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（4）利用为税务机关提供信息化服务的便利，向纳税人、缴费人搭车收费或变相收费；</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（5）另行开发销售合同业务需求范围内，供纳税人、缴费人使用的软件； </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（6）以明显低于成本的报价恶意竞标；</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（7）存在“ 围猎 ”税务人员行为的； </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（8）违规聘用离职税务人员；</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（9）一年内发生 2 次以上（含 2 次）一般失信行为的； </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（10）其他违反规定造成不良后果的行为。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（二）对失信行为的惩罚</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 部门按规定将其推送财政部纳入政府采购严重违法失信行为记录名单。</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约定对于违反网络安全规定行为造成不良后果的服务商，3 年内限制参加税务系统政府采购活动；经其认定存在失信行为的服务商，3 年内限制参加税收信 息化项目政府采购活动。</w:t>
      </w:r>
    </w:p>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八、</w:t>
      </w:r>
      <w:r>
        <w:rPr>
          <w:rFonts w:hint="eastAsia" w:ascii="宋体" w:hAnsi="宋体" w:eastAsia="宋体" w:cs="宋体"/>
          <w:snapToGrid w:val="0"/>
          <w:color w:val="auto"/>
          <w:sz w:val="21"/>
          <w:szCs w:val="21"/>
        </w:rPr>
        <w:t>其他要求</w:t>
      </w:r>
    </w:p>
    <w:p>
      <w:pPr>
        <w:pageBreakBefore w:val="0"/>
        <w:widowControl w:val="0"/>
        <w:kinsoku/>
        <w:wordWrap/>
        <w:overflowPunct/>
        <w:topLinePunct w:val="0"/>
        <w:autoSpaceDE/>
        <w:autoSpaceDN/>
        <w:bidi w:val="0"/>
        <w:snapToGrid w:val="0"/>
        <w:spacing w:line="360" w:lineRule="auto"/>
        <w:ind w:firstLine="420" w:firstLineChars="200"/>
        <w:jc w:val="left"/>
        <w:textAlignment w:val="auto"/>
        <w:outlineLvl w:val="0"/>
        <w:rPr>
          <w:rFonts w:hint="eastAsia" w:ascii="宋体" w:hAnsi="宋体" w:eastAsia="宋体" w:cs="宋体"/>
          <w:color w:val="auto"/>
          <w:sz w:val="21"/>
          <w:szCs w:val="21"/>
        </w:rPr>
      </w:pPr>
      <w:bookmarkStart w:id="119" w:name="_Hlk176469252"/>
      <w:r>
        <w:rPr>
          <w:rFonts w:hint="eastAsia" w:ascii="宋体" w:hAnsi="宋体" w:eastAsia="宋体" w:cs="宋体"/>
          <w:color w:val="auto"/>
          <w:kern w:val="0"/>
          <w:sz w:val="21"/>
          <w:szCs w:val="21"/>
        </w:rPr>
        <w:t>（一）项目保密要求：</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1.双方应对在合同签订或履行过程中所接触的对方信息，包括但不限于知识产权、技术资料、技术诀窍、内部管理及其他相关信息，负有保密义务。</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2.</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rPr>
        <w:t>在使用用户方为其提供的数据、程序、用户名、口令、资料及甲方相关的业务和技术文档，包括方案设计细节、程序文件、数据结构，以及相关业务系统的硬软件、文档、测试和测试产生的数据时，应遵循以下约定:</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（1）应以审慎态度避免泄露、公开或传播用户方的信息;</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（2）未经用户方书面许可，不得对有关信息进行修改、补充、复制;</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（3）未经用户方书面许可，不得将信息以任何方式(如 E-mail)携带出甲方场所;</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（4）未经用户方书面许可，不得将信息透露给任何其他人;</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（5） 用户方以书面形式提出的其他保密措施。</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3.保密期限不受合同有效期的限制，在合同有效期结束后，信息接受方仍应承担保密义务，直至该等信息成为公开信息。</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4.双方如出现泄密行为，泄密方应承担相关的法律责任并承担由此给对方造成的经济损失。</w:t>
      </w:r>
    </w:p>
    <w:p>
      <w:pPr>
        <w:pageBreakBefore w:val="0"/>
        <w:widowControl w:val="0"/>
        <w:kinsoku/>
        <w:wordWrap/>
        <w:overflowPunct/>
        <w:topLinePunct w:val="0"/>
        <w:autoSpaceDE/>
        <w:autoSpaceDN/>
        <w:bidi w:val="0"/>
        <w:snapToGrid w:val="0"/>
        <w:spacing w:line="360" w:lineRule="auto"/>
        <w:ind w:firstLine="420" w:firstLineChars="200"/>
        <w:jc w:val="left"/>
        <w:textAlignment w:val="auto"/>
        <w:outlineLvl w:val="0"/>
        <w:rPr>
          <w:rFonts w:hint="eastAsia" w:ascii="宋体" w:hAnsi="宋体" w:eastAsia="宋体" w:cs="宋体"/>
          <w:color w:val="auto"/>
          <w:sz w:val="21"/>
          <w:szCs w:val="21"/>
        </w:rPr>
      </w:pPr>
      <w:r>
        <w:rPr>
          <w:rFonts w:hint="eastAsia" w:ascii="宋体" w:hAnsi="宋体" w:eastAsia="宋体" w:cs="宋体"/>
          <w:color w:val="auto"/>
          <w:kern w:val="0"/>
          <w:sz w:val="21"/>
          <w:szCs w:val="21"/>
        </w:rPr>
        <w:t>（二）知识产权要求：</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中标</w:t>
      </w:r>
      <w:r>
        <w:rPr>
          <w:rFonts w:hint="eastAsia" w:ascii="宋体" w:hAnsi="宋体" w:eastAsia="宋体" w:cs="宋体"/>
          <w:color w:val="auto"/>
          <w:sz w:val="21"/>
          <w:szCs w:val="21"/>
        </w:rPr>
        <w:t>供应商</w:t>
      </w:r>
      <w:r>
        <w:rPr>
          <w:rFonts w:hint="eastAsia" w:ascii="宋体" w:hAnsi="宋体" w:eastAsia="宋体" w:cs="宋体"/>
          <w:color w:val="auto"/>
          <w:kern w:val="0"/>
          <w:sz w:val="21"/>
          <w:szCs w:val="21"/>
        </w:rPr>
        <w:t>需保证所提供的服务不侵犯第三方的知识产权（专利权、商标权、版权等），因侵害第三方知识产权而产生的法律责任，全部由中标方承担。</w:t>
      </w:r>
    </w:p>
    <w:p>
      <w:pPr>
        <w:pageBreakBefore w:val="0"/>
        <w:widowControl w:val="0"/>
        <w:kinsoku/>
        <w:wordWrap/>
        <w:overflowPunct/>
        <w:topLinePunct w:val="0"/>
        <w:autoSpaceDE/>
        <w:autoSpaceDN/>
        <w:bidi w:val="0"/>
        <w:snapToGrid w:val="0"/>
        <w:spacing w:line="360" w:lineRule="auto"/>
        <w:ind w:firstLine="420" w:firstLineChars="200"/>
        <w:jc w:val="left"/>
        <w:textAlignment w:val="auto"/>
        <w:outlineLvl w:val="0"/>
        <w:rPr>
          <w:rFonts w:hint="eastAsia" w:ascii="宋体" w:hAnsi="宋体" w:eastAsia="宋体" w:cs="宋体"/>
          <w:color w:val="auto"/>
          <w:sz w:val="21"/>
          <w:szCs w:val="21"/>
          <w:lang w:bidi="ar"/>
        </w:rPr>
      </w:pPr>
      <w:r>
        <w:rPr>
          <w:rFonts w:hint="eastAsia" w:ascii="宋体" w:hAnsi="宋体" w:eastAsia="宋体" w:cs="宋体"/>
          <w:color w:val="auto"/>
          <w:kern w:val="0"/>
          <w:sz w:val="21"/>
          <w:szCs w:val="21"/>
        </w:rPr>
        <w:t>（三）</w:t>
      </w:r>
      <w:r>
        <w:rPr>
          <w:rFonts w:hint="eastAsia" w:ascii="宋体" w:hAnsi="宋体" w:eastAsia="宋体" w:cs="宋体"/>
          <w:color w:val="auto"/>
          <w:kern w:val="0"/>
          <w:sz w:val="21"/>
          <w:szCs w:val="21"/>
          <w:lang w:bidi="ar"/>
        </w:rPr>
        <w:t>其他要求：</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依据《国家税务总局办公厅关于修订&lt;税务系统信息化服务商失信行为记录名单制度(试行)&gt;的通知》（税总办征科发〔2022〕1号）相关规定，本项目不采购税务系统失信记录名单中的服务提供商提供的产品及服务。</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kern w:val="0"/>
          <w:sz w:val="21"/>
          <w:szCs w:val="21"/>
          <w:lang w:eastAsia="zh-CN" w:bidi="ar"/>
        </w:rPr>
      </w:pPr>
      <w:r>
        <w:rPr>
          <w:rFonts w:hint="eastAsia" w:ascii="宋体" w:hAnsi="宋体" w:eastAsia="宋体" w:cs="宋体"/>
          <w:color w:val="auto"/>
          <w:kern w:val="0"/>
          <w:sz w:val="21"/>
          <w:szCs w:val="21"/>
          <w:lang w:bidi="ar"/>
        </w:rPr>
        <w:t>通知文件互联网链接：</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http://www.chinatax.gov.cn/chinatax/n810341/n810825/c101434/c5172093/content.html</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2.信息化项目使用的供应链产品提供要满足国家网络安全规范和认证要求。</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 xml:space="preserve">3. </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要建立网络安全负责人制度。每个项目均要设置网络安全负责人，组织落实各项网络安全要求。</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4. 投标人应提高安全责任意识，严控产品安全质量；建立清晰的软件供应链安全策略，明确相关的管理目标、工作流程、检查内容、责任部门等；严控上游，尤其重点管控开源代码的使用，确保使用的开源代码符合开源许可协议，形成第三方组件清单和安全分析报告，禁止使用存在高安全风险或已停止维护的第三方组件；严控自主开发代码的质量，采用软件源代码安全分析工具，持续检测和修复软件源代码中的安全缺陷和漏洞；建立完善的产品漏洞响应机制，包括产品漏洞信息的收集、漏洞报告渠道的建立和维护、漏洞补丁的开发和发布、客户端漏洞应急响应和修复支持等。发现网络安全漏洞、缺陷、数据泄露或其他重大网络安全风险，及时向采购人进行报告，不得擅自公开或向第三方提供。</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5.项目实施前及实施期间，</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要对参与项目人员进行网络和数据安全、技能等方面培训、考核、警示教育等。</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6.应用系统上线前，</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要进行安全功能测试（包括漏洞扫描、渗透测试、源代码审计、基线核查）。</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7.应用系统上线前，</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要提交供应链产品清单、第三方组件使用清单、安全测试报告、源代码审计报告、等保测评报告、供应链安全自查报告等。</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8.采购人要对</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方参与项目人员开展背景审查，</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需项目人员提供无犯罪记录证明，公司和个人均签署保密协议、网络安全承诺书等。</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9.</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应配置独立的内部代码管理平台，且不与互联网链接。严禁将源代码上传第三方平台，严禁使用互联网代码托管平台。</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10.</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不得另行开发合同业务需求范围内，供纳税人、缴费人使用的软件。不得利用产品和服务的使得条件非法获取数据、非法控制和操纵设备，无正当理由不中断产品供应或必要技术支持服务等，如违反上述条款，将被纳入失信名单。</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11.</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违反国家税务总局</w:t>
      </w:r>
      <w:r>
        <w:rPr>
          <w:rFonts w:hint="eastAsia" w:ascii="宋体" w:hAnsi="宋体" w:eastAsia="宋体" w:cs="宋体"/>
          <w:color w:val="auto"/>
          <w:kern w:val="0"/>
          <w:sz w:val="21"/>
          <w:szCs w:val="21"/>
          <w:lang w:eastAsia="zh-CN" w:bidi="ar"/>
        </w:rPr>
        <w:t>黑龙江省</w:t>
      </w:r>
      <w:r>
        <w:rPr>
          <w:rFonts w:hint="eastAsia" w:ascii="宋体" w:hAnsi="宋体" w:eastAsia="宋体" w:cs="宋体"/>
          <w:color w:val="auto"/>
          <w:kern w:val="0"/>
          <w:sz w:val="21"/>
          <w:szCs w:val="21"/>
          <w:lang w:bidi="ar"/>
        </w:rPr>
        <w:t>税务局及其上级主管部门制定的网络安全规定行为造成不良后果的，将被纳入失信名单，3年内限制参加税务系统政府采购活动。</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12.</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不得在合同履行期间“围猎”税务人员。如违反上述条款，将被纳入失信名单，3年内限制参加税务系统政府采购活动。</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13.</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应建立防止违法违规聘用离职税务人员风险控制制度，如出现违法违规聘用离职税务人员行为，采购人有权采取以下措施：要求限期改正、要求支付违约金、解除合同、3年内限制参加所聘人员原单位及下属单位信息化项目政府采购活动等。</w:t>
      </w:r>
    </w:p>
    <w:bookmarkEnd w:id="119"/>
    <w:p>
      <w:pPr>
        <w:rPr>
          <w:rFonts w:hint="eastAsia"/>
          <w:color w:val="auto"/>
        </w:rPr>
      </w:pPr>
      <w:r>
        <w:rPr>
          <w:rFonts w:hint="eastAsia"/>
          <w:color w:val="auto"/>
        </w:rPr>
        <w:br w:type="page"/>
      </w:r>
    </w:p>
    <w:p>
      <w:pPr>
        <w:pStyle w:val="2"/>
        <w:jc w:val="center"/>
        <w:rPr>
          <w:rFonts w:hint="default" w:eastAsia="宋体"/>
          <w:color w:val="auto"/>
          <w:lang w:val="en-US" w:eastAsia="zh-CN"/>
        </w:rPr>
      </w:pPr>
      <w:r>
        <w:rPr>
          <w:rFonts w:hint="eastAsia"/>
          <w:color w:val="auto"/>
          <w:lang w:val="en-US" w:eastAsia="zh-CN"/>
        </w:rPr>
        <w:t>第三包：</w:t>
      </w:r>
      <w:r>
        <w:rPr>
          <w:rFonts w:hint="eastAsia"/>
          <w:color w:val="auto"/>
        </w:rPr>
        <w:t>决策管理指挥平台运维项目</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一、项目概述</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项目背景</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全面监控决策管理指挥平台系统运行情况，在提高整体运行效率的同时，确保应用信息系统稳定运行，建立应用信息系统保障机制。依托运维管理平台，保障我省决策管理指挥平台安全、稳定运行，各项事务性工作的高效及时处置运行故障。除提供各系统日常问题处理以外，还要为保障各系统稳定、快速、高效的运行提供系统巡检、健康检查、系统优化等服务；为满足总局、省局的日常工作需要提供服务。服务期限1年，本项目含驻场工程师1人，预算20.625万元。</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项目内容</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该项目供应商应成立国家税务总局黑龙江省税务局决策管理指挥平台运维服务项目组，全面负责国家税务总局黑龙江省税务局（以下简称采购人）决策管理指挥平台的日常升级等运维服务工作。具体包括：</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依托运维管理平台，保障我省决策管理指挥平台安全、稳定运行，各项事务性工作的高效及时处置运行故障，系统稳定的运行。除提供各系统日常问题处理以外，还要为保障各系统稳定、快速、高效的运行提供系统巡检、健康检查、系统优化等服务；为满足总局、省局的日常工作需要提供服务。</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（三）</w:t>
      </w:r>
      <w:r>
        <w:rPr>
          <w:rFonts w:hint="eastAsia" w:ascii="宋体" w:hAnsi="宋体" w:eastAsia="宋体" w:cs="宋体"/>
          <w:color w:val="auto"/>
          <w:sz w:val="21"/>
          <w:szCs w:val="21"/>
        </w:rPr>
        <w:t>项目总体要求：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1、供应商技术人员须按照采购人的要求，参与省局相关系统后台技术支持服务。</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2、供应商技术人员须每天对各应用系统的运行进行监控，对授权范围内的故障及时进行排除，对于授权范围外的故障及时向相关主管人员报告；每天应记录系统运行日志。</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3、定期对系统进行优化，保证系统运行性能。</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4、做好应用软件、运行数据的备份工作。</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5、对系统故障或程序错误造成的数据错误，在授权范围内进行数据调整。</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6、对于收集到的系统运行问题，负责给予答复和处理解决。</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7、供应商须保证派出人员能胜任相关技术工作，具有上述系统的技术服务经验，且要保证技术人员的稳定性和连续性，并提前做好人力储备。如供应商派出人员的合同到期或申请离职，供应商必须提前1个月通知采购人，并立即从技术支持单位后备人员库中经考核后，选择合格人员进行工作熟悉和交接，确保正常工作不受影响，因供应商无法保证人员连续性造成全部损失由供应商承担，并酌情从运行维护费用中扣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8、对于供应商开发的系统，在不影响日常运维工作的情况下，如系统应用中发现问题或需要完善，须按照采购人要求，对于相关功能进行优化完善。</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9、供应商技术人员的日常工作管理和工作纪律管理由采购人统一负责，供应商须协助做好技术人员的工作纪律管理和工作质量监督，对不合格的技术人员须按照采购人要求在一个月内调整到位。</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10、供应商技术人员应当是供应商单位的正式人员，或者是与供应商单位签订1年以上劳动合同且实际工作满1年的人员，驻场人员应当为技术骨干。</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b/>
          <w:bCs/>
          <w:color w:val="auto"/>
          <w:sz w:val="21"/>
          <w:szCs w:val="21"/>
        </w:rPr>
      </w:pPr>
      <w:r>
        <w:rPr>
          <w:rFonts w:hint="eastAsia" w:ascii="宋体" w:hAnsi="宋体" w:eastAsia="宋体" w:cs="宋体"/>
          <w:color w:val="auto"/>
          <w:sz w:val="21"/>
          <w:szCs w:val="21"/>
        </w:rPr>
        <w:t>二、投标</w:t>
      </w:r>
      <w:r>
        <w:rPr>
          <w:rFonts w:hint="eastAsia" w:ascii="宋体" w:hAnsi="宋体" w:eastAsia="宋体" w:cs="宋体"/>
          <w:color w:val="auto"/>
          <w:sz w:val="21"/>
          <w:szCs w:val="21"/>
          <w:lang w:val="en"/>
        </w:rPr>
        <w:t>/</w:t>
      </w:r>
      <w:r>
        <w:rPr>
          <w:rFonts w:hint="eastAsia" w:ascii="宋体" w:hAnsi="宋体" w:eastAsia="宋体" w:cs="宋体"/>
          <w:color w:val="auto"/>
          <w:sz w:val="21"/>
          <w:szCs w:val="21"/>
        </w:rPr>
        <w:t>响应要求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投标人需提供完整的技术方案，至少包括项目需求理解、技术方案、实施方案、验收方案、技术支持服务方案等内容。</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三、项目需求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本项目中，应承担的工作主要包含以下四类：应用系统日常维护、系统运行环境维护、数据基础管理服务、培训以及承担的其他工作，问题事件统一通过使用运维服务管理平台进行流转和处理。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1.应用系统日常维护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应用信息系统的日常维护主要是指保障省级系统正常运行而必须要做的日常保障性工作，如针对用户问题的解答、系统的日常维护等。局方各级系统用户在使用应用信息系统的过程中遇到影响使用的情况，可以通过电话形式向运维管理部门提出咨询，运维技术人员根据反映的问题类型进行相应的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（1）操作类问题处理：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操作人员对系统的基本操作和业务流程操作不熟悉，造成业务处理无法正常进行时，针对这些问题，运维技术人员将通过电话指导操作人员完成操作。</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（2）程序问题处理：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包括程序错误和程序优化，如软件处理方式与实际的业务处理方式不符或者软件性能已经不能满足正常的使用等等。</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系统版本由总局控制，运维技术人员不得修改程序。运维技术人员接收到问题，并确认是程序错误后，应向用户给出临时解决办法，并将问题提交给二线运维技术人员。由二线运维技术人员确认后，提交总局运维平台。</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 系统运行环境维护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对相关数据库服务器和应用服务器进行监控问题处理。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（1）主机日常维护：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主机监控指标（CPU利用率、磁盘I/O等）及正常范围。维护人员每日对主机进行定时采样并记录；</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当维护人员发现可能影响系统运行的征兆时，及时通知局方运维负责人。如需停机维护，由运维技术人员提交《维护申请》，说明维护原因、影响范围、工作计划，经局方运维负责人同意后进行维护；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维护人员按要求对各类数据进行备份；</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维护人员按要求提交《主机运行情况报告》，报告系统汇报主机该时间段内运行情况，并对发现的问题提出解决建议；</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（2）数据库日常维护：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定期对影响应用信息系统的数据库各部分（包括：实例状况、日志、表空间、文件空间、监听）进行检查，并记录检查情况；</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定期收集反映数据库运行情况的数据，监控数据库运行效率；</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当发现可能影响应用信息系统运行的征兆时，及时通知局方运维负责人。如需停机维护，由运维技术人员提交《停机申请》，说明维护原因、影响范围、工作计划，经局方运维负责人同意后，尽量在不影响系统正常运行的情况下调整数据库，保证系统稳定运行；</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每天检查数据备份情况，保证数据备份完整可用，以备紧急情况下对系统的快速恢复，并配合局方做好应用信息系统灾备建设与恢复演练工作；</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 xml:space="preserve">按要求提交《数据库运行情况报告》，汇报数据库该时间段内运行情况，并对发现的问题提出解决建议；数据库实例的安装、升级等其他日常性维护工作。 </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（3）系统故障处理: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当应用信息系统出现程序错误或运行环境故障时，运维技术人员应在第一时间做出响应，并立即启动相应的处理流程，通知局方运维负责人，详细描述故障现象和可能的发生原因以及建议的解决办法，首先保证系统能在最短的时间内恢复基本运行。属于硬件发生故障、系统软件本身问题等原因的，由局方协助共同分析解决。故障解决之后，3个工作日之内运维技术人员应编制《事故处理报告》，提交局方相关人员，确认文档接收。《故障处理报告》中需要包含的内容有：故障描述、故障产生的原因、故障的解决办法、在以后日常维护工作中应该采取的措施等；</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应确保对每一次故障所提交的《故障处理报告》，对所涉及到的故障描述清晰、原因明确、解决办法切实合理。故障判断时，涉及到第三方故障原因的，投标人应通过局方协调第三方公司，以便明确原因、避免故障的重复发生。</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投标人应严格控制重复故障的发生频率，原则上不允许出现可控的重大故障的重复。</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（4）系统定期健康检查:</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按要求中标方应组织相关的技术专家组对主机、操作系统、数据库、中间件等系统运行环境进行健康检查，并形成健康检查报告。</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3. 系统调整和优化</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四、项目实施要求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项目管理和实施要求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供应商必须承诺对整个系统建设质量和工程进度负总责，供应商应充分理解黑龙江省税务局的需求，妥善解决系统建设中出现的各种问题，确保系统按期完工。供应商要负责与本项目相关项目的软硬件管理平台接口部署、调试及集成工作。供应商要尽可能保护原有软硬件资源，通过改造或者升级，将原有设备接入到新系统。</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软件系统部署地点为黑龙江省税务局指定地点，实施过程主要包括项目启动、部署安装、系统验收等环节。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主要包括总体要求、进度管理要求、质量管理要求、安全管理要求、变更管理要求、</w:t>
      </w:r>
      <w:bookmarkStart w:id="120" w:name="_Toc767987252"/>
      <w:bookmarkStart w:id="121" w:name="_Toc1084834651"/>
      <w:bookmarkStart w:id="122" w:name="_Toc1713624403"/>
      <w:bookmarkStart w:id="123" w:name="_Toc9579"/>
      <w:bookmarkStart w:id="124" w:name="_Toc2075987874"/>
      <w:bookmarkStart w:id="125" w:name="_Toc1997912278"/>
      <w:bookmarkStart w:id="126" w:name="_Toc1452583843"/>
      <w:r>
        <w:rPr>
          <w:rFonts w:hint="eastAsia" w:ascii="宋体" w:hAnsi="宋体" w:eastAsia="宋体" w:cs="宋体"/>
          <w:color w:val="auto"/>
          <w:sz w:val="21"/>
          <w:szCs w:val="21"/>
        </w:rPr>
        <w:t>开发管理要求</w:t>
      </w:r>
      <w:bookmarkEnd w:id="120"/>
      <w:bookmarkEnd w:id="121"/>
      <w:bookmarkEnd w:id="122"/>
      <w:bookmarkEnd w:id="123"/>
      <w:bookmarkEnd w:id="124"/>
      <w:bookmarkEnd w:id="125"/>
      <w:bookmarkEnd w:id="126"/>
      <w:bookmarkStart w:id="127" w:name="_Toc415824599"/>
      <w:bookmarkStart w:id="128" w:name="_Toc356213330"/>
      <w:bookmarkStart w:id="129" w:name="_Toc1055864728"/>
      <w:bookmarkStart w:id="130" w:name="_Toc576322785"/>
      <w:bookmarkStart w:id="131" w:name="_Toc1662518945"/>
      <w:bookmarkStart w:id="132" w:name="_Toc44069609"/>
      <w:bookmarkStart w:id="133" w:name="_Toc1085416379"/>
      <w:bookmarkStart w:id="134" w:name="_Toc1378781728"/>
      <w:bookmarkStart w:id="135" w:name="_Toc1117"/>
      <w:r>
        <w:rPr>
          <w:rFonts w:hint="eastAsia" w:ascii="宋体" w:hAnsi="宋体" w:eastAsia="宋体" w:cs="宋体"/>
          <w:color w:val="auto"/>
          <w:sz w:val="21"/>
          <w:szCs w:val="21"/>
        </w:rPr>
        <w:t>（包括需求分析、概要设计、详细设计、编码实现等）、测试</w:t>
      </w:r>
      <w:bookmarkEnd w:id="127"/>
      <w:bookmarkEnd w:id="128"/>
      <w:r>
        <w:rPr>
          <w:rFonts w:hint="eastAsia" w:ascii="宋体" w:hAnsi="宋体" w:eastAsia="宋体" w:cs="宋体"/>
          <w:color w:val="auto"/>
          <w:sz w:val="21"/>
          <w:szCs w:val="21"/>
        </w:rPr>
        <w:t>管理要求</w:t>
      </w:r>
      <w:bookmarkEnd w:id="129"/>
      <w:bookmarkEnd w:id="130"/>
      <w:bookmarkEnd w:id="131"/>
      <w:bookmarkEnd w:id="132"/>
      <w:bookmarkEnd w:id="133"/>
      <w:bookmarkEnd w:id="134"/>
      <w:bookmarkEnd w:id="135"/>
      <w:r>
        <w:rPr>
          <w:rFonts w:hint="eastAsia" w:ascii="宋体" w:hAnsi="宋体" w:eastAsia="宋体" w:cs="宋体"/>
          <w:color w:val="auto"/>
          <w:sz w:val="21"/>
          <w:szCs w:val="21"/>
        </w:rPr>
        <w:t>（包括测试准备、实验室环境测试、用户环境测试、安全测试）、推广实施要求等。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项目组织和人员要求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项目组织</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项目建设过程中必须加强组织领导，确保顺利实施。投标人必须建立合理的项目团队和组织机构，明确各岗位的人员配备和职责要求，建立保障项目顺利实施的各项管理制度和质量保证体系，保证项目人员充足、结构合理，确保项目顺利进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人员要求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供应商应提供本项目组的分工安排、详细的人员组成情况等，对于重要岗位人员需要提供详细的简历，包括但不限于姓名、年龄、技术职称、工作年限、相关证书、工作经验等。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（1）整个系统建设周期内，供应商须派驻稳定的实施团队（含项目经理、项目技术负责人、技术实施人员、软件部署人员等）正常开展项目建设工作，应对各种突发事件，确保整体系统正常调试、部署及运行。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（2）供应商需为本项目专门设置一名项目经理，在项目建设期间对项目各项活动负责。项目经理必须具有项目管理专业知识、技能与经验。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服务团队成员必须是供应商公司在职员工，核心人员需具备3年以上相关工作经验；运维人员应当是运维单位的正式人员，或者是与运维单位签订1年以上劳动合同且实际工作满1年的人员，常驻外包运维人员应当为技术骨干。</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（4）供应商应承诺保持项目团队稳定，未经用户方同意，项目经理和技术负责人在项目整体验收前不得变更。</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（5）如项目负责人在服务期内中途离职，所更换人员必须书面报经招标人同意。（团队成员需提供社会保险证明和案例证明）。</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人员变动要求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中标方合同期内，投标时所列人员如有变化，需提前一个月向用户方提出《人员变更申请》，在确认不影响运维工作的情况下，经局方许可后，方可调换人员。并保证一段时间的并行转换期。</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五、项目验收要求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验收工作由招标人组织实施，投标人应完成项目验收的相关验收场景和资料的准备。</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验收标准</w:t>
      </w:r>
      <w:r>
        <w:rPr>
          <w:rFonts w:hint="eastAsia" w:ascii="宋体" w:hAnsi="宋体" w:eastAsia="宋体" w:cs="宋体"/>
          <w:color w:val="auto"/>
          <w:sz w:val="21"/>
          <w:szCs w:val="21"/>
        </w:rPr>
        <w:tab/>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验收的原则和依据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本着保证质量、注重应用、功能适用的原则，以本项目招标文件、合同和业务需求及相关技术标准规范为验收的主要依据。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2.验收标准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）系统运行正常。</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）招标文件和合同要求全部完成，并满足要求。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）各种技术文档和验收资料完备，符合合同的内容。</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）系统监控和数据处理符合信息安全的要求。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）合同或合同附件规定的其他验收条件。</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项目验收</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投标人应根据合同约定验收的要求以及验收工作的内容，协助制定验收方案；</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投标人应为验收工作准备相应的验收环境和所需资料；</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协助招标人全面、准确验证软件的各项功能模块是否达到标准；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协助招标人全面、准确验证软件的各项性能是否能达到要求；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投标人应对验收中发现的问题制定详细明确的处理方案并及时修改；</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投标人必须按招标人要求提交移交物清单及清单所列内容的最终版本（包括纸制和电子版），并经招标人签字确认；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投标人协助编写并提交验收报告等文档。</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（三）</w:t>
      </w:r>
      <w:r>
        <w:rPr>
          <w:rFonts w:hint="eastAsia" w:ascii="宋体" w:hAnsi="宋体" w:eastAsia="宋体" w:cs="宋体"/>
          <w:color w:val="auto"/>
          <w:sz w:val="21"/>
          <w:szCs w:val="21"/>
        </w:rPr>
        <w:t>交付物要求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1、验收方案</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内容包括但不限于：详细描述验收目的、验收内容、技术条件、验收方法、进度安排、人员组成、验收准则、验收数据准备等。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2、验收报告</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内容包括但不仅限于：详细描述和总结验收依据、验收内容、验收过程、验收准则、验收报告结论存在问题、优化完善建议等。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3、移交物清单及交付物</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内容包括但不局限于：管理文档、用户文档、上线相关文档等。</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六、项目技术支持服务要求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技术支持和服务的目标是保障系统始终在良好的状态下运行，尽量及时发现和消除故障隐患，在系统发生问题时，能以最快的速度得到修复，让用户满意。在合同规定的维护期内负责对本项目的所有系统及相关系统使用人员提供技术支持，对系统出现的技术缺陷予以修改。</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技术支持和服务工作将遵守以下原则：</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1、按照招标书的要求为本系统的运行提供及时、高效、全方位的技术支持与服务；</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2、以热情、诚挚的态度，优质、过硬的技术服务于用户；</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3、不但要理解用户提出的要求，还要力求预知用户潜在的要求；不仅要为用户提供一流的产品，而且还要提供一流的服务；</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4、以先进的管理提高服务的效率；以出色的服务态度建立良好的服务界面；以科学的方法为用户提供满意的服务；</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5、通过对受理的服务请求进行归档整理，针对系统形成常见问题解决手册，为系统的正常运行提供经验支持；</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6、充分保护项目单位的投资和效益，充分满足项目单位的需要，充分减轻项目单位的负担；</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7、在对用户的服务过程中，重视用户对服务质量的满意度。</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技术服务内容</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应用信息系统日常维护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应用信息系统的日常维护主要是指保障省级集中系统正常运行而必须要做的日常保障性工作，如针对用户问题的解答（仅面向各级税务干部）、数据的日常维护等。局方各级系统用户在使用应用信息系统的过程中遇到影响使用的情况，可以通过电话或运维工单形式向运维管理部门提出咨询和数据修改要求，运维技术人员根据反映的问题类型进行相应的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（1）操作类问题处理：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操作人员对应用信息系统上述业务的基本操作和业务流程操作不熟悉，造成业务处理无法正常进行时，针对这些问题，运维技术人员将通过电话指导操作人员完成操作。针对有共性的问题应该进行提炼和总结，并维护到知识库中。</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（2）程序问题处理：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包括程序错误和程序优化，如软件处理方式与实际的业务处理方式不符或者软件性能已经不能满足正常的使用等等。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应用信息系统版本由总局控制，运维技术人员不得修改程序。运维技术人员接收到问题，并确认是程序错误后，应向用户给出临时解决办法，并将问题提交给二线运维技术人员。由二线运维技术人员确认后，通过单一接口提交总局运维平台。</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（3）业务问题处理：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运维技术人员首先要记录问题的内容、提出人及联系方式，经确认是当前未能明确的业务问题时，转发运维管理部门或相关处室，运维管理部门或相关处室反馈后，运维技术人员通过电话、运维平台等反馈给问题提交人。</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（4）数据修改类问题处理：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日常运维过程中，如出现需要对系统后台数据进行修改或调整的情况。运维技术人员应遵循相应的审批流程后，进行修改操作。</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（三）</w:t>
      </w:r>
      <w:r>
        <w:rPr>
          <w:rFonts w:hint="eastAsia" w:ascii="宋体" w:hAnsi="宋体" w:eastAsia="宋体" w:cs="宋体"/>
          <w:color w:val="auto"/>
          <w:sz w:val="21"/>
          <w:szCs w:val="21"/>
        </w:rPr>
        <w:t>系统运行环境维护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包括本合同期内已有及新上线并通过验收的与省级集中系统相关的软、硬件环境。对相关数据库服务器和应用服务器进行监控问题处理。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（1）主机日常维护：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主机监控指标（CPU利用率、磁盘I/O等）及正常范围。维护人员每日对主机进行定时采样并记录；</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当维护人员发现可能影响系统运行的征兆时，及时通知局方运维负责人。如需停机维护，由运维技术人员提交《维护申请》，说明维护原因、影响范围、工作计划，经局方运维负责人同意后进行维护；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维护人员按要求对各类数据进行备份；</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维护人员按要求提交《主机运行情况报告》，报告系统汇报主机该时间段内运行情况，并对发现的问题提出解决建议；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（2）数据库日常维护：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定期对影响应用信息系统的数据库各部分（包括：实例状况、日志、表空间、文件空间、监听）进行检查，并记录检查情况；</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定期收集反映数据库运行情况的数据，监控数据库运行效率；</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当发现可能影响应用信息系统运行的征兆时，及时通知局方运维负责人。如需停机维护，由运维技术人员提交《停机申请》，说明维护原因、影响范围、工作计划，经局方运维负责人同意后，尽量在不影响系统正常运行的情况下调整数据库，保证系统稳定运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每天检查数据备份情况，保证数据备份完整可用，以备紧急情况下对系统的快速恢复，并配合局方做好应用信息系统灾备建设与恢复演练工作；</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 xml:space="preserve">按要求提交《数据库运行情况报告》，汇报数据库该时间段内运行情况，并对发现的问题提出解决建议；数据库实例的安装、升级等其他日常性维护工作。 </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（3）系统故障处理: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当应用信息系统出现程序错误或运行环境故障时，运维技术人员应在第一时间做出响应，并立即启动相应的处理流程，通知局方运维负责人，详细描述故障现象和可能的发生原因以及建议的解决办法，首先保证系统能在最短的时间内恢复基本运行。属于硬件发生故障、系统软件本身问题等原因的，由局方协助共同分析解决。故障解决之后，3个工作日之内运维技术人员应编制《事故处理报告》，提交局方相关人员，确认文档接收。《故障处理报告》中需要包含的内容有：故障描述、故障产生的原因、故障的解决办法、在以后日常维护工作中应该采取的措施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确保对每一次故障所提交的《故障处理报告》，对所涉及到的故障描述清晰、原因明确、解决办法切实合理。故障判断时，涉及到第三方故障原因的，投标人应通过局方协调第三方公司，以便明确原因、避免故障的重复发生。</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投标人应严格控制重复故障的发生频率，原则上不允许出现可控的重大故障的重复。</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（4）系统定期健康检查:</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按要求中标方应组织相关的技术专家组对主机、操作系统、数据库、中间件等系统运行环境进行健康检查，并形成健康检查报告。</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系统调整和优化</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（四）</w:t>
      </w:r>
      <w:r>
        <w:rPr>
          <w:rFonts w:hint="eastAsia" w:ascii="宋体" w:hAnsi="宋体" w:eastAsia="宋体" w:cs="宋体"/>
          <w:color w:val="auto"/>
          <w:sz w:val="21"/>
          <w:szCs w:val="21"/>
        </w:rPr>
        <w:t>服务期限要求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供应商提供技术支持服务，服务期限5个月。</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（五）</w:t>
      </w:r>
      <w:r>
        <w:rPr>
          <w:rFonts w:hint="eastAsia" w:ascii="宋体" w:hAnsi="宋体" w:eastAsia="宋体" w:cs="宋体"/>
          <w:color w:val="auto"/>
          <w:sz w:val="21"/>
          <w:szCs w:val="21"/>
        </w:rPr>
        <w:t>服务方式要求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服务方式包括但不限于驻场服务、现场服务、热线、网络等远程服务等。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（六）</w:t>
      </w:r>
      <w:r>
        <w:rPr>
          <w:rFonts w:hint="eastAsia" w:ascii="宋体" w:hAnsi="宋体" w:eastAsia="宋体" w:cs="宋体"/>
          <w:color w:val="auto"/>
          <w:sz w:val="21"/>
          <w:szCs w:val="21"/>
        </w:rPr>
        <w:t>服务人员要求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供应商应提供本项目组的分工安排、详细的人员组成情况等，对于重要岗位人员需要提供详细的简历，包括但不限于姓名、年龄、技术职称、工作年限、相关证书、工作经验等。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整个系统建设周期内，供应商须派驻稳定的实施团队（含项目经理、项目技术负责人、技术实施人员、软件部署人员等）正常开展项目建设工作，应对各种突发事件，确保整体系统正常调试、部署及运行。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供应商需为本项目专门设置一名项目经理，在项目建设期间对项目各项活动负责。项目经理必须具有项目管理专业知识、技能与经验。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服务团队成员必须是供应商公司在职员工，核心人员需具备3年以上相关工作经验；运维人员应当是运维单位的正式人员，或者是与运维单位签订1年以上劳动合同且实际工作满1年的人员，常驻外包运维人员应当为技术骨干。</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供应商应承诺保持项目团队稳定，未经用户方同意，项目经理和技术负责人在项目整体验收前不得变更。</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如项目负责人在服务期内中途离职，所更换人</w:t>
      </w:r>
      <w:r>
        <w:rPr>
          <w:rFonts w:hint="eastAsia" w:ascii="宋体" w:hAnsi="宋体" w:eastAsia="宋体" w:cs="宋体"/>
          <w:iCs/>
          <w:color w:val="auto"/>
          <w:sz w:val="21"/>
          <w:szCs w:val="21"/>
        </w:rPr>
        <w:t>员必须书</w:t>
      </w:r>
      <w:r>
        <w:rPr>
          <w:rFonts w:hint="eastAsia" w:ascii="宋体" w:hAnsi="宋体" w:eastAsia="宋体" w:cs="宋体"/>
          <w:color w:val="auto"/>
          <w:sz w:val="21"/>
          <w:szCs w:val="21"/>
        </w:rPr>
        <w:t>面报经招标人同意。（团队成员需提供社会保险证明和案例证明）。</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（七）</w:t>
      </w:r>
      <w:r>
        <w:rPr>
          <w:rFonts w:hint="eastAsia" w:ascii="宋体" w:hAnsi="宋体" w:eastAsia="宋体" w:cs="宋体"/>
          <w:color w:val="auto"/>
          <w:sz w:val="21"/>
          <w:szCs w:val="21"/>
        </w:rPr>
        <w:t>服务管理要求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中标方应严格按照采购方相关应用信息系统实施管理要求开展实施工作，接受采购方的定期考核，并承诺接受采购方考核要求。对采购方提出的按照考核成绩与合同款项支付挂钩的安排不提出异议。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（八）</w:t>
      </w:r>
      <w:r>
        <w:rPr>
          <w:rFonts w:hint="eastAsia" w:ascii="宋体" w:hAnsi="宋体" w:eastAsia="宋体" w:cs="宋体"/>
          <w:color w:val="auto"/>
          <w:sz w:val="21"/>
          <w:szCs w:val="21"/>
        </w:rPr>
        <w:t>服务响应时间要求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合同履行期间，所负责运维系统一旦有紧急事件发生，中标方应立即逐级上报并启动应急预案，填写应用信息系统故障排查任务单。若发生重大事项，故障恢复后要填写征期信息系统运行重大事项说明并上报黑龙江省税务局网络安全和信息化领导小组办公室。对征期发生重大事项且四小时未能解决的，扣减运维服务方当月1%的运维费用。因系统监控、风险排查不到位或运维人员操作不当引发的重大事项，扣减运维服务方当月2%的运维费用。全年同一系统连续两次发生重大事项的，采购方有权终止合同或扣减全年4%的运维费用。若发生重大安全事件，按照相关法律程序办理，并扣减全年5%的运维费用。</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信息系统重大事项是指出现业务阻断、系统停机、系统卡顿30分钟以上的情况，或者出现重大安全事件，以及引发负面舆情、法定或重点工作无法按期完成的问题。</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1)维护响应时间</w:t>
      </w:r>
    </w:p>
    <w:tbl>
      <w:tblPr>
        <w:tblStyle w:val="27"/>
        <w:tblW w:w="47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44"/>
        <w:gridCol w:w="2162"/>
        <w:gridCol w:w="38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5" w:type="dxa"/>
            <w:shd w:val="pct10" w:color="auto" w:fill="auto"/>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支持类型</w:t>
            </w:r>
          </w:p>
        </w:tc>
        <w:tc>
          <w:tcPr>
            <w:tcW w:w="2430" w:type="dxa"/>
            <w:shd w:val="pct10" w:color="auto" w:fill="auto"/>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响应标准</w:t>
            </w:r>
          </w:p>
        </w:tc>
        <w:tc>
          <w:tcPr>
            <w:tcW w:w="4389" w:type="dxa"/>
            <w:shd w:val="pct10" w:color="auto" w:fill="auto"/>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2295"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操作问题解答</w:t>
            </w:r>
          </w:p>
        </w:tc>
        <w:tc>
          <w:tcPr>
            <w:tcW w:w="2430"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现场及时答复</w:t>
            </w:r>
          </w:p>
        </w:tc>
        <w:tc>
          <w:tcPr>
            <w:tcW w:w="4389"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2295"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数据修改</w:t>
            </w:r>
          </w:p>
        </w:tc>
        <w:tc>
          <w:tcPr>
            <w:tcW w:w="2430"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小于2个工作日</w:t>
            </w:r>
          </w:p>
        </w:tc>
        <w:tc>
          <w:tcPr>
            <w:tcW w:w="4389"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从问题流转到中标方开始计算</w:t>
            </w:r>
          </w:p>
        </w:tc>
      </w:tr>
    </w:tbl>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2)故障响应时间</w:t>
      </w:r>
    </w:p>
    <w:tbl>
      <w:tblPr>
        <w:tblStyle w:val="27"/>
        <w:tblW w:w="47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9"/>
        <w:gridCol w:w="3665"/>
        <w:gridCol w:w="2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3" w:hRule="atLeast"/>
          <w:jc w:val="center"/>
        </w:trPr>
        <w:tc>
          <w:tcPr>
            <w:tcW w:w="1646" w:type="dxa"/>
            <w:shd w:val="clear" w:color="auto" w:fill="E6E6E6"/>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故障等级</w:t>
            </w:r>
          </w:p>
        </w:tc>
        <w:tc>
          <w:tcPr>
            <w:tcW w:w="4253" w:type="dxa"/>
            <w:shd w:val="clear" w:color="auto" w:fill="E6E6E6"/>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现象描述</w:t>
            </w:r>
          </w:p>
        </w:tc>
        <w:tc>
          <w:tcPr>
            <w:tcW w:w="3457" w:type="dxa"/>
            <w:shd w:val="clear" w:color="auto" w:fill="E6E6E6"/>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响应时间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4" w:hRule="atLeast"/>
          <w:jc w:val="center"/>
        </w:trPr>
        <w:tc>
          <w:tcPr>
            <w:tcW w:w="1646"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严重程度I</w:t>
            </w:r>
          </w:p>
        </w:tc>
        <w:tc>
          <w:tcPr>
            <w:tcW w:w="4253"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导致黑龙江省税务局的业务系统完全丧失服务功能，对业务至关重要的工作无法继续进行，如数据库主机宕。</w:t>
            </w:r>
          </w:p>
        </w:tc>
        <w:tc>
          <w:tcPr>
            <w:tcW w:w="3457"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非硬件故障和非系统软件本身BUG问题引起的宕机30分钟内恢复系统运行；</w:t>
            </w:r>
          </w:p>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硬件故障和系统软件本身BUG问题应立即与局方协调，主机故障解决时间要视厂商解决时间。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646"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严重程度Ⅱ</w:t>
            </w:r>
          </w:p>
        </w:tc>
        <w:tc>
          <w:tcPr>
            <w:tcW w:w="4253"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系统中关键功能实现错误，直接导致业务无法正常进行并且无补救措施。</w:t>
            </w:r>
          </w:p>
        </w:tc>
        <w:tc>
          <w:tcPr>
            <w:tcW w:w="3457"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646"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严重程度Ⅲ</w:t>
            </w:r>
          </w:p>
        </w:tc>
        <w:tc>
          <w:tcPr>
            <w:tcW w:w="4253"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系统中非关键功能实现错误，单一模块不能继续运转或错误，但不影响业务的正常进。</w:t>
            </w:r>
          </w:p>
        </w:tc>
        <w:tc>
          <w:tcPr>
            <w:tcW w:w="3457"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1646"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严重程序Ⅳ</w:t>
            </w:r>
          </w:p>
        </w:tc>
        <w:tc>
          <w:tcPr>
            <w:tcW w:w="4253"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系统中非关键功能实现错误，如系统操作时间过长，界面需要改进等，但不影响系统正常运转。</w:t>
            </w:r>
          </w:p>
        </w:tc>
        <w:tc>
          <w:tcPr>
            <w:tcW w:w="3457"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bl>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七、税收信息化项目开发和应用管理工作要求</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（一）失信行为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 一般失信行为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（1）违反网络安全管理规定，但未造成不良后果的；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（2）运维服务质量评价上季度得分被扣减较多，且未按承诺改进到位的；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（3）违反合同约定内容，但未造成不良后果的；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（4）不配合监理工作或对监理指出问题整改不到位的；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（5）其他违反规定但未造成不良后果的行为。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 严重失信行为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（1）攻击或侵入税务信息系统（包括 CA 等）； </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（2）违反网络安全管理规定，造成不良后果的；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（3）违反合同约定内容，造成不良后果的；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（4）利用为税务机关提供信息化服务的便利，向纳税人、缴费人搭车收费或变相收费；</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（5）另行开发销售合同业务需求范围内，供纳税人、缴费人使用的软件； </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（6）以明显低于成本的报价恶意竞标；</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（7）存在“ 围猎 ”税务人员行为的； </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（8）违规聘用离职税务人员；</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（9）一年内发生 2 次以上（含 2 次）一般失信行为的； </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（10）其他违反规定造成不良后果的行为。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（二）对失信行为的惩罚</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 部门按规定将其推送财政部纳入政府采购严重违法失信行为记录名单。</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约定对于违反网络安全规定行为造成不良后果的服务商，3 年内限制参加税务系统政府采购活动；经其认定存在失信行为的服务商，3 年内限制参加税收信 息化项目政府采购活动。</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八、其他要求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安全保密要求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驻场人员应遵循采购人的各项规章制度。所接触的专有信息仅限于本人在本项目中使用，不得向他人泄露，更不得用于演示或宣传。项目实施过程需要符合国家税务总局、黑龙江省政府和黑龙江省税务局网络与信息有关安全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中标人派出的人员应严格遵守黑龙江省税务局的信息安全保密制度和日常办公规定；严禁擅自操作所负责系统以外的设备，内外网计算机严格隔离，严禁出现内网计算机违规外联情况，出现责任事故黑龙江省税务局有权追究中标人的责任。</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（2）中标人确保所提供软件的产品质量（包括稳定性、安全性），因中标人软件的质量问题造成黑龙江省税务局或缴费人损失的，中标人应承担赔偿责任。</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（3）中标人驻场实施人员必须与中标人签订正式劳动合同和信息系统安全保密协议。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中标人所提供的工作人员的工作成果归黑龙江省税务局所有，未征得黑龙江省税务局书面同意，不得将技术资料泄露给其他人员及单位。如违反上述协议内容，黑龙江省税务局将保留追究中标人法律责任的权利。</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5）在服务时间内，中标人驻场实施人员应随时监控系统运行状态，做好事件记录，定期出具系统运行报告。出现系统故障应及时处置，遇到影响范围较大的事件或需要调整相关系统参数的问题，应立即通知系统管理员，共同确定解决方案，派出人员不得自行处理。中标人所负责的软件本身如果出现故障，应确保在0.5个工作日内排除。在服务时间以外，如果出现突发故障，系统管理员可通知中标人派出人员到现场排除故障，技术人员应及时到场。</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知识产权要求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2、中标人应保证在本项目中所有预装和为本项目安装的软件为在中国境内具有合法版权或使用权的正版软件且无质量瑕疵。</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3、中标人保证所提供的产品及服务不侵犯第三方的知识产权，否则，由此给招标人造成的一切损失由中标人承担。</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（三）</w:t>
      </w:r>
      <w:r>
        <w:rPr>
          <w:rFonts w:hint="eastAsia" w:ascii="宋体" w:hAnsi="宋体" w:eastAsia="宋体" w:cs="宋体"/>
          <w:color w:val="auto"/>
          <w:sz w:val="21"/>
          <w:szCs w:val="21"/>
        </w:rPr>
        <w:t>归档要求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中标人应对该项目所涉及的需求分析、联调测试、培训推广等各阶段工作文档，按招标人质量、数量、提供方式、提供时间等要求进行整理，并提交招标人归档。</w:t>
      </w:r>
    </w:p>
    <w:p>
      <w:pPr>
        <w:rPr>
          <w:color w:val="auto"/>
        </w:rPr>
      </w:pPr>
      <w:r>
        <w:rPr>
          <w:color w:val="auto"/>
        </w:rPr>
        <w:br w:type="page"/>
      </w:r>
    </w:p>
    <w:p>
      <w:pPr>
        <w:pStyle w:val="12"/>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第四包：统一身份管理平台运维项目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一、项目概述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项目背景</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为深入落实国家推进“互联网+政务服务”有关要求，推动发票电子化（金税四期）的建设，结合税收信息化发展规划，针对用户接入数量快速增长、方式多样化的特点和税务应用系统安全接入的需求，建设税务网络可信身份体系，按照总局统一规划部署，我省于2023年5月21日正式启用生产环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统一身份管理平台是贯彻落实《关于进一步深化税收征管改革的意见》的基础上，坚持统筹发展和安全，全面加强网络安全保障体系和能力建设，建成涵盖全面纵深防御、动态主动防护、智能指挥调度、协同联防联控的新一代网络安全防护体系。</w:t>
      </w:r>
      <w:r>
        <w:rPr>
          <w:rFonts w:hint="eastAsia" w:ascii="宋体" w:hAnsi="宋体" w:eastAsia="宋体" w:cs="宋体"/>
          <w:color w:val="auto"/>
          <w:sz w:val="21"/>
          <w:szCs w:val="21"/>
          <w:lang w:eastAsia="zh-CN"/>
        </w:rPr>
        <w:t>为确保金税四期统一身份管理平台平稳运行，需要组建相应专业团队进行全面保障，提供不少于</w:t>
      </w:r>
      <w:r>
        <w:rPr>
          <w:rFonts w:hint="eastAsia" w:ascii="宋体" w:hAnsi="宋体" w:eastAsia="宋体" w:cs="宋体"/>
          <w:color w:val="auto"/>
          <w:sz w:val="21"/>
          <w:szCs w:val="21"/>
          <w:lang w:val="en-US" w:eastAsia="zh-CN"/>
        </w:rPr>
        <w:t>3人的专业运维团队，服务期自合同签订日期起，期限为1年。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val="en" w:eastAsia="zh-CN"/>
        </w:rPr>
        <w:t>项目目标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本项目目标是建立一个体系化、标准化且能支撑大规模信息化服务工作的信息安全管理体系，全面、有效实施信息化安全管理，保障黑龙江省税务局信息系统安全稳定运行。具体项目目标如下：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为黑龙江省税务局提供统一的信息安全服务，按照相关法律法规所规定的标准、规范和流程，通过现场和非现场以电话、网络等方式，及时解决信息系统在运行使用过程中出现的各类安全事件、系统故障和服务请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采购内容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不少于3人的专业运维团队，主要运维工作内容包括运行环境运维、系统集成服务和安全保障服务。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本项目服务期限为1年。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本项目的实施准备工作须在合同签订后3日内完成，并正式提供服务，投标人要有具体的项目交接方案以保证黑龙江省税务局统一身份管理平台顺畅运行以及各项信息安全服务工作有序开展。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标准规范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所提供的各项服务内容必须完全符合本招标文件的服务指标要求和服务内容要求，符合国内和国际的相应标准、规范，符合国家税务总局的相关要求。投标人根据项目需求提供完整的本项目所需信息系统安全技术支持相关服务方案，相关方案必须满足但不限于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需具备完善的服务管理体系，遵循ISO20000、ITIL、ITSS技术服务标准，并遵循国家税务总局和黑龙江省税务局的管理规范，按照黑龙江省税务局要求定期提供运维文档，包括且不限于设备配置文档、监控巡检文档、健康检查文档、例行维护文档、故障管理文档、分析报告文档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须按照《中华人民共和国网络安全法》、《中华人民共和国数据安全法》、《国家信息化发展战略纲要》、《“十三五”国家信息化规划》和《国家标准化体系建设发展规划（2016—2020年）》、《信息安全技术网络安全等级保护基本要求》（GB/T22239-2019）中相关要求执行各项服务工作，同时须遵循以下原则：</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val="en" w:eastAsia="zh-CN"/>
        </w:rPr>
        <w:t>遵守法律、法规原则：投标人在服务过程中，应遵守国家制定的法律法规要求，以及国家税务总局和黑龙江省税务局指定的税务行业相关规范、要求；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安全性原则：应遵循国家相关技术规范和标准，从多方面考虑整个系统安全性，提供技术手段落实对应安全防范措施；</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可扩展性原则：在整体架构上应充分考虑黑龙江省税务局税收业务系统未来的扩展能力，保证本项目各业务系统的扩展需求；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可靠性原则：应充分考虑网络环境、安全环境、计算环境、存储环境等系统的各种不稳定因素，采取相应措施提高整个系统可靠性；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val="en" w:eastAsia="zh-CN"/>
        </w:rPr>
        <w:t>通用性原则：采用开放的、标准化的技术体系，保障网络环境、安全环境、计算环境、存储环境的完全兼容；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val="en" w:eastAsia="zh-CN"/>
        </w:rPr>
        <w:t>架构方案充分考虑业务系统运行要求，系统架构符合目前主流技术发展趋势，具有前瞻性。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b/>
          <w:bCs/>
          <w:color w:val="auto"/>
          <w:sz w:val="21"/>
          <w:szCs w:val="21"/>
        </w:rPr>
      </w:pPr>
      <w:r>
        <w:rPr>
          <w:rFonts w:hint="eastAsia" w:ascii="宋体" w:hAnsi="宋体" w:eastAsia="宋体" w:cs="宋体"/>
          <w:color w:val="auto"/>
          <w:sz w:val="21"/>
          <w:szCs w:val="21"/>
        </w:rPr>
        <w:t>二、投标</w:t>
      </w:r>
      <w:r>
        <w:rPr>
          <w:rFonts w:hint="eastAsia" w:ascii="宋体" w:hAnsi="宋体" w:eastAsia="宋体" w:cs="宋体"/>
          <w:color w:val="auto"/>
          <w:sz w:val="21"/>
          <w:szCs w:val="21"/>
          <w:lang w:val="en"/>
        </w:rPr>
        <w:t>/</w:t>
      </w:r>
      <w:r>
        <w:rPr>
          <w:rFonts w:hint="eastAsia" w:ascii="宋体" w:hAnsi="宋体" w:eastAsia="宋体" w:cs="宋体"/>
          <w:color w:val="auto"/>
          <w:sz w:val="21"/>
          <w:szCs w:val="21"/>
        </w:rPr>
        <w:t>响应要求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对投标人基本要求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投标人须充分理解本项目招标技术需求书的内容，并根据需求书的具体要求编制提供详细的项目技术服务方案。对本项目需求书的完全响应，至少包含以下内容：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对项目现状及项目目标的准确理解和详细响应。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对需要提供服务的网络系统、安全系统充分了解，并详细响应。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对系统运行维护工作内容、工作流程、质量标准、管理要求的准确理解和详细响应。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对项目约束条件的准确理解和详细响应。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对项目管理要求、服务质量要求、项目验收、付款要求的准确理解和详细响应。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投标人在投标文件中为本项目制定的具体服务方案与规划不应作为投标人履约的最终依据，投标人的服务履行，应同时严格遵从采购人的实际工作安排。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对投标方案的要求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实施方案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该方案需详细描述投标人计划采取哪些具体措施和手段，保证本项目业务系统平稳、安全、顺畅的运行</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服务方案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该方案需充分考虑本项目运维服务工作的特点，具体结合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税务局的需求，详细描述工作内容及各项具体工作计划，方案必须符合实际系统运行现状，需要对本项目的系统运行维护工作详细阐述。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需要对满足本项目需求的运维人员资质应答。该应答需详细描述本项目支持服务人员所具备的资质、业务能力和IT相关技能；在运行维护服务过程中，服务人员对应不同工作岗位上已经具备的工作经验和专业技能。此部分应答内容将作为评标过程中评价和判断该服务人员是否能够胜任对应支持服务工作，并满足本需求书对服务人员资质要求的重要依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投标人在投标文件中需提供服务人员资料，包括：1）服务人员详细信息；2）服务人员居民身份证、最高学历证书、专业技术职称证书、技术认证证书等复印件</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验收方案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该方案需详细描述投标人计划采取哪些具体方法和依据，保证本项目顺利验收。验收方案中需明确项目验收的前提条件、验收时间、验收对象、验收采用的方法、验收步骤、验收依据、验收标准、以及验收结论等，并需制定具体的项目验收计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三、项目需求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（一）技术需求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投标人需满足不少于3人的专业运维团队。运维工作内容如下：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运行环境运维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运行环境运维是指对所运维系统的生产环境、预生产环境，以及应用运行相关的操作系统和系统软件配置。应用运行环境运维工作包括对应用运行环境的日常监控和巡检、日常故障处理、环境部署和优化、系统升级、安全管理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日常监控和巡检</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监控可能引起故障的事项及潜在的问题，避免故障发生，确保应用系统正常运行。做好日常监控，工作日每天8：30-17：30现场监控、17：30-次日8：30远程监控，非工作日24小时远程监控。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1）云上基础设施巡检</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负责云上基础设施检查，包括云服务器、数据库、TKE集群、中间件等。通过巡检工作，了解云平台基础设施健康情况，发现当前系统存在的隐患，提升系统性能和优化空间。重点解决当前系统存在的疑难问题，最大限度的减少局端运维质量事故的发生，以便更好的对系统进行优化完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2）系统运行监控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服务内容：基于税务局要求和系统特点，对统一身份平台纳税人端和和税务人端服务运行状况进行，并填写系统运行监表。检查主要包括：系统服务运行健康状态检查；系统服务使用资源，包括内存、CPU、I/O等检查；系统服务间调用延迟情况检查；业务拨测系统对服务能力检查</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3）数据库检查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统一身份管理平台核心库的数据库类型为分布式TDSQL，风险审计库的数据库类型为分布式TBASE，需分别监控TDSQL及TBASE数据库集群的CPU使用率、磁盘使用率、磁盘IO情况、主从情况等，确保数据库稳定不间断运行。定期检查数据库数据备份及日志备份情况，保证备份的有效性、及时性，有效保障数据安全；定期检查数据库性能指标，及时对统一身份管理平台数据库进行性能问题作出处理，以确保数据库高效对外服务；定期按数据链路检查流程检查省局链路同步情况，及时向链路厂商反馈数据同步问题，确保数据链路同步的时效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日常故障处理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故障处理是指在应用系统运行出现异常情况下的管理操作流程。包括在最短的时间内恢复正常的服务运行，将故障对业务的负面影响降至最低，保证系统最高级别的服务质量和可用性，力求找到引发故障的根源，并及时改善或纠正。通过对系统监控和巡检发现的问题及应用系统运行过程出现的系统故障，及时通知局方并立即组织技术人员对系统故障现象和故障信息进行收集和分析，定位故障原因，快速解决，保障业务办理的连续性。针对每次故障处理提交故障分析报告，总结整理故障案例库，避免以后再次发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对故障处理报告按季进行分类、统计、汇总、分析，逐步完善日常运维知识库，并提交分析报告。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故障的处理步骤：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故障现象查看与收集：对故障所产生的现象进行查看和收集。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故障原因定位：对收集到的故障信息进行排除、分析和定位。</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故障处理：通过分析和定位后，有针对性地对故障进行分类后处理，对于系统性的、网络性的请局方进行协调，由专业人员进行处置后，由驻场人员进行业务验证。</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故障记录：故障处理完毕后，完成系统故障处理报告。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故障汇总：按季对故障报告进行分类、统计、汇总、分析，并完善日常运维知识库。</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环境部署及优化</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按照要求及系统运行需要做好系统部署；根据应用系统运行情况，以及随着数据量的不断增加，定期调整云端资源配置和应用节点数量，对系统进行调优。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系统升级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根据采购人要求以及软件补丁实施要求，进行软件补丁的实施，并做好实施补丁的版本管理。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安全管理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根据要求，进行安全防护。在系统运维过程中，有安全保密义务、安全运维能力、安全工作规范，根据网络安全需求处理采购人提出的应用加固、补丁升级、漏洞修复等网络安全工作，及时向采购人报告网络安全事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系统集成服务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统一身份认证平台每天提供给各系统调用的接口数量多，频率大，运维人员需要对提供给外部系统的接口进行管理，监控，同时对服务间调用链路进行监控和维护，配合完成问题排查，做好各项集成服务工作。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按照采购人或者税务总局要求进行系统对接，为新接入系统进行环境准备、配合完成联调测试等工作。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数据维护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对由于数据迁移、基础数据采集以及操作失误等原因导致所运维系统数据错误的情况，经采购人确认同意修改的，由运维小组提交总局运维，完成数据修改。配合采购人对问题数据进行跟踪、定位。</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应用软件运维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对纳税人、基层等系统使用人员在使用本系统过程中出现的问题进行收集、处理、反馈等。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1）问题收集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通过各渠道（运维管理平台、多云运维平台、内网邮件、微信群、钉钉群、电话等）收集纳税人、基层等系统使用人员的问题。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2）问题处理及反馈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通过各渠道采集的问题，运维人员首先记录问题的内容、提出人及联系方式，要进行及时、有效处理。对于征期内的问题，或者及时响应要求较高的问他，做到实时回复，其他的问题，一个工作日内回复。用户每日对当天问题接收和处理情况进行通报，运维人员对当日未完成问题说明原因，并给出完成时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①</w:t>
      </w:r>
      <w:r>
        <w:rPr>
          <w:rFonts w:hint="eastAsia" w:ascii="宋体" w:hAnsi="宋体" w:eastAsia="宋体" w:cs="宋体"/>
          <w:color w:val="auto"/>
          <w:sz w:val="21"/>
          <w:szCs w:val="21"/>
        </w:rPr>
        <w:t>操作类问题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针对应用系统日常维护等技术问题提供及时全面地解答与处理。操作人员在系统应用过程中遇到的问题，可以向运维支持人员进行咨询。针对这些问题，运维支持人员应通过电话指导、远程协助等方式协助操作人员解决。针对共性的问题,运维人员应该及时进行提炼和总结，维护到知识库中并作为下次培训时的讲解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②</w:t>
      </w:r>
      <w:r>
        <w:rPr>
          <w:rFonts w:hint="eastAsia" w:ascii="宋体" w:hAnsi="宋体" w:eastAsia="宋体" w:cs="宋体"/>
          <w:color w:val="auto"/>
          <w:sz w:val="21"/>
          <w:szCs w:val="21"/>
        </w:rPr>
        <w:t>程序类问题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日常维护中发现属于程序问题后，针对有临时解决方案的，应向给出临时解决办法，同时记录问题。同时，及时向二线团队进行联系，反馈解决方案和解决时限，并跟踪问题处理情况。</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驻场管理服务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委派项目经理和技术人员，在国家税务总局黑龙江省税务局开展工作。驻场人员负责合同履约交付、项目现场沟通和进度管理、项目文档资料整理等，要及时解决用户日常问题。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驻场人员严格遵守局方关于网络安全、数据安全、运维安全等方面的工作要求。执行工作日和法定节假日的加班安排。出现突发故障时，运维人员应于2小时内到达现场，排除故障。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安全保障服务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做好针对大征期、重要节庆日及特殊日周期安全值守服务。提供7*24小时全面安全保障，制定专项保障方案，提升巡检和监控频率，专人值守及时解决问题，每两小时编写一次安全巡检报告。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4.其他服务要求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为了更好的服务于本项目，投标人需熟悉了解统一身份管理平台纳税人端对接相关系统。投标人需熟悉了解统一身份平台税务人端对接的相关系统。投标人需提供系统运维服务方案、应急响应方案、日常保障方案、实施方案和验收方案及服务承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具体内容如下：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（1）系统运维服务方案，包括但不限于服务目标、范围和任务，服务期限，服务内容，服务方式，服务响应时间，服务团队组织安排计划，工作流程等内容。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（2）应急响应方案，包括但不限于应急响应组织结构及人员职责、应急预案制定、培训与演练、监控与预警、特殊时期启动保障流程等方面的内容。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日常保障方案，包括但不限于程序类问题、数据修改类问题、数据应用类问题、版本升级、系统配置维护、日常问题受理和一般问题受理、紧急问题处理、重大配置变更、重要时刻保障、知识收集整理和转移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（4）信息安全保密管理：包括信息安全保密整体方案、信息安全保密管理制度及信息安全保密措施等内容。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（5）项目组织管理，包括项目进度计划、人员保障及项目管理办法。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（6）验收方案，包括验收整体方案、验收内容及材料、验收流程等内容。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（7）服务承诺包括：</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1）服务响应时间承诺 ：承诺提供5*8小时的驻场服务，提供7*24小时的电话响应服务。故障响应时间支持根据故障等级进行响应。对用户所提出的系统业务应用软件等故障处理要求，在1小时内做出安排并将其反馈给用户，遇到重大技术问题，在30分钟内响应，并在24小时内采取相应措施以确保系统可正常操作。无法在24小时内解决的，必须提供解决时间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2）保密承诺 ：针对本项目提供保密承诺，除需对系统软件维护工作负责外，还对涉及的相关设备、系统以及数据安全负责。</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3）人员管理承诺 ：为本项目提供驻场服务人员至少3人，服务人员至少具有1年以上相关工作经验，可熟练操作Linux操作系统、应用中间件等。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4）服务考核措施承诺 ：投标人须满足采购方服务考核需求，包括人员到位情况、出勤情况、问题处理情况、系统运行故障率、重大故障重复发生率等各方面。</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5）知识产权承诺 ：招标人对项目实施过程中所产生的所有成果，投标人不得擅自使用、复制招标人的商标、标志、数据信息、文档及其他资料。</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四、项目实施要求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本项目所有相关工作内容的实施均由投标人负责提供，并且配合</w:t>
      </w:r>
      <w:r>
        <w:rPr>
          <w:rFonts w:hint="eastAsia" w:ascii="宋体" w:hAnsi="宋体" w:eastAsia="宋体" w:cs="宋体"/>
          <w:color w:val="auto"/>
          <w:sz w:val="21"/>
          <w:szCs w:val="21"/>
          <w:lang w:eastAsia="zh-CN"/>
        </w:rPr>
        <w:t>黑龙江省税务局</w:t>
      </w:r>
      <w:r>
        <w:rPr>
          <w:rFonts w:hint="eastAsia" w:ascii="宋体" w:hAnsi="宋体" w:eastAsia="宋体" w:cs="宋体"/>
          <w:color w:val="auto"/>
          <w:sz w:val="21"/>
          <w:szCs w:val="21"/>
        </w:rPr>
        <w:t>进行应用系统部署工作，同时满足以下要求：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（一）总体要求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应答时应详细阐述技术支持和维护维修服务的内容。投标人须在技术支持与保修方案书中详细阐述项目技术支持与保修服务体系、服务响应流程、服务质量承诺、技术支持与保修服务投入人员情况、备品备件方案、运行维护管理工具与手段、服务质量监督机制等与保障本项目完整顺利实施的相关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（二）运维团队要求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要求投标人为本项目设立专门的技术团队，完成此次招标涉及的所有服务工作。实施完成后，应按要求提供监控报告、运维记录、事件报告、评估方案等相关服务材料，电子文档、纸质文档。</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项目主管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指定一名项目主管，负责项目整体管理和资源协调，熟悉网络安全行业动态和信息系统项目管理，以及IT服务流程，具备公司资源协调权力；提供投标人最近12个月内任意一个月项目主管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项目主管相关要求如下，并提供相应证明：</w:t>
      </w:r>
    </w:p>
    <w:tbl>
      <w:tblPr>
        <w:tblStyle w:val="61"/>
        <w:tblW w:w="823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3777"/>
        <w:gridCol w:w="382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7"/>
                <w:sz w:val="21"/>
                <w:szCs w:val="21"/>
              </w:rPr>
              <w:t>序号</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414"/>
              <w:textAlignment w:val="baseline"/>
              <w:rPr>
                <w:rFonts w:hint="eastAsia" w:ascii="宋体" w:hAnsi="宋体" w:eastAsia="宋体" w:cs="宋体"/>
                <w:color w:val="auto"/>
                <w:sz w:val="21"/>
                <w:szCs w:val="21"/>
              </w:rPr>
            </w:pPr>
            <w:r>
              <w:rPr>
                <w:rFonts w:hint="eastAsia" w:ascii="宋体" w:hAnsi="宋体" w:eastAsia="宋体" w:cs="宋体"/>
                <w:color w:val="auto"/>
                <w:spacing w:val="-3"/>
                <w:sz w:val="21"/>
                <w:szCs w:val="21"/>
              </w:rPr>
              <w:t>相关要求</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82"/>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9"/>
                <w:sz w:val="21"/>
                <w:szCs w:val="21"/>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5"/>
              <w:jc w:val="center"/>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pacing w:val="-1"/>
                <w:sz w:val="21"/>
                <w:szCs w:val="21"/>
                <w:lang w:val="en-US" w:eastAsia="zh-CN"/>
              </w:rPr>
              <w:t>PMP</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1"/>
                <w:sz w:val="21"/>
                <w:szCs w:val="21"/>
                <w:lang w:eastAsia="zh-CN"/>
              </w:rPr>
              <w:t>项目管理专业人士认证</w:t>
            </w:r>
            <w:r>
              <w:rPr>
                <w:rFonts w:hint="eastAsia" w:ascii="宋体" w:hAnsi="宋体" w:eastAsia="宋体" w:cs="宋体"/>
                <w:color w:val="auto"/>
                <w:spacing w:val="-1"/>
                <w:sz w:val="21"/>
                <w:szCs w:val="21"/>
              </w:rPr>
              <w:t>证书</w:t>
            </w:r>
          </w:p>
        </w:tc>
      </w:tr>
    </w:tbl>
    <w:p>
      <w:pPr>
        <w:pStyle w:val="25"/>
        <w:keepNext w:val="0"/>
        <w:keepLines w:val="0"/>
        <w:pageBreakBefore w:val="0"/>
        <w:widowControl w:val="0"/>
        <w:kinsoku/>
        <w:wordWrap/>
        <w:topLinePunct w:val="0"/>
        <w:bidi w:val="0"/>
        <w:spacing w:after="0" w:line="360" w:lineRule="auto"/>
        <w:rPr>
          <w:rFonts w:hint="eastAsia" w:ascii="宋体" w:hAnsi="宋体" w:eastAsia="宋体" w:cs="宋体"/>
          <w:color w:val="auto"/>
          <w:sz w:val="21"/>
          <w:szCs w:val="21"/>
        </w:rPr>
      </w:pP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现场运维团队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投标人应组建不少于</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人的专业现场服务团队，熟悉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税务局信息系统及安全系统相关情况，应按照工作需要配备相应的专业化岗位，并具备相应的资质条件，提供投标人最近3个月内任意一个月为服务团队核心成员（</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人及以上）依法缴纳社保费的证明。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服务团队成员具备</w:t>
      </w:r>
      <w:r>
        <w:rPr>
          <w:rFonts w:hint="eastAsia" w:ascii="宋体" w:hAnsi="宋体" w:eastAsia="宋体" w:cs="宋体"/>
          <w:color w:val="auto"/>
          <w:sz w:val="21"/>
          <w:szCs w:val="21"/>
          <w:lang w:val="en-US" w:eastAsia="zh-CN"/>
        </w:rPr>
        <w:t>数据库系统工程师（中级）</w:t>
      </w:r>
      <w:r>
        <w:rPr>
          <w:rFonts w:hint="eastAsia" w:ascii="宋体" w:hAnsi="宋体" w:eastAsia="宋体" w:cs="宋体"/>
          <w:color w:val="auto"/>
          <w:sz w:val="21"/>
          <w:szCs w:val="21"/>
        </w:rPr>
        <w:t>认证及相关维护技术经验，具体现场服务团队技术资质要求如下，并提供相应证明：</w:t>
      </w:r>
    </w:p>
    <w:tbl>
      <w:tblPr>
        <w:tblStyle w:val="61"/>
        <w:tblW w:w="829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2821"/>
        <w:gridCol w:w="3400"/>
        <w:gridCol w:w="144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序号</w:t>
            </w:r>
          </w:p>
        </w:tc>
        <w:tc>
          <w:tcPr>
            <w:tcW w:w="282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5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资质名称</w:t>
            </w:r>
          </w:p>
        </w:tc>
        <w:tc>
          <w:tcPr>
            <w:tcW w:w="340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96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备注</w:t>
            </w:r>
          </w:p>
        </w:tc>
        <w:tc>
          <w:tcPr>
            <w:tcW w:w="1442"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2"/>
              <w:jc w:val="center"/>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71"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282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3"/>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数据库系统工程师（中级）</w:t>
            </w:r>
          </w:p>
        </w:tc>
        <w:tc>
          <w:tcPr>
            <w:tcW w:w="340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7"/>
              <w:jc w:val="center"/>
              <w:textAlignment w:val="baseline"/>
              <w:rPr>
                <w:rFonts w:hint="eastAsia" w:ascii="宋体" w:hAnsi="宋体" w:eastAsia="宋体" w:cs="宋体"/>
                <w:color w:val="auto"/>
                <w:sz w:val="21"/>
                <w:szCs w:val="21"/>
                <w:lang w:eastAsia="zh-CN"/>
              </w:rPr>
            </w:pPr>
            <w:r>
              <w:rPr>
                <w:rFonts w:hint="eastAsia" w:ascii="宋体" w:hAnsi="宋体" w:eastAsia="宋体" w:cs="宋体"/>
                <w:color w:val="auto"/>
                <w:spacing w:val="-2"/>
                <w:sz w:val="21"/>
                <w:szCs w:val="21"/>
                <w:lang w:eastAsia="zh-CN"/>
              </w:rPr>
              <w:t>计算机技术与软件专业技术资格</w:t>
            </w:r>
          </w:p>
        </w:tc>
        <w:tc>
          <w:tcPr>
            <w:tcW w:w="1442"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6"/>
                <w:sz w:val="21"/>
                <w:szCs w:val="21"/>
              </w:rPr>
              <w:t>&gt;=1</w:t>
            </w:r>
          </w:p>
        </w:tc>
      </w:tr>
    </w:tbl>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投标人须组建一定数量的二线服务团队，具备丰富的专业经验与专业资质，提供大型数据中心交换路由网络、安全设备和安全系统服务的高级专家团队，与现场技术团队实力、证书相匹配，能够解决现场无法解决的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五、项目验收要求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项目验收工作由采购人按照内部验收的有关制度和流程组织开展。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本项目验收，由中标人在每个合同期满后提出验收申请，经审核后满足验收准入条件后，予以启动项目验收程序。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（一）</w:t>
      </w:r>
      <w:r>
        <w:rPr>
          <w:rFonts w:hint="eastAsia" w:ascii="宋体" w:hAnsi="宋体" w:eastAsia="宋体" w:cs="宋体"/>
          <w:color w:val="auto"/>
          <w:sz w:val="21"/>
          <w:szCs w:val="21"/>
        </w:rPr>
        <w:t>项目验收准入条件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本需求书中包含的服务需求内容全部完成。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服务响应、服务流程、服务质量、服务成果以及组织管理和项目文档满足本技术需求书的规定要求。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（二）项目验收标准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以本需求书中相关内容为依据，作为项目验收标准。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（三）项目验收流程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符合项目验收准入条件后，可提出项目验收申请。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提交书面项目验收申请。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提交《项目验收工作总结报告》。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提交项目相关管理、技术文档电子版文件。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组织进行项目验收评审会议，对项目工作内容及文档进行验收评审。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项目验收评审通过后，出具项目验收报告。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（四）</w:t>
      </w:r>
      <w:r>
        <w:rPr>
          <w:rFonts w:hint="eastAsia" w:ascii="宋体" w:hAnsi="宋体" w:eastAsia="宋体" w:cs="宋体"/>
          <w:color w:val="auto"/>
          <w:sz w:val="21"/>
          <w:szCs w:val="21"/>
        </w:rPr>
        <w:t>验收交付物</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验收交付物列表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服务期内的各类服务报告，包括监控记录、巡检记录、故障记录、事件记录、维护记录等。具体文件清单以国家税务总局印发的基础设施日常运行管理规范为准。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交付物标准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按照要求提交相应文档，并保证文档质量。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六、项目技术支持服务要求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本项目系统运维服务要求按照国家税务总局对信息系统运维工作提出的“网络不能断、系统不能停、数据不能丢”的要求，和</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委、</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政府提出的关于保持稳定的相关文件要求，投标人应签署保密协议并作出相应承诺，做好各项运行维护服务工作，确保系统</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小时安全稳定持续运行。具体要求如下：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（一）运维管理要求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投标人须具有丰富的运维管理经验和完善的运维管理流程、制度和标准，并具备完备的运维管理工具；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税务局的安全要求，建立健全完善的授权审批流程，任何系统的访问与维护都要根据流程进行授权审批处理。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投标人须配合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税务局部署及调整应用软件；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税务局需求调整资源配置；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投标人提供与本项目有关的其它资源及服务。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w:t>
      </w:r>
      <w:r>
        <w:rPr>
          <w:rFonts w:hint="eastAsia" w:ascii="宋体" w:hAnsi="宋体" w:eastAsia="宋体" w:cs="宋体"/>
          <w:color w:val="auto"/>
          <w:sz w:val="21"/>
          <w:szCs w:val="21"/>
          <w:lang w:val="en-US" w:eastAsia="zh-CN"/>
        </w:rPr>
        <w:t>5*9</w:t>
      </w:r>
      <w:r>
        <w:rPr>
          <w:rFonts w:hint="eastAsia" w:ascii="宋体" w:hAnsi="宋体" w:eastAsia="宋体" w:cs="宋体"/>
          <w:color w:val="auto"/>
          <w:sz w:val="21"/>
          <w:szCs w:val="21"/>
        </w:rPr>
        <w:t>现场支持服务（包括但不限于重大变更、重要时期值守、网络安全攻防演练等）和现场值守；特殊岗位须提供</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税务局认为有必要时，须提供双岗</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（三）系统调优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投标人须按照系统日常运行情况，提供系统调优服务。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投标人须在影响业务的故障发生时立即进行处理并报告</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现场人员无法处理故障情况下，二线支持人员须在2小时之内到达现场；单次故障处理时间不超过4小时。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（五）应急处理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投标人针对本项目可能出现的故障，制定相应的应急预案，并定期进行组织应急演练工作。要确保故障发生后能够及时响应，缩短故障处理时间，最大限度的减少影响程度。</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为保障税收业务征期内系统运行稳定，投标人结合税务行业运维经验提供不少于5个重要应急场景（非通用故障）和解决办法，故障波及范围不少于5个业务系统。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（六）运维服务承诺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投标人承诺采取本地化运行维护与技术服务，严格按照项目要求，提供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税务局项目要求标准范围内的所有技术支持服务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投标人承诺按照国际标准ISO20000及ITIL运维服务管理规范提供标准化运维服务，建设符合项目要求的服务体系，实施满足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税务局要求的服务流程管理、服务级别协议，服务目录、问题管理、配置管理、故障管理等服务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投标人承诺定期进行运维服务质量跟踪，进行定期服务回访，主动了解</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税务局的服务意见与建议，了解最新服务要求，迅速改善服务的不足之处。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七、税收信息化项目开发和应用管理工作要求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1.一般失信行为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（1）违反网络安全管理规定，但未造成不良后果的；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（2）运维服务质量评价上季度得分被扣减较多，且未按承诺改进到位的；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（4）不配合监理工作或对监理指出问题整改不到位的；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（5）其他违反规定但未造成不良后果的行为。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2.严重失信行为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（1）攻击或侵入税务信息系统（包括CA等）；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（2）违反网络安全管理规定，造成不良后果的；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（4）利用为税务机关提供信息化服务的便利，向纳税人、缴费人搭车收费或变相收费；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（5）另行开发销售合同业务需求范围内，供纳税人、缴费人使用的软件；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（6）以明显低于成本的报价恶意竞标；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（7）存在“围猎”税务人员行为的；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（8）违规聘用离职税务人员；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（9）一年内发生2次以上（含2次）一般失信行为的；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（10）其他违反规定造成不良后果的行为。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（二）对失信行为的惩罚</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部门按规定将其推送财政部纳入政府采购严重违法失信行为记录名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约定对于违反网络安全规定行为造成不良后果的服务商，3年内限制参加税务系统政府采购活动；经其认定存在失信行为的服务商，3年内限制参加税收信息化项目政府采购活动。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八、其他要求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（一）安全及保密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投标人提供专职岗位人员信息须在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税务局备案</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访问控制机制、变更管理流程等遵循</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税务局相关管理办法；投标人对本项目涉及的工作人员定期进行安全教育培训</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投标人在合同终止时，有责任将本项目所有数据无条件交还给</w:t>
      </w:r>
      <w:r>
        <w:rPr>
          <w:rFonts w:hint="eastAsia" w:ascii="宋体" w:hAnsi="宋体" w:eastAsia="宋体" w:cs="宋体"/>
          <w:color w:val="auto"/>
          <w:sz w:val="21"/>
          <w:szCs w:val="21"/>
          <w:lang w:eastAsia="zh-CN"/>
        </w:rPr>
        <w:t>黑龙省税务局</w:t>
      </w:r>
      <w:r>
        <w:rPr>
          <w:rFonts w:hint="eastAsia" w:ascii="宋体" w:hAnsi="宋体" w:eastAsia="宋体" w:cs="宋体"/>
          <w:color w:val="auto"/>
          <w:sz w:val="21"/>
          <w:szCs w:val="21"/>
        </w:rPr>
        <w:t>，并彻底删除有关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税务局的全部数据且确保以任何手段无法恢复相关数据</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投标人须与</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税务局签署专门的保密协议；根据项目相关信息安全要求，该项目各岗位维护人员与服务商签署项目保密协议。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（二）系统交接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投标人在合同终止时，须将系统的管理文档、用户名、密码、相关系统软件等全部技术文档无条件交还给</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税务局，并保证其准确性。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（三）知识产权要求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项目实施过程中所有产出物、交付物归采购人所有。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（四）项目归档要求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税务局要求提供运维报告。保留服务期内的各类记录（监控记录、巡检记录、故障记录、事件记录、维护记录等等），供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税务局查阅审计。</w:t>
      </w:r>
    </w:p>
    <w:p>
      <w:pPr>
        <w:rPr>
          <w:rFonts w:hint="eastAsia"/>
          <w:color w:val="auto"/>
        </w:rPr>
      </w:pPr>
      <w:r>
        <w:rPr>
          <w:rFonts w:hint="eastAsia"/>
          <w:color w:val="auto"/>
        </w:rPr>
        <w:br w:type="page"/>
      </w:r>
    </w:p>
    <w:p>
      <w:pPr>
        <w:pStyle w:val="2"/>
        <w:jc w:val="center"/>
        <w:rPr>
          <w:rFonts w:hint="eastAsia"/>
          <w:color w:val="auto"/>
          <w:lang w:val="en-US" w:eastAsia="zh-CN"/>
        </w:rPr>
      </w:pPr>
      <w:r>
        <w:rPr>
          <w:rFonts w:hint="eastAsia"/>
          <w:color w:val="auto"/>
          <w:lang w:val="en-US" w:eastAsia="zh-CN"/>
        </w:rPr>
        <w:t>第五包：安全管理平台运维项目.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一、项目概述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项目背景</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深入落实国家推进“互联网+政务服务”有关要求，推动发票电子化（金税四期）的建设，结合税收信息化发展规划，针对用户接入数量快速增长、方式多样化的特点和税务应用系统安全接入的需求，建设税务网络</w:t>
      </w:r>
      <w:r>
        <w:rPr>
          <w:rFonts w:hint="eastAsia" w:ascii="宋体" w:hAnsi="宋体" w:eastAsia="宋体" w:cs="宋体"/>
          <w:color w:val="auto"/>
          <w:sz w:val="21"/>
          <w:szCs w:val="21"/>
          <w:lang w:eastAsia="zh-CN"/>
        </w:rPr>
        <w:t>安全管理</w:t>
      </w:r>
      <w:r>
        <w:rPr>
          <w:rFonts w:hint="eastAsia" w:ascii="宋体" w:hAnsi="宋体" w:eastAsia="宋体" w:cs="宋体"/>
          <w:color w:val="auto"/>
          <w:sz w:val="21"/>
          <w:szCs w:val="21"/>
        </w:rPr>
        <w:t>体系，按照总局统一规划部署，我省于2023年</w:t>
      </w:r>
      <w:r>
        <w:rPr>
          <w:rFonts w:hint="eastAsia" w:ascii="宋体" w:hAnsi="宋体" w:eastAsia="宋体" w:cs="宋体"/>
          <w:color w:val="auto"/>
          <w:sz w:val="21"/>
          <w:szCs w:val="21"/>
          <w:lang w:val="en-US" w:eastAsia="zh-CN"/>
        </w:rPr>
        <w:t>6月</w:t>
      </w:r>
      <w:r>
        <w:rPr>
          <w:rFonts w:hint="eastAsia" w:ascii="宋体" w:hAnsi="宋体" w:eastAsia="宋体" w:cs="宋体"/>
          <w:color w:val="auto"/>
          <w:sz w:val="21"/>
          <w:szCs w:val="21"/>
        </w:rPr>
        <w:t>正式启用生产环境。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安全</w:t>
      </w:r>
      <w:r>
        <w:rPr>
          <w:rFonts w:hint="eastAsia" w:ascii="宋体" w:hAnsi="宋体" w:eastAsia="宋体" w:cs="宋体"/>
          <w:color w:val="auto"/>
          <w:sz w:val="21"/>
          <w:szCs w:val="21"/>
        </w:rPr>
        <w:t>管理平台是贯彻落实《关于进一步深化税收征管改革的意见》的基础上，坚持统筹发展和安全，全面加强网络安全保障体系和能力建设，建成涵盖全面纵深防御、动态主动防护、智能指挥调度、协同联防联控的新一代网络安全防护体系。为做好安管平台日常监测及风险事件处置等日常运行工作，需要组建相应专业团队进行全面保障，提供不少于3人的</w:t>
      </w:r>
      <w:r>
        <w:rPr>
          <w:rFonts w:hint="eastAsia" w:ascii="宋体" w:hAnsi="宋体" w:eastAsia="宋体" w:cs="宋体"/>
          <w:color w:val="auto"/>
          <w:sz w:val="21"/>
          <w:szCs w:val="21"/>
          <w:lang w:eastAsia="zh-CN"/>
        </w:rPr>
        <w:t>驻场</w:t>
      </w:r>
      <w:r>
        <w:rPr>
          <w:rFonts w:hint="eastAsia" w:ascii="宋体" w:hAnsi="宋体" w:eastAsia="宋体" w:cs="宋体"/>
          <w:color w:val="auto"/>
          <w:sz w:val="21"/>
          <w:szCs w:val="21"/>
        </w:rPr>
        <w:t>运维团队，服务期自合同签订日期起，期限为</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1.项目目标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本项目目标是建立一个体系化、标准化且能支撑大规模信息化服务工作的信息安全管理体系，全面、有效实施信息化安全管理，保障黑龙江省税务局信息系统安全稳定运行。具体项目目标如下：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黑龙江省税务局提供统一的信息安全服务，按照相关法律法规所规定的标准、规范和流程，通过现场和非现场以电话、网络等方式，及时解决信息系统在运行使用过程中出现的各类安全事件、系统故障和服务请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采购内容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不少于3人的驻场运维团队，具体工作内容包括：平台运维、资产梳理、风险识别、建模及模型优化、基线检测、漏洞扫描、监测预警、问题处置、安全值守等服务。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本项目服务期限为1年。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本项目的实施准备工作须在合同签订后3日内完成，并正式提供服务，投标人要有具体的项目交接方案以保证黑龙江省税务局安全管理平台顺畅运行以及各项信息安全服务工作有序开展。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标准规范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所提供的各项服务内容必须完全符合本招标文件的服务指标要求和服务内容要求，符合国内和国际的相应标准、规范，符合国家税务总局的相关要求。投标人根据项目需求提供完整的本项目所需信息系统安全技术支持相关服务方案，相关方案必须满足但不限于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需具备完善的服务管理体系，遵循ISO20000、ITIL、ITSS技术服务标准，并遵循国家税务总局和黑龙江省税务局的管理规范，按照黑龙江省税务局要求定期提供运维文档，包括且不限于设备配置文档、监控巡检文档、健康检查文档、例行维护文档、故障管理文档、分析报告文档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须按照《中华人民共和国网络安全法》、《中华人民共和国数据安全法》、《国家信息化发展战略纲要》、《“十三五”国家信息化规划》和《国家标准化体系建设发展规划（2016—2020年）》、《信息安全技术网络安全等级保护基本要求》（GB/T22239-2019）中相关要求执行各项服务工作，同时须遵循以下原则：</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val="en" w:eastAsia="zh-CN"/>
        </w:rPr>
        <w:t>遵守法律、法规原则：投标人在服务过程中，应遵守国家制定的法律法规要求，以及国家税务总局和黑龙江省税务局指定的税务行业相关规范、要求；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安全性原则：应遵循国家相关技术规范和标准，从多方面考虑整个系统安全性，提供技术手段落实对应安全防范措施；</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可扩展性原则：在整体架构上应充分考虑黑龙江省税务局税收业务系统未来的扩展能力，保证本项目各业务系统的扩展需求；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可靠性原则：应充分考虑网络环境、安全环境、计算环境、存储环境等系统的各种不稳定因素，采取相应措施提高整个系统可靠性；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val="en" w:eastAsia="zh-CN"/>
        </w:rPr>
        <w:t>通用性原则：采用开放的、标准化的技术体系，保障网络环境、安全环境、计算环境、存储环境的完全兼容；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b/>
          <w:bCs/>
          <w:strike/>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val="en" w:eastAsia="zh-CN"/>
        </w:rPr>
        <w:t>架构方案充分考虑业务系统运行要求，系统架构符合目前主流技术发展趋势，具有前瞻性。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b/>
          <w:bCs/>
          <w:color w:val="auto"/>
          <w:sz w:val="21"/>
          <w:szCs w:val="21"/>
        </w:rPr>
      </w:pPr>
      <w:r>
        <w:rPr>
          <w:rFonts w:hint="eastAsia" w:ascii="宋体" w:hAnsi="宋体" w:eastAsia="宋体" w:cs="宋体"/>
          <w:color w:val="auto"/>
          <w:sz w:val="21"/>
          <w:szCs w:val="21"/>
        </w:rPr>
        <w:t>二、投标</w:t>
      </w:r>
      <w:r>
        <w:rPr>
          <w:rFonts w:hint="eastAsia" w:ascii="宋体" w:hAnsi="宋体" w:eastAsia="宋体" w:cs="宋体"/>
          <w:color w:val="auto"/>
          <w:sz w:val="21"/>
          <w:szCs w:val="21"/>
          <w:lang w:val="en"/>
        </w:rPr>
        <w:t>/</w:t>
      </w:r>
      <w:r>
        <w:rPr>
          <w:rFonts w:hint="eastAsia" w:ascii="宋体" w:hAnsi="宋体" w:eastAsia="宋体" w:cs="宋体"/>
          <w:color w:val="auto"/>
          <w:sz w:val="21"/>
          <w:szCs w:val="21"/>
        </w:rPr>
        <w:t>响应要求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对投标人基本要求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投标人须充分理解本项目招标技术需求书的内容，并根据需求书的具体要求编制提供详细的项目技术服务方案。对本项目需求书的完全响应，至少包含以下内容：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对项目现状及项目目标的准确理解和详细响应。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对需要提供服务的网络系统、安全系统充分了解，并详细响应。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对系统运行维护工作内容、工作流程、质量标准、管理要求的准确理解和详细响应。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对项目约束条件的准确理解和详细响应。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对项目管理要求、服务质量要求、项目验收、付款要求的准确理解和详细响应。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投标人在投标文件中为本项目制定的具体服务方案与规划不应作为投标人履约的最终依据，投标人的服务履行，应同时严格遵从采购人的实际工作安排。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对投标方案的要求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实施方案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该方案需详细描述投标人计划采取哪些具体措施和手段，保证本项目业务系统平稳、安全、顺畅的运行</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服务方案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该方案需充分考虑本项目运维服务工作的特点，具体结合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税务局的需求，详细描述工作内容及各项具体工作计划，方案必须符合实际系统运行现状，需要对本项目的系统运行维护工作详细阐述。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需要对满足本项目需求的运维人员资质应答。该应答需详细描述本项目支持服务人员所具备的资质、业务能力和IT相关技能；在运行维护服务过程中，服务人员对应不同工作岗位上已经具备的工作经验和专业技能。此部分应答内容将作为评标过程中评价和判断该服务人员是否能够胜任对应支持服务工作，并满足本需求书对服务人员资质要求的重要依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投标人在投标文件中需提供服务人员资料，包括：1）服务人员详细信息；2）服务人员居民身份证、最高学历证书、专业技术职称证书、技术认证证书等复印件</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验收方案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该方案需详细描述投标人计划采取哪些具体方法和依据，保证本项目顺利验收。验收方案中需明确项目验收的前提条件、验收时间、验收对象、验收采用的方法、验收步骤、验收依据、验收标准、以及验收结论等，并需制定具体的项目验收计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三、项目需求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（一）技术要求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投标人需满足不少于3人的驻场运维团队，具体工作内容包括：平台运维、资产梳理、风险识别、建模及模型优化、基线检测、漏洞扫描、监测预警、问题处置、安全值守等服务。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平台运维服务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平台的日常维护主要指保障省级集中安管平台运行而必须要做的日常保障性工作，如针对用户问题的解答（仅面向各级税务干部）、数据安全的日常维护等。运维技术人员根据局方各级系统用户反映的问题类型进行相应的处理。定期提交服务报告，内容包括平台系统的问题汇总、程序发布、数据安全、常见问题等内容，每日对当天问题接收和处理情况进行通报，对当日未完成问题说明原因并明确处理时限，做到日清日结。</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）操作类问题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操作人员对平台系统的基本操作和业务流程操作不熟悉，造成业务处理无法正常进行时，技术支持人员应通过电话指导操作人员完成操作。针对有共性的问题应进行提炼和总结，并维护到知识库中或作为下次培训时的讲解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）程序类问题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包括程序错误和程序优化，如软件处理方式与实际的业务处理方式不符或者软件性能已经不能满足正常的使用等。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安管平台版本由总局控制，运维技术人员不得修改程序。运维技术人员接收到问题，并确认是程序错误后，应向用户给出临时解决办法，并将问题提交给二线运维技术人员。由二线运维技术人员确认后，通过单一接口提交总局运维平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）业务类问题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运维技术人员首先要记录问题的内容、提出人及联系方式，经确认是当前未能明确的业务问题时，转发运维管理部门或相关处室，运维管理部门或相关处室反馈后，运维技术人员通过电话、运维平台等反馈给问题提交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）数据修改类问题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日常运问题处理中，如出现需对系统后台数据进行修改或调整的情况。应遵循省局相应流程进行审批，然后由技术人员执行修改操作。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eastAsia="zh-CN"/>
        </w:rPr>
        <w:t>）数据应用类问题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当局方对系统数据进行分析统计、数据质量等数据级需求，无法通过安管平台当前功能实现时，应由技术人员根据采购人要求后台完成。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lang w:eastAsia="zh-CN"/>
        </w:rPr>
        <w:t>）版本升级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根据采购人要求，能够在规定时间内按照系统版本升级说明，及时完成系统版本及补丁的升级工作。系统升级应先在预生产环境升级，经测试通过核准后再在生产环境升级。升级时间进度须严格遵从采购人要求，并做好升级失败的预案，保障可回退至升级前状态。</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8</w:t>
      </w:r>
      <w:r>
        <w:rPr>
          <w:rFonts w:hint="eastAsia" w:ascii="宋体" w:hAnsi="宋体" w:eastAsia="宋体" w:cs="宋体"/>
          <w:color w:val="auto"/>
          <w:sz w:val="21"/>
          <w:szCs w:val="21"/>
          <w:lang w:eastAsia="zh-CN"/>
        </w:rPr>
        <w:t>）系统配置维护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根据工作需要，对安管平台的工作流、岗位与功能对照、系统菜单、代码参数等系统配置进行调整维护。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系统环境维护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包括本合同期内已有及新上线并通过验收的与省级集中系统相关的软、硬件环境。对相关数据库服务器和云内安全应用服务进行监控问题处理。日常维护工作内容包括系统环境的日常监控、问题处理等维护工作，负责监控运维系统已集成的第三方平台、工具或插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）主机基础环境日常维护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1）主机监控指标（CPU利用率、内存使用率、存储使用等）及正常范围。维护人员每日对主机进行定时采样并记录；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2）当维护人员发现可能影响系统运行的征兆时，应及时通知采购人运维负责人。如需停机维护，由技术人员提交《维护申请》，说明维护原因、影响范围，由采购人负责协调主机设备的优化和调整维护；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3）在每月征期应对主机基础环境进行专门的可用性检查，保证征期内主机基础环境的正常和稳定。</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）数据库日常维护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1）每日对影响应用系统的数据库各部分（实例状况、日志、表空间、文件空间、监听）进行检查，并记录检查情况；</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2）每日收集反映数据库运行情况的数据，监控数据库运行效率；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当发现可能影响应用系统运行的征兆时，应及时通知采购人运维负责人。如需停机维护，由技术人员提交《停机申请》，说明维护原因、影响范围、工作计划，经采购人运维负责人同意后，在不影响系统正常运行的情况下调整数据库，保证系统稳定运行；</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4）每天检查数据备份情况，保证数据备份完整可用，以备紧急情况下对系统的快速恢复，并配合局方做好应用信息系统灾备建设与恢复演练工作；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5）按要求提交《数据库运行情况报告》，汇报数据库该时间段内运行情况，并对发现的问题提出解决建议；数据库实例的安装、升级等其他日常性维护工作。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）系统故障处理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当安管平台出现程序错误或运行环境故障时，技术人员应在第一时间做出响应，并立即启动相应的处理流程，通知采购人运维负责人，详细描述故障现象和可能的发生原因以及建议解决办法。首先保证系统能在最短的时间内恢复基本运行。属于硬件发生故障、系统软件本身问题等原因的，由采购人协助共同分析解决。故障解决之后，3个工作日之内技术人员应编制《故障处理报告》，提交采购人相关人员，确认文档接收。《故障处理报告》中需要包含的内容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1）故障描述；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2）故障产生的原因；</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3）故障的解决办法；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4）在以后日常维护工作中应该采取的措施等。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供应商应确保对每一次故障所提交的《故障处理报告》，对涉及到的故障描述清晰、原因明确、解决办法切实合理。故障判断时，涉及到第三方故障原因的，供应商应通过采购人协调第三方公司，以便明确原因、避免故障的重复发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供应商应严格控制重复故障的发生频率，原则上不允许出现可控的重大故障的重复。</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）系统调整和优化</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）系统定期健康检查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供应商应组织相关的技术专家组定期对系统运行环境进行健康检查，并形成健康检查报告。供应商要严格按照采购人健康检查时间和健康检查结果上报要求执行。每天对态势感知平台、云平台、数字证书等重要系统及设备运行状态检测进行巡检，以保证设备健康运行；定期配合总局项目组研发人员对平台及相关设备进行升级，以确保平台功能和安全策略满足运营需求。运维人员应根据每个月的系统运行维护情况汇总整理，按照《国家税务总局网络安全防护体系建设项目第2包（运营平台包）》相关要求，完成技术支持服务工作任务情况确认各明细单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平台安全管理服务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资产梳理。根据金四安全管理平台获取的信息系统基础信息、资产等数据，定期更新维护，对相关信息进行分类归集和关联比对；情报归集和共享，将各类信息进行归集分析、整合比对，形成威胁情报、预警信息和定制任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风险识别。根据业务流量和攻击流量的分类、监测建立威胁模型。汇集信息系统基础信息、资产、网络流量、漏洞等信息进行风险分析，对监测发现的威胁行为、异常操作行为及相关告警信息和检测发现的脆弱性进行综合分析研判，形成待处置的安全风险事件，并推送处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）建模及模型优化。配合甲方开展金四安全管理平台当中“外防攻击、内防窃数”模型的建模工作，根据预警规则模型匹配结果对已建模型进行优化和调整，并协助完成数据安全风险监控和处置工作。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）基线检测。按照工作要求，每月对重要信息系统开展操作系统、中间件、数据库等的基线检测工作，协助甲方对不符合基线要求的进行整改加固，提升安全防护能力。</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漏洞扫描。依托金四安全管理平台预置的漏洞扫描管理功能，联动省局现有的漏洞扫描工具对省税务局指定的设备、系统、数据库、中间件等提供主机安全漏洞扫描服务，定期开展脆弱性检测，对资产进行漏洞扫描、基线核查，生成漏洞预警信息和脆弱性信息，并进行风险验证，同时对漏洞信息进行分析，形成漏洞扫描报告提交给局方。对识别的漏洞进行优先级排序，协助相关人员完成漏洞修补工作。对于完成修补的，需重新进行漏洞扫描并出具相应的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eastAsia="zh-CN"/>
        </w:rPr>
        <w:t>）监测预警。开展常态化的日常告警监控工作，筛选过滤告警日志，记录并统计告警信息，协助开展告警信息的通告下发，定期跟踪事件处置情况，高危安全事件的通告工作等。对网络流量、日志信息等进行归集分析，确认其有效性和时效性，判断威胁来源、类别、程度等。对外部攻击预警事件进行预警研判和归总处置，进行工作流流转后，确认事件处置完成，每日研判后排除风险7000条，确认风险事件50条左右；对数据安全事件进行分析研判后，通过工作流推送市县或相关部门，事件相关部门反馈处置结果，完成处置及归总确认，每月风险事件约6000条，工作流处置900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lang w:eastAsia="zh-CN"/>
        </w:rPr>
        <w:t>）问题跟踪及处置：每日记录项目中遇到的问题，明确问题发生的时间、涉及产品、处理人员与处理状态，整理项目问题跟踪表反馈，协助处置网络攻击和数据安全事件。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安全支撑服务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）金四安全管理平台资产管理和发现，对资产进行识别、分类以及标记管理工作，对网络中可能存在的未知资产进行动态识别；</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）对省、市、区县及基层单位税务人员提供安管平台技术支持，保障数据安全事件处置流程平稳运行；</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提交工作进展，包括安全监控、安全评估、设备运维等工作的进展。平台运营团队需每月提交月报，包括平台运行情况、事件监控情况、研判情况、下周计划等信息进行报告，最终样式以现场要求为准。输出《日、周、月报》及《事件处置单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培训服务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对采购人相关人员进行必要的培训，具体包括：</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）在日常工作当中，负责对采购人相关人员做口头的知识传授工作，对处理问题的方法进行日常辅导，问题包括应用系统的工作原理和数据逻辑关系及数据库、主机等的操作问题。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）每次应用系统进行大的升级后，根据需要进行针对性的培训。</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）采购人可以根据工作需要，提出与应用系统相关的系统问题专题讨论，由供应商收集并汇集资料，提供采购人相关人员参阅，以提高采购人相关人员工作技能。</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根据采购人的培训需要，对采购人相关业务和技术维护人员进行专场培训，收集采购人相关人员对涉及应用系统的培训需求，与采购人现场维护人员协商培训计划，编制培训讲稿，完成对采购人相关人员的培训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）对所服务的业务系统的技术资料、维护脚本、配置规则等应向采购人进行培训和技术转移。</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培训服务相关工作平均每月一次，每次4小时，共计48小时。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eastAsia="zh-CN"/>
        </w:rPr>
        <w:t>安全保障服务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做好针对大征期、重要节庆日及特殊日期安全值守服务。提供7*24小时全面安全保障，制定专项保障方案，提升巡检和监控频率，专人值守及时解决问题，编写重保报告。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7.其他服务要求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黑龙江省税务局安全管理平台主要进行平台运维、资产梳理、风险识别、建模及模型优化、基线检测、漏洞扫描、监测预警、问题处置、安全值守等服务。需要投标人提供安管平台模型配置和优化服务方案、安管平台扩围对接服务方案、安管平台日志接入服务方案、安管平台基础数据维护方案、服务相关承诺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）安管平台模型配置和优化服务方案包括：安管平台模型配置优化内容及监测预警模型配置与优化步骤。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）安管平台扩围对接服务方案包括：提供对接现有平台及设备的方案。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）安管平台日志接入服务方案包括：安管平台日志对接范围、安管平台日志对接方式、安管平台日志对接内容、安管平台日志对接步骤等内容。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）安管平台基础数据维护方案包括：整体方案概述、基础数据维护步骤、大数据采集节点配置。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具体服务内容如下：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）实施方案：投标人需提供安管平台实施方案，包括总体方案概述、服务响应时间、日常运维服务、系统级服务、数据服务等内容。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）售后服务方案：投标人需提供安管平台售后服务方案，包括进度计划及保证措施、质量保证措施等内容。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）服务承诺要求：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1）服务响应时间承诺：承诺提供5</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lang w:eastAsia="zh-CN"/>
        </w:rPr>
        <w:t>8小时的驻场服务，提供7</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lang w:eastAsia="zh-CN"/>
        </w:rPr>
        <w:t>24小时的电话响应服务。故障响应时间支持根据故障等级进行响应。对用户所提出的系统业务应用软件等故障处理要求，在</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小时内做出安排并将其反馈给用户，遇到重大技术问题，在30分钟内响应，并在24小时内采取相应措施以确保系统可正常操作。无法在24小时内解决的，必须提供解决时间表。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满足团队成员要求承诺：承诺投标人为本项目提供驻场服务人员至少3人，服务人员都具有多年信息系统运维工作经验，具备对操作系统、数据库、中间件等解决问题、系统调优能力，具备对各类接口规范的学习能力，熟练掌握主流软件开发框架。投标人还需保证团队成员的稳定性和连续性，团队成员确定后，不得随意更换。</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满足团队要求承诺：投标人须保证团队成员的稳定性和连续性，并提前做好人力储备。团队成员在合同期内不得随意更换，如因特殊原因需要更换，须征得采购人同意。若投标人团队成员的合同到期或申请离职，必须提前一个月通知采购人，并立即从投标人后备人员中选拔，经考核合格后进行工作熟悉和交接，确保正常工作不受影响，因投标人无法保证人员的连续性所造成的全部损失由投标人承担。</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满足团队成员管理要求承诺：投标人团队成员在采购人现场专职从事运维工作。投标人团队成员需按照采购人网络安全、数据安全、运维安全、保密工作要求从事运维工作，接受采购人的管理。投标人团队成员在派驻采购人现场工作期间接受采购人的管理，遵守采购人的各项规章制度，特别是出勤、着装、安全等管理规定。因投标人团队成员个人原因，在采购人单位工作期间出现人身意外伤害等异常情况的，采购人不承担相关法律责任。因投标人团队成员工作失误等原因给采购人造成损失的，投标人要承担赔偿责任。</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5）满足安全保密要求承诺：严格遵守采购人信息安全保密制度和日常办公规定。团队成员的工作成果归采购人所有，投标人未征得采购人书面同意，不得将技术资料泄露。如违反上述协议内容，采购人将保留追究投标人法律责任的权利。团队成员严格遵守采购人内外网管理规定，外网的数据进入内网，必须在指定计算机上，并进行严格检查杀毒后，方可进入内网，避免将病毒或木马等带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四、项目实施要求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本项目所有相关工作内容的实施均由投标人负责提供，并且配合</w:t>
      </w:r>
      <w:r>
        <w:rPr>
          <w:rFonts w:hint="eastAsia" w:ascii="宋体" w:hAnsi="宋体" w:eastAsia="宋体" w:cs="宋体"/>
          <w:color w:val="auto"/>
          <w:sz w:val="21"/>
          <w:szCs w:val="21"/>
          <w:lang w:eastAsia="zh-CN"/>
        </w:rPr>
        <w:t>黑龙江省税务局</w:t>
      </w:r>
      <w:r>
        <w:rPr>
          <w:rFonts w:hint="eastAsia" w:ascii="宋体" w:hAnsi="宋体" w:eastAsia="宋体" w:cs="宋体"/>
          <w:color w:val="auto"/>
          <w:sz w:val="21"/>
          <w:szCs w:val="21"/>
        </w:rPr>
        <w:t>进行应用系统部署工作，同时满足以下要求：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（一）总体要求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应答时应详细阐述技术支持和维护维修服务的内容。投标人须在技术支持与保修方案书中详细阐述项目技术支持与保修服务体系、服务响应流程、服务质量承诺、技术支持与保修服务投入人员情况、备品备件方案、运行维护管理工具与手段、服务质量监督机制等与保障本项目完整顺利实施的相关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（二）运维团队要求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要求投标人为本项目设立专门的技术团队，完成此次招标涉及的所有服务工作。实施完成后，应按要求提供监控报告、运维记录、事件报告、评估方案等相关服务材料，电子文档、纸质文档。</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项目主管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指定一名项目主管，负责项目整体管理和资源协调，熟悉网络安全行业动态和信息系统项目管理，以及IT服务流程，具备公司资源协调权力；提供投标人最近12个月内任意一个月项目主管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项目主管相关要求如下，并提供相应证明：</w:t>
      </w:r>
    </w:p>
    <w:tbl>
      <w:tblPr>
        <w:tblStyle w:val="61"/>
        <w:tblW w:w="823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3777"/>
        <w:gridCol w:w="382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7"/>
                <w:sz w:val="21"/>
                <w:szCs w:val="21"/>
              </w:rPr>
              <w:t>序号</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414"/>
              <w:textAlignment w:val="baseline"/>
              <w:rPr>
                <w:rFonts w:hint="eastAsia" w:ascii="宋体" w:hAnsi="宋体" w:eastAsia="宋体" w:cs="宋体"/>
                <w:color w:val="auto"/>
                <w:sz w:val="21"/>
                <w:szCs w:val="21"/>
              </w:rPr>
            </w:pPr>
            <w:r>
              <w:rPr>
                <w:rFonts w:hint="eastAsia" w:ascii="宋体" w:hAnsi="宋体" w:eastAsia="宋体" w:cs="宋体"/>
                <w:color w:val="auto"/>
                <w:spacing w:val="-3"/>
                <w:sz w:val="21"/>
                <w:szCs w:val="21"/>
              </w:rPr>
              <w:t>相关要求</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82"/>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9"/>
                <w:sz w:val="21"/>
                <w:szCs w:val="21"/>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5"/>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1"/>
                <w:sz w:val="21"/>
                <w:szCs w:val="21"/>
              </w:rPr>
              <w:t>信息系统项目管理师（高级）资质</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1"/>
                <w:sz w:val="21"/>
                <w:szCs w:val="21"/>
              </w:rPr>
              <w:t>信息系统项目管理师证书（高级）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64"/>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3"/>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2"/>
                <w:sz w:val="21"/>
                <w:szCs w:val="21"/>
              </w:rPr>
              <w:t>CISP</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2"/>
                <w:sz w:val="21"/>
                <w:szCs w:val="21"/>
              </w:rPr>
              <w:t>认证信息安全人员</w:t>
            </w:r>
          </w:p>
        </w:tc>
      </w:tr>
    </w:tbl>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现场运维团队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投标人应组建不少于</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人的专业现场服务团队，熟悉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税务局信息系统及安全系统相关情况，应按照工作需要配备相应的专业化岗位，并具备相应的资质条件，提供投标人最近3个月内任意一个月为服务团队核心成员（</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人及以上）依法缴纳社保费的证明。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服务团队成员具备CISP</w:t>
      </w:r>
      <w:r>
        <w:rPr>
          <w:rFonts w:hint="eastAsia" w:ascii="宋体" w:hAnsi="宋体" w:eastAsia="宋体" w:cs="宋体"/>
          <w:color w:val="auto"/>
          <w:sz w:val="21"/>
          <w:szCs w:val="21"/>
          <w:lang w:eastAsia="zh-CN"/>
        </w:rPr>
        <w:t>等</w:t>
      </w:r>
      <w:r>
        <w:rPr>
          <w:rFonts w:hint="eastAsia" w:ascii="宋体" w:hAnsi="宋体" w:eastAsia="宋体" w:cs="宋体"/>
          <w:color w:val="auto"/>
          <w:sz w:val="21"/>
          <w:szCs w:val="21"/>
        </w:rPr>
        <w:t>认证及相关维护技术经验，具体现场服务团队技术资质要求如下，并提供相应证明：</w:t>
      </w:r>
    </w:p>
    <w:tbl>
      <w:tblPr>
        <w:tblStyle w:val="61"/>
        <w:tblW w:w="829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2643"/>
        <w:gridCol w:w="3279"/>
        <w:gridCol w:w="174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序号</w:t>
            </w:r>
          </w:p>
        </w:tc>
        <w:tc>
          <w:tcPr>
            <w:tcW w:w="2643"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5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资质名称</w:t>
            </w:r>
          </w:p>
        </w:tc>
        <w:tc>
          <w:tcPr>
            <w:tcW w:w="327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96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备注</w:t>
            </w:r>
          </w:p>
        </w:tc>
        <w:tc>
          <w:tcPr>
            <w:tcW w:w="174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2"/>
              <w:jc w:val="center"/>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2643"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3"/>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2"/>
                <w:sz w:val="21"/>
                <w:szCs w:val="21"/>
              </w:rPr>
              <w:t>CISP</w:t>
            </w:r>
          </w:p>
        </w:tc>
        <w:tc>
          <w:tcPr>
            <w:tcW w:w="327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7"/>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2"/>
                <w:sz w:val="21"/>
                <w:szCs w:val="21"/>
              </w:rPr>
              <w:t>认证信息安全人员</w:t>
            </w:r>
          </w:p>
        </w:tc>
        <w:tc>
          <w:tcPr>
            <w:tcW w:w="174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6"/>
                <w:sz w:val="21"/>
                <w:szCs w:val="21"/>
              </w:rPr>
              <w:t>&gt;=1</w:t>
            </w:r>
          </w:p>
        </w:tc>
      </w:tr>
    </w:tbl>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投标人须组建一定数量的二线服务团队，具备丰富的专业经验与专业资质，提供大型数据中心交换路由网络、安全设备和安全系统服务的高级专家团队，与现场技术团队实力、证书相匹配，能够解决现场无法解决的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五、项目验收要求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项目验收工作由采购人按照内部验收的有关制度和流程组织开展。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本项目验收，由中标人在每个合同期满后提出验收申请，经审核后满足验收准入条件后，予以启动项目验收程序。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（一）</w:t>
      </w:r>
      <w:r>
        <w:rPr>
          <w:rFonts w:hint="eastAsia" w:ascii="宋体" w:hAnsi="宋体" w:eastAsia="宋体" w:cs="宋体"/>
          <w:color w:val="auto"/>
          <w:sz w:val="21"/>
          <w:szCs w:val="21"/>
        </w:rPr>
        <w:t>项目验收准入条件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本需求书中包含的服务需求内容全部完成。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服务响应、服务流程、服务质量、服务成果以及组织管理和项目文档满足本技术需求书的规定要求。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（二）项目验收标准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以本需求书中相关内容为依据，作为项目验收标准。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（三）项目验收流程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符合项目验收准入条件后，可提出项目验收申请。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提交书面项目验收申请。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提交《项目验收工作总结报告》。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提交项目相关管理、技术文档电子版文件。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组织进行项目验收评审会议，对项目工作内容及文档进行验收评审。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项目验收评审通过后，出具项目验收报告。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（四）</w:t>
      </w:r>
      <w:r>
        <w:rPr>
          <w:rFonts w:hint="eastAsia" w:ascii="宋体" w:hAnsi="宋体" w:eastAsia="宋体" w:cs="宋体"/>
          <w:color w:val="auto"/>
          <w:sz w:val="21"/>
          <w:szCs w:val="21"/>
        </w:rPr>
        <w:t>验收交付物</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验收交付物列表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服务期内的各类服务报告，包括监控记录、巡检记录、故障记录、事件记录、维护记录等。具体文件清单以国家税务总局印发的基础设施日常运行管理规范为准。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交付物标准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按照要求提交相应文档，并保证文档质量。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六、项目技术支持服务要求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本项目系统运维服务要求按照国家税务总局对信息系统运维工作提出的“网络不能断、系统不能停、数据不能丢”的要求，和</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委、</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政府提出的关于保持稳定的相关文件要求，投标人应签署保密协议并作出相应承诺，做好各项运行维护服务工作，确保系统</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小时安全稳定持续运行。具体要求如下：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（一）运维管理要求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投标人须具有丰富的运维管理经验和完善的运维管理流程、制度和标准，并具备完备的运维管理工具；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税务局的安全要求，建立健全完善的授权审批流程，任何系统的访问与维护都要根据流程进行授权审批处理。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投标人须配合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税务局部署及调整应用软件；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税务局需求调整资源配置；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投标人提供与本项目有关的其它资源及服务。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w:t>
      </w:r>
      <w:r>
        <w:rPr>
          <w:rFonts w:hint="eastAsia" w:ascii="宋体" w:hAnsi="宋体" w:eastAsia="宋体" w:cs="宋体"/>
          <w:color w:val="auto"/>
          <w:sz w:val="21"/>
          <w:szCs w:val="21"/>
          <w:lang w:val="en-US" w:eastAsia="zh-CN"/>
        </w:rPr>
        <w:t>5*9</w:t>
      </w:r>
      <w:r>
        <w:rPr>
          <w:rFonts w:hint="eastAsia" w:ascii="宋体" w:hAnsi="宋体" w:eastAsia="宋体" w:cs="宋体"/>
          <w:color w:val="auto"/>
          <w:sz w:val="21"/>
          <w:szCs w:val="21"/>
        </w:rPr>
        <w:t>现场支持服务（包括但不限于重大变更、重要时期值守、网络安全攻防演练等）和现场值守；特殊岗位须提供</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税务局认为有必要时，须提供双岗</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（三）系统调优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投标人须按照系统日常运行情况，提供系统调优服务。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投标人须在影响业务的故障发生时立即进行处理并报告</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现场人员无法处理故障情况下，二线支持人员须在2小时之内到达现场；单次故障处理时间不超过4小时。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（五）应急处理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投标人针对本项目可能出现的故障，制定相应的应急预案，并定期进行组织应急演练工作。要确保故障发生后能够及时响应，缩短故障处理时间，最大限度的减少影响程度。</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为保障税收业务征期内系统运行稳定，投标人结合税务行业运维经验提供不少于5个重要应急场景（非通用故障）和解决办法，故障波及范围不少于5个业务系统。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（六）运维服务承诺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投标人承诺采取本地化运行维护与技术服务，严格按照项目要求，提供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税务局项目要求标准范围内的所有技术支持服务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投标人承诺按照国际标准ISO20000及ITIL运维服务管理规范提供标准化运维服务，建设符合项目要求的服务体系，实施满足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税务局要求的服务流程管理、服务级别协议，服务目录、问题管理、配置管理、故障管理等服务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投标人承诺定期进行运维服务质量跟踪，进行定期服务回访，主动了解</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税务局的服务意见与建议，了解最新服务要求，迅速改善服务的不足之处。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七、税收信息化项目开发和应用管理工作要求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1.一般失信行为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（1）违反网络安全管理规定，但未造成不良后果的；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（2）运维服务质量评价上季度得分被扣减较多，且未按承诺改进到位的；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（4）不配合监理工作或对监理指出问题整改不到位的；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（5）其他违反规定但未造成不良后果的行为。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2.严重失信行为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（1）攻击或侵入税务信息系统（包括CA等）；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（2）违反网络安全管理规定，造成不良后果的；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（4）利用为税务机关提供信息化服务的便利，向纳税人、缴费人搭车收费或变相收费；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（5）另行开发销售合同业务需求范围内，供纳税人、缴费人使用的软件；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（6）以明显低于成本的报价恶意竞标；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（7）存在“围猎”税务人员行为的；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（8）违规聘用离职税务人员；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（9）一年内发生2次以上（含2次）一般失信行为的；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（10）其他违反规定造成不良后果的行为。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（二）对失信行为的惩罚</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部门按规定将其推送财政部纳入政府采购严重违法失信行为记录名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约定对于违反网络安全规定行为造成不良后果的服务商，3年内限制参加税务系统政府采购活动；经其认定存在失信行为的服务商，3年内限制参加税收信息化项目政府采购活动。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八、其他要求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（一）安全及保密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投标人提供专职岗位人员信息须在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税务局备案</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访问控制机制、变更管理流程等遵循</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税务局相关管理办法；投标人对本项目涉及的工作人员定期进行安全教育培训</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投标人在合同终止时，有责任将本项目所有数据无条件交还给</w:t>
      </w:r>
      <w:r>
        <w:rPr>
          <w:rFonts w:hint="eastAsia" w:ascii="宋体" w:hAnsi="宋体" w:eastAsia="宋体" w:cs="宋体"/>
          <w:color w:val="auto"/>
          <w:sz w:val="21"/>
          <w:szCs w:val="21"/>
          <w:lang w:eastAsia="zh-CN"/>
        </w:rPr>
        <w:t>黑龙省税务局</w:t>
      </w:r>
      <w:r>
        <w:rPr>
          <w:rFonts w:hint="eastAsia" w:ascii="宋体" w:hAnsi="宋体" w:eastAsia="宋体" w:cs="宋体"/>
          <w:color w:val="auto"/>
          <w:sz w:val="21"/>
          <w:szCs w:val="21"/>
        </w:rPr>
        <w:t>，并彻底删除有关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税务局的全部数据且确保以任何手段无法恢复相关数据</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投标人须与</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税务局签署专门的保密协议；根据项目相关信息安全要求，该项目各岗位维护人员与服务商签署项目保密协议。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（二）系统交接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投标人在合同终止时，须将系统的管理文档、用户名、密码、相关系统软件等全部技术文档无条件交还给</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税务局，并保证其准确性。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（三）知识产权要求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项目实施过程中所有产出物、交付物归采购人所有。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（四）项目归档要求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税务局要求提供运维报告。保留服务期内的各类记录（监控记录、巡检记录、故障记录、事件记录、维护记录等等），供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税务局查阅审计。</w:t>
      </w:r>
    </w:p>
    <w:p>
      <w:pPr>
        <w:pStyle w:val="2"/>
        <w:rPr>
          <w:rFonts w:hint="default"/>
          <w:color w:val="auto"/>
          <w:lang w:val="en-US" w:eastAsia="zh-CN"/>
        </w:rPr>
      </w:pPr>
    </w:p>
    <w:p>
      <w:pPr>
        <w:pStyle w:val="7"/>
        <w:rPr>
          <w:rFonts w:hint="eastAsia"/>
          <w:color w:val="auto"/>
          <w:lang w:val="en-US" w:eastAsia="zh-CN"/>
        </w:rPr>
      </w:pPr>
    </w:p>
    <w:p>
      <w:pPr>
        <w:pStyle w:val="23"/>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36" w:name="_Toc17739"/>
      <w:r>
        <w:rPr>
          <w:rStyle w:val="37"/>
          <w:rFonts w:hint="eastAsia" w:ascii="宋体" w:hAnsi="宋体" w:eastAsia="宋体" w:cs="宋体"/>
          <w:color w:val="auto"/>
          <w:highlight w:val="none"/>
        </w:rPr>
        <w:t>第四章 评标方法</w:t>
      </w:r>
      <w:bookmarkEnd w:id="111"/>
      <w:bookmarkEnd w:id="112"/>
      <w:bookmarkEnd w:id="136"/>
    </w:p>
    <w:p>
      <w:pPr>
        <w:adjustRightInd w:val="0"/>
        <w:snapToGrid w:val="0"/>
        <w:ind w:firstLine="422" w:firstLineChars="200"/>
        <w:rPr>
          <w:rFonts w:hint="eastAsia" w:ascii="宋体" w:hAnsi="宋体" w:eastAsia="宋体" w:cs="宋体"/>
          <w:b/>
          <w:color w:val="auto"/>
          <w:kern w:val="0"/>
          <w:highlight w:val="none"/>
        </w:rPr>
      </w:pPr>
      <w:bookmarkStart w:id="137" w:name="_Toc22313_WPSOffice_Level2"/>
      <w:r>
        <w:rPr>
          <w:rFonts w:hint="eastAsia" w:ascii="宋体" w:hAnsi="宋体" w:eastAsia="宋体" w:cs="宋体"/>
          <w:b/>
          <w:color w:val="auto"/>
          <w:kern w:val="0"/>
          <w:highlight w:val="none"/>
        </w:rPr>
        <w:t>一、评标方法</w:t>
      </w:r>
      <w:bookmarkEnd w:id="137"/>
    </w:p>
    <w:p>
      <w:pPr>
        <w:adjustRightInd w:val="0"/>
        <w:snapToGrid w:val="0"/>
        <w:ind w:firstLine="420" w:firstLineChars="200"/>
        <w:textAlignment w:val="baseline"/>
        <w:rPr>
          <w:rFonts w:hint="eastAsia" w:ascii="宋体" w:hAnsi="宋体" w:eastAsia="宋体" w:cs="宋体"/>
          <w:color w:val="auto"/>
          <w:highlight w:val="none"/>
        </w:rPr>
      </w:pPr>
      <w:bookmarkStart w:id="138"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38"/>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39"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39"/>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40"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40"/>
    </w:p>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142" w:type="pct"/>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152" w:type="pct"/>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1410" w:type="pct"/>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pPr>
              <w:spacing w:line="300" w:lineRule="exact"/>
              <w:rPr>
                <w:rFonts w:hint="eastAsia" w:ascii="宋体" w:hAnsi="宋体" w:eastAsia="宋体" w:cs="宋体"/>
                <w:color w:val="auto"/>
                <w:highlight w:val="none"/>
              </w:rPr>
            </w:pPr>
          </w:p>
        </w:tc>
        <w:tc>
          <w:tcPr>
            <w:tcW w:w="2142" w:type="pct"/>
            <w:vMerge w:val="continue"/>
            <w:vAlign w:val="center"/>
          </w:tcPr>
          <w:p>
            <w:pPr>
              <w:spacing w:line="300" w:lineRule="exact"/>
              <w:rPr>
                <w:rFonts w:hint="eastAsia" w:ascii="宋体" w:hAnsi="宋体" w:eastAsia="宋体" w:cs="宋体"/>
                <w:color w:val="auto"/>
                <w:highlight w:val="none"/>
              </w:rPr>
            </w:pPr>
          </w:p>
        </w:tc>
        <w:tc>
          <w:tcPr>
            <w:tcW w:w="1152" w:type="pct"/>
            <w:vMerge w:val="continue"/>
            <w:vAlign w:val="center"/>
          </w:tcPr>
          <w:p>
            <w:pPr>
              <w:spacing w:line="300" w:lineRule="exact"/>
              <w:rPr>
                <w:rFonts w:hint="eastAsia" w:ascii="宋体" w:hAnsi="宋体" w:eastAsia="宋体" w:cs="宋体"/>
                <w:color w:val="auto"/>
                <w:highlight w:val="none"/>
              </w:rPr>
            </w:pPr>
          </w:p>
        </w:tc>
        <w:tc>
          <w:tcPr>
            <w:tcW w:w="408" w:type="pct"/>
            <w:vAlign w:val="center"/>
          </w:tcPr>
          <w:p>
            <w:pPr>
              <w:spacing w:line="300" w:lineRule="exact"/>
              <w:rPr>
                <w:rFonts w:hint="eastAsia" w:ascii="宋体" w:hAnsi="宋体" w:eastAsia="宋体" w:cs="宋体"/>
                <w:color w:val="auto"/>
                <w:highlight w:val="none"/>
              </w:rPr>
            </w:pPr>
          </w:p>
        </w:tc>
        <w:tc>
          <w:tcPr>
            <w:tcW w:w="520" w:type="pct"/>
            <w:vAlign w:val="center"/>
          </w:tcPr>
          <w:p>
            <w:pPr>
              <w:spacing w:line="300" w:lineRule="exact"/>
              <w:rPr>
                <w:rFonts w:hint="eastAsia" w:ascii="宋体" w:hAnsi="宋体" w:eastAsia="宋体" w:cs="宋体"/>
                <w:color w:val="auto"/>
                <w:highlight w:val="none"/>
              </w:rPr>
            </w:pPr>
          </w:p>
        </w:tc>
        <w:tc>
          <w:tcPr>
            <w:tcW w:w="482" w:type="pct"/>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vAlign w:val="center"/>
          </w:tcPr>
          <w:p>
            <w:pPr>
              <w:spacing w:line="300" w:lineRule="exact"/>
              <w:rPr>
                <w:rFonts w:hint="eastAsia" w:ascii="宋体" w:hAnsi="宋体" w:eastAsia="宋体" w:cs="宋体"/>
                <w:color w:val="auto"/>
                <w:highlight w:val="none"/>
              </w:rPr>
            </w:pPr>
          </w:p>
        </w:tc>
        <w:tc>
          <w:tcPr>
            <w:tcW w:w="520" w:type="pct"/>
            <w:vAlign w:val="center"/>
          </w:tcPr>
          <w:p>
            <w:pPr>
              <w:spacing w:line="300" w:lineRule="exact"/>
              <w:rPr>
                <w:rFonts w:hint="eastAsia" w:ascii="宋体" w:hAnsi="宋体" w:eastAsia="宋体" w:cs="宋体"/>
                <w:color w:val="auto"/>
                <w:highlight w:val="none"/>
              </w:rPr>
            </w:pPr>
          </w:p>
        </w:tc>
        <w:tc>
          <w:tcPr>
            <w:tcW w:w="482" w:type="pct"/>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2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41"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2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41"/>
    </w:p>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326" w:type="pct"/>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1617" w:type="pct"/>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1682" w:type="pct"/>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pPr>
              <w:spacing w:line="300" w:lineRule="exact"/>
              <w:jc w:val="center"/>
              <w:rPr>
                <w:rFonts w:hint="eastAsia" w:ascii="宋体" w:hAnsi="宋体" w:eastAsia="宋体" w:cs="宋体"/>
                <w:color w:val="auto"/>
                <w:highlight w:val="none"/>
              </w:rPr>
            </w:pPr>
          </w:p>
        </w:tc>
        <w:tc>
          <w:tcPr>
            <w:tcW w:w="1326" w:type="pct"/>
            <w:vMerge w:val="continue"/>
            <w:vAlign w:val="center"/>
          </w:tcPr>
          <w:p>
            <w:pPr>
              <w:spacing w:line="300" w:lineRule="exact"/>
              <w:rPr>
                <w:rFonts w:hint="eastAsia" w:ascii="宋体" w:hAnsi="宋体" w:eastAsia="宋体" w:cs="宋体"/>
                <w:color w:val="auto"/>
                <w:highlight w:val="none"/>
              </w:rPr>
            </w:pPr>
          </w:p>
        </w:tc>
        <w:tc>
          <w:tcPr>
            <w:tcW w:w="1617" w:type="pct"/>
            <w:vMerge w:val="continue"/>
            <w:vAlign w:val="center"/>
          </w:tcPr>
          <w:p>
            <w:pPr>
              <w:spacing w:line="300" w:lineRule="exact"/>
              <w:rPr>
                <w:rFonts w:hint="eastAsia" w:ascii="宋体" w:hAnsi="宋体" w:eastAsia="宋体" w:cs="宋体"/>
                <w:color w:val="auto"/>
                <w:highlight w:val="none"/>
              </w:rPr>
            </w:pPr>
          </w:p>
        </w:tc>
        <w:tc>
          <w:tcPr>
            <w:tcW w:w="584"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2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adjustRightInd w:val="0"/>
        <w:snapToGrid w:val="0"/>
        <w:spacing w:before="0" w:after="0" w:line="240" w:lineRule="auto"/>
        <w:jc w:val="left"/>
        <w:rPr>
          <w:rFonts w:hint="eastAsia" w:ascii="宋体" w:hAnsi="宋体" w:eastAsia="宋体" w:cs="宋体"/>
          <w:color w:val="auto"/>
          <w:highlight w:val="none"/>
        </w:rPr>
      </w:pPr>
      <w:bookmarkStart w:id="142"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42"/>
    </w:p>
    <w:p>
      <w:pPr>
        <w:pStyle w:val="34"/>
        <w:rPr>
          <w:rFonts w:hint="eastAsia"/>
          <w:color w:val="auto"/>
        </w:rPr>
      </w:pPr>
      <w:r>
        <w:rPr>
          <w:rFonts w:hint="eastAsia" w:ascii="宋体" w:hAnsi="宋体" w:cs="宋体"/>
          <w:color w:val="auto"/>
          <w:highlight w:val="none"/>
          <w:lang w:val="en-US" w:eastAsia="zh-CN"/>
        </w:rPr>
        <w:t>第一包：</w:t>
      </w:r>
      <w:r>
        <w:rPr>
          <w:rFonts w:hint="eastAsia"/>
          <w:color w:val="auto"/>
        </w:rPr>
        <w:t>云平台运维项目</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5"/>
        <w:gridCol w:w="817"/>
        <w:gridCol w:w="687"/>
        <w:gridCol w:w="455"/>
        <w:gridCol w:w="61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trPr>
        <w:tc>
          <w:tcPr>
            <w:tcW w:w="0" w:type="auto"/>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序号</w:t>
            </w:r>
          </w:p>
        </w:tc>
        <w:tc>
          <w:tcPr>
            <w:tcW w:w="0" w:type="auto"/>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评审项目</w:t>
            </w: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分项</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分值</w:t>
            </w:r>
          </w:p>
        </w:tc>
        <w:tc>
          <w:tcPr>
            <w:tcW w:w="0" w:type="auto"/>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w:t>
            </w:r>
          </w:p>
        </w:tc>
        <w:tc>
          <w:tcPr>
            <w:tcW w:w="0" w:type="auto"/>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价格（10分）</w:t>
            </w: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报价得分</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10</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adjustRightInd w:val="0"/>
              <w:snapToGrid w:val="0"/>
              <w:jc w:val="left"/>
              <w:rPr>
                <w:rFonts w:hint="eastAsia" w:ascii="宋体" w:hAnsi="宋体" w:cs="宋体"/>
                <w:color w:val="auto"/>
                <w:szCs w:val="21"/>
              </w:rPr>
            </w:pPr>
            <w:r>
              <w:rPr>
                <w:rFonts w:hint="eastAsia" w:ascii="宋体" w:hAnsi="宋体" w:cs="宋体"/>
                <w:color w:val="auto"/>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0" w:type="auto"/>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2</w:t>
            </w:r>
          </w:p>
        </w:tc>
        <w:tc>
          <w:tcPr>
            <w:tcW w:w="0" w:type="auto"/>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商务部分（15分）</w:t>
            </w: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售后服务承诺</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4</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根据供应商提供的售后服务承诺进行打分，内容包括服务大纲、故障响应、服务应答、备机备件等方面，以上内容每具备一项且无缺陷得1分，最多得4分。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供应商资质</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6</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与全国认证认可信息公共服务平台http://cx.cnca.cn查询截图，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3"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供应商类似项目业绩</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5</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提供2021年1月1日之后供应商类似项目合同，以合同个数为准，每提供一个合同得1分，最多得5分。时间以签订合同时间为准。</w:t>
            </w:r>
          </w:p>
          <w:p>
            <w:pPr>
              <w:adjustRightInd w:val="0"/>
              <w:snapToGrid w:val="0"/>
              <w:jc w:val="left"/>
              <w:rPr>
                <w:rFonts w:hint="eastAsia" w:ascii="宋体" w:hAnsi="宋体" w:cs="宋体"/>
                <w:color w:val="auto"/>
                <w:szCs w:val="21"/>
              </w:rPr>
            </w:pPr>
            <w:r>
              <w:rPr>
                <w:rFonts w:hint="eastAsia" w:ascii="宋体" w:hAnsi="宋体" w:cs="宋体"/>
                <w:color w:val="auto"/>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0" w:type="auto"/>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3</w:t>
            </w:r>
          </w:p>
        </w:tc>
        <w:tc>
          <w:tcPr>
            <w:tcW w:w="0" w:type="auto"/>
            <w:vMerge w:val="restart"/>
            <w:noWrap w:val="0"/>
            <w:vAlign w:val="center"/>
          </w:tcPr>
          <w:p>
            <w:pPr>
              <w:adjustRightInd w:val="0"/>
              <w:snapToGrid w:val="0"/>
              <w:jc w:val="center"/>
              <w:rPr>
                <w:rFonts w:hint="eastAsia" w:ascii="宋体" w:hAnsi="宋体" w:cs="宋体"/>
                <w:color w:val="auto"/>
                <w:szCs w:val="21"/>
              </w:rPr>
            </w:pPr>
          </w:p>
          <w:p>
            <w:pPr>
              <w:adjustRightInd w:val="0"/>
              <w:snapToGrid w:val="0"/>
              <w:jc w:val="center"/>
              <w:rPr>
                <w:rFonts w:hint="eastAsia" w:ascii="宋体" w:hAnsi="宋体" w:cs="宋体"/>
                <w:color w:val="auto"/>
                <w:szCs w:val="21"/>
              </w:rPr>
            </w:pPr>
          </w:p>
          <w:p>
            <w:pPr>
              <w:adjustRightInd w:val="0"/>
              <w:snapToGrid w:val="0"/>
              <w:jc w:val="center"/>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r>
              <w:rPr>
                <w:rFonts w:hint="eastAsia" w:ascii="宋体" w:hAnsi="宋体" w:cs="宋体"/>
                <w:color w:val="auto"/>
                <w:szCs w:val="21"/>
              </w:rPr>
              <w:t>技术评分（75分）</w:t>
            </w:r>
          </w:p>
        </w:tc>
        <w:tc>
          <w:tcPr>
            <w:tcW w:w="687" w:type="dxa"/>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投入项目技术力量</w:t>
            </w:r>
          </w:p>
        </w:tc>
        <w:tc>
          <w:tcPr>
            <w:tcW w:w="455" w:type="dxa"/>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10</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投入本项目的项目负责人具有信息系统项目管理师证书，得2分；</w:t>
            </w:r>
          </w:p>
          <w:p>
            <w:pPr>
              <w:adjustRightInd w:val="0"/>
              <w:snapToGrid w:val="0"/>
              <w:jc w:val="left"/>
              <w:rPr>
                <w:rFonts w:hint="eastAsia" w:ascii="宋体" w:hAnsi="宋体" w:cs="宋体"/>
                <w:color w:val="auto"/>
                <w:szCs w:val="21"/>
              </w:rPr>
            </w:pPr>
            <w:r>
              <w:rPr>
                <w:rFonts w:hint="eastAsia" w:ascii="宋体" w:hAnsi="宋体" w:cs="宋体"/>
                <w:color w:val="auto"/>
                <w:szCs w:val="21"/>
              </w:rPr>
              <w:t>所提供的人员须提供社保缴纳证明，否则不得分。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9"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vMerge w:val="continue"/>
            <w:noWrap w:val="0"/>
            <w:vAlign w:val="center"/>
          </w:tcPr>
          <w:p>
            <w:pPr>
              <w:adjustRightInd w:val="0"/>
              <w:snapToGrid w:val="0"/>
              <w:jc w:val="center"/>
              <w:rPr>
                <w:rFonts w:hint="eastAsia" w:ascii="宋体" w:hAnsi="宋体" w:cs="宋体"/>
                <w:color w:val="auto"/>
                <w:szCs w:val="21"/>
              </w:rPr>
            </w:pPr>
          </w:p>
        </w:tc>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投入本项目技术负责人具有系统集成项目管理工程师、系统架构师的，每1个得2分；（每类证书只得2分，不重复得分，本项最多得4分）</w:t>
            </w:r>
          </w:p>
          <w:p>
            <w:pPr>
              <w:adjustRightInd w:val="0"/>
              <w:snapToGrid w:val="0"/>
              <w:jc w:val="left"/>
              <w:rPr>
                <w:rFonts w:hint="eastAsia" w:ascii="宋体" w:hAnsi="宋体" w:cs="宋体"/>
                <w:color w:val="auto"/>
                <w:szCs w:val="21"/>
              </w:rPr>
            </w:pPr>
            <w:r>
              <w:rPr>
                <w:rFonts w:hint="eastAsia" w:ascii="宋体" w:hAnsi="宋体" w:cs="宋体"/>
                <w:color w:val="auto"/>
                <w:szCs w:val="21"/>
              </w:rPr>
              <w:t>所提供的人员须提供社保缴纳证明，否则不得分。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3"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vMerge w:val="continue"/>
            <w:noWrap w:val="0"/>
            <w:vAlign w:val="center"/>
          </w:tcPr>
          <w:p>
            <w:pPr>
              <w:adjustRightInd w:val="0"/>
              <w:snapToGrid w:val="0"/>
              <w:jc w:val="center"/>
              <w:rPr>
                <w:rFonts w:hint="eastAsia" w:ascii="宋体" w:hAnsi="宋体" w:cs="宋体"/>
                <w:color w:val="auto"/>
                <w:szCs w:val="21"/>
              </w:rPr>
            </w:pPr>
          </w:p>
        </w:tc>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投入本项目项目成员（不含项目负责人、技术负责人）具有数据库系统工程师证书、信息安全工程师证书，每1个得2分；（每类证书只得2分，不重复得分，本项最多得4分）</w:t>
            </w:r>
          </w:p>
          <w:p>
            <w:pPr>
              <w:adjustRightInd w:val="0"/>
              <w:snapToGrid w:val="0"/>
              <w:jc w:val="left"/>
              <w:rPr>
                <w:rFonts w:hint="eastAsia" w:ascii="宋体" w:hAnsi="宋体" w:cs="宋体"/>
                <w:color w:val="auto"/>
                <w:szCs w:val="21"/>
              </w:rPr>
            </w:pPr>
            <w:r>
              <w:rPr>
                <w:rFonts w:hint="eastAsia" w:ascii="宋体" w:hAnsi="宋体" w:cs="宋体"/>
                <w:color w:val="auto"/>
                <w:szCs w:val="21"/>
              </w:rPr>
              <w:t>所提供的人员须提供社保缴纳证明，否则不得分。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0"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采购需求理解程度</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12</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对本项目需求理解以及本项目服务难点、要点的理解程度进行打分，内容包括对云平台项目软（硬）件系统的业务知识、运行情况、各项功能流程、应急处置策略的掌握。以上内容每具备一项且无缺陷的得3分，最多得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运行维护服务方案</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15</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重点考核投标人实施方案的完整性和详细性，包括项目组织、人员安排、服务保障体系、告警处理能力、工单处理能力、版本升级能力、系统优化能力、平台资料整理、重大时间节点和节日开展专项应急保障工作方案（需提供承诺书，格式自拟）、承诺人员在项目实施期间不兼任与本项目无关的其他工作（需提供承诺书，格式自拟）等方面，以上内容每具备一项且无缺陷的得1.5分，最多得15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巡检服务方案</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12</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重点考核投标人巡检服务方案的完整性和详细性，包括巡检计划制定、巡检范围、巡检内容、巡检标准、巡检服务承诺、巡检服务质量控制等方面，以上内容每具备一项且无缺陷的得2分，最多得12分。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突发紧急事件处理能力</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8</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根据供应商为本项目提供的突发紧急事件处理方案进行打分，以网络及电话远程处理为例，依照处理预案、处理时限、事件分类、处理方式等。以上内容每具备一项且无缺陷的得2分，最多得8分。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履约考核和档案管理</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6</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根据供应商为本项目提供的证明履约能力、成果移交、日常考核、最终交付物等相关档案进行打分，每具备一项以上各项档案的建立、分类，归档、移交等程序且无缺陷的得1.5分，最多得6分。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项目质量控制方案</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6</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根据供应商为本项目制定的关于现场职守服务、监控等服务的质量控制方案，内容包括各项服务的技术服务水平、服务方式、响应时间、解决时限。以上内容每具备一项且无缺陷的得1.5分，最多得6分。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trPr>
        <w:tc>
          <w:tcPr>
            <w:tcW w:w="0" w:type="auto"/>
            <w:vMerge w:val="continue"/>
            <w:noWrap w:val="0"/>
            <w:vAlign w:val="center"/>
          </w:tcPr>
          <w:p>
            <w:pPr>
              <w:adjustRightInd w:val="0"/>
              <w:snapToGrid w:val="0"/>
              <w:jc w:val="center"/>
              <w:rPr>
                <w:rFonts w:hint="eastAsia" w:ascii="宋体" w:hAnsi="宋体" w:cs="宋体"/>
                <w:color w:val="auto"/>
                <w:szCs w:val="21"/>
              </w:rPr>
            </w:pPr>
          </w:p>
        </w:tc>
        <w:tc>
          <w:tcPr>
            <w:tcW w:w="0" w:type="auto"/>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技术培训</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6</w:t>
            </w:r>
          </w:p>
        </w:tc>
        <w:tc>
          <w:tcPr>
            <w:tcW w:w="0" w:type="auto"/>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根据供应商提供的培训服务方案进行打分，内容包括培训方案的针对性和时效性、培训师资水平、培训课程设置及培训讲义内容、本地化培训设施。以上内容每具备一项且无缺陷的得1.5分，最多得6分。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0" w:type="auto"/>
            <w:gridSpan w:val="5"/>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备注：以上缺陷是指：与本项目无关、不满足项目需求、内容前后不一致、前后逻辑错误、涉及的规范及标准错误、地点区域错误、内容缺失</w:t>
            </w:r>
          </w:p>
        </w:tc>
      </w:tr>
    </w:tbl>
    <w:p>
      <w:pPr>
        <w:pStyle w:val="34"/>
        <w:rPr>
          <w:rFonts w:hint="default"/>
          <w:color w:val="auto"/>
          <w:lang w:val="en-US" w:eastAsia="zh-CN"/>
        </w:rPr>
      </w:pPr>
    </w:p>
    <w:p>
      <w:pPr>
        <w:pStyle w:val="34"/>
        <w:rPr>
          <w:rFonts w:hint="default" w:ascii="宋体" w:hAnsi="宋体" w:eastAsia="宋体" w:cs="宋体"/>
          <w:color w:val="auto"/>
          <w:highlight w:val="none"/>
          <w:lang w:val="en-US" w:eastAsia="zh-CN"/>
        </w:rPr>
      </w:pPr>
      <w:r>
        <w:rPr>
          <w:rFonts w:hint="eastAsia" w:ascii="宋体" w:hAnsi="宋体" w:cs="宋体"/>
          <w:color w:val="auto"/>
          <w:highlight w:val="none"/>
          <w:lang w:val="en-US" w:eastAsia="zh-CN"/>
        </w:rPr>
        <w:t>第二包：</w:t>
      </w:r>
      <w:r>
        <w:rPr>
          <w:rFonts w:hint="eastAsia"/>
          <w:color w:val="auto"/>
          <w:highlight w:val="none"/>
          <w:lang w:val="en-US" w:eastAsia="zh-CN"/>
        </w:rPr>
        <w:t>多云平台运维项目</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822"/>
        <w:gridCol w:w="694"/>
        <w:gridCol w:w="456"/>
        <w:gridCol w:w="6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序号</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评审项目</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分项</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分值</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4" w:hRule="atLeast"/>
          <w:jc w:val="center"/>
        </w:trPr>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价格（</w:t>
            </w:r>
            <w:r>
              <w:rPr>
                <w:rFonts w:hint="eastAsia" w:asciiTheme="minorEastAsia" w:hAnsiTheme="minorEastAsia" w:eastAsiaTheme="minorEastAsia" w:cstheme="minorEastAsia"/>
                <w:color w:val="auto"/>
                <w:sz w:val="21"/>
                <w:szCs w:val="21"/>
                <w:lang w:val="en-US" w:eastAsia="zh-CN"/>
              </w:rPr>
              <w:t>1</w:t>
            </w:r>
            <w:r>
              <w:rPr>
                <w:rFonts w:hint="eastAsia" w:asciiTheme="minorEastAsia" w:hAnsiTheme="minorEastAsia" w:eastAsiaTheme="minorEastAsia" w:cstheme="minorEastAsia"/>
                <w:color w:val="auto"/>
                <w:sz w:val="21"/>
                <w:szCs w:val="21"/>
              </w:rPr>
              <w:t>0分）</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报价得分</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lang w:val="en-US" w:eastAsia="zh-CN"/>
              </w:rPr>
              <w:t>1</w:t>
            </w:r>
            <w:r>
              <w:rPr>
                <w:rFonts w:hint="eastAsia" w:asciiTheme="minorEastAsia" w:hAnsiTheme="minorEastAsia" w:eastAsiaTheme="minorEastAsia" w:cstheme="minorEastAsia"/>
                <w:color w:val="auto"/>
                <w:sz w:val="21"/>
                <w:szCs w:val="21"/>
              </w:rPr>
              <w:t>0</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0" w:type="auto"/>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0" w:type="auto"/>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商务部分（1</w:t>
            </w:r>
            <w:r>
              <w:rPr>
                <w:rFonts w:hint="eastAsia" w:asciiTheme="minorEastAsia" w:hAnsiTheme="minorEastAsia" w:eastAsiaTheme="minorEastAsia" w:cstheme="minorEastAsia"/>
                <w:color w:val="auto"/>
                <w:sz w:val="21"/>
                <w:szCs w:val="21"/>
                <w:lang w:val="en-US" w:eastAsia="zh-CN"/>
              </w:rPr>
              <w:t>5</w:t>
            </w:r>
            <w:r>
              <w:rPr>
                <w:rFonts w:hint="eastAsia" w:asciiTheme="minorEastAsia" w:hAnsiTheme="minorEastAsia" w:eastAsiaTheme="minorEastAsia" w:cstheme="minorEastAsia"/>
                <w:color w:val="auto"/>
                <w:sz w:val="21"/>
                <w:szCs w:val="21"/>
              </w:rPr>
              <w:t>分）</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售后服务承诺</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4</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根据供应商提供的售后服务承诺进行打分，内容包括服务大纲、故障响应、服务应答、备机备件等方面，以上内容每具备一项且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jc w:val="center"/>
        </w:trPr>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供应商资质</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6</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Theme="minorEastAsia" w:hAnsiTheme="minorEastAsia" w:eastAsiaTheme="minorEastAsia" w:cstheme="minorEastAsia"/>
                <w:color w:val="auto"/>
                <w:sz w:val="21"/>
                <w:szCs w:val="21"/>
                <w:lang w:val="en-US" w:eastAsia="zh-CN"/>
              </w:rPr>
              <w:t>与全国认证认可信息公共服务平台http://cx.cnca.cn查询截图，原件备查</w:t>
            </w:r>
            <w:r>
              <w:rPr>
                <w:rFonts w:hint="eastAsia" w:asciiTheme="minorEastAsia" w:hAnsiTheme="minorEastAsia" w:eastAsiaTheme="minorEastAsia" w:cstheme="minorEastAsia"/>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供应商类似项目业绩</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5</w:t>
            </w:r>
          </w:p>
        </w:tc>
        <w:tc>
          <w:tcPr>
            <w:tcW w:w="0" w:type="auto"/>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提供20</w:t>
            </w:r>
            <w:r>
              <w:rPr>
                <w:rFonts w:hint="eastAsia" w:asciiTheme="minorEastAsia" w:hAnsiTheme="minorEastAsia" w:eastAsiaTheme="minorEastAsia" w:cstheme="minorEastAsia"/>
                <w:color w:val="auto"/>
                <w:sz w:val="21"/>
                <w:szCs w:val="21"/>
                <w:lang w:val="en-US" w:eastAsia="zh-CN"/>
              </w:rPr>
              <w:t>21</w:t>
            </w:r>
            <w:r>
              <w:rPr>
                <w:rFonts w:hint="eastAsia" w:asciiTheme="minorEastAsia" w:hAnsiTheme="minorEastAsia" w:eastAsiaTheme="minorEastAsia" w:cstheme="minorEastAsia"/>
                <w:color w:val="auto"/>
                <w:sz w:val="21"/>
                <w:szCs w:val="21"/>
              </w:rPr>
              <w:t>年1月1日之后供应商类似项目合同，以合同个数为准，每提供一个合同得1分，最多得5分。时间以签订合同时间为准。</w:t>
            </w:r>
          </w:p>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技术部分（</w:t>
            </w:r>
            <w:r>
              <w:rPr>
                <w:rFonts w:hint="eastAsia" w:asciiTheme="minorEastAsia" w:hAnsiTheme="minorEastAsia" w:eastAsiaTheme="minorEastAsia" w:cstheme="minorEastAsia"/>
                <w:color w:val="auto"/>
                <w:sz w:val="21"/>
                <w:szCs w:val="21"/>
                <w:lang w:val="en-US" w:eastAsia="zh-CN"/>
              </w:rPr>
              <w:t>75</w:t>
            </w:r>
            <w:r>
              <w:rPr>
                <w:rFonts w:hint="eastAsia" w:asciiTheme="minorEastAsia" w:hAnsiTheme="minorEastAsia" w:eastAsiaTheme="minorEastAsia" w:cstheme="minorEastAsia"/>
                <w:color w:val="auto"/>
                <w:sz w:val="21"/>
                <w:szCs w:val="21"/>
              </w:rPr>
              <w:t>分）</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投入项目技术力量</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24</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根据供应商为本项目投入人员资源配置情况打分：</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1、所配备人员具备同类运维项目实施经验的得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分（提供同类运维项目</w:t>
            </w:r>
            <w:r>
              <w:rPr>
                <w:rFonts w:hint="eastAsia" w:asciiTheme="minorEastAsia" w:hAnsiTheme="minorEastAsia" w:eastAsiaTheme="minorEastAsia" w:cstheme="minorEastAsia"/>
                <w:color w:val="auto"/>
                <w:sz w:val="21"/>
                <w:szCs w:val="21"/>
                <w:highlight w:val="none"/>
                <w:lang w:eastAsia="zh-CN"/>
              </w:rPr>
              <w:t>合同</w:t>
            </w:r>
            <w:r>
              <w:rPr>
                <w:rFonts w:hint="eastAsia" w:asciiTheme="minorEastAsia" w:hAnsiTheme="minorEastAsia" w:eastAsiaTheme="minorEastAsia" w:cstheme="minorEastAsia"/>
                <w:color w:val="auto"/>
                <w:sz w:val="21"/>
                <w:szCs w:val="21"/>
                <w:highlight w:val="none"/>
              </w:rPr>
              <w:t>复印件加盖公章装订在投标文件中</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如合同内容中无法体现人员名单，需提供该合同的甲方出具的证明</w:t>
            </w:r>
            <w:r>
              <w:rPr>
                <w:rFonts w:hint="eastAsia" w:asciiTheme="minorEastAsia" w:hAnsiTheme="minorEastAsia" w:eastAsiaTheme="minorEastAsia" w:cstheme="minorEastAsia"/>
                <w:color w:val="auto"/>
                <w:sz w:val="21"/>
                <w:szCs w:val="21"/>
                <w:highlight w:val="none"/>
              </w:rPr>
              <w:t>）。</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2、承诺人员在项目实施期间不兼任与本项目无关的其他工作的要求的得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3、运维人员具</w:t>
            </w:r>
            <w:r>
              <w:rPr>
                <w:rFonts w:hint="eastAsia" w:asciiTheme="minorEastAsia" w:hAnsiTheme="minorEastAsia" w:eastAsiaTheme="minorEastAsia" w:cstheme="minorEastAsia"/>
                <w:color w:val="auto"/>
                <w:sz w:val="21"/>
                <w:szCs w:val="21"/>
                <w:highlight w:val="none"/>
                <w:lang w:val="en-US" w:eastAsia="zh-CN"/>
              </w:rPr>
              <w:t>有</w:t>
            </w:r>
            <w:r>
              <w:rPr>
                <w:rFonts w:hint="eastAsia" w:asciiTheme="minorEastAsia" w:hAnsiTheme="minorEastAsia" w:eastAsiaTheme="minorEastAsia" w:cstheme="minorEastAsia"/>
                <w:color w:val="auto"/>
                <w:sz w:val="21"/>
                <w:szCs w:val="21"/>
                <w:highlight w:val="none"/>
              </w:rPr>
              <w:t>相关系统的</w:t>
            </w:r>
            <w:r>
              <w:rPr>
                <w:rFonts w:hint="eastAsia" w:asciiTheme="minorEastAsia" w:hAnsiTheme="minorEastAsia" w:eastAsiaTheme="minorEastAsia" w:cstheme="minorEastAsia"/>
                <w:color w:val="auto"/>
                <w:sz w:val="21"/>
                <w:szCs w:val="21"/>
                <w:highlight w:val="none"/>
                <w:lang w:val="en-US" w:eastAsia="zh-CN"/>
              </w:rPr>
              <w:t>运维工作经验</w:t>
            </w:r>
            <w:r>
              <w:rPr>
                <w:rFonts w:hint="eastAsia" w:asciiTheme="minorEastAsia" w:hAnsiTheme="minorEastAsia" w:eastAsiaTheme="minorEastAsia" w:cstheme="minorEastAsia"/>
                <w:color w:val="auto"/>
                <w:sz w:val="21"/>
                <w:szCs w:val="21"/>
                <w:highlight w:val="none"/>
              </w:rPr>
              <w:t>，具</w:t>
            </w:r>
            <w:r>
              <w:rPr>
                <w:rFonts w:hint="eastAsia" w:asciiTheme="minorEastAsia" w:hAnsiTheme="minorEastAsia" w:eastAsiaTheme="minorEastAsia" w:cstheme="minorEastAsia"/>
                <w:color w:val="auto"/>
                <w:sz w:val="21"/>
                <w:szCs w:val="21"/>
                <w:highlight w:val="none"/>
                <w:lang w:val="en-US" w:eastAsia="zh-CN"/>
              </w:rPr>
              <w:t>有相关</w:t>
            </w:r>
            <w:r>
              <w:rPr>
                <w:rFonts w:hint="eastAsia" w:asciiTheme="minorEastAsia" w:hAnsiTheme="minorEastAsia" w:eastAsiaTheme="minorEastAsia" w:cstheme="minorEastAsia"/>
                <w:color w:val="auto"/>
                <w:sz w:val="21"/>
                <w:szCs w:val="21"/>
                <w:highlight w:val="none"/>
              </w:rPr>
              <w:t>专业职业技术证书</w:t>
            </w:r>
            <w:r>
              <w:rPr>
                <w:rFonts w:hint="eastAsia" w:asciiTheme="minorEastAsia" w:hAnsiTheme="minorEastAsia" w:eastAsiaTheme="minorEastAsia" w:cstheme="minorEastAsia"/>
                <w:color w:val="auto"/>
                <w:sz w:val="21"/>
                <w:szCs w:val="21"/>
                <w:highlight w:val="none"/>
                <w:lang w:eastAsia="zh-CN"/>
              </w:rPr>
              <w:t>（</w:t>
            </w:r>
            <w:r>
              <w:rPr>
                <w:rFonts w:hint="eastAsia" w:ascii="宋体" w:hAnsi="宋体" w:eastAsia="宋体" w:cs="宋体"/>
                <w:color w:val="auto"/>
                <w:sz w:val="21"/>
                <w:szCs w:val="21"/>
              </w:rPr>
              <w:t>OCP、OCM、中间件、</w:t>
            </w:r>
            <w:r>
              <w:rPr>
                <w:rFonts w:hint="eastAsia" w:ascii="宋体" w:hAnsi="宋体" w:cs="宋体"/>
                <w:color w:val="auto"/>
                <w:sz w:val="21"/>
                <w:szCs w:val="21"/>
                <w:lang w:eastAsia="zh-CN"/>
              </w:rPr>
              <w:t>腾讯</w:t>
            </w:r>
            <w:r>
              <w:rPr>
                <w:rFonts w:hint="eastAsia" w:ascii="宋体" w:hAnsi="宋体" w:eastAsia="宋体" w:cs="宋体"/>
                <w:color w:val="auto"/>
                <w:sz w:val="21"/>
                <w:szCs w:val="21"/>
              </w:rPr>
              <w:t>云数据库，提供证书复印件加盖公章装订在投标文件中</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w:t>
            </w:r>
            <w:r>
              <w:rPr>
                <w:rFonts w:hint="eastAsia" w:asciiTheme="minorEastAsia" w:hAnsiTheme="minorEastAsia" w:eastAsiaTheme="minorEastAsia" w:cstheme="minorEastAsia"/>
                <w:color w:val="auto"/>
                <w:sz w:val="21"/>
                <w:szCs w:val="21"/>
                <w:highlight w:val="none"/>
              </w:rPr>
              <w:t>每具备一种得1分，最多得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4、供应商能提供完善的7*24的故障处理或热线服务方案的得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5、承诺专职服务人员为用户提供服务进行故障处理、问题解答或进行技术指导的，得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分。（须同时提供承诺书及人员名单加盖公章装订在投标文件中，且</w:t>
            </w:r>
            <w:r>
              <w:rPr>
                <w:rFonts w:hint="eastAsia" w:asciiTheme="minorEastAsia" w:hAnsiTheme="minorEastAsia" w:eastAsiaTheme="minorEastAsia" w:cstheme="minorEastAsia"/>
                <w:color w:val="auto"/>
                <w:sz w:val="21"/>
                <w:szCs w:val="21"/>
                <w:highlight w:val="none"/>
                <w:lang w:val="en-US" w:eastAsia="zh-CN"/>
              </w:rPr>
              <w:t>提供</w:t>
            </w:r>
            <w:r>
              <w:rPr>
                <w:rFonts w:hint="eastAsia" w:asciiTheme="minorEastAsia" w:hAnsiTheme="minorEastAsia" w:eastAsiaTheme="minorEastAsia" w:cstheme="minorEastAsia"/>
                <w:color w:val="auto"/>
                <w:sz w:val="21"/>
                <w:szCs w:val="21"/>
                <w:highlight w:val="none"/>
              </w:rPr>
              <w:t>以上人员的社保缴纳证明，否则不得分）</w:t>
            </w:r>
          </w:p>
          <w:p>
            <w:pPr>
              <w:pStyle w:val="2"/>
              <w:keepNext w:val="0"/>
              <w:keepLines w:val="0"/>
              <w:pageBreakBefore w:val="0"/>
              <w:widowControl w:val="0"/>
              <w:kinsoku/>
              <w:wordWrap/>
              <w:overflowPunct/>
              <w:topLinePunct w:val="0"/>
              <w:autoSpaceDE/>
              <w:autoSpaceDN/>
              <w:bidi w:val="0"/>
              <w:spacing w:line="360" w:lineRule="auto"/>
              <w:ind w:firstLine="0" w:firstLineChars="0"/>
              <w:textAlignment w:val="auto"/>
              <w:rPr>
                <w:rFonts w:hint="eastAsia" w:asciiTheme="minorEastAsia" w:hAnsiTheme="minorEastAsia" w:eastAsiaTheme="minorEastAsia" w:cstheme="minorEastAsia"/>
                <w:color w:val="auto"/>
                <w:kern w:val="2"/>
                <w:sz w:val="21"/>
                <w:szCs w:val="21"/>
                <w:highlight w:val="none"/>
                <w:lang w:val="en-US" w:eastAsia="zh-CN" w:bidi="ar-SA"/>
              </w:rPr>
            </w:pPr>
            <w:r>
              <w:rPr>
                <w:rFonts w:hint="eastAsia" w:asciiTheme="minorEastAsia" w:hAnsiTheme="minorEastAsia" w:eastAsiaTheme="minorEastAsia" w:cstheme="minorEastAsia"/>
                <w:color w:val="auto"/>
                <w:sz w:val="21"/>
                <w:szCs w:val="21"/>
                <w:highlight w:val="none"/>
              </w:rPr>
              <w:t>6、承诺在重大节日、特殊时期，成立专门的应急保障团队开展专项应急保障工作的，得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分。（须同时提供承诺书及人员名单加盖公章装订在投标文件中，且</w:t>
            </w:r>
            <w:r>
              <w:rPr>
                <w:rFonts w:hint="eastAsia" w:asciiTheme="minorEastAsia" w:hAnsiTheme="minorEastAsia" w:eastAsiaTheme="minorEastAsia" w:cstheme="minorEastAsia"/>
                <w:color w:val="auto"/>
                <w:sz w:val="21"/>
                <w:szCs w:val="21"/>
                <w:highlight w:val="none"/>
                <w:lang w:val="en-US" w:eastAsia="zh-CN"/>
              </w:rPr>
              <w:t>提供</w:t>
            </w:r>
            <w:r>
              <w:rPr>
                <w:rFonts w:hint="eastAsia" w:asciiTheme="minorEastAsia" w:hAnsiTheme="minorEastAsia" w:eastAsiaTheme="minorEastAsia" w:cstheme="minorEastAsia"/>
                <w:color w:val="auto"/>
                <w:sz w:val="21"/>
                <w:szCs w:val="21"/>
                <w:highlight w:val="none"/>
              </w:rPr>
              <w:t>以上人员的社保缴纳证明，否则不得分）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采购需求理解程度</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12</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对本项目需求理解以及本项目建设难点、要点的理解程度进行打分，内容包括对本项目硬（软）件系统的业务知识和运行掌握情况、各项功能流程、数据来源和口径描述、工作现状、政策理解、法规库知识储备的掌握。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w:t>
            </w:r>
            <w:r>
              <w:rPr>
                <w:rFonts w:hint="eastAsia" w:asciiTheme="minorEastAsia" w:hAnsiTheme="minorEastAsia" w:eastAsiaTheme="minorEastAsia" w:cstheme="minorEastAsia"/>
                <w:color w:val="auto"/>
                <w:sz w:val="21"/>
                <w:szCs w:val="21"/>
                <w:lang w:val="en-US" w:eastAsia="zh-CN"/>
              </w:rPr>
              <w:t>2</w:t>
            </w:r>
            <w:r>
              <w:rPr>
                <w:rFonts w:hint="eastAsia" w:asciiTheme="minorEastAsia" w:hAnsiTheme="minorEastAsia" w:eastAsiaTheme="minorEastAsia" w:cstheme="minorEastAsia"/>
                <w:color w:val="auto"/>
                <w:sz w:val="21"/>
                <w:szCs w:val="21"/>
              </w:rPr>
              <w:t>分，最多得</w:t>
            </w:r>
            <w:r>
              <w:rPr>
                <w:rFonts w:hint="eastAsia" w:asciiTheme="minorEastAsia" w:hAnsiTheme="minorEastAsia" w:eastAsiaTheme="minorEastAsia" w:cstheme="minorEastAsia"/>
                <w:color w:val="auto"/>
                <w:sz w:val="21"/>
                <w:szCs w:val="21"/>
                <w:lang w:val="en-US" w:eastAsia="zh-CN"/>
              </w:rPr>
              <w:t>12</w:t>
            </w:r>
            <w:r>
              <w:rPr>
                <w:rFonts w:hint="eastAsia" w:asciiTheme="minorEastAsia" w:hAnsiTheme="minorEastAsia" w:eastAsiaTheme="minorEastAsia" w:cstheme="minorEastAsia"/>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安全运营服务能力</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16</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根据供应商安全运营服务能力进行打分。内容包括项目中数据库、中间件、应用系统运维</w:t>
            </w:r>
            <w:r>
              <w:rPr>
                <w:rFonts w:hint="eastAsia" w:asciiTheme="minorEastAsia" w:hAnsiTheme="minorEastAsia" w:eastAsiaTheme="minorEastAsia" w:cstheme="minorEastAsia"/>
                <w:color w:val="auto"/>
                <w:sz w:val="21"/>
                <w:szCs w:val="21"/>
                <w:lang w:eastAsia="zh-CN"/>
              </w:rPr>
              <w:t>、数据运维</w:t>
            </w:r>
            <w:r>
              <w:rPr>
                <w:rFonts w:hint="eastAsia" w:asciiTheme="minorEastAsia" w:hAnsiTheme="minorEastAsia" w:eastAsiaTheme="minorEastAsia" w:cstheme="minorEastAsia"/>
                <w:color w:val="auto"/>
                <w:sz w:val="21"/>
                <w:szCs w:val="21"/>
              </w:rPr>
              <w:t>和数据安全保障；与项目相关外围系统的接口服务；日常系统巡检及服务管理；应急响应预案及演练服务；故障处理能力；系统和数据安全；保密运维能力；服务保障体系。以上内容每具备一项且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w:t>
            </w:r>
            <w:r>
              <w:rPr>
                <w:rFonts w:hint="eastAsia" w:asciiTheme="minorEastAsia" w:hAnsiTheme="minorEastAsia" w:eastAsiaTheme="minorEastAsia" w:cstheme="minorEastAsia"/>
                <w:color w:val="auto"/>
                <w:sz w:val="21"/>
                <w:szCs w:val="21"/>
                <w:lang w:val="en-US" w:eastAsia="zh-CN"/>
              </w:rPr>
              <w:t>2</w:t>
            </w:r>
            <w:r>
              <w:rPr>
                <w:rFonts w:hint="eastAsia" w:asciiTheme="minorEastAsia" w:hAnsiTheme="minorEastAsia" w:eastAsiaTheme="minorEastAsia" w:cstheme="minorEastAsia"/>
                <w:color w:val="auto"/>
                <w:sz w:val="21"/>
                <w:szCs w:val="21"/>
              </w:rPr>
              <w:t>分，最多得</w:t>
            </w:r>
            <w:r>
              <w:rPr>
                <w:rFonts w:hint="eastAsia" w:asciiTheme="minorEastAsia" w:hAnsiTheme="minorEastAsia" w:eastAsiaTheme="minorEastAsia" w:cstheme="minorEastAsia"/>
                <w:color w:val="auto"/>
                <w:sz w:val="21"/>
                <w:szCs w:val="21"/>
                <w:lang w:val="en-US" w:eastAsia="zh-CN"/>
              </w:rPr>
              <w:t>16</w:t>
            </w:r>
            <w:r>
              <w:rPr>
                <w:rFonts w:hint="eastAsia" w:asciiTheme="minorEastAsia" w:hAnsiTheme="minorEastAsia" w:eastAsiaTheme="minorEastAsia" w:cstheme="minorEastAsia"/>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突发紧急事件处理能力</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6</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根据供应商突发紧急事件处理方案进行打分，以网络及电话远程处理为例，依照处理预案、处理时限、处理满意度调查、处理方式、服务回访、出现有效投诉的解决方法。以上内容每具备一项且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得1分，最多得6分。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履约考核和档案管理</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6</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根据供应商为本项目提供的证明履约能力、管理措施、产权移交、日常考核、</w:t>
            </w:r>
            <w:r>
              <w:rPr>
                <w:rFonts w:hint="eastAsia" w:asciiTheme="minorEastAsia" w:hAnsiTheme="minorEastAsia" w:eastAsiaTheme="minorEastAsia" w:cstheme="minorEastAsia"/>
                <w:color w:val="auto"/>
                <w:sz w:val="21"/>
                <w:szCs w:val="21"/>
                <w:lang w:eastAsia="zh-CN"/>
              </w:rPr>
              <w:t>年度考核、</w:t>
            </w:r>
            <w:r>
              <w:rPr>
                <w:rFonts w:hint="eastAsia" w:asciiTheme="minorEastAsia" w:hAnsiTheme="minorEastAsia" w:eastAsiaTheme="minorEastAsia" w:cstheme="minorEastAsia"/>
                <w:color w:val="auto"/>
                <w:sz w:val="21"/>
                <w:szCs w:val="21"/>
              </w:rPr>
              <w:t>最终交付物等相关档案进行打分，每具备一项以上各项档案的建立、分类，归档、移交等程序且</w:t>
            </w:r>
            <w:r>
              <w:rPr>
                <w:rFonts w:hint="eastAsia" w:asciiTheme="minorEastAsia" w:hAnsiTheme="minorEastAsia" w:eastAsiaTheme="minorEastAsia" w:cstheme="minorEastAsia"/>
                <w:color w:val="auto"/>
                <w:sz w:val="21"/>
                <w:szCs w:val="21"/>
                <w:lang w:val="en-US" w:eastAsia="zh-CN"/>
              </w:rPr>
              <w:t>无缺陷</w:t>
            </w:r>
            <w:r>
              <w:rPr>
                <w:rFonts w:hint="eastAsia" w:asciiTheme="minorEastAsia" w:hAnsiTheme="minorEastAsia" w:eastAsiaTheme="minorEastAsia" w:cstheme="minorEastAsia"/>
                <w:color w:val="auto"/>
                <w:sz w:val="21"/>
                <w:szCs w:val="21"/>
              </w:rPr>
              <w:t>的得1分，最多得</w:t>
            </w:r>
            <w:r>
              <w:rPr>
                <w:rFonts w:hint="eastAsia" w:asciiTheme="minorEastAsia" w:hAnsiTheme="minorEastAsia" w:eastAsiaTheme="minorEastAsia" w:cstheme="minorEastAsia"/>
                <w:color w:val="auto"/>
                <w:sz w:val="21"/>
                <w:szCs w:val="21"/>
                <w:lang w:val="en-US" w:eastAsia="zh-CN"/>
              </w:rPr>
              <w:t>6</w:t>
            </w:r>
            <w:r>
              <w:rPr>
                <w:rFonts w:hint="eastAsia" w:asciiTheme="minorEastAsia" w:hAnsiTheme="minorEastAsia" w:eastAsiaTheme="minorEastAsia" w:cstheme="minorEastAsia"/>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项目质量控制方案</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5</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为本项目制定的关于现场职守服务、网络及电话远程服务、监控服务、上门服务的质量控制方案，内容包括各项服务的技术服务水平、服务方式、响应时间、解决时限、有效保证运行安全措施。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技术培训</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6</w:t>
            </w:r>
          </w:p>
        </w:tc>
        <w:tc>
          <w:tcPr>
            <w:tcW w:w="0" w:type="auto"/>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根据供应商提供的培训服务方案进行打分，内容包括培训方案的针对性</w:t>
            </w:r>
            <w:r>
              <w:rPr>
                <w:rFonts w:hint="eastAsia" w:asciiTheme="minorEastAsia" w:hAnsiTheme="minorEastAsia" w:eastAsiaTheme="minorEastAsia" w:cstheme="minorEastAsia"/>
                <w:color w:val="auto"/>
                <w:sz w:val="21"/>
                <w:szCs w:val="21"/>
                <w:lang w:eastAsia="zh-CN"/>
              </w:rPr>
              <w:t>、</w:t>
            </w:r>
            <w:r>
              <w:rPr>
                <w:rFonts w:hint="eastAsia" w:asciiTheme="minorEastAsia" w:hAnsiTheme="minorEastAsia" w:eastAsiaTheme="minorEastAsia" w:cstheme="minorEastAsia"/>
                <w:color w:val="auto"/>
                <w:sz w:val="21"/>
                <w:szCs w:val="21"/>
              </w:rPr>
              <w:t>时效性</w:t>
            </w:r>
            <w:r>
              <w:rPr>
                <w:rFonts w:hint="eastAsia" w:asciiTheme="minorEastAsia" w:hAnsiTheme="minorEastAsia" w:eastAsiaTheme="minorEastAsia" w:cstheme="minorEastAsia"/>
                <w:color w:val="auto"/>
                <w:sz w:val="21"/>
                <w:szCs w:val="21"/>
                <w:lang w:eastAsia="zh-CN"/>
              </w:rPr>
              <w:t>、</w:t>
            </w:r>
            <w:r>
              <w:rPr>
                <w:rFonts w:hint="eastAsia" w:asciiTheme="minorEastAsia" w:hAnsiTheme="minorEastAsia" w:eastAsiaTheme="minorEastAsia" w:cstheme="minorEastAsia"/>
                <w:color w:val="auto"/>
                <w:sz w:val="21"/>
                <w:szCs w:val="21"/>
              </w:rPr>
              <w:t>培训师资水平、培训课程设置</w:t>
            </w:r>
            <w:r>
              <w:rPr>
                <w:rFonts w:hint="eastAsia" w:asciiTheme="minorEastAsia" w:hAnsiTheme="minorEastAsia" w:eastAsiaTheme="minorEastAsia" w:cstheme="minorEastAsia"/>
                <w:color w:val="auto"/>
                <w:sz w:val="21"/>
                <w:szCs w:val="21"/>
                <w:lang w:eastAsia="zh-CN"/>
              </w:rPr>
              <w:t>、</w:t>
            </w:r>
            <w:r>
              <w:rPr>
                <w:rFonts w:hint="eastAsia" w:asciiTheme="minorEastAsia" w:hAnsiTheme="minorEastAsia" w:eastAsiaTheme="minorEastAsia" w:cstheme="minorEastAsia"/>
                <w:color w:val="auto"/>
                <w:sz w:val="21"/>
                <w:szCs w:val="21"/>
              </w:rPr>
              <w:t>培训讲义内容、本地化培训设施。以上内容每具备一项且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得1分，最多得</w:t>
            </w:r>
            <w:r>
              <w:rPr>
                <w:rFonts w:hint="eastAsia" w:asciiTheme="minorEastAsia" w:hAnsiTheme="minorEastAsia" w:eastAsiaTheme="minorEastAsia" w:cstheme="minorEastAsia"/>
                <w:color w:val="auto"/>
                <w:sz w:val="21"/>
                <w:szCs w:val="21"/>
                <w:lang w:val="en-US" w:eastAsia="zh-CN"/>
              </w:rPr>
              <w:t>6</w:t>
            </w:r>
            <w:r>
              <w:rPr>
                <w:rFonts w:hint="eastAsia" w:asciiTheme="minorEastAsia" w:hAnsiTheme="minorEastAsia" w:eastAsiaTheme="minorEastAsia" w:cstheme="minorEastAsia"/>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0" w:type="auto"/>
            <w:gridSpan w:val="5"/>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eastAsia="zh-CN"/>
              </w:rPr>
              <w:t>备注：</w:t>
            </w:r>
            <w:r>
              <w:rPr>
                <w:rFonts w:hint="eastAsia" w:asciiTheme="minorEastAsia" w:hAnsiTheme="minorEastAsia" w:eastAsiaTheme="minorEastAsia" w:cstheme="minorEastAsia"/>
                <w:color w:val="auto"/>
                <w:sz w:val="21"/>
                <w:szCs w:val="21"/>
              </w:rPr>
              <w:t>以上缺陷是指：与本项目无关、不满足项目需求、内容前后不一致、前后逻辑错误、涉及的规范及标准错误、地点区域错误、内容缺失</w:t>
            </w:r>
          </w:p>
        </w:tc>
      </w:tr>
    </w:tbl>
    <w:p>
      <w:pPr>
        <w:pStyle w:val="34"/>
        <w:rPr>
          <w:rFonts w:hint="default" w:ascii="宋体" w:hAnsi="宋体" w:eastAsia="宋体" w:cs="宋体"/>
          <w:color w:val="auto"/>
          <w:highlight w:val="none"/>
          <w:lang w:val="en-US" w:eastAsia="zh-CN"/>
        </w:rPr>
      </w:pPr>
      <w:r>
        <w:rPr>
          <w:rFonts w:hint="eastAsia" w:ascii="宋体" w:hAnsi="宋体" w:cs="宋体"/>
          <w:color w:val="auto"/>
          <w:highlight w:val="none"/>
          <w:lang w:val="en-US" w:eastAsia="zh-CN"/>
        </w:rPr>
        <w:t>第三包：</w:t>
      </w:r>
      <w:r>
        <w:rPr>
          <w:rFonts w:hint="eastAsia"/>
          <w:color w:val="auto"/>
        </w:rPr>
        <w:t>决策管理指挥平台运维项目</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
        <w:gridCol w:w="877"/>
        <w:gridCol w:w="965"/>
        <w:gridCol w:w="701"/>
        <w:gridCol w:w="55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274" w:type="pc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515" w:type="pc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评审项目</w:t>
            </w:r>
          </w:p>
        </w:tc>
        <w:tc>
          <w:tcPr>
            <w:tcW w:w="567" w:type="pc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分项</w:t>
            </w:r>
          </w:p>
        </w:tc>
        <w:tc>
          <w:tcPr>
            <w:tcW w:w="412" w:type="pc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分值</w:t>
            </w:r>
          </w:p>
        </w:tc>
        <w:tc>
          <w:tcPr>
            <w:tcW w:w="3230" w:type="pc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4" w:hRule="atLeast"/>
          <w:jc w:val="center"/>
        </w:trPr>
        <w:tc>
          <w:tcPr>
            <w:tcW w:w="274" w:type="pc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515" w:type="pc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价格（</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0分）</w:t>
            </w:r>
          </w:p>
        </w:tc>
        <w:tc>
          <w:tcPr>
            <w:tcW w:w="567" w:type="pc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报价得分</w:t>
            </w:r>
          </w:p>
        </w:tc>
        <w:tc>
          <w:tcPr>
            <w:tcW w:w="412" w:type="pc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w:t>
            </w:r>
          </w:p>
        </w:tc>
        <w:tc>
          <w:tcPr>
            <w:tcW w:w="3230" w:type="pct"/>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274" w:type="pct"/>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515" w:type="pct"/>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商务部分（1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tc>
        <w:tc>
          <w:tcPr>
            <w:tcW w:w="567" w:type="pc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售后服务承诺</w:t>
            </w:r>
          </w:p>
        </w:tc>
        <w:tc>
          <w:tcPr>
            <w:tcW w:w="412" w:type="pc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p>
        </w:tc>
        <w:tc>
          <w:tcPr>
            <w:tcW w:w="3230" w:type="pc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根据供应商提供的售后服务承诺进行打分，内容包括服务大纲、故障响应、服务应答、备机备件等方面，以上内容每具备一项且无缺陷得1分，最多得4分。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6" w:hRule="atLeast"/>
          <w:jc w:val="center"/>
        </w:trPr>
        <w:tc>
          <w:tcPr>
            <w:tcW w:w="274"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15"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67" w:type="pc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供应商资质</w:t>
            </w:r>
          </w:p>
        </w:tc>
        <w:tc>
          <w:tcPr>
            <w:tcW w:w="412" w:type="pc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w:t>
            </w:r>
          </w:p>
        </w:tc>
        <w:tc>
          <w:tcPr>
            <w:tcW w:w="3230" w:type="pc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color w:val="auto"/>
                <w:sz w:val="21"/>
                <w:szCs w:val="21"/>
                <w:lang w:val="en-US" w:eastAsia="zh-CN"/>
              </w:rPr>
              <w:t>与全国认证认可信息公共服务平台http://cx.cnca.cn查询截图，原件备查</w:t>
            </w:r>
            <w:r>
              <w:rPr>
                <w:rFonts w:hint="eastAsia" w:ascii="宋体" w:hAnsi="宋体" w:eastAsia="宋体" w:cs="宋体"/>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2" w:hRule="atLeast"/>
          <w:jc w:val="center"/>
        </w:trPr>
        <w:tc>
          <w:tcPr>
            <w:tcW w:w="274"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15"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67" w:type="pc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供应商类似项目业绩</w:t>
            </w:r>
          </w:p>
        </w:tc>
        <w:tc>
          <w:tcPr>
            <w:tcW w:w="412" w:type="pc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5</w:t>
            </w:r>
          </w:p>
        </w:tc>
        <w:tc>
          <w:tcPr>
            <w:tcW w:w="3230" w:type="pct"/>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提供20</w:t>
            </w:r>
            <w:r>
              <w:rPr>
                <w:rFonts w:hint="eastAsia" w:ascii="宋体" w:hAnsi="宋体" w:eastAsia="宋体" w:cs="宋体"/>
                <w:color w:val="auto"/>
                <w:sz w:val="21"/>
                <w:szCs w:val="21"/>
                <w:lang w:val="en-US" w:eastAsia="zh-CN"/>
              </w:rPr>
              <w:t>21</w:t>
            </w:r>
            <w:r>
              <w:rPr>
                <w:rFonts w:hint="eastAsia" w:ascii="宋体" w:hAnsi="宋体" w:eastAsia="宋体" w:cs="宋体"/>
                <w:color w:val="auto"/>
                <w:sz w:val="21"/>
                <w:szCs w:val="21"/>
              </w:rPr>
              <w:t>年1月1日之后供应商类似项目合同，以合同个数为准，每提供一个合同得1分，最多得5分。时间以签订合同时间为准。</w:t>
            </w:r>
          </w:p>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274" w:type="pct"/>
            <w:vMerge w:val="restar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c>
          <w:tcPr>
            <w:tcW w:w="515" w:type="pct"/>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cs="宋体"/>
                <w:color w:val="auto"/>
              </w:rPr>
              <w:t>技术部分（</w:t>
            </w:r>
            <w:r>
              <w:rPr>
                <w:rFonts w:hint="eastAsia" w:ascii="宋体" w:hAnsi="宋体" w:cs="宋体"/>
                <w:color w:val="auto"/>
                <w:lang w:val="en-US" w:eastAsia="zh-CN"/>
              </w:rPr>
              <w:t>7</w:t>
            </w:r>
            <w:r>
              <w:rPr>
                <w:rFonts w:hint="eastAsia" w:ascii="宋体" w:hAnsi="宋体" w:cs="宋体"/>
                <w:color w:val="auto"/>
              </w:rPr>
              <w:t>5分）</w:t>
            </w:r>
          </w:p>
        </w:tc>
        <w:tc>
          <w:tcPr>
            <w:tcW w:w="567"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投入项目技术力量</w:t>
            </w:r>
          </w:p>
        </w:tc>
        <w:tc>
          <w:tcPr>
            <w:tcW w:w="412" w:type="pct"/>
            <w:noWrap w:val="0"/>
            <w:vAlign w:val="center"/>
          </w:tcPr>
          <w:p>
            <w:pPr>
              <w:spacing w:line="240" w:lineRule="auto"/>
              <w:jc w:val="center"/>
              <w:rPr>
                <w:rFonts w:hint="default" w:ascii="宋体" w:hAnsi="宋体" w:cs="宋体" w:eastAsiaTheme="minorEastAsia"/>
                <w:color w:val="auto"/>
                <w:kern w:val="2"/>
                <w:sz w:val="21"/>
                <w:szCs w:val="24"/>
                <w:lang w:val="en-US" w:eastAsia="zh-CN" w:bidi="ar-SA"/>
              </w:rPr>
            </w:pPr>
            <w:r>
              <w:rPr>
                <w:rFonts w:hint="eastAsia" w:ascii="宋体" w:hAnsi="宋体" w:cs="宋体" w:eastAsiaTheme="minorEastAsia"/>
                <w:color w:val="auto"/>
                <w:lang w:val="en-US" w:eastAsia="zh-CN"/>
              </w:rPr>
              <w:t>24</w:t>
            </w:r>
          </w:p>
        </w:tc>
        <w:tc>
          <w:tcPr>
            <w:tcW w:w="3230" w:type="pct"/>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根据供应商为本项目投入人员资源配置情况打分：</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1、所配备人员具备同类运维项目实施经验的得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r>
              <w:rPr>
                <w:rFonts w:hint="eastAsia" w:asciiTheme="minorEastAsia" w:hAnsiTheme="minorEastAsia" w:eastAsiaTheme="minorEastAsia" w:cstheme="minorEastAsia"/>
                <w:color w:val="auto"/>
                <w:sz w:val="21"/>
                <w:szCs w:val="21"/>
                <w:highlight w:val="none"/>
              </w:rPr>
              <w:t>提供同类运维项目</w:t>
            </w:r>
            <w:r>
              <w:rPr>
                <w:rFonts w:hint="eastAsia" w:asciiTheme="minorEastAsia" w:hAnsiTheme="minorEastAsia" w:eastAsiaTheme="minorEastAsia" w:cstheme="minorEastAsia"/>
                <w:color w:val="auto"/>
                <w:sz w:val="21"/>
                <w:szCs w:val="21"/>
                <w:highlight w:val="none"/>
                <w:lang w:eastAsia="zh-CN"/>
              </w:rPr>
              <w:t>合同</w:t>
            </w:r>
            <w:r>
              <w:rPr>
                <w:rFonts w:hint="eastAsia" w:ascii="宋体" w:hAnsi="宋体" w:eastAsia="宋体" w:cs="宋体"/>
                <w:color w:val="auto"/>
                <w:sz w:val="21"/>
                <w:szCs w:val="21"/>
              </w:rPr>
              <w:t>复印件加盖公章装订在投标文件中</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如合同内容中无法体现人员名单，需提供该合同的甲方出具的证明</w:t>
            </w:r>
            <w:r>
              <w:rPr>
                <w:rFonts w:hint="eastAsia" w:ascii="宋体" w:hAnsi="宋体" w:eastAsia="宋体" w:cs="宋体"/>
                <w:color w:val="auto"/>
                <w:sz w:val="21"/>
                <w:szCs w:val="21"/>
              </w:rPr>
              <w:t>）。</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2、承诺人员在项目实施期间不兼任与本项目无关的其他工作的要求的得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3、运维人员具备相关系统的服务能力，具有专业职业技术证书（OCP、OCM、中间件、</w:t>
            </w:r>
            <w:r>
              <w:rPr>
                <w:rFonts w:hint="eastAsia" w:ascii="宋体" w:hAnsi="宋体" w:cs="宋体"/>
                <w:color w:val="auto"/>
                <w:sz w:val="21"/>
                <w:szCs w:val="21"/>
                <w:lang w:eastAsia="zh-CN"/>
              </w:rPr>
              <w:t>腾讯云</w:t>
            </w:r>
            <w:r>
              <w:rPr>
                <w:rFonts w:hint="eastAsia" w:ascii="宋体" w:hAnsi="宋体" w:eastAsia="宋体" w:cs="宋体"/>
                <w:color w:val="auto"/>
                <w:sz w:val="21"/>
                <w:szCs w:val="21"/>
              </w:rPr>
              <w:t>数据库，提供证书复印件加盖公章装订在投标文件中）每具备一种得1分，最多得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4、供应商能提供完善的7*24的故障处理或热线服务方案的得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5、承诺专职服务人员为用户提供服务进行故障处理、问题解答或进行技术指导的，得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分。（须同时提供承诺书及人员名单加盖公章装订在投标文件中，</w:t>
            </w:r>
            <w:r>
              <w:rPr>
                <w:rFonts w:hint="eastAsia" w:ascii="宋体" w:hAnsi="宋体" w:cs="宋体"/>
                <w:color w:val="auto"/>
                <w:sz w:val="21"/>
                <w:szCs w:val="21"/>
                <w:lang w:eastAsia="zh-CN"/>
              </w:rPr>
              <w:t>且提供以上人员的社保缴纳证明</w:t>
            </w:r>
            <w:r>
              <w:rPr>
                <w:rFonts w:hint="eastAsia" w:ascii="宋体" w:hAnsi="宋体" w:eastAsia="宋体" w:cs="宋体"/>
                <w:color w:val="auto"/>
                <w:sz w:val="21"/>
                <w:szCs w:val="21"/>
              </w:rPr>
              <w:t>，否则不得分）</w:t>
            </w:r>
          </w:p>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6、承诺在重大节日、特殊时期，成立专门的应急保障团队开展专项应急保障工作的，得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分。（须同时提供承诺书及人员名单加盖公章装订在投标文件中，</w:t>
            </w:r>
            <w:r>
              <w:rPr>
                <w:rFonts w:hint="eastAsia" w:ascii="宋体" w:hAnsi="宋体" w:cs="宋体"/>
                <w:color w:val="auto"/>
                <w:sz w:val="21"/>
                <w:szCs w:val="21"/>
                <w:lang w:eastAsia="zh-CN"/>
              </w:rPr>
              <w:t>且提供以上人员的社保缴纳证明</w:t>
            </w:r>
            <w:r>
              <w:rPr>
                <w:rFonts w:hint="eastAsia" w:ascii="宋体" w:hAnsi="宋体" w:eastAsia="宋体" w:cs="宋体"/>
                <w:color w:val="auto"/>
                <w:sz w:val="21"/>
                <w:szCs w:val="21"/>
              </w:rPr>
              <w:t>，否则不得分）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274"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15"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67"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采购需求理解程度</w:t>
            </w:r>
          </w:p>
        </w:tc>
        <w:tc>
          <w:tcPr>
            <w:tcW w:w="412" w:type="pct"/>
            <w:noWrap w:val="0"/>
            <w:vAlign w:val="center"/>
          </w:tcPr>
          <w:p>
            <w:pPr>
              <w:spacing w:line="240" w:lineRule="auto"/>
              <w:jc w:val="center"/>
              <w:rPr>
                <w:rFonts w:hint="eastAsia" w:ascii="宋体" w:hAnsi="宋体" w:eastAsia="宋体" w:cs="宋体"/>
                <w:color w:val="auto"/>
                <w:kern w:val="2"/>
                <w:sz w:val="21"/>
                <w:szCs w:val="24"/>
                <w:lang w:val="en-US" w:eastAsia="zh-CN" w:bidi="ar-SA"/>
              </w:rPr>
            </w:pPr>
            <w:r>
              <w:rPr>
                <w:rFonts w:hint="eastAsia" w:ascii="宋体" w:hAnsi="宋体" w:cs="宋体"/>
                <w:color w:val="auto"/>
              </w:rPr>
              <w:t>1</w:t>
            </w:r>
            <w:r>
              <w:rPr>
                <w:rFonts w:hint="eastAsia" w:ascii="宋体" w:hAnsi="宋体" w:cs="宋体"/>
                <w:color w:val="auto"/>
                <w:lang w:val="en-US" w:eastAsia="zh-CN"/>
              </w:rPr>
              <w:t>4</w:t>
            </w:r>
          </w:p>
        </w:tc>
        <w:tc>
          <w:tcPr>
            <w:tcW w:w="3230" w:type="pc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根据供应商对本项目需求理解以及本项目建设难点、要点的理解程度进行打分，内容包括对本项目硬（软）件系统的业务知识和运行掌握情况、各项</w:t>
            </w:r>
            <w:bookmarkStart w:id="146" w:name="_GoBack"/>
            <w:bookmarkEnd w:id="146"/>
            <w:r>
              <w:rPr>
                <w:rFonts w:hint="eastAsia" w:ascii="宋体" w:hAnsi="宋体" w:eastAsia="宋体" w:cs="宋体"/>
                <w:color w:val="auto"/>
                <w:sz w:val="21"/>
                <w:szCs w:val="21"/>
              </w:rPr>
              <w:t>功能流程、数据来源</w:t>
            </w:r>
            <w:r>
              <w:rPr>
                <w:rFonts w:hint="eastAsia" w:ascii="宋体" w:hAnsi="宋体" w:cs="宋体"/>
                <w:color w:val="auto"/>
                <w:sz w:val="21"/>
                <w:szCs w:val="21"/>
                <w:lang w:eastAsia="zh-CN"/>
              </w:rPr>
              <w:t>、</w:t>
            </w:r>
            <w:r>
              <w:rPr>
                <w:rFonts w:hint="eastAsia" w:ascii="宋体" w:hAnsi="宋体" w:eastAsia="宋体" w:cs="宋体"/>
                <w:color w:val="auto"/>
                <w:sz w:val="21"/>
                <w:szCs w:val="21"/>
              </w:rPr>
              <w:t>口径描述、工作现状、政策理解、总局指挥管理平台后端应用知识储备的掌握。以上内容每具备一项且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14</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274"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15"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67"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安全运营服务能力</w:t>
            </w:r>
          </w:p>
        </w:tc>
        <w:tc>
          <w:tcPr>
            <w:tcW w:w="412"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eastAsiaTheme="minorEastAsia"/>
                <w:color w:val="auto"/>
                <w:lang w:val="en-US" w:eastAsia="zh-CN"/>
              </w:rPr>
              <w:t>9</w:t>
            </w:r>
          </w:p>
        </w:tc>
        <w:tc>
          <w:tcPr>
            <w:tcW w:w="3230" w:type="pc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安全运营服务能力进行打分。内容包括项目中数据库、微服务平台、应用系统运维；与项目相关外围系统的接口服务；项目中涉及的数据运维和数据安全保障；日常系统巡检及服务管理；应急响应预案及演练服务；故障处理能力；系统和数据安全；保密运维能力；服务保障体系。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得1分，最多得</w:t>
            </w:r>
            <w:r>
              <w:rPr>
                <w:rFonts w:hint="eastAsia" w:ascii="宋体" w:hAnsi="宋体" w:cs="宋体"/>
                <w:color w:val="auto"/>
                <w:sz w:val="21"/>
                <w:szCs w:val="21"/>
                <w:lang w:val="en-US" w:eastAsia="zh-CN"/>
              </w:rPr>
              <w:t>9</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4" w:hRule="atLeast"/>
          <w:jc w:val="center"/>
        </w:trPr>
        <w:tc>
          <w:tcPr>
            <w:tcW w:w="274"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15"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67"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突发紧急事件处理能力</w:t>
            </w:r>
          </w:p>
        </w:tc>
        <w:tc>
          <w:tcPr>
            <w:tcW w:w="412" w:type="pct"/>
            <w:noWrap w:val="0"/>
            <w:vAlign w:val="center"/>
          </w:tcPr>
          <w:p>
            <w:pPr>
              <w:spacing w:line="240" w:lineRule="auto"/>
              <w:jc w:val="center"/>
              <w:rPr>
                <w:rFonts w:hint="default" w:ascii="宋体" w:hAnsi="宋体" w:cs="宋体" w:eastAsiaTheme="minorEastAsia"/>
                <w:color w:val="auto"/>
                <w:kern w:val="2"/>
                <w:sz w:val="21"/>
                <w:szCs w:val="24"/>
                <w:lang w:val="en-US" w:eastAsia="zh-CN" w:bidi="ar-SA"/>
              </w:rPr>
            </w:pPr>
            <w:r>
              <w:rPr>
                <w:rFonts w:hint="eastAsia" w:ascii="宋体" w:hAnsi="宋体" w:cs="宋体" w:eastAsiaTheme="minorEastAsia"/>
                <w:color w:val="auto"/>
                <w:lang w:val="en-US" w:eastAsia="zh-CN"/>
              </w:rPr>
              <w:t>12</w:t>
            </w:r>
          </w:p>
        </w:tc>
        <w:tc>
          <w:tcPr>
            <w:tcW w:w="3230" w:type="pc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根据供应商突发紧急事件处理方案进行打分，以网络及电话远程处理为例，依照处理预案、处理时限、处理满意度调查、处理方式、服务回访、出现有效投诉的解决方法。以上内容每具备一项且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12</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274"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15"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67"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履约考核和档案管理</w:t>
            </w:r>
          </w:p>
        </w:tc>
        <w:tc>
          <w:tcPr>
            <w:tcW w:w="412"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5</w:t>
            </w:r>
          </w:p>
        </w:tc>
        <w:tc>
          <w:tcPr>
            <w:tcW w:w="3230" w:type="pc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根据供应商为本项目提供的证明履约能力、管理措施、产权移交、日常考核、最终交付物等相关档案进行打分，每具备一项以上各项档案的建立、分类，归档、移交等程序且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的得1分，最多得5分。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274"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15"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67"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项目质量控制方案</w:t>
            </w:r>
          </w:p>
        </w:tc>
        <w:tc>
          <w:tcPr>
            <w:tcW w:w="412"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5</w:t>
            </w:r>
          </w:p>
        </w:tc>
        <w:tc>
          <w:tcPr>
            <w:tcW w:w="3230" w:type="pc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为本项目制定的关于现场职守服务、网络及电话远程服务、监控服务、上门服务的质量控制方案，内容包括各项服务的技术服务水平、服务方式、响应时间、解决时限、有效保证运行安全措施。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4" w:hRule="atLeast"/>
          <w:jc w:val="center"/>
        </w:trPr>
        <w:tc>
          <w:tcPr>
            <w:tcW w:w="274"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15" w:type="pct"/>
            <w:vMerge w:val="continue"/>
            <w:noWrap w:val="0"/>
            <w:vAlign w:val="center"/>
          </w:tcPr>
          <w:p>
            <w:pPr>
              <w:adjustRightInd w:val="0"/>
              <w:snapToGrid w:val="0"/>
              <w:jc w:val="center"/>
              <w:rPr>
                <w:rFonts w:hint="eastAsia" w:ascii="宋体" w:hAnsi="宋体" w:eastAsia="宋体" w:cs="宋体"/>
                <w:color w:val="auto"/>
                <w:sz w:val="21"/>
                <w:szCs w:val="21"/>
              </w:rPr>
            </w:pPr>
          </w:p>
        </w:tc>
        <w:tc>
          <w:tcPr>
            <w:tcW w:w="567"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技术培训</w:t>
            </w:r>
          </w:p>
        </w:tc>
        <w:tc>
          <w:tcPr>
            <w:tcW w:w="412" w:type="pct"/>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eastAsiaTheme="minorEastAsia"/>
                <w:color w:val="auto"/>
                <w:lang w:val="en-US" w:eastAsia="zh-CN"/>
              </w:rPr>
              <w:t>6</w:t>
            </w:r>
          </w:p>
        </w:tc>
        <w:tc>
          <w:tcPr>
            <w:tcW w:w="3230" w:type="pc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根据供应商提供的培训服务方案进行打分，内容包括培训方案的针对性</w:t>
            </w:r>
            <w:r>
              <w:rPr>
                <w:rFonts w:hint="eastAsia" w:ascii="宋体" w:hAnsi="宋体" w:cs="宋体"/>
                <w:color w:val="auto"/>
                <w:sz w:val="21"/>
                <w:szCs w:val="21"/>
                <w:lang w:eastAsia="zh-CN"/>
              </w:rPr>
              <w:t>、</w:t>
            </w:r>
            <w:r>
              <w:rPr>
                <w:rFonts w:hint="eastAsia" w:ascii="宋体" w:hAnsi="宋体" w:eastAsia="宋体" w:cs="宋体"/>
                <w:color w:val="auto"/>
                <w:sz w:val="21"/>
                <w:szCs w:val="21"/>
              </w:rPr>
              <w:t>时效性</w:t>
            </w:r>
            <w:r>
              <w:rPr>
                <w:rFonts w:hint="eastAsia" w:ascii="宋体" w:hAnsi="宋体" w:cs="宋体"/>
                <w:color w:val="auto"/>
                <w:sz w:val="21"/>
                <w:szCs w:val="21"/>
                <w:lang w:eastAsia="zh-CN"/>
              </w:rPr>
              <w:t>、</w:t>
            </w:r>
            <w:r>
              <w:rPr>
                <w:rFonts w:hint="eastAsia" w:ascii="宋体" w:hAnsi="宋体" w:eastAsia="宋体" w:cs="宋体"/>
                <w:color w:val="auto"/>
                <w:sz w:val="21"/>
                <w:szCs w:val="21"/>
              </w:rPr>
              <w:t>培训师资水平、培训课程设置</w:t>
            </w:r>
            <w:r>
              <w:rPr>
                <w:rFonts w:hint="eastAsia" w:ascii="宋体" w:hAnsi="宋体" w:cs="宋体"/>
                <w:color w:val="auto"/>
                <w:sz w:val="21"/>
                <w:szCs w:val="21"/>
                <w:lang w:eastAsia="zh-CN"/>
              </w:rPr>
              <w:t>、</w:t>
            </w:r>
            <w:r>
              <w:rPr>
                <w:rFonts w:hint="eastAsia" w:ascii="宋体" w:hAnsi="宋体" w:eastAsia="宋体" w:cs="宋体"/>
                <w:color w:val="auto"/>
                <w:sz w:val="21"/>
                <w:szCs w:val="21"/>
              </w:rPr>
              <w:t>培训讲义内容、本地化培训设施。以上内容每具备一项且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6</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5000" w:type="pct"/>
            <w:gridSpan w:val="5"/>
            <w:noWrap w:val="0"/>
            <w:vAlign w:val="center"/>
          </w:tcPr>
          <w:p>
            <w:pPr>
              <w:adjustRightInd w:val="0"/>
              <w:snapToGrid w:val="0"/>
              <w:jc w:val="left"/>
              <w:rPr>
                <w:rFonts w:hint="eastAsia" w:ascii="宋体" w:hAnsi="宋体" w:eastAsia="宋体" w:cs="宋体"/>
                <w:color w:val="auto"/>
                <w:sz w:val="21"/>
                <w:szCs w:val="21"/>
              </w:rPr>
            </w:pPr>
            <w:r>
              <w:rPr>
                <w:rFonts w:hint="eastAsia" w:asciiTheme="minorEastAsia" w:hAnsiTheme="minorEastAsia" w:eastAsiaTheme="minorEastAsia" w:cstheme="minorEastAsia"/>
                <w:color w:val="auto"/>
                <w:sz w:val="21"/>
                <w:szCs w:val="21"/>
                <w:lang w:eastAsia="zh-CN"/>
              </w:rPr>
              <w:t>备注：</w:t>
            </w:r>
            <w:r>
              <w:rPr>
                <w:rFonts w:hint="eastAsia" w:asciiTheme="minorEastAsia" w:hAnsiTheme="minorEastAsia" w:eastAsiaTheme="minorEastAsia" w:cstheme="minorEastAsia"/>
                <w:color w:val="auto"/>
                <w:sz w:val="21"/>
                <w:szCs w:val="21"/>
              </w:rPr>
              <w:t>以上缺陷是指：与本项目无关、不满足项目需求、内容前后不一致、前后逻辑错误、涉及的规范及标准错误、地点区域错误、内容缺失</w:t>
            </w:r>
          </w:p>
        </w:tc>
      </w:tr>
    </w:tbl>
    <w:p>
      <w:pPr>
        <w:pStyle w:val="2"/>
        <w:ind w:firstLine="420"/>
        <w:rPr>
          <w:rFonts w:hint="eastAsia" w:ascii="宋体" w:hAnsi="宋体" w:cs="宋体"/>
          <w:color w:val="auto"/>
          <w:highlight w:val="none"/>
          <w:lang w:val="en-US" w:eastAsia="zh-CN"/>
        </w:rPr>
      </w:pPr>
      <w:r>
        <w:rPr>
          <w:rFonts w:hint="eastAsia" w:ascii="宋体" w:hAnsi="宋体" w:cs="宋体"/>
          <w:color w:val="auto"/>
          <w:highlight w:val="none"/>
          <w:lang w:val="en-US" w:eastAsia="zh-CN"/>
        </w:rPr>
        <w:t>第四包：</w:t>
      </w:r>
      <w:r>
        <w:rPr>
          <w:rFonts w:hint="eastAsia"/>
          <w:color w:val="auto"/>
          <w:highlight w:val="none"/>
        </w:rPr>
        <w:t>统一身份管理平台运维项目</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8"/>
        <w:gridCol w:w="811"/>
        <w:gridCol w:w="819"/>
        <w:gridCol w:w="454"/>
        <w:gridCol w:w="5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评审项目</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分项</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分值</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7" w:hRule="atLeast"/>
          <w:jc w:val="center"/>
        </w:trPr>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价格（</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报价得分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w:t>
            </w:r>
          </w:p>
        </w:tc>
        <w:tc>
          <w:tcPr>
            <w:tcW w:w="0" w:type="auto"/>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0" w:type="auto"/>
            <w:vMerge w:val="restart"/>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0" w:type="auto"/>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商务部分（1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售后服务承诺</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根据供应商提供的售后服务承诺进行打分，内容包括服务大纲、故障响应、服务应答、备机备件等方面，以上内容每具备一项且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6"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供应商资质</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color w:val="auto"/>
                <w:sz w:val="21"/>
                <w:szCs w:val="21"/>
                <w:lang w:val="en-US" w:eastAsia="zh-CN"/>
              </w:rPr>
              <w:t>与全国认证认可信息公共服务平台http://cx.cnca.cn查询截图，原件备查</w:t>
            </w:r>
            <w:r>
              <w:rPr>
                <w:rFonts w:hint="eastAsia" w:ascii="宋体" w:hAnsi="宋体" w:eastAsia="宋体" w:cs="宋体"/>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供应商类似项目业绩</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5</w:t>
            </w:r>
          </w:p>
        </w:tc>
        <w:tc>
          <w:tcPr>
            <w:tcW w:w="0" w:type="auto"/>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提供20</w:t>
            </w:r>
            <w:r>
              <w:rPr>
                <w:rFonts w:hint="eastAsia" w:ascii="宋体" w:hAnsi="宋体" w:eastAsia="宋体" w:cs="宋体"/>
                <w:color w:val="auto"/>
                <w:sz w:val="21"/>
                <w:szCs w:val="21"/>
                <w:lang w:val="en-US" w:eastAsia="zh-CN"/>
              </w:rPr>
              <w:t>21</w:t>
            </w:r>
            <w:r>
              <w:rPr>
                <w:rFonts w:hint="eastAsia" w:ascii="宋体" w:hAnsi="宋体" w:eastAsia="宋体" w:cs="宋体"/>
                <w:color w:val="auto"/>
                <w:sz w:val="21"/>
                <w:szCs w:val="21"/>
              </w:rPr>
              <w:t>年1月1日之后供应商类似项目合同，以合同个数为准，每提供一个合同得1分，最多得5分。时间以签订合同时间为准。</w:t>
            </w:r>
          </w:p>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restar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3</w:t>
            </w:r>
          </w:p>
        </w:tc>
        <w:tc>
          <w:tcPr>
            <w:tcW w:w="0" w:type="auto"/>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技术部分（</w:t>
            </w:r>
            <w:r>
              <w:rPr>
                <w:rFonts w:hint="eastAsia" w:ascii="宋体" w:hAnsi="宋体" w:cs="宋体"/>
                <w:color w:val="auto"/>
                <w:sz w:val="21"/>
                <w:szCs w:val="21"/>
                <w:lang w:val="en-US" w:eastAsia="zh-CN"/>
              </w:rPr>
              <w:t>7</w:t>
            </w:r>
            <w:r>
              <w:rPr>
                <w:rFonts w:hint="eastAsia" w:ascii="宋体" w:hAnsi="宋体" w:eastAsia="宋体" w:cs="宋体"/>
                <w:color w:val="auto"/>
                <w:sz w:val="21"/>
                <w:szCs w:val="21"/>
              </w:rPr>
              <w:t>5分）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项目需求理解</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20</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要对服务的业务有充分的了解，内容包括：设计思路、安全总体规划、网络安全方案、业务安全方案、数据安全设计、税务应用安全保护、密码应用安全、安全测评、安全运营方案、系统功能介绍，以上内容每具备一项且无缺陷得2分，最多得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系统运维服务方案</w:t>
            </w:r>
          </w:p>
        </w:tc>
        <w:tc>
          <w:tcPr>
            <w:tcW w:w="0" w:type="auto"/>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14</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投标人需提供系统运维服务方案，</w:t>
            </w:r>
            <w:r>
              <w:rPr>
                <w:rFonts w:hint="eastAsia" w:ascii="宋体" w:hAnsi="宋体" w:cs="宋体"/>
                <w:color w:val="auto"/>
                <w:sz w:val="21"/>
                <w:szCs w:val="21"/>
                <w:lang w:val="en-US" w:eastAsia="zh-CN"/>
              </w:rPr>
              <w:t>内容</w:t>
            </w:r>
            <w:r>
              <w:rPr>
                <w:rFonts w:hint="eastAsia" w:ascii="宋体" w:hAnsi="宋体" w:eastAsia="宋体" w:cs="宋体"/>
                <w:color w:val="auto"/>
                <w:sz w:val="21"/>
                <w:szCs w:val="21"/>
              </w:rPr>
              <w:t>包括服务目标、范围和任务、服务期限、服务内容、服务方式、服务团队组织安排计划、工作流程等内容，以上内容每具备一项且无缺陷得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14</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日常保障方案</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9</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为保障项目稳定运行，投标人需提供日常保障方案，</w:t>
            </w:r>
            <w:r>
              <w:rPr>
                <w:rFonts w:hint="eastAsia" w:ascii="宋体" w:hAnsi="宋体" w:cs="宋体"/>
                <w:color w:val="auto"/>
                <w:sz w:val="21"/>
                <w:szCs w:val="21"/>
                <w:lang w:val="en-US" w:eastAsia="zh-CN"/>
              </w:rPr>
              <w:t>内容</w:t>
            </w:r>
            <w:r>
              <w:rPr>
                <w:rFonts w:hint="eastAsia" w:ascii="宋体" w:hAnsi="宋体" w:eastAsia="宋体" w:cs="宋体"/>
                <w:color w:val="auto"/>
                <w:sz w:val="21"/>
                <w:szCs w:val="21"/>
              </w:rPr>
              <w:t>包括程序类问题、数据</w:t>
            </w:r>
            <w:r>
              <w:rPr>
                <w:rFonts w:hint="eastAsia" w:ascii="宋体" w:hAnsi="宋体" w:cs="宋体"/>
                <w:color w:val="auto"/>
                <w:sz w:val="21"/>
                <w:szCs w:val="21"/>
                <w:lang w:eastAsia="zh-CN"/>
              </w:rPr>
              <w:t>应用</w:t>
            </w:r>
            <w:r>
              <w:rPr>
                <w:rFonts w:hint="eastAsia" w:ascii="宋体" w:hAnsi="宋体" w:eastAsia="宋体" w:cs="宋体"/>
                <w:color w:val="auto"/>
                <w:sz w:val="21"/>
                <w:szCs w:val="21"/>
              </w:rPr>
              <w:t>类问题、版本升级、系统配置维护、日常问题受理和一般问题受理、紧急问题处理、重大配置变更、重要时刻保障、知识收集整理和转移。以上内容每具备一项且无缺陷得1分，最多得9分。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信息安全保密管理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投标人需为本项目提供完善的信息安全保密管理，包括信息安全保密整体方案、信息安全保密管理制度</w:t>
            </w:r>
            <w:r>
              <w:rPr>
                <w:rFonts w:hint="eastAsia" w:ascii="宋体" w:hAnsi="宋体" w:cs="宋体"/>
                <w:color w:val="auto"/>
                <w:sz w:val="21"/>
                <w:szCs w:val="21"/>
                <w:lang w:eastAsia="zh-CN"/>
              </w:rPr>
              <w:t>、</w:t>
            </w:r>
            <w:r>
              <w:rPr>
                <w:rFonts w:hint="eastAsia" w:ascii="宋体" w:hAnsi="宋体" w:eastAsia="宋体" w:cs="宋体"/>
                <w:color w:val="auto"/>
                <w:sz w:val="21"/>
                <w:szCs w:val="21"/>
              </w:rPr>
              <w:t>信息安全保密措施等内容。以上内容每具备一项且无缺陷得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7"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项目组织管理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6</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投标人需为本项目提供完善的项目组织管理，包括项目进度计划、人员保障</w:t>
            </w:r>
            <w:r>
              <w:rPr>
                <w:rFonts w:hint="eastAsia" w:ascii="宋体" w:hAnsi="宋体" w:cs="宋体"/>
                <w:color w:val="auto"/>
                <w:sz w:val="21"/>
                <w:szCs w:val="21"/>
                <w:lang w:eastAsia="zh-CN"/>
              </w:rPr>
              <w:t>、</w:t>
            </w:r>
            <w:r>
              <w:rPr>
                <w:rFonts w:hint="eastAsia" w:ascii="宋体" w:hAnsi="宋体" w:eastAsia="宋体" w:cs="宋体"/>
                <w:color w:val="auto"/>
                <w:sz w:val="21"/>
                <w:szCs w:val="21"/>
              </w:rPr>
              <w:t>项目管理办法。以上内容每具备一项且无缺陷得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6</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服务</w:t>
            </w:r>
            <w:r>
              <w:rPr>
                <w:rFonts w:hint="eastAsia" w:ascii="宋体" w:hAnsi="宋体" w:eastAsia="宋体" w:cs="宋体"/>
                <w:color w:val="auto"/>
                <w:sz w:val="21"/>
                <w:szCs w:val="21"/>
                <w:lang w:eastAsia="zh-CN"/>
              </w:rPr>
              <w:t>保障</w:t>
            </w:r>
          </w:p>
        </w:tc>
        <w:tc>
          <w:tcPr>
            <w:tcW w:w="0" w:type="auto"/>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为保障项目稳定顺利进行，投标人需提供以下服务承诺：服务响应时间承诺 、保密承诺、人员管理承诺 、服务考核措施承诺、知识产权承诺等内容。以上内容每具备一项且无缺陷得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应急响应方案</w:t>
            </w:r>
          </w:p>
        </w:tc>
        <w:tc>
          <w:tcPr>
            <w:tcW w:w="0" w:type="auto"/>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投标人需制定应急响应方案，包括但不限于应急响应组织结构及人员职责、应急预案制定、培训与演练、监控与预警、特殊时期启动保障流程等方面的内容。以上内容每具备一项且无缺陷得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Theme="minorEastAsia" w:hAnsiTheme="minorEastAsia" w:eastAsiaTheme="minorEastAsia" w:cstheme="minorEastAsia"/>
                <w:color w:val="auto"/>
                <w:sz w:val="21"/>
                <w:szCs w:val="21"/>
                <w:lang w:val="en-US" w:eastAsia="zh-CN"/>
              </w:rPr>
              <w:t xml:space="preserve"> </w:t>
            </w:r>
            <w:r>
              <w:rPr>
                <w:rFonts w:hint="eastAsia" w:ascii="宋体" w:hAnsi="宋体" w:eastAsia="宋体" w:cs="宋体"/>
                <w:color w:val="auto"/>
                <w:sz w:val="21"/>
                <w:szCs w:val="21"/>
              </w:rPr>
              <w:t>序号</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评审项目</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分项</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分值</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价格（</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报价得分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w:t>
            </w:r>
          </w:p>
        </w:tc>
        <w:tc>
          <w:tcPr>
            <w:tcW w:w="0" w:type="auto"/>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0" w:type="auto"/>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0" w:type="auto"/>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商务部分（1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售后服务承诺</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根据供应商提供的售后服务承诺进行打分，内容包括服务大纲、故障响应、服务应答、备机备件等方面，以上内容每具备一项且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2" w:hRule="atLeast"/>
          <w:jc w:val="center"/>
        </w:trPr>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供应商资质</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color w:val="auto"/>
                <w:sz w:val="21"/>
                <w:szCs w:val="21"/>
                <w:lang w:val="en-US" w:eastAsia="zh-CN"/>
              </w:rPr>
              <w:t>与全国认证认可信息公共服务平台http://cx.cnca.cn查询截图，原件备查</w:t>
            </w:r>
            <w:r>
              <w:rPr>
                <w:rFonts w:hint="eastAsia" w:ascii="宋体" w:hAnsi="宋体" w:eastAsia="宋体" w:cs="宋体"/>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2" w:hRule="atLeast"/>
          <w:jc w:val="center"/>
        </w:trPr>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供应商类似项目业绩</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5</w:t>
            </w:r>
          </w:p>
        </w:tc>
        <w:tc>
          <w:tcPr>
            <w:tcW w:w="0" w:type="auto"/>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提供20</w:t>
            </w:r>
            <w:r>
              <w:rPr>
                <w:rFonts w:hint="eastAsia" w:ascii="宋体" w:hAnsi="宋体" w:eastAsia="宋体" w:cs="宋体"/>
                <w:color w:val="auto"/>
                <w:sz w:val="21"/>
                <w:szCs w:val="21"/>
                <w:lang w:val="en-US" w:eastAsia="zh-CN"/>
              </w:rPr>
              <w:t>21</w:t>
            </w:r>
            <w:r>
              <w:rPr>
                <w:rFonts w:hint="eastAsia" w:ascii="宋体" w:hAnsi="宋体" w:eastAsia="宋体" w:cs="宋体"/>
                <w:color w:val="auto"/>
                <w:sz w:val="21"/>
                <w:szCs w:val="21"/>
              </w:rPr>
              <w:t>年1月1日之后供应商类似项目合同，以合同个数为准，每提供一个合同得1分，最多得5分。时间以签订合同时间为准。</w:t>
            </w:r>
          </w:p>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0" w:type="auto"/>
            <w:vMerge w:val="restar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3</w:t>
            </w:r>
          </w:p>
        </w:tc>
        <w:tc>
          <w:tcPr>
            <w:tcW w:w="0" w:type="auto"/>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技术部分（</w:t>
            </w:r>
            <w:r>
              <w:rPr>
                <w:rFonts w:hint="eastAsia" w:ascii="宋体" w:hAnsi="宋体" w:cs="宋体"/>
                <w:color w:val="auto"/>
                <w:sz w:val="21"/>
                <w:szCs w:val="21"/>
                <w:lang w:val="en-US" w:eastAsia="zh-CN"/>
              </w:rPr>
              <w:t>7</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安管平台模型配置和优化服务方案</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20</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投标人需提供安管平台模型配置和优化服务方案</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1、投标人需要熟悉安管平台模型配置优化内容，包含如下内容：</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1）外部攻击监测包括外部攻击威胁告警、外部攻击风险预警、攻击者分析、溯源分析、专项威胁监测，要求投标人熟悉以上业务内容，以上内容每具备一项且无缺陷的得1分，最多得5分。</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2）大数据采集配置及安全检测包括采集节点管理、数据源管理、解析规则管理、标准模型管理、数据安全检测、行为分析数据源、用户配置等，以上内容每具备一项且无缺陷的得1分，最多得7分。</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3）分析规则配置包括多维关联分析模型管理、事件聚合模型管理、行为模型管理、行为模型白名单、白名单管理等，以上内容每具备一项且无缺陷的得1分，最多得5分。</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2、投标人需要了解监测预警模型配置与优化步骤，包括基础数据通用配置、外防攻击、内防窃数等，以上内容每具备一项且无缺陷的得1分，最多得3分。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3" w:hRule="atLeast"/>
          <w:jc w:val="center"/>
        </w:trPr>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安管平台扩围对接服务方案</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15</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投标人需提供安管平台对接服务方案，包括对接现有平台及设备的方案。每提供一个</w:t>
            </w:r>
            <w:r>
              <w:rPr>
                <w:rFonts w:hint="eastAsia" w:ascii="宋体" w:hAnsi="宋体" w:cs="宋体"/>
                <w:color w:val="auto"/>
                <w:sz w:val="21"/>
                <w:szCs w:val="21"/>
                <w:lang w:eastAsia="zh-CN"/>
              </w:rPr>
              <w:t>安全</w:t>
            </w:r>
            <w:r>
              <w:rPr>
                <w:rFonts w:hint="eastAsia" w:ascii="宋体" w:hAnsi="宋体" w:eastAsia="宋体" w:cs="宋体"/>
                <w:color w:val="auto"/>
                <w:sz w:val="21"/>
                <w:szCs w:val="21"/>
              </w:rPr>
              <w:t>设备</w:t>
            </w:r>
            <w:r>
              <w:rPr>
                <w:rFonts w:hint="eastAsia" w:ascii="宋体" w:hAnsi="宋体" w:cs="宋体"/>
                <w:color w:val="auto"/>
                <w:sz w:val="21"/>
                <w:szCs w:val="21"/>
                <w:lang w:eastAsia="zh-CN"/>
              </w:rPr>
              <w:t>（防火墙、</w:t>
            </w:r>
            <w:r>
              <w:rPr>
                <w:rFonts w:hint="eastAsia" w:ascii="宋体" w:hAnsi="宋体" w:cs="宋体"/>
                <w:color w:val="auto"/>
                <w:sz w:val="21"/>
                <w:szCs w:val="21"/>
                <w:lang w:val="en-US" w:eastAsia="zh-CN"/>
              </w:rPr>
              <w:t>防毒墙、WAF、IPS、IDS、日志审计、数据库审计</w:t>
            </w:r>
            <w:r>
              <w:rPr>
                <w:rFonts w:hint="eastAsia" w:ascii="宋体" w:hAnsi="宋体" w:cs="宋体"/>
                <w:color w:val="auto"/>
                <w:sz w:val="21"/>
                <w:szCs w:val="21"/>
                <w:lang w:eastAsia="zh-CN"/>
              </w:rPr>
              <w:t>）</w:t>
            </w:r>
            <w:r>
              <w:rPr>
                <w:rFonts w:hint="eastAsia" w:ascii="宋体" w:hAnsi="宋体" w:eastAsia="宋体" w:cs="宋体"/>
                <w:color w:val="auto"/>
                <w:sz w:val="21"/>
                <w:szCs w:val="21"/>
              </w:rPr>
              <w:t>对接服务内容无缺陷的得</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分，最多得7分；每提供一个</w:t>
            </w:r>
            <w:r>
              <w:rPr>
                <w:rFonts w:hint="eastAsia" w:ascii="宋体" w:hAnsi="宋体" w:cs="宋体"/>
                <w:color w:val="auto"/>
                <w:sz w:val="21"/>
                <w:szCs w:val="21"/>
                <w:lang w:eastAsia="zh-CN"/>
              </w:rPr>
              <w:t>安全</w:t>
            </w:r>
            <w:r>
              <w:rPr>
                <w:rFonts w:hint="eastAsia" w:ascii="宋体" w:hAnsi="宋体" w:eastAsia="宋体" w:cs="宋体"/>
                <w:color w:val="auto"/>
                <w:sz w:val="21"/>
                <w:szCs w:val="21"/>
              </w:rPr>
              <w:t>平台</w:t>
            </w:r>
            <w:r>
              <w:rPr>
                <w:rFonts w:hint="eastAsia" w:ascii="宋体" w:hAnsi="宋体" w:cs="宋体"/>
                <w:color w:val="auto"/>
                <w:sz w:val="21"/>
                <w:szCs w:val="21"/>
                <w:lang w:eastAsia="zh-CN"/>
              </w:rPr>
              <w:t>（态势感知平台、威胁情报平台、终端安全管理平台、高级持续性威胁预警系统）</w:t>
            </w:r>
            <w:r>
              <w:rPr>
                <w:rFonts w:hint="eastAsia" w:ascii="宋体" w:hAnsi="宋体" w:eastAsia="宋体" w:cs="宋体"/>
                <w:color w:val="auto"/>
                <w:sz w:val="21"/>
                <w:szCs w:val="21"/>
              </w:rPr>
              <w:t>对接服务内容无缺陷的得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安管平台日志接入服务方案</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8</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投标人需提供安管平台日志接入服务方案，包括安管平台日志对接范围、安管平台日志对接方式、安管平台日志对接内容、安管平台日志对接步骤等内容，以上内容每具备一项且无缺陷的得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8</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4" w:hRule="atLeast"/>
          <w:jc w:val="center"/>
        </w:trPr>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安管平台基础数据维护方案</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8</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投标人需提供安管平台基础数据维护方案，包括整体方案概述、基础数据维护</w:t>
            </w:r>
            <w:r>
              <w:rPr>
                <w:rFonts w:hint="eastAsia" w:ascii="宋体" w:hAnsi="宋体" w:cs="宋体"/>
                <w:color w:val="auto"/>
                <w:sz w:val="21"/>
                <w:szCs w:val="21"/>
                <w:lang w:eastAsia="zh-CN"/>
              </w:rPr>
              <w:t>内容、操作流程</w:t>
            </w:r>
            <w:r>
              <w:rPr>
                <w:rFonts w:hint="eastAsia" w:ascii="宋体" w:hAnsi="宋体" w:eastAsia="宋体" w:cs="宋体"/>
                <w:color w:val="auto"/>
                <w:sz w:val="21"/>
                <w:szCs w:val="21"/>
              </w:rPr>
              <w:t>步骤、大数据采集节点配置</w:t>
            </w:r>
            <w:r>
              <w:rPr>
                <w:rFonts w:hint="eastAsia" w:ascii="宋体" w:hAnsi="宋体" w:cs="宋体"/>
                <w:color w:val="auto"/>
                <w:sz w:val="21"/>
                <w:szCs w:val="21"/>
                <w:lang w:eastAsia="zh-CN"/>
              </w:rPr>
              <w:t>等</w:t>
            </w:r>
            <w:r>
              <w:rPr>
                <w:rFonts w:hint="eastAsia" w:ascii="宋体" w:hAnsi="宋体" w:eastAsia="宋体" w:cs="宋体"/>
                <w:color w:val="auto"/>
                <w:sz w:val="21"/>
                <w:szCs w:val="21"/>
              </w:rPr>
              <w:t>。以上内容每具备一项且无缺陷的得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8</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实施方案</w:t>
            </w:r>
          </w:p>
        </w:tc>
        <w:tc>
          <w:tcPr>
            <w:tcW w:w="0" w:type="auto"/>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投标人需提供安管平台实施方案，包括总体方案概述、服务响应时间、日常运维服务、系统级服务、数据服务。以上内容每具备一项且无缺陷的得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jc w:val="center"/>
        </w:trPr>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售后服务方案</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4</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投标人需提供安管平台售后服务方案，包括进度计划及保证措施、质量保证措施。以上内容每具备一项且无缺陷的得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服务</w:t>
            </w:r>
            <w:r>
              <w:rPr>
                <w:rFonts w:hint="eastAsia" w:ascii="宋体" w:hAnsi="宋体" w:eastAsia="宋体" w:cs="宋体"/>
                <w:color w:val="auto"/>
                <w:sz w:val="21"/>
                <w:szCs w:val="21"/>
                <w:lang w:eastAsia="zh-CN"/>
              </w:rPr>
              <w:t>保障</w:t>
            </w:r>
          </w:p>
        </w:tc>
        <w:tc>
          <w:tcPr>
            <w:tcW w:w="0" w:type="auto"/>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为保障项目稳定顺利进行，投标人需提供以下服务承诺：服务响应时间承诺、满足团队成员要求承诺、满足团队要求承诺、满足团队成员管理要求承诺、满足安全保密要求承诺等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0" w:type="auto"/>
            <w:gridSpan w:val="5"/>
            <w:noWrap w:val="0"/>
            <w:vAlign w:val="center"/>
          </w:tcPr>
          <w:p>
            <w:pPr>
              <w:adjustRightInd w:val="0"/>
              <w:snapToGrid w:val="0"/>
              <w:jc w:val="left"/>
              <w:rPr>
                <w:rFonts w:hint="eastAsia" w:ascii="宋体" w:hAnsi="宋体" w:eastAsia="宋体" w:cs="宋体"/>
                <w:color w:val="auto"/>
                <w:sz w:val="21"/>
                <w:szCs w:val="21"/>
              </w:rPr>
            </w:pPr>
            <w:r>
              <w:rPr>
                <w:rFonts w:hint="eastAsia" w:asciiTheme="minorEastAsia" w:hAnsiTheme="minorEastAsia" w:eastAsiaTheme="minorEastAsia" w:cstheme="minorEastAsia"/>
                <w:color w:val="auto"/>
                <w:sz w:val="21"/>
                <w:szCs w:val="21"/>
                <w:lang w:eastAsia="zh-CN"/>
              </w:rPr>
              <w:t>备注：</w:t>
            </w:r>
            <w:r>
              <w:rPr>
                <w:rFonts w:hint="eastAsia" w:asciiTheme="minorEastAsia" w:hAnsiTheme="minorEastAsia" w:eastAsiaTheme="minorEastAsia" w:cstheme="minorEastAsia"/>
                <w:color w:val="auto"/>
                <w:sz w:val="21"/>
                <w:szCs w:val="21"/>
              </w:rPr>
              <w:t>以上缺陷是指：与本项目无关、不满足项目需求、内容前后不一致、前后逻辑错误、涉及的规范及标准错误、地点区域错误、内容缺失</w:t>
            </w:r>
          </w:p>
        </w:tc>
      </w:tr>
    </w:tbl>
    <w:p>
      <w:pPr>
        <w:pStyle w:val="2"/>
        <w:ind w:firstLine="420"/>
        <w:rPr>
          <w:rFonts w:hint="default" w:ascii="宋体" w:hAnsi="宋体" w:cs="宋体"/>
          <w:color w:val="auto"/>
          <w:highlight w:val="none"/>
          <w:lang w:val="en-US" w:eastAsia="zh-CN"/>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43"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
        <w:rPr>
          <w:rFonts w:hint="eastAsia" w:ascii="宋体" w:hAnsi="宋体" w:eastAsia="宋体" w:cs="宋体"/>
          <w:color w:val="auto"/>
          <w:highlight w:val="none"/>
        </w:rPr>
      </w:pPr>
      <w:bookmarkStart w:id="144" w:name="_Toc78902195"/>
      <w:bookmarkStart w:id="145" w:name="_Toc25807"/>
      <w:r>
        <w:rPr>
          <w:rFonts w:hint="eastAsia" w:ascii="宋体" w:hAnsi="宋体" w:eastAsia="宋体" w:cs="宋体"/>
          <w:color w:val="auto"/>
          <w:highlight w:val="none"/>
        </w:rPr>
        <w:t>第五章 政府采购合同条款</w:t>
      </w:r>
      <w:bookmarkEnd w:id="143"/>
      <w:r>
        <w:rPr>
          <w:rFonts w:hint="eastAsia" w:ascii="宋体" w:hAnsi="宋体" w:eastAsia="宋体" w:cs="宋体"/>
          <w:color w:val="auto"/>
          <w:highlight w:val="none"/>
        </w:rPr>
        <w:t>及格式</w:t>
      </w:r>
      <w:bookmarkEnd w:id="144"/>
      <w:bookmarkEnd w:id="145"/>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rPr>
          <w:rFonts w:hint="eastAsia"/>
          <w:b/>
          <w:color w:val="auto"/>
          <w:sz w:val="52"/>
        </w:rPr>
      </w:pPr>
    </w:p>
    <w:p>
      <w:pPr>
        <w:spacing w:line="600" w:lineRule="auto"/>
        <w:jc w:val="center"/>
        <w:outlineLvl w:val="0"/>
        <w:rPr>
          <w:rFonts w:hint="eastAsia"/>
          <w:b/>
          <w:color w:val="auto"/>
          <w:sz w:val="48"/>
        </w:rPr>
      </w:pPr>
      <w:r>
        <w:rPr>
          <w:rFonts w:hint="eastAsia"/>
          <w:b/>
          <w:color w:val="auto"/>
          <w:sz w:val="48"/>
        </w:rPr>
        <w:t>国家税务总局黑龙江省税务局</w:t>
      </w:r>
    </w:p>
    <w:p>
      <w:pPr>
        <w:spacing w:line="600" w:lineRule="auto"/>
        <w:jc w:val="center"/>
        <w:outlineLvl w:val="0"/>
        <w:rPr>
          <w:rFonts w:hint="eastAsia"/>
          <w:b/>
          <w:color w:val="auto"/>
          <w:sz w:val="48"/>
        </w:rPr>
      </w:pPr>
      <w:r>
        <w:rPr>
          <w:rFonts w:hint="eastAsia"/>
          <w:b/>
          <w:color w:val="auto"/>
          <w:sz w:val="48"/>
        </w:rPr>
        <w:t>政府采购合同</w:t>
      </w:r>
    </w:p>
    <w:p>
      <w:pPr>
        <w:jc w:val="center"/>
        <w:rPr>
          <w:rFonts w:hint="eastAsia"/>
          <w:b/>
          <w:color w:val="auto"/>
          <w:sz w:val="48"/>
        </w:rPr>
      </w:pPr>
    </w:p>
    <w:p>
      <w:pPr>
        <w:jc w:val="center"/>
        <w:rPr>
          <w:rFonts w:hint="eastAsia"/>
          <w:b/>
          <w:color w:val="auto"/>
          <w:sz w:val="48"/>
        </w:rPr>
      </w:pPr>
    </w:p>
    <w:p>
      <w:pPr>
        <w:jc w:val="center"/>
        <w:rPr>
          <w:rFonts w:hint="eastAsia"/>
          <w:b/>
          <w:color w:val="auto"/>
          <w:sz w:val="48"/>
        </w:rPr>
      </w:pPr>
    </w:p>
    <w:p>
      <w:pPr>
        <w:jc w:val="both"/>
        <w:rPr>
          <w:rFonts w:hint="eastAsia"/>
          <w:b/>
          <w:color w:val="auto"/>
          <w:sz w:val="48"/>
        </w:rPr>
      </w:pPr>
    </w:p>
    <w:p>
      <w:pPr>
        <w:pStyle w:val="7"/>
        <w:rPr>
          <w:rFonts w:hint="eastAsia"/>
          <w:color w:val="auto"/>
        </w:rPr>
      </w:pPr>
    </w:p>
    <w:p>
      <w:pPr>
        <w:jc w:val="center"/>
        <w:rPr>
          <w:rFonts w:hint="eastAsia"/>
          <w:b/>
          <w:color w:val="auto"/>
          <w:sz w:val="48"/>
        </w:rPr>
      </w:pPr>
    </w:p>
    <w:p>
      <w:pPr>
        <w:jc w:val="center"/>
        <w:rPr>
          <w:b/>
          <w:color w:val="auto"/>
          <w:sz w:val="48"/>
        </w:rPr>
      </w:pPr>
    </w:p>
    <w:p>
      <w:pPr>
        <w:spacing w:line="360" w:lineRule="auto"/>
        <w:ind w:firstLine="1405" w:firstLineChars="500"/>
        <w:outlineLvl w:val="0"/>
        <w:rPr>
          <w:rFonts w:hint="eastAsia" w:ascii="宋体" w:hAnsi="宋体"/>
          <w:b/>
          <w:bCs/>
          <w:color w:val="auto"/>
          <w:sz w:val="28"/>
          <w:szCs w:val="28"/>
          <w:u w:val="single"/>
        </w:rPr>
      </w:pPr>
      <w:r>
        <w:rPr>
          <w:rFonts w:hint="eastAsia" w:ascii="宋体" w:hAnsi="宋体"/>
          <w:b/>
          <w:bCs/>
          <w:color w:val="auto"/>
          <w:sz w:val="28"/>
          <w:szCs w:val="28"/>
        </w:rPr>
        <w:t>合同编号：</w:t>
      </w:r>
      <w:r>
        <w:rPr>
          <w:rFonts w:hint="eastAsia" w:ascii="宋体" w:hAnsi="宋体"/>
          <w:b/>
          <w:bCs/>
          <w:color w:val="auto"/>
          <w:sz w:val="28"/>
          <w:szCs w:val="28"/>
          <w:u w:val="single"/>
        </w:rPr>
        <w:t>（HTCL-ZB-243192）</w:t>
      </w:r>
    </w:p>
    <w:p>
      <w:pPr>
        <w:spacing w:line="360" w:lineRule="auto"/>
        <w:ind w:firstLine="1405" w:firstLineChars="500"/>
        <w:rPr>
          <w:rFonts w:hint="eastAsia" w:ascii="宋体" w:hAnsi="宋体"/>
          <w:b/>
          <w:bCs/>
          <w:color w:val="auto"/>
          <w:sz w:val="28"/>
          <w:szCs w:val="28"/>
        </w:rPr>
      </w:pPr>
      <w:r>
        <w:rPr>
          <w:rFonts w:hint="eastAsia" w:ascii="宋体" w:hAnsi="宋体"/>
          <w:b/>
          <w:bCs/>
          <w:color w:val="auto"/>
          <w:sz w:val="28"/>
          <w:szCs w:val="28"/>
        </w:rPr>
        <w:t>甲</w:t>
      </w:r>
      <w:r>
        <w:rPr>
          <w:rFonts w:ascii="宋体" w:hAnsi="宋体"/>
          <w:b/>
          <w:bCs/>
          <w:color w:val="auto"/>
          <w:sz w:val="28"/>
          <w:szCs w:val="28"/>
        </w:rPr>
        <w:t xml:space="preserve">    </w:t>
      </w:r>
      <w:r>
        <w:rPr>
          <w:rFonts w:hint="eastAsia" w:ascii="宋体" w:hAnsi="宋体"/>
          <w:b/>
          <w:bCs/>
          <w:color w:val="auto"/>
          <w:sz w:val="28"/>
          <w:szCs w:val="28"/>
        </w:rPr>
        <w:t>方：</w:t>
      </w:r>
      <w:r>
        <w:rPr>
          <w:rFonts w:hint="eastAsia"/>
          <w:b/>
          <w:color w:val="auto"/>
          <w:sz w:val="28"/>
        </w:rPr>
        <w:t>【</w:t>
      </w:r>
      <w:r>
        <w:rPr>
          <w:rFonts w:hint="eastAsia" w:ascii="宋体" w:hAnsi="宋体"/>
          <w:b/>
          <w:bCs/>
          <w:color w:val="auto"/>
          <w:sz w:val="28"/>
          <w:szCs w:val="28"/>
        </w:rPr>
        <w:t>国家税务总局黑龙江省税务局</w:t>
      </w:r>
      <w:r>
        <w:rPr>
          <w:rFonts w:hint="eastAsia"/>
          <w:b/>
          <w:color w:val="auto"/>
          <w:sz w:val="28"/>
        </w:rPr>
        <w:t>】</w:t>
      </w:r>
      <w:r>
        <w:rPr>
          <w:rFonts w:hint="eastAsia" w:ascii="宋体" w:hAnsi="宋体"/>
          <w:b/>
          <w:bCs/>
          <w:color w:val="auto"/>
          <w:sz w:val="28"/>
          <w:szCs w:val="28"/>
        </w:rPr>
        <w:t xml:space="preserve">                        </w:t>
      </w:r>
    </w:p>
    <w:p>
      <w:pPr>
        <w:spacing w:line="360" w:lineRule="auto"/>
        <w:ind w:firstLine="1405" w:firstLineChars="500"/>
        <w:rPr>
          <w:rFonts w:hint="eastAsia"/>
          <w:b/>
          <w:color w:val="auto"/>
          <w:sz w:val="28"/>
        </w:rPr>
      </w:pPr>
      <w:r>
        <w:rPr>
          <w:rFonts w:hint="eastAsia" w:ascii="宋体" w:hAnsi="宋体"/>
          <w:b/>
          <w:bCs/>
          <w:color w:val="auto"/>
          <w:sz w:val="28"/>
          <w:szCs w:val="28"/>
        </w:rPr>
        <w:t>乙</w:t>
      </w:r>
      <w:r>
        <w:rPr>
          <w:rFonts w:ascii="宋体" w:hAnsi="宋体"/>
          <w:b/>
          <w:bCs/>
          <w:color w:val="auto"/>
          <w:sz w:val="28"/>
          <w:szCs w:val="28"/>
        </w:rPr>
        <w:t xml:space="preserve">    </w:t>
      </w:r>
      <w:r>
        <w:rPr>
          <w:rFonts w:hint="eastAsia" w:ascii="宋体" w:hAnsi="宋体"/>
          <w:b/>
          <w:bCs/>
          <w:color w:val="auto"/>
          <w:sz w:val="28"/>
          <w:szCs w:val="28"/>
        </w:rPr>
        <w:t>方：</w:t>
      </w:r>
      <w:r>
        <w:rPr>
          <w:rFonts w:hint="eastAsia"/>
          <w:b/>
          <w:color w:val="auto"/>
          <w:sz w:val="28"/>
        </w:rPr>
        <w:t>【                    】</w:t>
      </w:r>
    </w:p>
    <w:p>
      <w:pPr>
        <w:spacing w:line="360" w:lineRule="auto"/>
        <w:ind w:firstLine="1405" w:firstLineChars="500"/>
        <w:outlineLvl w:val="0"/>
        <w:rPr>
          <w:rFonts w:hint="eastAsia" w:ascii="宋体" w:hAnsi="宋体"/>
          <w:b/>
          <w:bCs/>
          <w:color w:val="auto"/>
          <w:sz w:val="28"/>
          <w:szCs w:val="28"/>
        </w:rPr>
      </w:pPr>
      <w:r>
        <w:rPr>
          <w:rFonts w:hint="eastAsia" w:ascii="宋体" w:hAnsi="宋体"/>
          <w:b/>
          <w:bCs/>
          <w:color w:val="auto"/>
          <w:sz w:val="28"/>
          <w:szCs w:val="28"/>
        </w:rPr>
        <w:t>签订日期：20  年   月   日</w:t>
      </w:r>
    </w:p>
    <w:p>
      <w:pPr>
        <w:pStyle w:val="2"/>
        <w:ind w:firstLine="420"/>
        <w:rPr>
          <w:color w:val="auto"/>
        </w:rPr>
      </w:pPr>
    </w:p>
    <w:p>
      <w:pPr>
        <w:pStyle w:val="2"/>
        <w:ind w:firstLine="420"/>
        <w:rPr>
          <w:color w:val="auto"/>
        </w:rPr>
      </w:pPr>
    </w:p>
    <w:p>
      <w:pPr>
        <w:pStyle w:val="2"/>
        <w:ind w:firstLine="420"/>
        <w:rPr>
          <w:color w:val="auto"/>
        </w:rPr>
      </w:pPr>
    </w:p>
    <w:p>
      <w:pPr>
        <w:rPr>
          <w:rFonts w:ascii="宋体" w:hAnsi="宋体"/>
          <w:i/>
          <w:color w:val="auto"/>
          <w:sz w:val="24"/>
        </w:rPr>
      </w:pPr>
      <w:r>
        <w:rPr>
          <w:rFonts w:hint="eastAsia" w:ascii="宋体" w:hAnsi="宋体"/>
          <w:color w:val="auto"/>
          <w:sz w:val="24"/>
        </w:rPr>
        <w:t>甲方：【国家税务总局黑龙江省税务局】</w:t>
      </w:r>
    </w:p>
    <w:p>
      <w:pPr>
        <w:rPr>
          <w:rFonts w:ascii="宋体" w:hAnsi="宋体"/>
          <w:color w:val="auto"/>
          <w:sz w:val="24"/>
        </w:rPr>
      </w:pPr>
    </w:p>
    <w:p>
      <w:pPr>
        <w:rPr>
          <w:rFonts w:ascii="宋体" w:hAnsi="宋体"/>
          <w:color w:val="auto"/>
          <w:sz w:val="24"/>
        </w:rPr>
      </w:pPr>
      <w:r>
        <w:rPr>
          <w:rFonts w:hint="eastAsia" w:ascii="宋体" w:hAnsi="宋体"/>
          <w:color w:val="auto"/>
          <w:sz w:val="24"/>
        </w:rPr>
        <w:t>乙方：【                】</w:t>
      </w:r>
    </w:p>
    <w:p>
      <w:pPr>
        <w:rPr>
          <w:rFonts w:ascii="宋体" w:hAnsi="宋体"/>
          <w:color w:val="auto"/>
          <w:sz w:val="24"/>
        </w:rPr>
      </w:pPr>
    </w:p>
    <w:p>
      <w:pPr>
        <w:spacing w:line="432" w:lineRule="auto"/>
        <w:ind w:firstLine="480" w:firstLineChars="200"/>
        <w:rPr>
          <w:rFonts w:ascii="宋体" w:hAnsi="宋体"/>
          <w:color w:val="auto"/>
          <w:sz w:val="24"/>
        </w:rPr>
      </w:pPr>
      <w:r>
        <w:rPr>
          <w:rFonts w:hint="eastAsia" w:ascii="宋体" w:hAnsi="宋体"/>
          <w:color w:val="auto"/>
          <w:sz w:val="24"/>
        </w:rPr>
        <w:t>国家税务总局黑龙江省税务局组织的</w:t>
      </w:r>
      <w:r>
        <w:rPr>
          <w:rFonts w:hint="eastAsia" w:ascii="宋体" w:hAnsi="宋体" w:cs="Times New Roman"/>
          <w:color w:val="auto"/>
          <w:sz w:val="24"/>
          <w:lang w:val="en-US" w:eastAsia="zh-CN"/>
        </w:rPr>
        <w:t>国家税务总局黑龙江省税务局云平台及附属系统运维服务项目</w:t>
      </w:r>
      <w:r>
        <w:rPr>
          <w:rFonts w:hint="eastAsia" w:ascii="宋体" w:hAnsi="宋体"/>
          <w:color w:val="auto"/>
          <w:sz w:val="24"/>
        </w:rPr>
        <w:t>（招标编号：HTCL-ZB-243192</w:t>
      </w:r>
      <w:r>
        <w:rPr>
          <w:rFonts w:ascii="宋体" w:hAnsi="宋体"/>
          <w:color w:val="auto"/>
          <w:sz w:val="24"/>
        </w:rPr>
        <w:t xml:space="preserve"> </w:t>
      </w:r>
      <w:r>
        <w:rPr>
          <w:rFonts w:hint="eastAsia" w:ascii="宋体" w:hAnsi="宋体"/>
          <w:color w:val="auto"/>
          <w:sz w:val="24"/>
        </w:rPr>
        <w:t>）经黑龙江省招标公司国内公开招标，(</w:t>
      </w:r>
      <w:r>
        <w:rPr>
          <w:rFonts w:hint="eastAsia" w:ascii="宋体" w:hAnsi="宋体"/>
          <w:color w:val="auto"/>
          <w:sz w:val="24"/>
          <w:u w:val="single"/>
        </w:rPr>
        <w:t>*乙方名称</w:t>
      </w:r>
      <w:r>
        <w:rPr>
          <w:rFonts w:hint="eastAsia" w:ascii="宋体" w:hAnsi="宋体"/>
          <w:color w:val="auto"/>
          <w:sz w:val="24"/>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hint="eastAsia" w:ascii="宋体" w:hAnsi="宋体"/>
          <w:color w:val="auto"/>
          <w:sz w:val="24"/>
        </w:rPr>
      </w:pPr>
      <w:r>
        <w:rPr>
          <w:rFonts w:hint="eastAsia" w:ascii="宋体" w:hAnsi="宋体"/>
          <w:color w:val="auto"/>
          <w:sz w:val="24"/>
        </w:rPr>
        <w:t>甲乙双方本着相互信任、真诚合作、共同发展的原则，在友好协商的基础上共同制定如下合同内容。</w:t>
      </w:r>
    </w:p>
    <w:p>
      <w:pPr>
        <w:pStyle w:val="2"/>
        <w:rPr>
          <w:rFonts w:hint="eastAsia"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第一条  总则</w:t>
      </w:r>
    </w:p>
    <w:p>
      <w:pPr>
        <w:outlineLvl w:val="1"/>
        <w:rPr>
          <w:rFonts w:hint="eastAsia" w:ascii="宋体" w:hAnsi="宋体"/>
          <w:color w:val="auto"/>
          <w:sz w:val="24"/>
        </w:rPr>
      </w:pPr>
      <w:r>
        <w:rPr>
          <w:rFonts w:hint="eastAsia" w:ascii="宋体" w:hAnsi="宋体"/>
          <w:color w:val="auto"/>
          <w:sz w:val="24"/>
        </w:rPr>
        <w:t>1．定义</w:t>
      </w:r>
    </w:p>
    <w:p>
      <w:pPr>
        <w:rPr>
          <w:rFonts w:hint="eastAsia" w:ascii="宋体" w:hAnsi="宋体"/>
          <w:color w:val="auto"/>
          <w:sz w:val="24"/>
        </w:rPr>
      </w:pPr>
      <w:r>
        <w:rPr>
          <w:rFonts w:hint="eastAsia" w:ascii="宋体" w:hAnsi="宋体"/>
          <w:color w:val="auto"/>
          <w:sz w:val="24"/>
        </w:rPr>
        <w:t>(1)</w:t>
      </w:r>
      <w:r>
        <w:rPr>
          <w:rFonts w:hint="eastAsia" w:ascii="宋体" w:hAnsi="宋体"/>
          <w:color w:val="auto"/>
          <w:sz w:val="24"/>
        </w:rPr>
        <w:tab/>
      </w:r>
      <w:r>
        <w:rPr>
          <w:rFonts w:hint="eastAsia" w:ascii="宋体" w:hAnsi="宋体"/>
          <w:color w:val="auto"/>
          <w:sz w:val="24"/>
        </w:rPr>
        <w:t>合同：除非特别说明，“合同”一词均指本合同。</w:t>
      </w:r>
    </w:p>
    <w:p>
      <w:pPr>
        <w:rPr>
          <w:rFonts w:hint="eastAsia" w:ascii="宋体" w:hAnsi="宋体"/>
          <w:color w:val="auto"/>
          <w:sz w:val="24"/>
        </w:rPr>
      </w:pPr>
      <w:r>
        <w:rPr>
          <w:rFonts w:hint="eastAsia" w:ascii="宋体" w:hAnsi="宋体"/>
          <w:color w:val="auto"/>
          <w:sz w:val="24"/>
        </w:rPr>
        <w:t>(2)</w:t>
      </w:r>
      <w:r>
        <w:rPr>
          <w:rFonts w:hint="eastAsia" w:ascii="宋体" w:hAnsi="宋体"/>
          <w:color w:val="auto"/>
          <w:sz w:val="24"/>
        </w:rPr>
        <w:tab/>
      </w:r>
      <w:r>
        <w:rPr>
          <w:rFonts w:hint="eastAsia" w:ascii="宋体" w:hAnsi="宋体"/>
          <w:color w:val="auto"/>
          <w:sz w:val="24"/>
        </w:rPr>
        <w:t>项目：本合同是乙方对甲方信息系统技术服务的维护，对系统运行中发生的故障进行软件升级、系统巡检等服务。</w:t>
      </w:r>
    </w:p>
    <w:p>
      <w:pPr>
        <w:rPr>
          <w:rFonts w:hint="eastAsia" w:ascii="宋体" w:hAnsi="宋体"/>
          <w:color w:val="auto"/>
          <w:sz w:val="24"/>
        </w:rPr>
      </w:pPr>
      <w:r>
        <w:rPr>
          <w:rFonts w:hint="eastAsia" w:ascii="宋体" w:hAnsi="宋体"/>
          <w:color w:val="auto"/>
          <w:sz w:val="24"/>
        </w:rPr>
        <w:t>(3)</w:t>
      </w:r>
      <w:r>
        <w:rPr>
          <w:rFonts w:hint="eastAsia" w:ascii="宋体" w:hAnsi="宋体"/>
          <w:color w:val="auto"/>
          <w:sz w:val="24"/>
        </w:rPr>
        <w:tab/>
      </w:r>
      <w:r>
        <w:rPr>
          <w:rFonts w:hint="eastAsia" w:ascii="宋体" w:hAnsi="宋体"/>
          <w:color w:val="auto"/>
          <w:sz w:val="24"/>
        </w:rPr>
        <w:t>不可抗力：是指不能预见、不能避免并不能克服的客观情况。不可抗力不包括由于一方的疏忽或故意不遵守良好的项目惯例所发生的事故。</w:t>
      </w:r>
    </w:p>
    <w:p>
      <w:pPr>
        <w:outlineLvl w:val="1"/>
        <w:rPr>
          <w:rFonts w:hint="eastAsia" w:ascii="宋体" w:hAnsi="宋体"/>
          <w:color w:val="auto"/>
          <w:sz w:val="24"/>
        </w:rPr>
      </w:pPr>
      <w:r>
        <w:rPr>
          <w:rFonts w:hint="eastAsia" w:ascii="宋体" w:hAnsi="宋体"/>
          <w:color w:val="auto"/>
          <w:sz w:val="24"/>
        </w:rPr>
        <w:t>2．合同生效</w:t>
      </w:r>
    </w:p>
    <w:p>
      <w:pPr>
        <w:rPr>
          <w:rFonts w:hint="eastAsia" w:ascii="宋体" w:hAnsi="宋体"/>
          <w:color w:val="auto"/>
          <w:sz w:val="24"/>
        </w:rPr>
      </w:pPr>
      <w:r>
        <w:rPr>
          <w:rFonts w:hint="eastAsia" w:ascii="宋体" w:hAnsi="宋体"/>
          <w:color w:val="auto"/>
          <w:sz w:val="24"/>
        </w:rPr>
        <w:t>本合同经甲、乙双方签字盖章后生效。本合同壹式肆份，甲、乙双方各持贰份，具有同等法律效力。</w:t>
      </w:r>
    </w:p>
    <w:p>
      <w:pPr>
        <w:outlineLvl w:val="1"/>
        <w:rPr>
          <w:rFonts w:hint="eastAsia" w:ascii="宋体" w:hAnsi="宋体"/>
          <w:color w:val="auto"/>
          <w:sz w:val="24"/>
        </w:rPr>
      </w:pPr>
      <w:r>
        <w:rPr>
          <w:rFonts w:hint="eastAsia" w:ascii="宋体" w:hAnsi="宋体"/>
          <w:color w:val="auto"/>
          <w:sz w:val="24"/>
        </w:rPr>
        <w:t>3．合同修改</w:t>
      </w:r>
    </w:p>
    <w:p>
      <w:pPr>
        <w:rPr>
          <w:rFonts w:hint="eastAsia" w:ascii="宋体" w:hAnsi="宋体"/>
          <w:color w:val="auto"/>
          <w:sz w:val="24"/>
        </w:rPr>
      </w:pPr>
      <w:r>
        <w:rPr>
          <w:rFonts w:hint="eastAsia" w:ascii="宋体" w:hAnsi="宋体"/>
          <w:color w:val="auto"/>
          <w:sz w:val="24"/>
        </w:rPr>
        <w:t>除非由双方签订书面修改文件，否则合同不得修改。符合这一程序的修改将构成合同的一部分，并将与合同具有同等的法律效力。</w:t>
      </w:r>
    </w:p>
    <w:p>
      <w:pPr>
        <w:outlineLvl w:val="1"/>
        <w:rPr>
          <w:rFonts w:hint="eastAsia" w:ascii="宋体" w:hAnsi="宋体"/>
          <w:color w:val="auto"/>
          <w:sz w:val="24"/>
        </w:rPr>
      </w:pPr>
      <w:r>
        <w:rPr>
          <w:rFonts w:hint="eastAsia" w:ascii="宋体" w:hAnsi="宋体"/>
          <w:color w:val="auto"/>
          <w:sz w:val="24"/>
        </w:rPr>
        <w:t>4．补充条款</w:t>
      </w:r>
    </w:p>
    <w:p>
      <w:pPr>
        <w:rPr>
          <w:rFonts w:hint="eastAsia" w:ascii="宋体" w:hAnsi="宋体"/>
          <w:color w:val="auto"/>
          <w:sz w:val="24"/>
        </w:rPr>
      </w:pPr>
      <w:r>
        <w:rPr>
          <w:rFonts w:hint="eastAsia" w:ascii="宋体" w:hAnsi="宋体"/>
          <w:color w:val="auto"/>
          <w:sz w:val="24"/>
        </w:rPr>
        <w:t>本合同生效后，经双方共同协商，可以达成书面补充协议，补充协议与本合同具有同等效力。</w:t>
      </w:r>
    </w:p>
    <w:p>
      <w:pPr>
        <w:outlineLvl w:val="1"/>
        <w:rPr>
          <w:rFonts w:hint="eastAsia" w:ascii="宋体" w:hAnsi="宋体"/>
          <w:color w:val="auto"/>
          <w:sz w:val="24"/>
        </w:rPr>
      </w:pPr>
      <w:r>
        <w:rPr>
          <w:rFonts w:hint="eastAsia" w:ascii="宋体" w:hAnsi="宋体"/>
          <w:color w:val="auto"/>
          <w:sz w:val="24"/>
        </w:rPr>
        <w:t>5．告知</w:t>
      </w:r>
    </w:p>
    <w:p>
      <w:pPr>
        <w:rPr>
          <w:rFonts w:hint="eastAsia" w:ascii="宋体" w:hAnsi="宋体"/>
          <w:color w:val="auto"/>
          <w:sz w:val="24"/>
        </w:rPr>
      </w:pPr>
      <w:r>
        <w:rPr>
          <w:rFonts w:hint="eastAsia" w:ascii="宋体" w:hAnsi="宋体"/>
          <w:color w:val="auto"/>
          <w:sz w:val="24"/>
        </w:rPr>
        <w:t xml:space="preserve">涉及本合同的一切事宜均以书面形式提交，对方应及时响应。 </w:t>
      </w:r>
    </w:p>
    <w:p>
      <w:pPr>
        <w:outlineLvl w:val="1"/>
        <w:rPr>
          <w:rFonts w:hint="eastAsia" w:ascii="宋体" w:hAnsi="宋体"/>
          <w:color w:val="auto"/>
          <w:sz w:val="24"/>
        </w:rPr>
      </w:pPr>
      <w:r>
        <w:rPr>
          <w:rFonts w:hint="eastAsia" w:ascii="宋体" w:hAnsi="宋体"/>
          <w:color w:val="auto"/>
          <w:sz w:val="24"/>
        </w:rPr>
        <w:t>6．保密责任</w:t>
      </w:r>
    </w:p>
    <w:p>
      <w:pPr>
        <w:rPr>
          <w:rFonts w:hint="eastAsia" w:ascii="宋体" w:hAnsi="宋体"/>
          <w:color w:val="auto"/>
          <w:sz w:val="24"/>
        </w:rPr>
      </w:pPr>
      <w:r>
        <w:rPr>
          <w:rFonts w:hint="eastAsia" w:ascii="宋体" w:hAnsi="宋体"/>
          <w:color w:val="auto"/>
          <w:sz w:val="24"/>
        </w:rPr>
        <w:t>双方共同恪守对技术及对项目的保密责任。</w:t>
      </w:r>
    </w:p>
    <w:p>
      <w:pPr>
        <w:rPr>
          <w:rFonts w:hint="eastAsia" w:ascii="宋体" w:hAnsi="宋体"/>
          <w:color w:val="auto"/>
          <w:sz w:val="24"/>
        </w:rPr>
      </w:pPr>
      <w:r>
        <w:rPr>
          <w:rFonts w:hint="eastAsia" w:ascii="宋体" w:hAnsi="宋体"/>
          <w:color w:val="auto"/>
          <w:sz w:val="24"/>
        </w:rPr>
        <w:t>(1)</w:t>
      </w:r>
      <w:r>
        <w:rPr>
          <w:rFonts w:hint="eastAsia" w:ascii="宋体" w:hAnsi="宋体"/>
          <w:color w:val="auto"/>
          <w:sz w:val="24"/>
        </w:rPr>
        <w:tab/>
      </w:r>
      <w:r>
        <w:rPr>
          <w:rFonts w:hint="eastAsia" w:ascii="宋体" w:hAnsi="宋体"/>
          <w:color w:val="auto"/>
          <w:sz w:val="24"/>
        </w:rPr>
        <w:t>所有项目相关人员不得以任何形式向第三方泄露项目合作计划和内容。</w:t>
      </w:r>
    </w:p>
    <w:p>
      <w:pPr>
        <w:rPr>
          <w:rFonts w:hint="eastAsia" w:ascii="宋体" w:hAnsi="宋体"/>
          <w:color w:val="auto"/>
          <w:sz w:val="24"/>
        </w:rPr>
      </w:pPr>
      <w:r>
        <w:rPr>
          <w:rFonts w:hint="eastAsia" w:ascii="宋体" w:hAnsi="宋体"/>
          <w:color w:val="auto"/>
          <w:sz w:val="24"/>
        </w:rPr>
        <w:t>(2)</w:t>
      </w:r>
      <w:r>
        <w:rPr>
          <w:rFonts w:hint="eastAsia" w:ascii="宋体" w:hAnsi="宋体"/>
          <w:color w:val="auto"/>
          <w:sz w:val="24"/>
        </w:rPr>
        <w:tab/>
      </w:r>
      <w:r>
        <w:rPr>
          <w:rFonts w:hint="eastAsia" w:ascii="宋体" w:hAnsi="宋体"/>
          <w:color w:val="auto"/>
          <w:sz w:val="24"/>
        </w:rPr>
        <w:t>所有项目相关人员，不得以任何方式向第三方泄露有关项目的技术资料。</w:t>
      </w:r>
    </w:p>
    <w:p>
      <w:pPr>
        <w:rPr>
          <w:rFonts w:hint="eastAsia" w:ascii="宋体" w:hAnsi="宋体"/>
          <w:color w:val="auto"/>
          <w:sz w:val="24"/>
        </w:rPr>
      </w:pPr>
      <w:r>
        <w:rPr>
          <w:rFonts w:hint="eastAsia" w:ascii="宋体" w:hAnsi="宋体"/>
          <w:color w:val="auto"/>
          <w:sz w:val="24"/>
        </w:rPr>
        <w:t>(3)</w:t>
      </w:r>
      <w:r>
        <w:rPr>
          <w:rFonts w:hint="eastAsia" w:ascii="宋体" w:hAnsi="宋体"/>
          <w:color w:val="auto"/>
          <w:sz w:val="24"/>
        </w:rPr>
        <w:tab/>
      </w:r>
      <w:r>
        <w:rPr>
          <w:rFonts w:hint="eastAsia" w:ascii="宋体" w:hAnsi="宋体"/>
          <w:color w:val="auto"/>
          <w:sz w:val="24"/>
        </w:rPr>
        <w:t>乙方对甲方提供给乙方的注明保密的信息系统数据、信息系统实务及相关信息，不得外泄。</w:t>
      </w:r>
    </w:p>
    <w:p>
      <w:pPr>
        <w:rPr>
          <w:rFonts w:hint="eastAsia"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第二条服务内容及相关事项</w:t>
      </w:r>
    </w:p>
    <w:tbl>
      <w:tblPr>
        <w:tblStyle w:val="27"/>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pPr>
              <w:jc w:val="center"/>
              <w:rPr>
                <w:rFonts w:ascii="宋体" w:hAnsi="宋体"/>
                <w:b/>
                <w:color w:val="auto"/>
                <w:sz w:val="24"/>
              </w:rPr>
            </w:pPr>
            <w:r>
              <w:rPr>
                <w:rFonts w:ascii="宋体" w:hAnsi="宋体"/>
                <w:b/>
                <w:color w:val="auto"/>
                <w:sz w:val="24"/>
              </w:rPr>
              <w:t>项目</w:t>
            </w:r>
            <w:r>
              <w:rPr>
                <w:rFonts w:hint="eastAsia" w:ascii="宋体" w:hAnsi="宋体"/>
                <w:b/>
                <w:color w:val="auto"/>
                <w:sz w:val="24"/>
              </w:rPr>
              <w:t>名称</w:t>
            </w:r>
          </w:p>
        </w:tc>
        <w:tc>
          <w:tcPr>
            <w:tcW w:w="2131" w:type="dxa"/>
            <w:noWrap w:val="0"/>
            <w:vAlign w:val="center"/>
          </w:tcPr>
          <w:p>
            <w:pPr>
              <w:jc w:val="center"/>
              <w:rPr>
                <w:rFonts w:ascii="宋体" w:hAnsi="宋体"/>
                <w:b/>
                <w:color w:val="auto"/>
                <w:sz w:val="24"/>
              </w:rPr>
            </w:pPr>
            <w:r>
              <w:rPr>
                <w:rFonts w:hint="eastAsia" w:ascii="宋体" w:hAnsi="宋体"/>
                <w:b/>
                <w:color w:val="auto"/>
                <w:sz w:val="24"/>
              </w:rPr>
              <w:t>服务</w:t>
            </w:r>
            <w:r>
              <w:rPr>
                <w:rFonts w:ascii="宋体" w:hAnsi="宋体"/>
                <w:b/>
                <w:color w:val="auto"/>
                <w:sz w:val="24"/>
              </w:rPr>
              <w:t>内容</w:t>
            </w:r>
          </w:p>
        </w:tc>
        <w:tc>
          <w:tcPr>
            <w:tcW w:w="4818" w:type="dxa"/>
            <w:noWrap w:val="0"/>
            <w:vAlign w:val="center"/>
          </w:tcPr>
          <w:p>
            <w:pPr>
              <w:jc w:val="center"/>
              <w:rPr>
                <w:rFonts w:ascii="宋体" w:hAnsi="宋体"/>
                <w:b/>
                <w:color w:val="auto"/>
                <w:sz w:val="24"/>
              </w:rPr>
            </w:pPr>
            <w:r>
              <w:rPr>
                <w:rFonts w:hint="eastAsia" w:ascii="宋体" w:hAnsi="宋体"/>
                <w:b/>
                <w:color w:val="auto"/>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pPr>
              <w:rPr>
                <w:rFonts w:ascii="宋体" w:hAnsi="宋体"/>
                <w:color w:val="auto"/>
                <w:sz w:val="24"/>
              </w:rPr>
            </w:pPr>
            <w:r>
              <w:rPr>
                <w:rFonts w:hint="eastAsia" w:ascii="宋体" w:hAnsi="宋体" w:cs="Times New Roman"/>
                <w:color w:val="auto"/>
                <w:sz w:val="24"/>
                <w:lang w:val="en-US" w:eastAsia="zh-CN"/>
              </w:rPr>
              <w:t>国家税务总局黑龙江省税务局云平台及附属系统运维服务项目</w:t>
            </w: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left"/>
              <w:rPr>
                <w:rFonts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center"/>
              <w:rPr>
                <w:rFonts w:hint="eastAsia"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right w:val="single" w:color="auto" w:sz="4" w:space="0"/>
            </w:tcBorders>
            <w:noWrap w:val="0"/>
            <w:vAlign w:val="top"/>
          </w:tcPr>
          <w:p>
            <w:pPr>
              <w:ind w:firstLine="482" w:firstLineChars="200"/>
              <w:jc w:val="left"/>
              <w:rPr>
                <w:rFonts w:hint="eastAsia" w:ascii="宋体" w:hAnsi="宋体"/>
                <w:b/>
                <w:color w:val="auto"/>
                <w:sz w:val="24"/>
              </w:rPr>
            </w:pPr>
          </w:p>
        </w:tc>
        <w:tc>
          <w:tcPr>
            <w:tcW w:w="4818" w:type="dxa"/>
            <w:tcBorders>
              <w:top w:val="single" w:color="auto" w:sz="4" w:space="0"/>
              <w:left w:val="single" w:color="auto" w:sz="4" w:space="0"/>
              <w:right w:val="single" w:color="auto" w:sz="4" w:space="0"/>
            </w:tcBorders>
            <w:noWrap w:val="0"/>
            <w:vAlign w:val="center"/>
          </w:tcPr>
          <w:p>
            <w:pPr>
              <w:rPr>
                <w:rFonts w:ascii="宋体" w:hAnsi="宋体"/>
                <w:color w:val="auto"/>
                <w:sz w:val="24"/>
              </w:rPr>
            </w:pPr>
          </w:p>
        </w:tc>
      </w:tr>
    </w:tbl>
    <w:p>
      <w:pPr>
        <w:rPr>
          <w:rFonts w:hint="eastAsia" w:ascii="宋体" w:hAnsi="宋体"/>
          <w:color w:val="auto"/>
          <w:sz w:val="24"/>
        </w:rPr>
      </w:pPr>
    </w:p>
    <w:p>
      <w:pPr>
        <w:pStyle w:val="3"/>
        <w:spacing w:before="200" w:after="200" w:line="240" w:lineRule="auto"/>
        <w:rPr>
          <w:rFonts w:hint="eastAsia" w:ascii="宋体" w:hAnsi="宋体"/>
          <w:color w:val="auto"/>
          <w:kern w:val="2"/>
          <w:sz w:val="24"/>
          <w:szCs w:val="24"/>
        </w:rPr>
      </w:pPr>
      <w:r>
        <w:rPr>
          <w:rFonts w:hint="eastAsia" w:ascii="宋体" w:hAnsi="宋体"/>
          <w:color w:val="auto"/>
          <w:kern w:val="2"/>
          <w:sz w:val="24"/>
          <w:szCs w:val="24"/>
        </w:rPr>
        <w:t xml:space="preserve">第三条  </w:t>
      </w:r>
      <w:r>
        <w:rPr>
          <w:rFonts w:hint="eastAsia" w:ascii="宋体" w:hAnsi="宋体"/>
          <w:color w:val="auto"/>
          <w:kern w:val="2"/>
          <w:sz w:val="24"/>
          <w:szCs w:val="24"/>
          <w:lang w:eastAsia="zh-CN"/>
        </w:rPr>
        <w:t>服务</w:t>
      </w:r>
      <w:r>
        <w:rPr>
          <w:rFonts w:hint="eastAsia" w:ascii="宋体" w:hAnsi="宋体"/>
          <w:color w:val="auto"/>
          <w:kern w:val="2"/>
          <w:sz w:val="24"/>
          <w:szCs w:val="24"/>
        </w:rPr>
        <w:t>内容</w:t>
      </w:r>
    </w:p>
    <w:p>
      <w:pPr>
        <w:numPr>
          <w:ilvl w:val="0"/>
          <w:numId w:val="8"/>
        </w:numPr>
        <w:rPr>
          <w:rFonts w:hint="eastAsia" w:ascii="宋体" w:hAnsi="宋体"/>
          <w:color w:val="auto"/>
          <w:sz w:val="24"/>
        </w:rPr>
      </w:pPr>
      <w:r>
        <w:rPr>
          <w:rFonts w:hint="eastAsia" w:ascii="宋体" w:hAnsi="宋体"/>
          <w:color w:val="auto"/>
          <w:sz w:val="24"/>
        </w:rPr>
        <w:t>在一年服务期内，乙方为完成“</w:t>
      </w:r>
      <w:r>
        <w:rPr>
          <w:rFonts w:hint="eastAsia" w:ascii="宋体" w:hAnsi="宋体" w:cs="Times New Roman"/>
          <w:color w:val="auto"/>
          <w:sz w:val="24"/>
          <w:lang w:val="en-US" w:eastAsia="zh-CN"/>
        </w:rPr>
        <w:t>国家税务总局黑龙江省税务局云平台及附属系统运维服务项目</w:t>
      </w:r>
      <w:r>
        <w:rPr>
          <w:rFonts w:hint="eastAsia" w:ascii="宋体" w:hAnsi="宋体"/>
          <w:color w:val="auto"/>
          <w:sz w:val="24"/>
        </w:rPr>
        <w:t>”招标文件所列全部服务内容,</w:t>
      </w:r>
      <w:r>
        <w:rPr>
          <w:rFonts w:ascii="宋体" w:hAnsi="宋体"/>
          <w:color w:val="auto"/>
          <w:sz w:val="24"/>
        </w:rPr>
        <w:t>范围内的</w:t>
      </w:r>
      <w:r>
        <w:rPr>
          <w:rFonts w:hint="eastAsia" w:ascii="宋体" w:hAnsi="宋体"/>
          <w:color w:val="auto"/>
          <w:sz w:val="24"/>
        </w:rPr>
        <w:t>乙方自行使用的</w:t>
      </w:r>
      <w:r>
        <w:rPr>
          <w:rFonts w:ascii="宋体" w:hAnsi="宋体"/>
          <w:color w:val="auto"/>
          <w:sz w:val="24"/>
        </w:rPr>
        <w:t>所有设备、耗材</w:t>
      </w:r>
      <w:r>
        <w:rPr>
          <w:rFonts w:hint="eastAsia" w:ascii="宋体" w:hAnsi="宋体"/>
          <w:color w:val="auto"/>
          <w:sz w:val="24"/>
        </w:rPr>
        <w:t>等</w:t>
      </w:r>
      <w:r>
        <w:rPr>
          <w:rFonts w:ascii="宋体" w:hAnsi="宋体"/>
          <w:color w:val="auto"/>
          <w:sz w:val="24"/>
        </w:rPr>
        <w:t>由乙方</w:t>
      </w:r>
      <w:r>
        <w:rPr>
          <w:rFonts w:hint="eastAsia" w:ascii="宋体" w:hAnsi="宋体"/>
          <w:color w:val="auto"/>
          <w:sz w:val="24"/>
        </w:rPr>
        <w:t>自行</w:t>
      </w:r>
      <w:r>
        <w:rPr>
          <w:rFonts w:ascii="宋体" w:hAnsi="宋体"/>
          <w:color w:val="auto"/>
          <w:sz w:val="24"/>
        </w:rPr>
        <w:t>承担</w:t>
      </w:r>
      <w:r>
        <w:rPr>
          <w:rFonts w:hint="eastAsia" w:ascii="宋体" w:hAnsi="宋体"/>
          <w:color w:val="auto"/>
          <w:sz w:val="24"/>
        </w:rPr>
        <w:t>。</w:t>
      </w:r>
    </w:p>
    <w:p>
      <w:pPr>
        <w:numPr>
          <w:ilvl w:val="0"/>
          <w:numId w:val="8"/>
        </w:numPr>
        <w:rPr>
          <w:rFonts w:hint="eastAsia" w:ascii="宋体" w:hAnsi="宋体"/>
          <w:color w:val="auto"/>
          <w:sz w:val="24"/>
        </w:rPr>
      </w:pPr>
      <w:r>
        <w:rPr>
          <w:rFonts w:hint="eastAsia" w:ascii="宋体" w:hAnsi="宋体"/>
          <w:color w:val="auto"/>
          <w:sz w:val="24"/>
        </w:rPr>
        <w:t>乙方委派。</w:t>
      </w:r>
    </w:p>
    <w:p>
      <w:pPr>
        <w:pStyle w:val="2"/>
        <w:ind w:firstLine="420"/>
        <w:rPr>
          <w:rFonts w:hint="eastAsia"/>
          <w:color w:val="auto"/>
        </w:rPr>
      </w:pPr>
      <w:r>
        <w:rPr>
          <w:rFonts w:hint="eastAsia"/>
          <w:color w:val="auto"/>
        </w:rPr>
        <w:t>（同“附件2”人员）</w:t>
      </w:r>
    </w:p>
    <w:p>
      <w:pPr>
        <w:numPr>
          <w:ilvl w:val="0"/>
          <w:numId w:val="8"/>
        </w:numPr>
        <w:rPr>
          <w:rFonts w:hint="eastAsia" w:ascii="宋体" w:hAnsi="宋体"/>
          <w:color w:val="auto"/>
          <w:sz w:val="24"/>
        </w:rPr>
      </w:pPr>
      <w:r>
        <w:rPr>
          <w:rFonts w:hint="eastAsia" w:ascii="宋体" w:hAnsi="宋体"/>
          <w:color w:val="auto"/>
          <w:sz w:val="24"/>
        </w:rPr>
        <w:t>服务电话。</w:t>
      </w:r>
    </w:p>
    <w:p>
      <w:pPr>
        <w:pStyle w:val="2"/>
        <w:rPr>
          <w:rFonts w:hint="eastAsia" w:ascii="宋体" w:hAnsi="宋体"/>
          <w:color w:val="auto"/>
          <w:sz w:val="24"/>
        </w:rPr>
      </w:pPr>
      <w:r>
        <w:rPr>
          <w:rFonts w:hint="eastAsia" w:ascii="宋体" w:hAnsi="宋体"/>
          <w:color w:val="auto"/>
          <w:sz w:val="24"/>
        </w:rPr>
        <w:t>（售后电话，必填项）</w:t>
      </w:r>
    </w:p>
    <w:p>
      <w:pPr>
        <w:pStyle w:val="3"/>
        <w:spacing w:before="200" w:after="200" w:line="240" w:lineRule="auto"/>
        <w:rPr>
          <w:rFonts w:ascii="宋体" w:hAnsi="宋体"/>
          <w:color w:val="auto"/>
          <w:kern w:val="2"/>
          <w:sz w:val="24"/>
          <w:szCs w:val="24"/>
        </w:rPr>
      </w:pPr>
      <w:r>
        <w:rPr>
          <w:rFonts w:hint="eastAsia" w:ascii="宋体" w:hAnsi="宋体"/>
          <w:color w:val="auto"/>
          <w:kern w:val="2"/>
          <w:sz w:val="24"/>
          <w:szCs w:val="24"/>
        </w:rPr>
        <w:t>第四条  服务期限及服务生效时间</w:t>
      </w:r>
    </w:p>
    <w:p>
      <w:pPr>
        <w:ind w:firstLine="240" w:firstLineChars="100"/>
        <w:rPr>
          <w:rFonts w:hint="eastAsia" w:ascii="宋体" w:hAnsi="宋体"/>
          <w:color w:val="auto"/>
          <w:sz w:val="24"/>
        </w:rPr>
      </w:pPr>
      <w:r>
        <w:rPr>
          <w:rFonts w:hint="eastAsia" w:ascii="宋体" w:hAnsi="宋体"/>
          <w:color w:val="auto"/>
          <w:sz w:val="24"/>
        </w:rPr>
        <w:t>1丶本合同有效期一年，自＿年  ＿月＿日起至＿年＿月＿日止。</w:t>
      </w:r>
    </w:p>
    <w:p>
      <w:pPr>
        <w:ind w:firstLine="240" w:firstLineChars="100"/>
        <w:rPr>
          <w:rFonts w:ascii="宋体" w:hAnsi="宋体"/>
          <w:color w:val="auto"/>
          <w:sz w:val="24"/>
        </w:rPr>
      </w:pPr>
      <w:r>
        <w:rPr>
          <w:rFonts w:hint="eastAsia" w:ascii="宋体" w:hAnsi="宋体"/>
          <w:color w:val="auto"/>
          <w:sz w:val="24"/>
        </w:rPr>
        <w:t>2丶本项目为政府采购服务类采购项目，按照《财政部关于推进和完善服务项目政府采购有关问题的通知》（财库2014  37号）文件要求，采购结果最多__3__年沿用，合同一年一考核一续签。是否续签，由甲方视财政预算安排及乙方供应商资质条件（是否符合《政府采购法》第二十二条规定等）、服务质量、服务内容、服务满意度等绩效考核情况确定。</w:t>
      </w:r>
    </w:p>
    <w:p>
      <w:pPr>
        <w:pStyle w:val="3"/>
        <w:spacing w:before="200" w:after="200" w:line="240" w:lineRule="auto"/>
        <w:rPr>
          <w:rFonts w:hint="eastAsia" w:ascii="宋体" w:hAnsi="宋体"/>
          <w:color w:val="auto"/>
          <w:kern w:val="2"/>
          <w:sz w:val="24"/>
          <w:szCs w:val="24"/>
        </w:rPr>
      </w:pPr>
      <w:r>
        <w:rPr>
          <w:rFonts w:hint="eastAsia" w:ascii="宋体" w:hAnsi="宋体"/>
          <w:color w:val="auto"/>
          <w:kern w:val="2"/>
          <w:sz w:val="24"/>
          <w:szCs w:val="24"/>
        </w:rPr>
        <w:t>第五条 具体服务项目计费标准</w:t>
      </w:r>
    </w:p>
    <w:tbl>
      <w:tblPr>
        <w:tblStyle w:val="27"/>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left="250" w:right="71" w:hanging="250" w:hangingChars="101"/>
              <w:jc w:val="center"/>
              <w:rPr>
                <w:rFonts w:ascii="宋体" w:hAnsi="宋体"/>
                <w:color w:val="auto"/>
                <w:spacing w:val="4"/>
                <w:sz w:val="24"/>
              </w:rPr>
            </w:pPr>
            <w:r>
              <w:rPr>
                <w:rFonts w:hint="eastAsia" w:ascii="宋体" w:hAnsi="宋体"/>
                <w:color w:val="auto"/>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color w:val="auto"/>
                <w:spacing w:val="4"/>
                <w:sz w:val="24"/>
              </w:rPr>
            </w:pPr>
            <w:r>
              <w:rPr>
                <w:rFonts w:hint="eastAsia" w:ascii="宋体" w:hAnsi="宋体"/>
                <w:color w:val="auto"/>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left"/>
              <w:rPr>
                <w:rFonts w:ascii="宋体" w:hAnsi="宋体"/>
                <w:color w:val="auto"/>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color w:val="auto"/>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pPr>
              <w:spacing w:line="440" w:lineRule="exact"/>
              <w:ind w:right="71"/>
              <w:rPr>
                <w:rFonts w:ascii="宋体" w:hAnsi="宋体"/>
                <w:color w:val="auto"/>
                <w:spacing w:val="4"/>
                <w:sz w:val="24"/>
              </w:rPr>
            </w:pPr>
            <w:r>
              <w:rPr>
                <w:rFonts w:hint="eastAsia" w:ascii="宋体" w:hAnsi="宋体"/>
                <w:color w:val="auto"/>
                <w:spacing w:val="4"/>
                <w:sz w:val="24"/>
              </w:rPr>
              <w:t>金额合计：人民币</w:t>
            </w:r>
            <w:r>
              <w:rPr>
                <w:rFonts w:hint="eastAsia" w:ascii="宋体" w:hAnsi="宋体"/>
                <w:color w:val="auto"/>
                <w:spacing w:val="4"/>
                <w:sz w:val="24"/>
                <w:u w:val="single"/>
              </w:rPr>
              <w:t>￥</w:t>
            </w:r>
            <w:r>
              <w:rPr>
                <w:rFonts w:ascii="宋体" w:hAnsi="宋体"/>
                <w:color w:val="auto"/>
                <w:spacing w:val="4"/>
                <w:sz w:val="24"/>
                <w:u w:val="single"/>
              </w:rPr>
              <w:t xml:space="preserve"> </w:t>
            </w:r>
            <w:r>
              <w:rPr>
                <w:rFonts w:hint="eastAsia" w:ascii="宋体" w:hAnsi="宋体"/>
                <w:color w:val="auto"/>
                <w:spacing w:val="4"/>
                <w:sz w:val="24"/>
                <w:u w:val="single"/>
              </w:rPr>
              <w:t xml:space="preserve">           ，（大写） </w:t>
            </w:r>
            <w:r>
              <w:rPr>
                <w:rFonts w:ascii="宋体" w:hAnsi="宋体"/>
                <w:color w:val="auto"/>
                <w:spacing w:val="4"/>
                <w:sz w:val="24"/>
                <w:u w:val="single"/>
              </w:rPr>
              <w:t xml:space="preserve"> </w:t>
            </w:r>
          </w:p>
        </w:tc>
      </w:tr>
    </w:tbl>
    <w:p>
      <w:pPr>
        <w:pStyle w:val="3"/>
        <w:spacing w:before="200" w:after="200" w:line="240" w:lineRule="auto"/>
        <w:rPr>
          <w:rFonts w:hint="eastAsia" w:ascii="宋体" w:hAnsi="宋体"/>
          <w:color w:val="auto"/>
          <w:kern w:val="2"/>
          <w:sz w:val="24"/>
          <w:szCs w:val="24"/>
        </w:rPr>
      </w:pPr>
      <w:r>
        <w:rPr>
          <w:rFonts w:hint="eastAsia" w:ascii="宋体" w:hAnsi="宋体"/>
          <w:color w:val="auto"/>
          <w:kern w:val="2"/>
          <w:sz w:val="24"/>
          <w:szCs w:val="24"/>
        </w:rPr>
        <w:t>第六条 费用支付方式</w:t>
      </w:r>
    </w:p>
    <w:p>
      <w:pPr>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合同标的服务费金额为人民币   万元（大写：   ）。合同签订后10个工作日内，甲方支付给乙方合同价款的50%，人民币   万元（大写：   ）。服务期满10个工作日后，甲方对乙方的运维工作进验收，验收通过后10个工作日内，甲方支付合同价款的50%，人民币   万元（大写：   ）。乙方需在甲方转账前提供符合甲方要求的等额票据。</w:t>
      </w:r>
    </w:p>
    <w:p>
      <w:pPr>
        <w:rPr>
          <w:rFonts w:ascii="宋体" w:hAnsi="宋体"/>
          <w:color w:val="auto"/>
          <w:sz w:val="24"/>
        </w:rPr>
      </w:pPr>
      <w:r>
        <w:rPr>
          <w:rFonts w:hint="eastAsia" w:ascii="宋体" w:hAnsi="宋体"/>
          <w:color w:val="auto"/>
          <w:sz w:val="24"/>
        </w:rPr>
        <w:t>乙方指定收款账户如下：</w:t>
      </w:r>
    </w:p>
    <w:p>
      <w:pPr>
        <w:rPr>
          <w:rFonts w:hint="eastAsia" w:ascii="宋体" w:hAnsi="宋体"/>
          <w:color w:val="auto"/>
          <w:sz w:val="24"/>
        </w:rPr>
      </w:pPr>
      <w:r>
        <w:rPr>
          <w:rFonts w:hint="eastAsia" w:ascii="宋体" w:hAnsi="宋体"/>
          <w:color w:val="auto"/>
          <w:sz w:val="24"/>
        </w:rPr>
        <w:t xml:space="preserve">单位全称： </w:t>
      </w:r>
    </w:p>
    <w:p>
      <w:pPr>
        <w:rPr>
          <w:rFonts w:hint="eastAsia" w:ascii="宋体" w:hAnsi="宋体"/>
          <w:color w:val="auto"/>
          <w:sz w:val="24"/>
        </w:rPr>
      </w:pPr>
      <w:r>
        <w:rPr>
          <w:rFonts w:hint="eastAsia" w:ascii="宋体" w:hAnsi="宋体"/>
          <w:color w:val="auto"/>
          <w:sz w:val="24"/>
        </w:rPr>
        <w:t xml:space="preserve">开 户 行： </w:t>
      </w:r>
    </w:p>
    <w:p>
      <w:pPr>
        <w:rPr>
          <w:rFonts w:hint="eastAsia" w:ascii="宋体" w:hAnsi="宋体"/>
          <w:color w:val="auto"/>
          <w:sz w:val="24"/>
        </w:rPr>
      </w:pPr>
      <w:r>
        <w:rPr>
          <w:rFonts w:hint="eastAsia" w:ascii="宋体" w:hAnsi="宋体"/>
          <w:color w:val="auto"/>
          <w:sz w:val="24"/>
        </w:rPr>
        <w:t xml:space="preserve">帐    号： </w:t>
      </w:r>
    </w:p>
    <w:p>
      <w:pPr>
        <w:pStyle w:val="3"/>
        <w:spacing w:before="200" w:after="200" w:line="240" w:lineRule="auto"/>
        <w:rPr>
          <w:rFonts w:ascii="宋体" w:hAnsi="宋体"/>
          <w:color w:val="auto"/>
          <w:kern w:val="2"/>
          <w:sz w:val="24"/>
          <w:szCs w:val="24"/>
        </w:rPr>
      </w:pPr>
      <w:r>
        <w:rPr>
          <w:rFonts w:hint="eastAsia" w:ascii="宋体" w:hAnsi="宋体"/>
          <w:color w:val="auto"/>
          <w:kern w:val="2"/>
          <w:sz w:val="24"/>
          <w:szCs w:val="24"/>
        </w:rPr>
        <w:t>第七条 甲乙双方责任与义务</w:t>
      </w:r>
    </w:p>
    <w:p>
      <w:pPr>
        <w:rPr>
          <w:rFonts w:hint="eastAsia" w:ascii="宋体" w:hAnsi="宋体"/>
          <w:color w:val="auto"/>
          <w:sz w:val="24"/>
        </w:rPr>
      </w:pPr>
      <w:r>
        <w:rPr>
          <w:rFonts w:hint="eastAsia" w:ascii="宋体" w:hAnsi="宋体"/>
          <w:color w:val="auto"/>
          <w:sz w:val="24"/>
        </w:rPr>
        <w:t>甲方责任：</w:t>
      </w:r>
    </w:p>
    <w:p>
      <w:pPr>
        <w:rPr>
          <w:rFonts w:ascii="宋体" w:hAnsi="宋体"/>
          <w:color w:val="auto"/>
          <w:sz w:val="24"/>
        </w:rPr>
      </w:pPr>
      <w:r>
        <w:rPr>
          <w:rFonts w:hint="eastAsia" w:ascii="宋体" w:hAnsi="宋体"/>
          <w:color w:val="auto"/>
          <w:sz w:val="24"/>
        </w:rPr>
        <w:t>1、在乙方进行支持服务时，根据乙方要求，指定配合工作的人员，提供必要的设备。</w:t>
      </w:r>
    </w:p>
    <w:p>
      <w:pPr>
        <w:rPr>
          <w:rFonts w:hint="eastAsia" w:ascii="宋体" w:hAnsi="宋体"/>
          <w:color w:val="auto"/>
          <w:sz w:val="24"/>
        </w:rPr>
      </w:pPr>
      <w:r>
        <w:rPr>
          <w:rFonts w:hint="eastAsia" w:ascii="宋体" w:hAnsi="宋体"/>
          <w:color w:val="auto"/>
          <w:sz w:val="24"/>
        </w:rPr>
        <w:t>2、在乙方服务人员支持服务完成时，配合检查设备、系统运行是否正常。</w:t>
      </w:r>
    </w:p>
    <w:p>
      <w:pPr>
        <w:rPr>
          <w:rFonts w:ascii="宋体" w:hAnsi="宋体"/>
          <w:color w:val="auto"/>
          <w:sz w:val="24"/>
        </w:rPr>
      </w:pPr>
      <w:r>
        <w:rPr>
          <w:rFonts w:hint="eastAsia" w:ascii="宋体" w:hAnsi="宋体"/>
          <w:color w:val="auto"/>
          <w:sz w:val="24"/>
        </w:rPr>
        <w:t>3、甲方如果要求乙方超出本合同及其附件约定的范围提供支持服务，甲方应与乙方另行协商签署相关合同，并向乙方支付相应的服务费用。</w:t>
      </w:r>
    </w:p>
    <w:p>
      <w:pPr>
        <w:rPr>
          <w:rFonts w:hint="eastAsia" w:ascii="宋体" w:hAnsi="宋体"/>
          <w:color w:val="auto"/>
          <w:sz w:val="24"/>
        </w:rPr>
      </w:pPr>
    </w:p>
    <w:p>
      <w:pPr>
        <w:rPr>
          <w:rFonts w:hint="eastAsia" w:ascii="宋体" w:hAnsi="宋体"/>
          <w:color w:val="auto"/>
          <w:sz w:val="24"/>
        </w:rPr>
      </w:pPr>
      <w:r>
        <w:rPr>
          <w:rFonts w:hint="eastAsia" w:ascii="宋体" w:hAnsi="宋体"/>
          <w:color w:val="auto"/>
          <w:sz w:val="24"/>
        </w:rPr>
        <w:t>乙方责任：</w:t>
      </w:r>
    </w:p>
    <w:p>
      <w:pPr>
        <w:rPr>
          <w:rFonts w:hint="eastAsia" w:ascii="宋体" w:hAnsi="宋体"/>
          <w:color w:val="auto"/>
          <w:sz w:val="24"/>
        </w:rPr>
      </w:pPr>
      <w:r>
        <w:rPr>
          <w:rFonts w:hint="eastAsia" w:ascii="宋体" w:hAnsi="宋体"/>
          <w:color w:val="auto"/>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auto"/>
          <w:sz w:val="24"/>
        </w:rPr>
      </w:pPr>
      <w:r>
        <w:rPr>
          <w:rFonts w:hint="eastAsia" w:ascii="宋体" w:hAnsi="宋体"/>
          <w:color w:val="auto"/>
          <w:sz w:val="24"/>
        </w:rPr>
        <w:t>2. 严格遵守甲方安全保密制度和规定，签署保密协议。</w:t>
      </w:r>
    </w:p>
    <w:p>
      <w:pPr>
        <w:rPr>
          <w:rFonts w:hint="eastAsia" w:ascii="宋体" w:hAnsi="宋体"/>
          <w:color w:val="auto"/>
          <w:sz w:val="24"/>
        </w:rPr>
      </w:pPr>
      <w:r>
        <w:rPr>
          <w:rFonts w:hint="eastAsia" w:ascii="宋体" w:hAnsi="宋体"/>
          <w:color w:val="auto"/>
          <w:sz w:val="24"/>
        </w:rPr>
        <w:t>3. 严格按照甲方的管理维护制度要求进行相关工作。</w:t>
      </w:r>
    </w:p>
    <w:p>
      <w:pPr>
        <w:rPr>
          <w:rFonts w:hint="eastAsia" w:ascii="宋体" w:hAnsi="宋体"/>
          <w:color w:val="auto"/>
          <w:sz w:val="24"/>
        </w:rPr>
      </w:pPr>
      <w:r>
        <w:rPr>
          <w:rFonts w:hint="eastAsia" w:ascii="宋体" w:hAnsi="宋体"/>
          <w:color w:val="auto"/>
          <w:sz w:val="24"/>
        </w:rPr>
        <w:t>4.发生重大故障立即报告并进行故障排查，故障解决后立即形成书面材料进行上报，说明故障原因、排查过程 、解决方法及预防故障发生的措施或建议等。</w:t>
      </w:r>
    </w:p>
    <w:p>
      <w:pPr>
        <w:rPr>
          <w:rFonts w:hint="eastAsia" w:ascii="宋体" w:hAnsi="宋体"/>
          <w:color w:val="auto"/>
          <w:sz w:val="24"/>
        </w:rPr>
      </w:pPr>
      <w:r>
        <w:rPr>
          <w:rFonts w:hint="eastAsia" w:ascii="宋体" w:hAnsi="宋体"/>
          <w:color w:val="auto"/>
          <w:sz w:val="24"/>
        </w:rPr>
        <w:t>5. 及时填写各类维护记录，保证每次维护工作可进行有效追踪和核查。</w:t>
      </w:r>
    </w:p>
    <w:p>
      <w:pPr>
        <w:rPr>
          <w:rFonts w:hint="eastAsia" w:ascii="宋体" w:hAnsi="宋体"/>
          <w:color w:val="auto"/>
          <w:sz w:val="24"/>
        </w:rPr>
      </w:pPr>
      <w:r>
        <w:rPr>
          <w:rFonts w:hint="eastAsia" w:ascii="宋体" w:hAnsi="宋体"/>
          <w:color w:val="auto"/>
          <w:sz w:val="24"/>
        </w:rPr>
        <w:t>6. 甲方对聘用人员进行工作考核，对不符合要求的人员随时进行撤换。</w:t>
      </w:r>
    </w:p>
    <w:p>
      <w:pPr>
        <w:rPr>
          <w:rFonts w:hint="eastAsia" w:ascii="宋体" w:hAnsi="宋体"/>
          <w:color w:val="auto"/>
          <w:sz w:val="24"/>
        </w:rPr>
      </w:pPr>
      <w:r>
        <w:rPr>
          <w:rFonts w:hint="eastAsia" w:ascii="宋体" w:hAnsi="宋体"/>
          <w:color w:val="auto"/>
          <w:sz w:val="24"/>
        </w:rPr>
        <w:t>7. 甲方只负责按照合同约定的金额向乙方支付人员聘用费用，维护人员的工资、社会保险及其它待遇或相关费用等均由乙方负责。</w:t>
      </w:r>
    </w:p>
    <w:p>
      <w:pPr>
        <w:rPr>
          <w:rFonts w:hint="eastAsia" w:ascii="宋体" w:hAnsi="宋体"/>
          <w:color w:val="auto"/>
          <w:sz w:val="24"/>
        </w:rPr>
      </w:pPr>
      <w:r>
        <w:rPr>
          <w:rFonts w:hint="eastAsia" w:ascii="宋体" w:hAnsi="宋体"/>
          <w:color w:val="auto"/>
          <w:sz w:val="24"/>
        </w:rPr>
        <w:t>8. 未经甲方批准，获聘单位不准随意更换聘用人员。</w:t>
      </w:r>
    </w:p>
    <w:p>
      <w:pPr>
        <w:rPr>
          <w:rFonts w:hint="eastAsia" w:ascii="宋体" w:hAnsi="宋体"/>
          <w:color w:val="auto"/>
          <w:sz w:val="24"/>
        </w:rPr>
      </w:pPr>
      <w:r>
        <w:rPr>
          <w:rFonts w:hint="eastAsia" w:ascii="宋体" w:hAnsi="宋体"/>
          <w:color w:val="auto"/>
          <w:sz w:val="24"/>
        </w:rPr>
        <w:t>9. 聘用人员在聘用期间必须完全遵守甲方的有关规定和服从管理。</w:t>
      </w:r>
    </w:p>
    <w:p>
      <w:pPr>
        <w:rPr>
          <w:rFonts w:hint="eastAsia" w:ascii="宋体" w:hAnsi="宋体"/>
          <w:color w:val="auto"/>
          <w:sz w:val="24"/>
        </w:rPr>
      </w:pPr>
      <w:r>
        <w:rPr>
          <w:rFonts w:hint="eastAsia" w:ascii="宋体" w:hAnsi="宋体"/>
          <w:color w:val="auto"/>
          <w:sz w:val="24"/>
        </w:rPr>
        <w:t>10. 所有获聘人员均有三个月试用期，期间不满足甲方要求，需无条件更换获聘人员，若整个试用期间一直无法满足甲方的要求，甲方有权解除聘用合同，不承担任何违约责任。</w:t>
      </w:r>
    </w:p>
    <w:p>
      <w:pPr>
        <w:rPr>
          <w:rFonts w:hint="eastAsia" w:ascii="宋体" w:hAnsi="宋体"/>
          <w:color w:val="auto"/>
          <w:sz w:val="24"/>
          <w:lang w:eastAsia="zh-CN"/>
        </w:rPr>
      </w:pPr>
      <w:r>
        <w:rPr>
          <w:rFonts w:hint="eastAsia" w:ascii="宋体" w:hAnsi="宋体"/>
          <w:color w:val="auto"/>
          <w:sz w:val="24"/>
        </w:rPr>
        <w:t>1</w:t>
      </w:r>
      <w:r>
        <w:rPr>
          <w:rFonts w:hint="eastAsia" w:ascii="宋体" w:hAnsi="宋体"/>
          <w:color w:val="auto"/>
          <w:sz w:val="24"/>
          <w:lang w:val="en-US" w:eastAsia="zh-CN"/>
        </w:rPr>
        <w:t>1</w:t>
      </w:r>
      <w:r>
        <w:rPr>
          <w:rFonts w:hint="eastAsia" w:ascii="宋体" w:hAnsi="宋体"/>
          <w:color w:val="auto"/>
          <w:sz w:val="24"/>
        </w:rPr>
        <w:t>.供应链安全要求：供应链厂商应明确税务应用系统的安全责任和数据安全责任，包括但不限于</w:t>
      </w:r>
      <w:r>
        <w:rPr>
          <w:rFonts w:hint="eastAsia" w:ascii="宋体" w:hAnsi="宋体"/>
          <w:color w:val="auto"/>
          <w:sz w:val="24"/>
          <w:lang w:eastAsia="zh-CN"/>
        </w:rPr>
        <w:t>：</w:t>
      </w:r>
    </w:p>
    <w:p>
      <w:pPr>
        <w:spacing w:line="432" w:lineRule="auto"/>
        <w:ind w:left="567" w:hanging="567"/>
        <w:rPr>
          <w:rFonts w:hint="eastAsia" w:eastAsia="宋体"/>
          <w:color w:val="auto"/>
          <w:sz w:val="24"/>
          <w:szCs w:val="24"/>
        </w:rPr>
      </w:pPr>
      <w:r>
        <w:rPr>
          <w:rFonts w:hint="eastAsia" w:eastAsia="宋体"/>
          <w:color w:val="auto"/>
          <w:sz w:val="24"/>
          <w:szCs w:val="24"/>
        </w:rPr>
        <w:t>（1）具备销售许可证、满足国家认可的网络安全规范和认证要求；</w:t>
      </w:r>
    </w:p>
    <w:p>
      <w:pPr>
        <w:spacing w:line="432" w:lineRule="auto"/>
        <w:ind w:left="567" w:hanging="567"/>
        <w:rPr>
          <w:rFonts w:hint="eastAsia" w:eastAsia="宋体"/>
          <w:color w:val="auto"/>
          <w:sz w:val="24"/>
          <w:szCs w:val="24"/>
        </w:rPr>
      </w:pPr>
      <w:r>
        <w:rPr>
          <w:rFonts w:hint="eastAsia" w:eastAsia="宋体"/>
          <w:color w:val="auto"/>
          <w:sz w:val="24"/>
          <w:szCs w:val="24"/>
        </w:rPr>
        <w:t>（2）产品满足业务持续稳定运行时限需求的使用授权；</w:t>
      </w:r>
    </w:p>
    <w:p>
      <w:pPr>
        <w:spacing w:line="432" w:lineRule="auto"/>
        <w:ind w:left="567" w:hanging="567"/>
        <w:rPr>
          <w:rFonts w:hint="eastAsia" w:eastAsia="宋体"/>
          <w:color w:val="auto"/>
          <w:sz w:val="24"/>
          <w:szCs w:val="24"/>
        </w:rPr>
      </w:pPr>
      <w:r>
        <w:rPr>
          <w:rFonts w:hint="eastAsia" w:eastAsia="宋体"/>
          <w:color w:val="auto"/>
          <w:sz w:val="24"/>
          <w:szCs w:val="24"/>
        </w:rPr>
        <w:t>（3）采用安全可控的方式、渠道，交付产品或开展服务等；</w:t>
      </w:r>
    </w:p>
    <w:p>
      <w:pPr>
        <w:spacing w:line="432" w:lineRule="auto"/>
        <w:ind w:left="567" w:hanging="567"/>
        <w:rPr>
          <w:rFonts w:hint="eastAsia" w:eastAsia="宋体"/>
          <w:color w:val="auto"/>
          <w:sz w:val="24"/>
          <w:szCs w:val="24"/>
        </w:rPr>
      </w:pPr>
      <w:r>
        <w:rPr>
          <w:rFonts w:hint="eastAsia" w:eastAsia="宋体"/>
          <w:color w:val="auto"/>
          <w:sz w:val="24"/>
          <w:szCs w:val="24"/>
        </w:rPr>
        <w:t>（4）产品安全性保障，如不可利用产品的便利条件非法获取用户数据、控制和操纵用户系统和设备，不得在未授权情况下对产品进行升级或更新换代等；</w:t>
      </w:r>
    </w:p>
    <w:p>
      <w:pPr>
        <w:spacing w:line="432" w:lineRule="auto"/>
        <w:ind w:left="567" w:hanging="567"/>
        <w:rPr>
          <w:rFonts w:hint="eastAsia" w:eastAsia="宋体"/>
          <w:color w:val="auto"/>
          <w:sz w:val="24"/>
          <w:szCs w:val="24"/>
        </w:rPr>
      </w:pPr>
      <w:r>
        <w:rPr>
          <w:rFonts w:hint="eastAsia" w:eastAsia="宋体"/>
          <w:color w:val="auto"/>
          <w:sz w:val="24"/>
          <w:szCs w:val="24"/>
        </w:rPr>
        <w:t>（5）明确供应链厂商的安全责任和义务，如供应链厂商对软硬件产品和服务的设计、研发、生产、交付等关键环节加强安全管理；</w:t>
      </w:r>
    </w:p>
    <w:p>
      <w:pPr>
        <w:spacing w:line="432" w:lineRule="auto"/>
        <w:ind w:left="567" w:hanging="567"/>
        <w:rPr>
          <w:rFonts w:hint="eastAsia" w:eastAsia="宋体"/>
          <w:color w:val="auto"/>
          <w:sz w:val="24"/>
          <w:szCs w:val="24"/>
        </w:rPr>
      </w:pPr>
      <w:r>
        <w:rPr>
          <w:rFonts w:hint="eastAsia" w:eastAsia="宋体"/>
          <w:color w:val="auto"/>
          <w:sz w:val="24"/>
          <w:szCs w:val="24"/>
        </w:rPr>
        <w:t>（6）按照国家法律法规开展的安全审查、安全评估、渗透测试等；</w:t>
      </w:r>
    </w:p>
    <w:p>
      <w:pPr>
        <w:spacing w:line="432" w:lineRule="auto"/>
        <w:ind w:left="567" w:hanging="567"/>
        <w:rPr>
          <w:rFonts w:hint="eastAsia" w:eastAsia="宋体"/>
          <w:color w:val="auto"/>
          <w:sz w:val="24"/>
          <w:szCs w:val="24"/>
        </w:rPr>
      </w:pPr>
      <w:r>
        <w:rPr>
          <w:rFonts w:hint="eastAsia" w:eastAsia="宋体"/>
          <w:color w:val="auto"/>
          <w:sz w:val="24"/>
          <w:szCs w:val="24"/>
        </w:rPr>
        <w:t>（7）在项目实施过程中须提高开发人员安全技术水平，加强源代码安全管理，健全源代码安全管理机制，确保税务应用系统安全。因源代码泄露，造成税务应用系统被攻击，导致涉税数据泄露，甲方将严肃追究责任并将供应链厂商列入失信人名单。</w:t>
      </w:r>
    </w:p>
    <w:p>
      <w:pPr>
        <w:rPr>
          <w:rFonts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第八条 违约责任</w:t>
      </w:r>
    </w:p>
    <w:p>
      <w:pPr>
        <w:rPr>
          <w:rFonts w:hint="eastAsia" w:ascii="宋体" w:hAnsi="宋体"/>
          <w:color w:val="auto"/>
          <w:sz w:val="24"/>
        </w:rPr>
      </w:pPr>
      <w:r>
        <w:rPr>
          <w:rFonts w:hint="eastAsia" w:ascii="宋体" w:hAnsi="宋体"/>
          <w:color w:val="auto"/>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color w:val="auto"/>
          <w:sz w:val="24"/>
        </w:rPr>
      </w:pPr>
      <w:r>
        <w:rPr>
          <w:rFonts w:hint="eastAsia" w:ascii="宋体" w:hAnsi="宋体"/>
          <w:color w:val="auto"/>
          <w:sz w:val="24"/>
        </w:rPr>
        <w:t>2、如甲方未按合同约定的时间和金额向乙方支付应付款项，则自本合同约定的付款之日起，每延迟一天，甲方应向乙方支付本合同应付而未付金额的万分之一的违约金。</w:t>
      </w:r>
    </w:p>
    <w:p>
      <w:pPr>
        <w:rPr>
          <w:rFonts w:hint="eastAsia" w:ascii="宋体" w:hAnsi="宋体"/>
          <w:color w:val="auto"/>
          <w:sz w:val="24"/>
        </w:rPr>
      </w:pPr>
      <w:r>
        <w:rPr>
          <w:rFonts w:hint="eastAsia" w:ascii="宋体" w:hAnsi="宋体"/>
          <w:color w:val="auto"/>
          <w:sz w:val="24"/>
        </w:rPr>
        <w:t>3、如因乙方责任造成项目延期，则自项目应完成之日起，每延迟一天，乙方应向甲方支付未完成部分的合同金额，违约金最高限额为本合同标的总金额的百分之五。</w:t>
      </w:r>
    </w:p>
    <w:p>
      <w:pPr>
        <w:rPr>
          <w:rFonts w:hint="eastAsia" w:ascii="宋体" w:hAnsi="宋体"/>
          <w:color w:val="auto"/>
          <w:sz w:val="24"/>
        </w:rPr>
      </w:pPr>
      <w:r>
        <w:rPr>
          <w:rFonts w:hint="eastAsia" w:ascii="宋体" w:hAnsi="宋体"/>
          <w:color w:val="auto"/>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color w:val="auto"/>
          <w:sz w:val="24"/>
        </w:rPr>
      </w:pPr>
      <w:r>
        <w:rPr>
          <w:rFonts w:hint="eastAsia" w:ascii="宋体" w:hAnsi="宋体"/>
          <w:color w:val="auto"/>
          <w:sz w:val="24"/>
        </w:rPr>
        <w:t>5、对本合同项下某一条款的争议，不应影响合同双方对其他条款的履行。</w:t>
      </w:r>
    </w:p>
    <w:p>
      <w:pPr>
        <w:rPr>
          <w:rFonts w:hint="eastAsia" w:ascii="宋体" w:hAnsi="宋体"/>
          <w:color w:val="auto"/>
          <w:sz w:val="30"/>
          <w:szCs w:val="30"/>
        </w:rPr>
      </w:pPr>
      <w:r>
        <w:rPr>
          <w:rFonts w:hint="eastAsia" w:ascii="宋体" w:hAnsi="宋体"/>
          <w:color w:val="auto"/>
          <w:sz w:val="24"/>
        </w:rPr>
        <w:t>6、乙方的服务人员不履行或不按本合同约定履行服务，并给甲方造成了实际损失，乙方应该对甲方实际损失给予赔偿。</w:t>
      </w:r>
      <w:r>
        <w:rPr>
          <w:rFonts w:hint="eastAsia" w:ascii="宋体" w:hAnsi="宋体"/>
          <w:color w:val="auto"/>
          <w:sz w:val="30"/>
          <w:szCs w:val="30"/>
        </w:rPr>
        <w:t xml:space="preserve">   </w:t>
      </w:r>
    </w:p>
    <w:p>
      <w:pPr>
        <w:rPr>
          <w:rFonts w:hint="eastAsia" w:ascii="宋体" w:hAnsi="宋体"/>
          <w:color w:val="auto"/>
          <w:sz w:val="24"/>
        </w:rPr>
      </w:pPr>
      <w:r>
        <w:rPr>
          <w:rFonts w:hint="eastAsia" w:ascii="宋体" w:hAnsi="宋体"/>
          <w:color w:val="auto"/>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pPr>
        <w:rPr>
          <w:rFonts w:hint="eastAsia" w:ascii="宋体" w:hAnsi="宋体"/>
          <w:color w:val="auto"/>
          <w:sz w:val="24"/>
        </w:rPr>
      </w:pPr>
      <w:r>
        <w:rPr>
          <w:rFonts w:hint="eastAsia" w:ascii="宋体" w:hAnsi="宋体"/>
          <w:color w:val="auto"/>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color w:val="auto"/>
          <w:sz w:val="24"/>
        </w:rPr>
      </w:pPr>
      <w:r>
        <w:rPr>
          <w:rFonts w:hint="eastAsia" w:ascii="宋体" w:hAnsi="宋体"/>
          <w:color w:val="auto"/>
          <w:sz w:val="24"/>
        </w:rPr>
        <w:t>9、乙方运维人员工作时间，严格遵守局方工作制度和工作纪律要求，包括节假日在内的各类加班和值班。否则，按照每天5%人月费用从运维费用中扣除。</w:t>
      </w:r>
    </w:p>
    <w:p>
      <w:pPr>
        <w:rPr>
          <w:rFonts w:hint="eastAsia" w:ascii="宋体" w:hAnsi="宋体"/>
          <w:color w:val="auto"/>
          <w:sz w:val="24"/>
        </w:rPr>
      </w:pPr>
      <w:r>
        <w:rPr>
          <w:rFonts w:hint="eastAsia" w:ascii="宋体" w:hAnsi="宋体"/>
          <w:color w:val="auto"/>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color w:val="auto"/>
          <w:sz w:val="24"/>
        </w:rPr>
      </w:pPr>
      <w:r>
        <w:rPr>
          <w:rFonts w:hint="eastAsia" w:ascii="宋体" w:hAnsi="宋体"/>
          <w:color w:val="auto"/>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color w:val="auto"/>
          <w:sz w:val="24"/>
        </w:rPr>
      </w:pPr>
      <w:r>
        <w:rPr>
          <w:rFonts w:hint="eastAsia" w:ascii="宋体" w:hAnsi="宋体"/>
          <w:color w:val="auto"/>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2"/>
        <w:ind w:firstLine="0" w:firstLineChars="0"/>
        <w:rPr>
          <w:rFonts w:hint="eastAsia"/>
          <w:color w:val="auto"/>
        </w:rPr>
      </w:pPr>
    </w:p>
    <w:p>
      <w:pPr>
        <w:pStyle w:val="4"/>
        <w:outlineLvl w:val="0"/>
        <w:rPr>
          <w:rFonts w:ascii="宋体" w:hAnsi="宋体"/>
          <w:color w:val="auto"/>
          <w:sz w:val="24"/>
          <w:szCs w:val="24"/>
        </w:rPr>
      </w:pPr>
      <w:r>
        <w:rPr>
          <w:rFonts w:hint="eastAsia" w:ascii="宋体" w:hAnsi="宋体"/>
          <w:color w:val="auto"/>
          <w:sz w:val="24"/>
          <w:szCs w:val="24"/>
        </w:rPr>
        <w:t>第九条 合同终止</w:t>
      </w:r>
    </w:p>
    <w:p>
      <w:pPr>
        <w:rPr>
          <w:rFonts w:ascii="宋体" w:hAnsi="宋体"/>
          <w:color w:val="auto"/>
          <w:sz w:val="24"/>
        </w:rPr>
      </w:pPr>
      <w:r>
        <w:rPr>
          <w:rFonts w:hint="eastAsia" w:ascii="宋体" w:hAnsi="宋体"/>
          <w:color w:val="auto"/>
          <w:sz w:val="24"/>
        </w:rPr>
        <w:t>1、甲方逾期付款超过90日，乙方将有权利单方终止本合同。</w:t>
      </w:r>
    </w:p>
    <w:p>
      <w:pPr>
        <w:rPr>
          <w:rFonts w:hint="eastAsia" w:ascii="宋体" w:hAnsi="宋体"/>
          <w:color w:val="auto"/>
          <w:sz w:val="24"/>
        </w:rPr>
      </w:pPr>
      <w:r>
        <w:rPr>
          <w:rFonts w:hint="eastAsia" w:ascii="宋体" w:hAnsi="宋体"/>
          <w:color w:val="auto"/>
          <w:sz w:val="24"/>
        </w:rPr>
        <w:t>2、甲方在当年计费周期届满前30日内向乙方提出是否续签合同的书面通知，如未书面通知的合同期满后自然终止。</w:t>
      </w:r>
    </w:p>
    <w:p>
      <w:pPr>
        <w:pStyle w:val="2"/>
        <w:rPr>
          <w:rFonts w:hint="eastAsia"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第十条 免责条款</w:t>
      </w:r>
    </w:p>
    <w:p>
      <w:pPr>
        <w:rPr>
          <w:rFonts w:hint="eastAsia" w:ascii="宋体" w:hAnsi="宋体"/>
          <w:color w:val="auto"/>
          <w:sz w:val="24"/>
        </w:rPr>
      </w:pPr>
      <w:r>
        <w:rPr>
          <w:rFonts w:hint="eastAsia" w:ascii="宋体" w:hAnsi="宋体"/>
          <w:color w:val="auto"/>
          <w:sz w:val="24"/>
        </w:rPr>
        <w:t>1、因自然灾害、战争、特别恶劣天气等原因造成乙方维修人员不能按承诺时限到达现场，甲方对乙方不予处罚。</w:t>
      </w:r>
    </w:p>
    <w:p>
      <w:pPr>
        <w:rPr>
          <w:rFonts w:hint="eastAsia" w:ascii="宋体" w:hAnsi="宋体"/>
          <w:color w:val="auto"/>
          <w:sz w:val="24"/>
        </w:rPr>
      </w:pPr>
      <w:r>
        <w:rPr>
          <w:rFonts w:hint="eastAsia" w:ascii="宋体" w:hAnsi="宋体"/>
          <w:color w:val="auto"/>
          <w:sz w:val="24"/>
        </w:rPr>
        <w:t>2、因雷击、火灾、供电事故、人为因素造成设备损坏，甲方另行按实支付维修费。</w:t>
      </w:r>
    </w:p>
    <w:p>
      <w:pPr>
        <w:pStyle w:val="4"/>
        <w:outlineLvl w:val="0"/>
        <w:rPr>
          <w:rFonts w:ascii="宋体" w:hAnsi="宋体"/>
          <w:color w:val="auto"/>
          <w:sz w:val="24"/>
          <w:szCs w:val="24"/>
        </w:rPr>
      </w:pPr>
      <w:r>
        <w:rPr>
          <w:rFonts w:hint="eastAsia" w:ascii="宋体" w:hAnsi="宋体"/>
          <w:color w:val="auto"/>
          <w:sz w:val="24"/>
          <w:szCs w:val="24"/>
        </w:rPr>
        <w:t>第十一条 其他</w:t>
      </w:r>
    </w:p>
    <w:p>
      <w:pPr>
        <w:rPr>
          <w:rFonts w:hint="eastAsia" w:ascii="宋体" w:hAnsi="宋体"/>
          <w:color w:val="auto"/>
          <w:sz w:val="24"/>
        </w:rPr>
      </w:pPr>
      <w:r>
        <w:rPr>
          <w:rFonts w:hint="eastAsia" w:ascii="宋体" w:hAnsi="宋体"/>
          <w:color w:val="auto"/>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本合同的履行地为甲方所在地。</w:t>
      </w:r>
    </w:p>
    <w:p>
      <w:pPr>
        <w:rPr>
          <w:rFonts w:hint="eastAsia" w:ascii="宋体" w:hAnsi="宋体"/>
          <w:color w:val="auto"/>
          <w:sz w:val="24"/>
        </w:rPr>
      </w:pPr>
      <w:r>
        <w:rPr>
          <w:rFonts w:hint="eastAsia" w:ascii="宋体" w:hAnsi="宋体"/>
          <w:color w:val="auto"/>
          <w:sz w:val="24"/>
        </w:rPr>
        <w:t>2、适用法律。本合同的成立、有效性、解释、履行及由此产生的争议的解决，均应适用中华人民共和国法律。</w:t>
      </w:r>
    </w:p>
    <w:p>
      <w:pPr>
        <w:rPr>
          <w:rFonts w:hint="eastAsia" w:ascii="宋体" w:hAnsi="宋体"/>
          <w:color w:val="auto"/>
          <w:sz w:val="24"/>
        </w:rPr>
      </w:pPr>
      <w:r>
        <w:rPr>
          <w:rFonts w:hint="eastAsia" w:ascii="宋体" w:hAnsi="宋体"/>
          <w:color w:val="auto"/>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7"/>
        <w:tblW w:w="8752" w:type="dxa"/>
        <w:jc w:val="center"/>
        <w:tblLayout w:type="fixed"/>
        <w:tblCellMar>
          <w:top w:w="567" w:type="dxa"/>
          <w:left w:w="105" w:type="dxa"/>
          <w:bottom w:w="567" w:type="dxa"/>
          <w:right w:w="105" w:type="dxa"/>
        </w:tblCellMar>
      </w:tblPr>
      <w:tblGrid>
        <w:gridCol w:w="4074"/>
        <w:gridCol w:w="4678"/>
      </w:tblGrid>
      <w:tr>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18"/>
                <w:szCs w:val="18"/>
              </w:rPr>
            </w:pPr>
            <w:r>
              <w:rPr>
                <w:rFonts w:ascii="方正宋黑简体" w:eastAsia="方正宋黑简体"/>
                <w:color w:val="auto"/>
                <w:kern w:val="0"/>
                <w:sz w:val="24"/>
              </w:rPr>
              <w:br w:type="page"/>
            </w:r>
            <w:r>
              <w:rPr>
                <w:rFonts w:hint="eastAsia" w:ascii="方正宋黑简体" w:hAnsi="微软雅黑" w:eastAsia="方正宋黑简体" w:cs="宋体"/>
                <w:color w:val="auto"/>
                <w:kern w:val="0"/>
                <w:sz w:val="24"/>
              </w:rPr>
              <w:t>甲方（章）</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wordWrap w:val="0"/>
              <w:ind w:firstLine="1080"/>
              <w:jc w:val="right"/>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年</w:t>
            </w:r>
            <w:r>
              <w:rPr>
                <w:rFonts w:ascii="方正宋黑简体" w:hAnsi="微软雅黑" w:eastAsia="方正宋黑简体" w:cs="宋体"/>
                <w:color w:val="auto"/>
                <w:kern w:val="0"/>
                <w:sz w:val="24"/>
              </w:rPr>
              <w:t xml:space="preserve">  </w:t>
            </w:r>
            <w:r>
              <w:rPr>
                <w:rFonts w:eastAsia="方正宋黑简体"/>
                <w:color w:val="auto"/>
                <w:kern w:val="0"/>
                <w:sz w:val="24"/>
              </w:rPr>
              <w:t>  </w:t>
            </w:r>
            <w:r>
              <w:rPr>
                <w:rFonts w:hint="eastAsia" w:ascii="方正宋黑简体" w:hAnsi="微软雅黑" w:eastAsia="方正宋黑简体" w:cs="宋体"/>
                <w:color w:val="auto"/>
                <w:kern w:val="0"/>
                <w:sz w:val="24"/>
              </w:rPr>
              <w:t>月</w:t>
            </w:r>
            <w:r>
              <w:rPr>
                <w:rFonts w:eastAsia="方正宋黑简体"/>
                <w:color w:val="auto"/>
                <w:kern w:val="0"/>
                <w:sz w:val="24"/>
              </w:rPr>
              <w:t> </w:t>
            </w:r>
            <w:r>
              <w:rPr>
                <w:rFonts w:ascii="方正宋黑简体" w:eastAsia="方正宋黑简体"/>
                <w:color w:val="auto"/>
                <w:kern w:val="0"/>
                <w:sz w:val="24"/>
              </w:rPr>
              <w:t xml:space="preserve">  </w:t>
            </w:r>
            <w:r>
              <w:rPr>
                <w:rFonts w:eastAsia="方正宋黑简体"/>
                <w:color w:val="auto"/>
                <w:kern w:val="0"/>
                <w:sz w:val="24"/>
              </w:rPr>
              <w:t> </w:t>
            </w:r>
            <w:r>
              <w:rPr>
                <w:rFonts w:hint="eastAsia" w:ascii="方正宋黑简体" w:hAnsi="微软雅黑" w:eastAsia="方正宋黑简体" w:cs="宋体"/>
                <w:color w:val="auto"/>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乙方（章）</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wordWrap w:val="0"/>
              <w:jc w:val="right"/>
              <w:rPr>
                <w:rFonts w:ascii="方正宋黑简体" w:hAnsi="微软雅黑" w:eastAsia="方正宋黑简体" w:cs="宋体"/>
                <w:color w:val="auto"/>
                <w:kern w:val="0"/>
                <w:sz w:val="18"/>
                <w:szCs w:val="18"/>
              </w:rPr>
            </w:pPr>
            <w:r>
              <w:rPr>
                <w:rFonts w:eastAsia="方正宋黑简体"/>
                <w:color w:val="auto"/>
                <w:kern w:val="0"/>
                <w:sz w:val="24"/>
              </w:rPr>
              <w:t> </w:t>
            </w:r>
            <w:r>
              <w:rPr>
                <w:rFonts w:ascii="方正宋黑简体" w:eastAsia="方正宋黑简体"/>
                <w:color w:val="auto"/>
                <w:kern w:val="0"/>
                <w:sz w:val="24"/>
              </w:rPr>
              <w:t xml:space="preserve"> </w:t>
            </w:r>
            <w:r>
              <w:rPr>
                <w:rFonts w:hint="eastAsia" w:ascii="方正宋黑简体" w:hAnsi="微软雅黑" w:eastAsia="方正宋黑简体" w:cs="宋体"/>
                <w:color w:val="auto"/>
                <w:kern w:val="0"/>
                <w:sz w:val="24"/>
              </w:rPr>
              <w:t>年</w:t>
            </w:r>
            <w:r>
              <w:rPr>
                <w:rFonts w:eastAsia="方正宋黑简体"/>
                <w:color w:val="auto"/>
                <w:kern w:val="0"/>
                <w:sz w:val="24"/>
              </w:rPr>
              <w:t>  </w:t>
            </w:r>
            <w:r>
              <w:rPr>
                <w:rFonts w:ascii="方正宋黑简体" w:eastAsia="方正宋黑简体"/>
                <w:color w:val="auto"/>
                <w:kern w:val="0"/>
                <w:sz w:val="24"/>
              </w:rPr>
              <w:t xml:space="preserve">   </w:t>
            </w:r>
            <w:r>
              <w:rPr>
                <w:rFonts w:hint="eastAsia" w:ascii="方正宋黑简体" w:hAnsi="微软雅黑" w:eastAsia="方正宋黑简体" w:cs="宋体"/>
                <w:color w:val="auto"/>
                <w:kern w:val="0"/>
                <w:sz w:val="24"/>
              </w:rPr>
              <w:t>月</w:t>
            </w:r>
            <w:r>
              <w:rPr>
                <w:rFonts w:ascii="方正宋黑简体" w:hAnsi="微软雅黑" w:eastAsia="方正宋黑简体" w:cs="宋体"/>
                <w:color w:val="auto"/>
                <w:kern w:val="0"/>
                <w:sz w:val="24"/>
              </w:rPr>
              <w:t xml:space="preserve">  </w:t>
            </w:r>
            <w:r>
              <w:rPr>
                <w:rFonts w:eastAsia="方正宋黑简体"/>
                <w:color w:val="auto"/>
                <w:kern w:val="0"/>
                <w:sz w:val="24"/>
              </w:rPr>
              <w:t>  </w:t>
            </w:r>
            <w:r>
              <w:rPr>
                <w:rFonts w:hint="eastAsia" w:ascii="方正宋黑简体" w:hAnsi="微软雅黑" w:eastAsia="方正宋黑简体" w:cs="宋体"/>
                <w:color w:val="auto"/>
                <w:kern w:val="0"/>
                <w:sz w:val="24"/>
              </w:rPr>
              <w:t>日</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单位地址：哈尔滨市东大直街</w:t>
            </w:r>
            <w:r>
              <w:rPr>
                <w:rFonts w:ascii="方正宋黑简体" w:hAnsi="微软雅黑" w:eastAsia="方正宋黑简体" w:cs="宋体"/>
                <w:color w:val="auto"/>
                <w:kern w:val="0"/>
                <w:sz w:val="24"/>
              </w:rPr>
              <w:t>190</w:t>
            </w:r>
            <w:r>
              <w:rPr>
                <w:rFonts w:hint="eastAsia" w:ascii="方正宋黑简体" w:hAnsi="微软雅黑" w:eastAsia="方正宋黑简体" w:cs="宋体"/>
                <w:color w:val="auto"/>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单位地址：</w:t>
            </w:r>
            <w:r>
              <w:rPr>
                <w:rFonts w:ascii="方正宋黑简体" w:hAnsi="微软雅黑" w:eastAsia="方正宋黑简体" w:cs="宋体"/>
                <w:color w:val="auto"/>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法定代表人：</w:t>
            </w:r>
            <w:r>
              <w:rPr>
                <w:rFonts w:ascii="方正宋黑简体" w:hAnsi="微软雅黑" w:eastAsia="方正宋黑简体" w:cs="宋体"/>
                <w:color w:val="auto"/>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委托代理人：</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电话：</w:t>
            </w:r>
          </w:p>
        </w:tc>
      </w:tr>
      <w:tr>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开户银行：</w:t>
            </w:r>
            <w:r>
              <w:rPr>
                <w:rFonts w:ascii="方正宋黑简体" w:hAnsi="微软雅黑" w:eastAsia="方正宋黑简体" w:cs="宋体"/>
                <w:color w:val="auto"/>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账号：</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邮政编码：</w:t>
            </w:r>
            <w:r>
              <w:rPr>
                <w:rFonts w:ascii="方正宋黑简体" w:hAnsi="微软雅黑" w:eastAsia="方正宋黑简体" w:cs="宋体"/>
                <w:color w:val="auto"/>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邮政编码：</w:t>
            </w:r>
          </w:p>
        </w:tc>
      </w:tr>
    </w:tbl>
    <w:p>
      <w:pPr>
        <w:rPr>
          <w:rFonts w:hint="eastAsia" w:ascii="宋体" w:hAnsi="宋体"/>
          <w:color w:val="auto"/>
          <w:sz w:val="24"/>
        </w:rPr>
      </w:pPr>
    </w:p>
    <w:p>
      <w:pPr>
        <w:rPr>
          <w:rFonts w:hint="eastAsia" w:ascii="宋体" w:hAnsi="宋体"/>
          <w:color w:val="auto"/>
          <w:sz w:val="24"/>
        </w:rPr>
      </w:pPr>
    </w:p>
    <w:p>
      <w:pPr>
        <w:rPr>
          <w:rFonts w:hint="eastAsia" w:ascii="宋体" w:hAnsi="宋体"/>
          <w:color w:val="auto"/>
          <w:sz w:val="24"/>
        </w:rPr>
      </w:pPr>
      <w:r>
        <w:rPr>
          <w:rFonts w:hint="eastAsia" w:ascii="宋体" w:hAnsi="宋体"/>
          <w:color w:val="auto"/>
          <w:sz w:val="24"/>
        </w:rPr>
        <w:t>附件:</w:t>
      </w:r>
    </w:p>
    <w:p>
      <w:pPr>
        <w:rPr>
          <w:rFonts w:hint="eastAsia" w:ascii="宋体" w:hAnsi="宋体"/>
          <w:color w:val="auto"/>
          <w:sz w:val="24"/>
        </w:rPr>
      </w:pPr>
      <w:r>
        <w:rPr>
          <w:rFonts w:hint="eastAsia" w:ascii="宋体" w:hAnsi="宋体"/>
          <w:color w:val="auto"/>
          <w:sz w:val="24"/>
        </w:rPr>
        <w:t>1、售后服务承诺</w:t>
      </w:r>
    </w:p>
    <w:p>
      <w:pPr>
        <w:rPr>
          <w:rFonts w:hint="eastAsia" w:ascii="宋体" w:hAnsi="宋体"/>
          <w:color w:val="auto"/>
          <w:sz w:val="24"/>
        </w:rPr>
      </w:pPr>
      <w:r>
        <w:rPr>
          <w:rFonts w:hint="eastAsia" w:ascii="宋体" w:hAnsi="宋体"/>
          <w:color w:val="auto"/>
          <w:sz w:val="24"/>
        </w:rPr>
        <w:t>2、服务队伍</w:t>
      </w:r>
    </w:p>
    <w:p>
      <w:pPr>
        <w:rPr>
          <w:rFonts w:hint="eastAsia" w:ascii="宋体" w:hAnsi="宋体"/>
          <w:color w:val="auto"/>
          <w:sz w:val="24"/>
        </w:rPr>
      </w:pPr>
      <w:r>
        <w:rPr>
          <w:rFonts w:hint="eastAsia" w:ascii="宋体" w:hAnsi="宋体"/>
          <w:color w:val="auto"/>
          <w:sz w:val="24"/>
        </w:rPr>
        <w:t>3、中标通知书</w:t>
      </w:r>
    </w:p>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大标宋简体">
    <w:altName w:val="微软雅黑"/>
    <w:panose1 w:val="02010601030101010101"/>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Cambria Math">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altName w:val="宋体"/>
    <w:panose1 w:val="02010601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9"/>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6">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7">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6"/>
  </w:num>
  <w:num w:numId="4">
    <w:abstractNumId w:val="0"/>
  </w:num>
  <w:num w:numId="5">
    <w:abstractNumId w:val="1"/>
  </w:num>
  <w:num w:numId="6">
    <w:abstractNumId w:val="5"/>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RhYTIwZmIwYWEwMWY2NmQ3MDc1NDg0MzA2ZmIzNTEifQ=="/>
  </w:docVars>
  <w:rsids>
    <w:rsidRoot w:val="4B262FC3"/>
    <w:rsid w:val="00062A80"/>
    <w:rsid w:val="003867C7"/>
    <w:rsid w:val="007A5D23"/>
    <w:rsid w:val="00912B81"/>
    <w:rsid w:val="00B601DD"/>
    <w:rsid w:val="00BE6023"/>
    <w:rsid w:val="00CA098B"/>
    <w:rsid w:val="00D356EE"/>
    <w:rsid w:val="01D51EF1"/>
    <w:rsid w:val="02307CBD"/>
    <w:rsid w:val="02994E80"/>
    <w:rsid w:val="038C7237"/>
    <w:rsid w:val="03B24C65"/>
    <w:rsid w:val="04193205"/>
    <w:rsid w:val="049878BD"/>
    <w:rsid w:val="055174C8"/>
    <w:rsid w:val="05594FD2"/>
    <w:rsid w:val="059738ED"/>
    <w:rsid w:val="06016AC0"/>
    <w:rsid w:val="062B60D6"/>
    <w:rsid w:val="07861826"/>
    <w:rsid w:val="082C0673"/>
    <w:rsid w:val="08633396"/>
    <w:rsid w:val="088562C4"/>
    <w:rsid w:val="08B573AC"/>
    <w:rsid w:val="0C6B37C3"/>
    <w:rsid w:val="0D1A4228"/>
    <w:rsid w:val="0E575CBB"/>
    <w:rsid w:val="0E7D42BB"/>
    <w:rsid w:val="0EC06840"/>
    <w:rsid w:val="0EE71081"/>
    <w:rsid w:val="103F356B"/>
    <w:rsid w:val="10BB4CCA"/>
    <w:rsid w:val="115F1A85"/>
    <w:rsid w:val="13533D6F"/>
    <w:rsid w:val="13593647"/>
    <w:rsid w:val="14FE49FC"/>
    <w:rsid w:val="150C64D7"/>
    <w:rsid w:val="15132098"/>
    <w:rsid w:val="16A4213B"/>
    <w:rsid w:val="17696FBF"/>
    <w:rsid w:val="18807C4B"/>
    <w:rsid w:val="18BC6A4A"/>
    <w:rsid w:val="19D626B5"/>
    <w:rsid w:val="1BE64FC7"/>
    <w:rsid w:val="1C5346CC"/>
    <w:rsid w:val="1DF100D4"/>
    <w:rsid w:val="1E10308F"/>
    <w:rsid w:val="1FBC673A"/>
    <w:rsid w:val="21F067CE"/>
    <w:rsid w:val="22B77B25"/>
    <w:rsid w:val="234F22B1"/>
    <w:rsid w:val="2365296A"/>
    <w:rsid w:val="23F07DC3"/>
    <w:rsid w:val="24700415"/>
    <w:rsid w:val="26170342"/>
    <w:rsid w:val="27C13B82"/>
    <w:rsid w:val="28DA283E"/>
    <w:rsid w:val="291759FE"/>
    <w:rsid w:val="294F7DE4"/>
    <w:rsid w:val="2AEB3A8A"/>
    <w:rsid w:val="2B821B32"/>
    <w:rsid w:val="2BE31E4D"/>
    <w:rsid w:val="2CFA5462"/>
    <w:rsid w:val="2F611A30"/>
    <w:rsid w:val="2F6534B7"/>
    <w:rsid w:val="30BD213F"/>
    <w:rsid w:val="312C60F2"/>
    <w:rsid w:val="33B43AA4"/>
    <w:rsid w:val="33EE52E9"/>
    <w:rsid w:val="33F60296"/>
    <w:rsid w:val="349109C3"/>
    <w:rsid w:val="3533276E"/>
    <w:rsid w:val="35980CA9"/>
    <w:rsid w:val="361A56F3"/>
    <w:rsid w:val="36B31F5F"/>
    <w:rsid w:val="37DA4CA6"/>
    <w:rsid w:val="37E67533"/>
    <w:rsid w:val="38B16276"/>
    <w:rsid w:val="38E427EC"/>
    <w:rsid w:val="392F341B"/>
    <w:rsid w:val="398D59F8"/>
    <w:rsid w:val="3A080755"/>
    <w:rsid w:val="3A197CA5"/>
    <w:rsid w:val="3A573E56"/>
    <w:rsid w:val="3AB801F8"/>
    <w:rsid w:val="3C9E0420"/>
    <w:rsid w:val="3D2B0581"/>
    <w:rsid w:val="3D597A2D"/>
    <w:rsid w:val="3DFF285A"/>
    <w:rsid w:val="3F9EC655"/>
    <w:rsid w:val="40137CA8"/>
    <w:rsid w:val="40A73D35"/>
    <w:rsid w:val="423A6C9B"/>
    <w:rsid w:val="4273192E"/>
    <w:rsid w:val="42A62ACD"/>
    <w:rsid w:val="446723D4"/>
    <w:rsid w:val="448F691B"/>
    <w:rsid w:val="459314F7"/>
    <w:rsid w:val="49425DFB"/>
    <w:rsid w:val="4A793725"/>
    <w:rsid w:val="4B262FC3"/>
    <w:rsid w:val="4B68596F"/>
    <w:rsid w:val="4B6F4E42"/>
    <w:rsid w:val="4BCB04ED"/>
    <w:rsid w:val="4BCF5624"/>
    <w:rsid w:val="4C242C23"/>
    <w:rsid w:val="4C5F6EFC"/>
    <w:rsid w:val="4CBE335D"/>
    <w:rsid w:val="4DC27B03"/>
    <w:rsid w:val="4E67DA4F"/>
    <w:rsid w:val="4E70761B"/>
    <w:rsid w:val="4E7753B5"/>
    <w:rsid w:val="4EFF6BD2"/>
    <w:rsid w:val="4F1F5420"/>
    <w:rsid w:val="4FBDD2B1"/>
    <w:rsid w:val="4FCE8257"/>
    <w:rsid w:val="50B415EA"/>
    <w:rsid w:val="50DF39EF"/>
    <w:rsid w:val="53C92CD5"/>
    <w:rsid w:val="54AF23FC"/>
    <w:rsid w:val="5579D044"/>
    <w:rsid w:val="55896E70"/>
    <w:rsid w:val="56D3A8F1"/>
    <w:rsid w:val="57182A2A"/>
    <w:rsid w:val="581A4428"/>
    <w:rsid w:val="59DF6221"/>
    <w:rsid w:val="59FE5BD3"/>
    <w:rsid w:val="5A6E105D"/>
    <w:rsid w:val="5BA31CF2"/>
    <w:rsid w:val="5DA7155A"/>
    <w:rsid w:val="5DC53457"/>
    <w:rsid w:val="5E843C90"/>
    <w:rsid w:val="5EFFCFA4"/>
    <w:rsid w:val="5F4468FD"/>
    <w:rsid w:val="5FED902A"/>
    <w:rsid w:val="610B60EE"/>
    <w:rsid w:val="61AB6D83"/>
    <w:rsid w:val="61CD6F76"/>
    <w:rsid w:val="627333FC"/>
    <w:rsid w:val="62985ABA"/>
    <w:rsid w:val="641948C3"/>
    <w:rsid w:val="64207B96"/>
    <w:rsid w:val="64547F70"/>
    <w:rsid w:val="64F01F66"/>
    <w:rsid w:val="67EF0D19"/>
    <w:rsid w:val="684B72C6"/>
    <w:rsid w:val="69637209"/>
    <w:rsid w:val="696D37AB"/>
    <w:rsid w:val="6A144077"/>
    <w:rsid w:val="6BBDEA0E"/>
    <w:rsid w:val="6CF73EEF"/>
    <w:rsid w:val="6DAF4353"/>
    <w:rsid w:val="6EF9071C"/>
    <w:rsid w:val="6F74096F"/>
    <w:rsid w:val="6FB6ABA5"/>
    <w:rsid w:val="6FF006A6"/>
    <w:rsid w:val="6FFD1FE2"/>
    <w:rsid w:val="7052058D"/>
    <w:rsid w:val="70B1597A"/>
    <w:rsid w:val="71815530"/>
    <w:rsid w:val="72315D1C"/>
    <w:rsid w:val="72321CC5"/>
    <w:rsid w:val="72BD75D3"/>
    <w:rsid w:val="7355534B"/>
    <w:rsid w:val="73BD3260"/>
    <w:rsid w:val="741F6518"/>
    <w:rsid w:val="74FD35B0"/>
    <w:rsid w:val="76AFAAEF"/>
    <w:rsid w:val="77551EB6"/>
    <w:rsid w:val="77B7CE47"/>
    <w:rsid w:val="77E73431"/>
    <w:rsid w:val="78916B04"/>
    <w:rsid w:val="797307FA"/>
    <w:rsid w:val="79A26738"/>
    <w:rsid w:val="79F8179E"/>
    <w:rsid w:val="7AA83FCF"/>
    <w:rsid w:val="7AAF66A3"/>
    <w:rsid w:val="7AF5014E"/>
    <w:rsid w:val="7B8D6F20"/>
    <w:rsid w:val="7C066564"/>
    <w:rsid w:val="7CD63399"/>
    <w:rsid w:val="7D974A70"/>
    <w:rsid w:val="7DCB1D58"/>
    <w:rsid w:val="7DFFA571"/>
    <w:rsid w:val="7E557CD8"/>
    <w:rsid w:val="7E8E48BA"/>
    <w:rsid w:val="7EF5F51E"/>
    <w:rsid w:val="7EFB5230"/>
    <w:rsid w:val="7F0B088D"/>
    <w:rsid w:val="7F2719EA"/>
    <w:rsid w:val="7FDF1636"/>
    <w:rsid w:val="7FEDFA98"/>
    <w:rsid w:val="7FFF2236"/>
    <w:rsid w:val="9EED3F6B"/>
    <w:rsid w:val="9FFF6D68"/>
    <w:rsid w:val="ADFCE66C"/>
    <w:rsid w:val="AF731AA5"/>
    <w:rsid w:val="B3FD2FAF"/>
    <w:rsid w:val="B3FFE009"/>
    <w:rsid w:val="B5F9E991"/>
    <w:rsid w:val="BA7B34CC"/>
    <w:rsid w:val="BDFF46DD"/>
    <w:rsid w:val="BF7B1486"/>
    <w:rsid w:val="C6FE5207"/>
    <w:rsid w:val="CEFF7572"/>
    <w:rsid w:val="D78B1E27"/>
    <w:rsid w:val="D7D66666"/>
    <w:rsid w:val="DB2D2548"/>
    <w:rsid w:val="DDF35767"/>
    <w:rsid w:val="DEFF86E0"/>
    <w:rsid w:val="EA3F23E4"/>
    <w:rsid w:val="EC7CCF93"/>
    <w:rsid w:val="ECF32D2B"/>
    <w:rsid w:val="EFC19506"/>
    <w:rsid w:val="EFFFC217"/>
    <w:rsid w:val="F40F10E5"/>
    <w:rsid w:val="F7FF9A66"/>
    <w:rsid w:val="FBFFBCB5"/>
    <w:rsid w:val="FC7B114F"/>
    <w:rsid w:val="FDBC35A3"/>
    <w:rsid w:val="FDF30C8C"/>
    <w:rsid w:val="FDFF397E"/>
    <w:rsid w:val="FE8F5AF5"/>
    <w:rsid w:val="FF927E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3"/>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8">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customStyle="1" w:styleId="2">
    <w:name w:val="正文（缩进）"/>
    <w:basedOn w:val="1"/>
    <w:qFormat/>
    <w:uiPriority w:val="0"/>
    <w:pPr>
      <w:spacing w:before="156" w:after="156"/>
      <w:ind w:firstLine="480" w:firstLineChars="200"/>
    </w:pPr>
  </w:style>
  <w:style w:type="paragraph" w:styleId="9">
    <w:name w:val="List Number 2"/>
    <w:basedOn w:val="1"/>
    <w:qFormat/>
    <w:uiPriority w:val="0"/>
    <w:pPr>
      <w:numPr>
        <w:ilvl w:val="0"/>
        <w:numId w:val="1"/>
      </w:numPr>
    </w:pPr>
  </w:style>
  <w:style w:type="paragraph" w:styleId="10">
    <w:name w:val="Normal Indent"/>
    <w:basedOn w:val="1"/>
    <w:qFormat/>
    <w:uiPriority w:val="0"/>
    <w:pPr>
      <w:ind w:firstLine="420" w:firstLineChars="200"/>
    </w:pPr>
  </w:style>
  <w:style w:type="paragraph" w:styleId="11">
    <w:name w:val="annotation text"/>
    <w:basedOn w:val="1"/>
    <w:qFormat/>
    <w:uiPriority w:val="0"/>
    <w:pPr>
      <w:jc w:val="left"/>
    </w:pPr>
  </w:style>
  <w:style w:type="paragraph" w:styleId="12">
    <w:name w:val="Body Text"/>
    <w:basedOn w:val="1"/>
    <w:next w:val="13"/>
    <w:qFormat/>
    <w:uiPriority w:val="0"/>
    <w:pPr>
      <w:adjustRightInd w:val="0"/>
      <w:spacing w:line="360" w:lineRule="atLeast"/>
      <w:jc w:val="center"/>
      <w:textAlignment w:val="baseline"/>
    </w:pPr>
    <w:rPr>
      <w:kern w:val="0"/>
      <w:sz w:val="24"/>
      <w:szCs w:val="20"/>
    </w:rPr>
  </w:style>
  <w:style w:type="paragraph" w:styleId="13">
    <w:name w:val="Body Text Indent"/>
    <w:basedOn w:val="1"/>
    <w:qFormat/>
    <w:uiPriority w:val="0"/>
    <w:pPr>
      <w:spacing w:after="120"/>
      <w:ind w:left="420" w:leftChars="200"/>
    </w:pPr>
  </w:style>
  <w:style w:type="paragraph" w:styleId="14">
    <w:name w:val="index 4"/>
    <w:basedOn w:val="1"/>
    <w:next w:val="1"/>
    <w:unhideWhenUsed/>
    <w:qFormat/>
    <w:uiPriority w:val="99"/>
    <w:pPr>
      <w:ind w:left="600" w:leftChars="600"/>
    </w:pPr>
  </w:style>
  <w:style w:type="paragraph" w:styleId="15">
    <w:name w:val="Plain Text"/>
    <w:basedOn w:val="1"/>
    <w:qFormat/>
    <w:uiPriority w:val="0"/>
    <w:rPr>
      <w:rFonts w:ascii="宋体" w:hAnsi="宋体" w:cs="Courier New"/>
    </w:rPr>
  </w:style>
  <w:style w:type="paragraph" w:styleId="16">
    <w:name w:val="Date"/>
    <w:basedOn w:val="1"/>
    <w:next w:val="1"/>
    <w:unhideWhenUsed/>
    <w:qFormat/>
    <w:uiPriority w:val="99"/>
    <w:pPr>
      <w:ind w:left="100" w:leftChars="2500"/>
    </w:pPr>
  </w:style>
  <w:style w:type="paragraph" w:styleId="17">
    <w:name w:val="Balloon Text"/>
    <w:basedOn w:val="1"/>
    <w:link w:val="48"/>
    <w:qFormat/>
    <w:uiPriority w:val="0"/>
    <w:pPr>
      <w:spacing w:line="240" w:lineRule="auto"/>
    </w:pPr>
    <w:rPr>
      <w:sz w:val="18"/>
      <w:szCs w:val="18"/>
    </w:r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qFormat/>
    <w:uiPriority w:val="0"/>
    <w:pPr>
      <w:pBdr>
        <w:bottom w:val="single" w:color="auto" w:sz="4" w:space="1"/>
      </w:pBdr>
      <w:tabs>
        <w:tab w:val="center" w:pos="4153"/>
        <w:tab w:val="right" w:pos="8306"/>
      </w:tabs>
      <w:snapToGrid w:val="0"/>
    </w:pPr>
    <w:rPr>
      <w:sz w:val="18"/>
    </w:rPr>
  </w:style>
  <w:style w:type="paragraph" w:styleId="20">
    <w:name w:val="toc 1"/>
    <w:basedOn w:val="1"/>
    <w:next w:val="1"/>
    <w:qFormat/>
    <w:uiPriority w:val="0"/>
    <w:pPr>
      <w:spacing w:before="120" w:after="120"/>
      <w:jc w:val="left"/>
    </w:pPr>
    <w:rPr>
      <w:rFonts w:ascii="等线" w:eastAsia="等线"/>
      <w:b/>
      <w:bCs/>
      <w:caps/>
      <w:sz w:val="20"/>
      <w:szCs w:val="20"/>
    </w:rPr>
  </w:style>
  <w:style w:type="paragraph" w:styleId="21">
    <w:name w:val="footnote text"/>
    <w:basedOn w:val="1"/>
    <w:qFormat/>
    <w:uiPriority w:val="0"/>
    <w:pPr>
      <w:snapToGrid w:val="0"/>
      <w:jc w:val="left"/>
    </w:pPr>
    <w:rPr>
      <w:sz w:val="18"/>
    </w:rPr>
  </w:style>
  <w:style w:type="paragraph" w:styleId="22">
    <w:name w:val="index 9"/>
    <w:basedOn w:val="1"/>
    <w:next w:val="1"/>
    <w:qFormat/>
    <w:uiPriority w:val="0"/>
    <w:pPr>
      <w:ind w:left="3360"/>
    </w:pPr>
  </w:style>
  <w:style w:type="paragraph" w:styleId="23">
    <w:name w:val="Body Text 2"/>
    <w:basedOn w:val="1"/>
    <w:qFormat/>
    <w:uiPriority w:val="0"/>
    <w:pPr>
      <w:spacing w:after="120" w:line="480" w:lineRule="auto"/>
    </w:pPr>
  </w:style>
  <w:style w:type="paragraph" w:styleId="24">
    <w:name w:val="Normal (Web)"/>
    <w:basedOn w:val="1"/>
    <w:qFormat/>
    <w:uiPriority w:val="0"/>
    <w:pPr>
      <w:widowControl/>
      <w:spacing w:before="100" w:beforeAutospacing="1" w:after="100" w:afterAutospacing="1"/>
      <w:jc w:val="left"/>
    </w:pPr>
    <w:rPr>
      <w:rFonts w:ascii="宋体" w:cs="宋体"/>
      <w:kern w:val="0"/>
      <w:sz w:val="24"/>
    </w:rPr>
  </w:style>
  <w:style w:type="paragraph" w:styleId="25">
    <w:name w:val="Body Text First Indent"/>
    <w:basedOn w:val="12"/>
    <w:unhideWhenUsed/>
    <w:qFormat/>
    <w:uiPriority w:val="99"/>
    <w:pPr>
      <w:adjustRightInd/>
      <w:spacing w:after="120" w:line="240" w:lineRule="auto"/>
      <w:ind w:firstLine="420" w:firstLineChars="100"/>
      <w:jc w:val="both"/>
      <w:textAlignment w:val="auto"/>
    </w:pPr>
    <w:rPr>
      <w:kern w:val="2"/>
      <w:sz w:val="21"/>
      <w:szCs w:val="24"/>
    </w:rPr>
  </w:style>
  <w:style w:type="paragraph" w:styleId="26">
    <w:name w:val="Body Text First Indent 2"/>
    <w:basedOn w:val="13"/>
    <w:qFormat/>
    <w:uiPriority w:val="0"/>
    <w:pPr>
      <w:ind w:firstLine="420" w:firstLineChars="200"/>
    </w:p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0">
    <w:name w:val="page number"/>
    <w:basedOn w:val="29"/>
    <w:qFormat/>
    <w:uiPriority w:val="0"/>
  </w:style>
  <w:style w:type="character" w:styleId="31">
    <w:name w:val="Hyperlink"/>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9"/>
    <w:link w:val="17"/>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 w:type="paragraph" w:customStyle="1" w:styleId="70">
    <w:name w:val="表格文字 左对齐"/>
    <w:qFormat/>
    <w:uiPriority w:val="0"/>
    <w:pPr>
      <w:overflowPunct w:val="0"/>
      <w:autoSpaceDE w:val="0"/>
      <w:autoSpaceDN w:val="0"/>
      <w:adjustRightInd w:val="0"/>
      <w:jc w:val="both"/>
      <w:textAlignment w:val="baseline"/>
    </w:pPr>
    <w:rPr>
      <w:rFonts w:ascii="Times New Roman" w:hAnsi="Times New Roman" w:eastAsia="宋体" w:cs="Times New Roman"/>
      <w:sz w:val="21"/>
      <w:lang w:val="en-US" w:eastAsia="zh-CN" w:bidi="ar-SA"/>
    </w:rPr>
  </w:style>
  <w:style w:type="character" w:customStyle="1" w:styleId="71">
    <w:name w:val="15"/>
    <w:qFormat/>
    <w:uiPriority w:val="0"/>
    <w:rPr>
      <w:rFonts w:hint="default" w:ascii="Times New Roman" w:hAnsi="Times New Roman" w:eastAsia="宋体" w:cs="Times New Roman"/>
    </w:rPr>
  </w:style>
  <w:style w:type="paragraph" w:customStyle="1" w:styleId="72">
    <w:name w:val="列表段落"/>
    <w:basedOn w:val="1"/>
    <w:qFormat/>
    <w:uiPriority w:val="0"/>
    <w:pPr>
      <w:ind w:firstLine="200" w:firstLineChars="200"/>
    </w:pPr>
  </w:style>
  <w:style w:type="paragraph" w:customStyle="1" w:styleId="73">
    <w:name w:val="表格正文"/>
    <w:basedOn w:val="1"/>
    <w:qFormat/>
    <w:uiPriority w:val="0"/>
    <w:pPr>
      <w:spacing w:line="312" w:lineRule="auto"/>
    </w:pPr>
    <w:rPr>
      <w:rFonts w:ascii="宋体" w:hAnsi="宋体" w:eastAsia="宋体" w:cs="Times New Roman"/>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116</Pages>
  <Words>14331</Words>
  <Characters>15388</Characters>
  <Lines>302</Lines>
  <Paragraphs>85</Paragraphs>
  <TotalTime>1</TotalTime>
  <ScaleCrop>false</ScaleCrop>
  <LinksUpToDate>false</LinksUpToDate>
  <CharactersWithSpaces>15634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2022-07-15T12:44:00Z</dcterms:created>
  <dc:creator>QIQI</dc:creator>
  <cp:lastModifiedBy>韩宇奇</cp:lastModifiedBy>
  <dcterms:modified xsi:type="dcterms:W3CDTF">2024-11-13T06:50:39Z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C251EBDE8CAE449FA99D3D77AE3CC162_13</vt:lpwstr>
  </property>
</Properties>
</file>