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2"/>
        <w:spacing w:line="360" w:lineRule="auto"/>
        <w:rPr>
          <w:rFonts w:hint="eastAsia" w:ascii="宋体" w:hAnsi="宋体" w:eastAsia="宋体" w:cs="宋体"/>
          <w:color w:val="auto"/>
          <w:sz w:val="28"/>
          <w:szCs w:val="28"/>
          <w:highlight w:val="none"/>
        </w:rPr>
      </w:pPr>
    </w:p>
    <w:p>
      <w:pPr>
        <w:pStyle w:val="12"/>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国家税务总局黑龙江省税务局云平台及附属系统运维服务项目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HTCL-ZB-243192</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12</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20"/>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20"/>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6"/>
        <w:tabs>
          <w:tab w:val="right" w:leader="dot" w:pos="8306"/>
        </w:tabs>
        <w:spacing w:line="600" w:lineRule="exact"/>
        <w:rPr>
          <w:rFonts w:hint="eastAsia" w:ascii="宋体" w:hAnsi="宋体" w:eastAsia="宋体" w:cs="宋体"/>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3"/>
        <w:rPr>
          <w:rFonts w:hint="eastAsia" w:ascii="宋体" w:hAnsi="宋体" w:eastAsia="宋体" w:cs="宋体"/>
          <w:color w:val="auto"/>
          <w:highlight w:val="none"/>
        </w:rPr>
      </w:pPr>
      <w:bookmarkStart w:id="0" w:name="_Toc15817"/>
      <w:bookmarkStart w:id="1" w:name="_Toc78902190"/>
      <w:bookmarkStart w:id="2" w:name="_Toc1124_WPSOffice_Level1"/>
      <w:r>
        <w:rPr>
          <w:rFonts w:hint="eastAsia" w:ascii="宋体" w:hAnsi="宋体" w:eastAsia="宋体" w:cs="宋体"/>
          <w:color w:val="auto"/>
          <w:highlight w:val="none"/>
        </w:rPr>
        <w:t>招标公告</w:t>
      </w:r>
      <w:bookmarkEnd w:id="0"/>
      <w:bookmarkEnd w:id="1"/>
      <w:bookmarkEnd w:id="2"/>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0" w:hRule="atLeast"/>
        </w:trPr>
        <w:tc>
          <w:tcPr>
            <w:tcW w:w="5000" w:type="pct"/>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国家税务总局黑龙江省税务局云平台及附属系统运维服务项目</w:t>
            </w:r>
            <w:r>
              <w:rPr>
                <w:rFonts w:hint="eastAsia" w:ascii="宋体" w:hAnsi="宋体" w:eastAsia="宋体" w:cs="宋体"/>
                <w:color w:val="auto"/>
                <w:highlight w:val="none"/>
              </w:rPr>
              <w:t>的潜在供应商应</w:t>
            </w:r>
            <w:r>
              <w:rPr>
                <w:rFonts w:hint="eastAsia" w:ascii="宋体" w:hAnsi="宋体" w:cs="宋体"/>
                <w:color w:val="auto"/>
                <w:highlight w:val="none"/>
                <w:lang w:eastAsia="zh-CN"/>
              </w:rPr>
              <w:t>线上</w:t>
            </w:r>
            <w:r>
              <w:rPr>
                <w:rFonts w:hint="eastAsia" w:ascii="宋体" w:hAnsi="宋体" w:eastAsia="宋体" w:cs="宋体"/>
                <w:color w:val="auto"/>
                <w:highlight w:val="none"/>
              </w:rPr>
              <w:t>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w:t>
            </w:r>
            <w:r>
              <w:rPr>
                <w:rFonts w:hint="eastAsia" w:ascii="宋体" w:hAnsi="宋体" w:eastAsia="宋体" w:cs="宋体"/>
                <w:color w:val="auto"/>
                <w:highlight w:val="none"/>
              </w:rPr>
              <w:t>月</w:t>
            </w:r>
            <w:r>
              <w:rPr>
                <w:rFonts w:hint="eastAsia" w:ascii="宋体" w:hAnsi="宋体" w:cs="宋体"/>
                <w:color w:val="auto"/>
                <w:highlight w:val="none"/>
                <w:lang w:val="en-US" w:eastAsia="zh-CN"/>
              </w:rPr>
              <w:t>23</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0分（北京时间）前递交投标文件。</w:t>
            </w:r>
          </w:p>
        </w:tc>
      </w:tr>
    </w:tbl>
    <w:p>
      <w:pPr>
        <w:outlineLvl w:val="0"/>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HTCL-ZB-243192</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国家税务总局黑龙江省税务局云平台及附属系统运维服务项目</w:t>
      </w:r>
    </w:p>
    <w:p>
      <w:pPr>
        <w:rPr>
          <w:rFonts w:hint="default" w:ascii="宋体" w:hAnsi="宋体" w:eastAsia="宋体" w:cs="宋体"/>
          <w:color w:val="auto"/>
          <w:highlight w:val="none"/>
          <w:u w:val="single"/>
          <w:lang w:val="en-US" w:eastAsia="zh-CN"/>
        </w:rPr>
      </w:pPr>
      <w:r>
        <w:rPr>
          <w:rFonts w:hint="eastAsia" w:ascii="宋体" w:hAnsi="宋体" w:eastAsia="宋体" w:cs="宋体"/>
          <w:color w:val="auto"/>
          <w:highlight w:val="none"/>
        </w:rPr>
        <w:t>预算金额：</w:t>
      </w:r>
      <w:r>
        <w:rPr>
          <w:rFonts w:hint="eastAsia" w:ascii="宋体" w:hAnsi="宋体" w:cs="宋体"/>
          <w:color w:val="auto"/>
          <w:highlight w:val="none"/>
          <w:lang w:val="en-US" w:eastAsia="zh-CN"/>
        </w:rPr>
        <w:t>48.125万元/年</w:t>
      </w:r>
    </w:p>
    <w:p>
      <w:pPr>
        <w:rPr>
          <w:rFonts w:hint="eastAsia" w:ascii="宋体" w:hAnsi="宋体" w:eastAsia="宋体" w:cs="宋体"/>
          <w:color w:val="auto"/>
          <w:highlight w:val="none"/>
        </w:rPr>
      </w:pPr>
      <w:r>
        <w:rPr>
          <w:rFonts w:hint="eastAsia" w:ascii="宋体" w:hAnsi="宋体" w:eastAsia="宋体" w:cs="宋体"/>
          <w:color w:val="auto"/>
          <w:highlight w:val="none"/>
        </w:rPr>
        <w:t>最高限价：</w:t>
      </w:r>
      <w:r>
        <w:rPr>
          <w:rFonts w:hint="eastAsia" w:ascii="宋体" w:hAnsi="宋体" w:cs="宋体"/>
          <w:color w:val="auto"/>
          <w:highlight w:val="none"/>
          <w:lang w:val="en-US" w:eastAsia="zh-CN"/>
        </w:rPr>
        <w:t>48.125万元/年</w:t>
      </w:r>
    </w:p>
    <w:p>
      <w:pPr>
        <w:rPr>
          <w:rFonts w:hint="eastAsia"/>
          <w:color w:val="auto"/>
          <w:lang w:eastAsia="zh-CN"/>
        </w:rPr>
      </w:pPr>
      <w:r>
        <w:rPr>
          <w:rFonts w:hint="eastAsia" w:ascii="宋体" w:hAnsi="宋体" w:eastAsia="宋体" w:cs="宋体"/>
          <w:color w:val="auto"/>
          <w:highlight w:val="none"/>
        </w:rPr>
        <w:t>采购需求：</w:t>
      </w:r>
      <w:r>
        <w:rPr>
          <w:rFonts w:hint="eastAsia"/>
          <w:color w:val="auto"/>
          <w:highlight w:val="none"/>
          <w:lang w:val="en-US" w:eastAsia="zh-CN"/>
        </w:rPr>
        <w:t>第四包：</w:t>
      </w:r>
      <w:r>
        <w:rPr>
          <w:rFonts w:hint="eastAsia"/>
          <w:color w:val="auto"/>
          <w:highlight w:val="none"/>
        </w:rPr>
        <w:t>统一身份管理平台运维项目</w:t>
      </w:r>
      <w:r>
        <w:rPr>
          <w:rFonts w:hint="eastAsia"/>
          <w:color w:val="auto"/>
          <w:highlight w:val="none"/>
          <w:lang w:eastAsia="zh-CN"/>
        </w:rPr>
        <w:t>。购买不少于</w:t>
      </w:r>
      <w:r>
        <w:rPr>
          <w:rFonts w:hint="eastAsia"/>
          <w:color w:val="auto"/>
          <w:highlight w:val="none"/>
          <w:lang w:val="en-US" w:eastAsia="zh-CN"/>
        </w:rPr>
        <w:t>3人的驻场运维团队服务，</w:t>
      </w:r>
      <w:r>
        <w:rPr>
          <w:rFonts w:hint="eastAsia" w:cs="Times New Roman"/>
          <w:color w:val="auto"/>
          <w:kern w:val="2"/>
          <w:sz w:val="21"/>
          <w:szCs w:val="21"/>
          <w:highlight w:val="none"/>
          <w:lang w:val="en-US" w:eastAsia="zh-CN" w:bidi="ar-SA"/>
        </w:rPr>
        <w:t>服务内容包括但不限于</w:t>
      </w:r>
      <w:r>
        <w:rPr>
          <w:rFonts w:hint="default" w:ascii="Times New Roman" w:hAnsi="Times New Roman" w:eastAsia="宋体" w:cs="Times New Roman"/>
          <w:color w:val="auto"/>
          <w:kern w:val="2"/>
          <w:sz w:val="21"/>
          <w:szCs w:val="21"/>
          <w:highlight w:val="none"/>
          <w:lang w:val="en-US" w:eastAsia="zh-CN" w:bidi="ar-SA"/>
        </w:rPr>
        <w:t>日常监控</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平台运维保障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监控实施保障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数据服务保障</w:t>
      </w:r>
      <w:r>
        <w:rPr>
          <w:rFonts w:hint="eastAsia" w:cs="Times New Roman"/>
          <w:color w:val="auto"/>
          <w:kern w:val="2"/>
          <w:sz w:val="21"/>
          <w:szCs w:val="21"/>
          <w:highlight w:val="none"/>
          <w:lang w:val="en-US" w:eastAsia="zh-CN" w:bidi="ar-SA"/>
        </w:rPr>
        <w:t>，</w:t>
      </w:r>
      <w:r>
        <w:rPr>
          <w:rFonts w:hint="default" w:ascii="Times New Roman" w:hAnsi="Times New Roman" w:eastAsia="宋体" w:cs="Times New Roman"/>
          <w:color w:val="auto"/>
          <w:kern w:val="2"/>
          <w:sz w:val="21"/>
          <w:szCs w:val="21"/>
          <w:highlight w:val="none"/>
          <w:lang w:val="en-US" w:eastAsia="zh-CN" w:bidi="ar-SA"/>
        </w:rPr>
        <w:t>配置维护保障</w:t>
      </w:r>
      <w:r>
        <w:rPr>
          <w:rFonts w:hint="eastAsia" w:cs="Times New Roman"/>
          <w:color w:val="auto"/>
          <w:kern w:val="2"/>
          <w:sz w:val="21"/>
          <w:szCs w:val="21"/>
          <w:highlight w:val="none"/>
          <w:lang w:val="en-US" w:eastAsia="zh-CN" w:bidi="ar-SA"/>
        </w:rPr>
        <w:t>和</w:t>
      </w:r>
      <w:r>
        <w:rPr>
          <w:rFonts w:hint="default" w:ascii="Times New Roman" w:hAnsi="Times New Roman" w:eastAsia="宋体" w:cs="Times New Roman"/>
          <w:color w:val="auto"/>
          <w:kern w:val="2"/>
          <w:sz w:val="21"/>
          <w:szCs w:val="21"/>
          <w:highlight w:val="none"/>
          <w:lang w:val="en-US" w:eastAsia="zh-CN" w:bidi="ar-SA"/>
        </w:rPr>
        <w:t>系统运行保障</w:t>
      </w:r>
      <w:r>
        <w:rPr>
          <w:rFonts w:hint="eastAsia"/>
          <w:color w:val="auto"/>
          <w:highlight w:val="none"/>
          <w:lang w:val="en-US" w:eastAsia="zh-CN"/>
        </w:rPr>
        <w:t>。</w:t>
      </w:r>
      <w:r>
        <w:rPr>
          <w:rFonts w:hint="eastAsia"/>
          <w:color w:val="auto"/>
        </w:rPr>
        <w:t>预算</w:t>
      </w:r>
      <w:bookmarkStart w:id="6" w:name="OLE_LINK1"/>
      <w:r>
        <w:rPr>
          <w:rFonts w:hint="eastAsia"/>
          <w:color w:val="auto"/>
          <w:highlight w:val="none"/>
          <w:lang w:val="en-US" w:eastAsia="zh-CN"/>
        </w:rPr>
        <w:t>48.125</w:t>
      </w:r>
      <w:r>
        <w:rPr>
          <w:rFonts w:hint="eastAsia"/>
          <w:color w:val="auto"/>
        </w:rPr>
        <w:t>万元</w:t>
      </w:r>
      <w:r>
        <w:rPr>
          <w:rFonts w:hint="eastAsia" w:ascii="宋体" w:hAnsi="宋体" w:cs="宋体"/>
          <w:color w:val="auto"/>
          <w:highlight w:val="none"/>
          <w:lang w:val="en-US" w:eastAsia="zh-CN"/>
        </w:rPr>
        <w:t>/年</w:t>
      </w:r>
      <w:bookmarkEnd w:id="6"/>
      <w:r>
        <w:rPr>
          <w:rFonts w:hint="eastAsia"/>
          <w:color w:val="auto"/>
          <w:lang w:eastAsia="zh-CN"/>
        </w:rPr>
        <w:t>。</w:t>
      </w:r>
    </w:p>
    <w:p>
      <w:pPr>
        <w:pStyle w:val="35"/>
        <w:ind w:left="0" w:leftChars="0" w:firstLine="0" w:firstLineChars="0"/>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自合同签字起生效，服务期限为一年。一年服务期满，根据《财政部关于推进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outlineLvl w:val="0"/>
        <w:rPr>
          <w:rFonts w:hint="eastAsia" w:ascii="宋体" w:hAnsi="宋体" w:eastAsia="宋体" w:cs="宋体"/>
          <w:color w:val="auto"/>
          <w:highlight w:val="none"/>
        </w:rPr>
      </w:pPr>
      <w:bookmarkStart w:id="7" w:name="_Toc28359003"/>
      <w:bookmarkStart w:id="8" w:name="_Toc28359080"/>
      <w:r>
        <w:rPr>
          <w:rFonts w:hint="eastAsia" w:ascii="宋体" w:hAnsi="宋体" w:eastAsia="宋体" w:cs="宋体"/>
          <w:color w:val="auto"/>
          <w:highlight w:val="none"/>
        </w:rPr>
        <w:t>二、申请人的资格要求</w:t>
      </w:r>
      <w:bookmarkEnd w:id="7"/>
      <w:bookmarkEnd w:id="8"/>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outlineLvl w:val="0"/>
        <w:rPr>
          <w:rFonts w:hint="eastAsia" w:ascii="宋体" w:hAnsi="宋体" w:eastAsia="宋体" w:cs="宋体"/>
          <w:color w:val="auto"/>
          <w:highlight w:val="none"/>
        </w:rPr>
      </w:pPr>
      <w:bookmarkStart w:id="9" w:name="_Toc28359004"/>
      <w:bookmarkStart w:id="10" w:name="_Toc28359081"/>
      <w:r>
        <w:rPr>
          <w:rFonts w:hint="eastAsia" w:ascii="宋体" w:hAnsi="宋体" w:eastAsia="宋体" w:cs="宋体"/>
          <w:color w:val="auto"/>
          <w:highlight w:val="none"/>
        </w:rPr>
        <w:t>三、获取招标文件</w:t>
      </w:r>
      <w:bookmarkEnd w:id="9"/>
      <w:bookmarkEnd w:id="10"/>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w:t>
      </w:r>
      <w:r>
        <w:rPr>
          <w:rFonts w:hint="eastAsia" w:ascii="宋体" w:hAnsi="宋体" w:eastAsia="宋体" w:cs="宋体"/>
          <w:color w:val="auto"/>
          <w:highlight w:val="none"/>
        </w:rPr>
        <w:t>月</w:t>
      </w:r>
      <w:r>
        <w:rPr>
          <w:rFonts w:hint="eastAsia" w:ascii="宋体" w:hAnsi="宋体" w:cs="宋体"/>
          <w:color w:val="auto"/>
          <w:highlight w:val="none"/>
          <w:lang w:val="en-US" w:eastAsia="zh-CN"/>
        </w:rPr>
        <w:t>2</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w:t>
      </w:r>
      <w:r>
        <w:rPr>
          <w:rFonts w:hint="eastAsia" w:ascii="宋体" w:hAnsi="宋体" w:eastAsia="宋体" w:cs="宋体"/>
          <w:color w:val="auto"/>
          <w:highlight w:val="none"/>
        </w:rPr>
        <w:t>月</w:t>
      </w:r>
      <w:r>
        <w:rPr>
          <w:rFonts w:hint="eastAsia" w:ascii="宋体" w:hAnsi="宋体" w:cs="宋体"/>
          <w:color w:val="auto"/>
          <w:highlight w:val="none"/>
          <w:lang w:val="en-US" w:eastAsia="zh-CN"/>
        </w:rPr>
        <w:t>9</w:t>
      </w:r>
      <w:r>
        <w:rPr>
          <w:rFonts w:hint="eastAsia" w:ascii="宋体" w:hAnsi="宋体" w:eastAsia="宋体" w:cs="宋体"/>
          <w:color w:val="auto"/>
          <w:highlight w:val="none"/>
        </w:rPr>
        <w:t>日，每天上午8点30分至11点30分，下午13点至16点（北京时间，法定节假日除外）</w:t>
      </w:r>
    </w:p>
    <w:p>
      <w:pPr>
        <w:rPr>
          <w:rFonts w:hint="default" w:ascii="宋体" w:hAnsi="宋体" w:eastAsia="宋体" w:cs="宋体"/>
          <w:color w:val="auto"/>
          <w:highlight w:val="none"/>
          <w:lang w:val="en-US" w:eastAsia="zh-CN"/>
        </w:rPr>
      </w:pPr>
      <w:bookmarkStart w:id="11" w:name="_Toc28359005"/>
      <w:bookmarkStart w:id="12" w:name="_Toc28359082"/>
      <w:r>
        <w:rPr>
          <w:rFonts w:hint="eastAsia" w:ascii="宋体" w:hAnsi="宋体" w:eastAsia="宋体" w:cs="宋体"/>
          <w:color w:val="auto"/>
          <w:highlight w:val="none"/>
        </w:rPr>
        <w:t>地点：</w:t>
      </w:r>
      <w:r>
        <w:rPr>
          <w:rFonts w:hint="eastAsia" w:ascii="宋体" w:hAnsi="宋体" w:cs="宋体"/>
          <w:color w:val="auto"/>
          <w:highlight w:val="none"/>
          <w:lang w:val="en-US" w:eastAsia="zh-CN"/>
        </w:rPr>
        <w:t>线上获取。</w:t>
      </w:r>
    </w:p>
    <w:p>
      <w:pPr>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方式：</w:t>
      </w:r>
      <w:r>
        <w:rPr>
          <w:rFonts w:hint="eastAsia" w:ascii="宋体" w:hAnsi="宋体" w:eastAsia="宋体" w:cs="Times New Roman"/>
          <w:color w:val="auto"/>
          <w:szCs w:val="21"/>
          <w:highlight w:val="none"/>
        </w:rPr>
        <w:t>凡有意参加投标者，请</w:t>
      </w:r>
      <w:r>
        <w:rPr>
          <w:rFonts w:hint="eastAsia" w:ascii="宋体" w:hAnsi="宋体"/>
          <w:color w:val="auto"/>
          <w:szCs w:val="21"/>
          <w:highlight w:val="none"/>
        </w:rPr>
        <w:t>登陆中招联合招标采购平台下载电子招标文件。下载者登陆平台前，须前往中招联合招标采购平台:http://www.365trade.com.cn/免费注册（平台仅对供应商注册信息与其提供的附件信息进行一致性检查）；注册为一次性工作，以后若有需要只需变更及完善相关信息；注册成功后，可以及时参与平台上所有发布的招标项目。平台注册成功后，登陆平台真实准确完善用户信息</w:t>
      </w:r>
      <w:r>
        <w:rPr>
          <w:rFonts w:hint="eastAsia"/>
          <w:color w:val="auto"/>
          <w:spacing w:val="-3"/>
          <w:highlight w:val="none"/>
        </w:rPr>
        <w:t>。</w:t>
      </w:r>
      <w:r>
        <w:rPr>
          <w:rFonts w:hint="eastAsia" w:ascii="宋体" w:hAnsi="宋体" w:eastAsia="宋体" w:cs="Times New Roman"/>
          <w:color w:val="auto"/>
          <w:kern w:val="2"/>
          <w:sz w:val="21"/>
          <w:szCs w:val="21"/>
          <w:highlight w:val="none"/>
          <w:lang w:val="en-US" w:eastAsia="zh-CN" w:bidi="ar-SA"/>
        </w:rPr>
        <w:t>投标人可通过中招联合招标采购平台官网首页右侧“帮助中心”，获取投标人投标操作手册。</w:t>
      </w:r>
    </w:p>
    <w:p>
      <w:pPr>
        <w:rPr>
          <w:rFonts w:hint="default" w:ascii="宋体" w:hAnsi="宋体" w:eastAsia="宋体" w:cs="宋体"/>
          <w:color w:val="auto"/>
          <w:highlight w:val="none"/>
          <w:lang w:val="en-US" w:eastAsia="zh-CN"/>
        </w:rPr>
      </w:pPr>
      <w:r>
        <w:rPr>
          <w:rFonts w:hint="eastAsia" w:ascii="宋体" w:hAnsi="宋体" w:eastAsia="宋体" w:cs="宋体"/>
          <w:color w:val="auto"/>
          <w:highlight w:val="none"/>
        </w:rPr>
        <w:t>售价：</w:t>
      </w:r>
      <w:r>
        <w:rPr>
          <w:rFonts w:hint="eastAsia" w:ascii="宋体" w:hAnsi="宋体" w:cs="宋体"/>
          <w:color w:val="auto"/>
          <w:highlight w:val="none"/>
          <w:lang w:val="en-US" w:eastAsia="zh-CN"/>
        </w:rPr>
        <w:t>0</w:t>
      </w:r>
      <w:r>
        <w:rPr>
          <w:rFonts w:hint="eastAsia" w:ascii="宋体" w:hAnsi="宋体" w:eastAsia="宋体" w:cs="宋体"/>
          <w:color w:val="auto"/>
          <w:highlight w:val="none"/>
        </w:rPr>
        <w:t>元</w:t>
      </w:r>
    </w:p>
    <w:p>
      <w:pPr>
        <w:outlineLvl w:val="0"/>
        <w:rPr>
          <w:rFonts w:hint="eastAsia" w:ascii="宋体" w:hAnsi="宋体" w:eastAsia="宋体" w:cs="宋体"/>
          <w:color w:val="auto"/>
          <w:highlight w:val="none"/>
        </w:rPr>
      </w:pPr>
      <w:r>
        <w:rPr>
          <w:rFonts w:hint="eastAsia" w:ascii="宋体" w:hAnsi="宋体" w:eastAsia="宋体" w:cs="宋体"/>
          <w:color w:val="auto"/>
          <w:highlight w:val="none"/>
        </w:rPr>
        <w:t>四、投标文件递交</w:t>
      </w:r>
      <w:bookmarkEnd w:id="11"/>
      <w:bookmarkEnd w:id="12"/>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w:t>
      </w:r>
      <w:r>
        <w:rPr>
          <w:rFonts w:hint="eastAsia" w:ascii="宋体" w:hAnsi="宋体" w:eastAsia="宋体" w:cs="宋体"/>
          <w:color w:val="auto"/>
          <w:highlight w:val="none"/>
        </w:rPr>
        <w:t>月</w:t>
      </w:r>
      <w:r>
        <w:rPr>
          <w:rFonts w:hint="eastAsia" w:ascii="宋体" w:hAnsi="宋体" w:cs="宋体"/>
          <w:color w:val="auto"/>
          <w:highlight w:val="none"/>
          <w:lang w:val="en-US" w:eastAsia="zh-CN"/>
        </w:rPr>
        <w:t>23</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outlineLvl w:val="0"/>
        <w:rPr>
          <w:rFonts w:hint="eastAsia" w:ascii="宋体" w:hAnsi="宋体" w:eastAsia="宋体" w:cs="宋体"/>
          <w:color w:val="auto"/>
          <w:highlight w:val="none"/>
        </w:rPr>
      </w:pPr>
      <w:bookmarkStart w:id="13" w:name="_Toc28359006"/>
      <w:bookmarkStart w:id="14" w:name="_Toc28359083"/>
      <w:r>
        <w:rPr>
          <w:rFonts w:hint="eastAsia" w:ascii="宋体" w:hAnsi="宋体" w:eastAsia="宋体" w:cs="宋体"/>
          <w:color w:val="auto"/>
          <w:highlight w:val="none"/>
        </w:rPr>
        <w:t>五、开标</w:t>
      </w:r>
      <w:bookmarkEnd w:id="13"/>
      <w:bookmarkEnd w:id="14"/>
      <w:bookmarkStart w:id="124" w:name="_GoBack"/>
      <w:bookmarkEnd w:id="124"/>
    </w:p>
    <w:p>
      <w:pPr>
        <w:rPr>
          <w:rFonts w:hint="eastAsia" w:ascii="宋体" w:hAnsi="宋体" w:eastAsia="宋体" w:cs="宋体"/>
          <w:color w:val="auto"/>
          <w:highlight w:val="none"/>
        </w:rPr>
      </w:pPr>
      <w:bookmarkStart w:id="15" w:name="_Toc28359084"/>
      <w:bookmarkStart w:id="16" w:name="_Toc28359007"/>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12</w:t>
      </w:r>
      <w:r>
        <w:rPr>
          <w:rFonts w:hint="eastAsia" w:ascii="宋体" w:hAnsi="宋体" w:eastAsia="宋体" w:cs="宋体"/>
          <w:color w:val="auto"/>
          <w:highlight w:val="none"/>
        </w:rPr>
        <w:t>月</w:t>
      </w:r>
      <w:r>
        <w:rPr>
          <w:rFonts w:hint="eastAsia" w:ascii="宋体" w:hAnsi="宋体" w:cs="宋体"/>
          <w:color w:val="auto"/>
          <w:highlight w:val="none"/>
          <w:lang w:val="en-US" w:eastAsia="zh-CN"/>
        </w:rPr>
        <w:t>23</w:t>
      </w:r>
      <w:r>
        <w:rPr>
          <w:rFonts w:hint="eastAsia" w:ascii="宋体" w:hAnsi="宋体" w:eastAsia="宋体" w:cs="宋体"/>
          <w:color w:val="auto"/>
          <w:highlight w:val="none"/>
        </w:rPr>
        <w:t>日9点</w:t>
      </w:r>
      <w:r>
        <w:rPr>
          <w:rFonts w:hint="eastAsia" w:ascii="宋体" w:hAnsi="宋体" w:cs="宋体"/>
          <w:color w:val="auto"/>
          <w:highlight w:val="none"/>
          <w:lang w:val="en-US" w:eastAsia="zh-CN"/>
        </w:rPr>
        <w:t>3</w:t>
      </w:r>
      <w:r>
        <w:rPr>
          <w:rFonts w:hint="eastAsia" w:ascii="宋体" w:hAnsi="宋体" w:eastAsia="宋体" w:cs="宋体"/>
          <w:color w:val="auto"/>
          <w:highlight w:val="none"/>
        </w:rPr>
        <w:t>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outlineLvl w:val="0"/>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5"/>
      <w:bookmarkEnd w:id="16"/>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outlineLvl w:val="0"/>
        <w:rPr>
          <w:rFonts w:hint="eastAsia" w:ascii="宋体" w:hAnsi="宋体" w:eastAsia="宋体" w:cs="宋体"/>
          <w:color w:val="auto"/>
          <w:highlight w:val="none"/>
        </w:rPr>
      </w:pPr>
      <w:bookmarkStart w:id="17" w:name="_Toc28359008"/>
      <w:bookmarkStart w:id="18" w:name="_Toc28359085"/>
      <w:r>
        <w:rPr>
          <w:rFonts w:hint="eastAsia" w:ascii="宋体" w:hAnsi="宋体" w:eastAsia="宋体" w:cs="宋体"/>
          <w:color w:val="auto"/>
          <w:highlight w:val="none"/>
        </w:rPr>
        <w:t>七、对本次招标提出询问，请按以下方式联系。</w:t>
      </w:r>
      <w:bookmarkEnd w:id="17"/>
      <w:bookmarkEnd w:id="18"/>
    </w:p>
    <w:p>
      <w:pPr>
        <w:outlineLvl w:val="1"/>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w:t>
      </w:r>
      <w:r>
        <w:rPr>
          <w:rFonts w:hint="eastAsia" w:ascii="宋体" w:hAnsi="宋体" w:cs="宋体"/>
          <w:color w:val="auto"/>
          <w:highlight w:val="none"/>
          <w:lang w:val="en-US" w:eastAsia="zh-CN"/>
        </w:rPr>
        <w:t>高</w:t>
      </w:r>
      <w:r>
        <w:rPr>
          <w:rFonts w:hint="eastAsia" w:ascii="宋体" w:hAnsi="宋体" w:eastAsia="宋体" w:cs="宋体"/>
          <w:color w:val="auto"/>
          <w:highlight w:val="none"/>
        </w:rPr>
        <w:t>女士</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联系方式：0451-53611</w:t>
      </w:r>
      <w:r>
        <w:rPr>
          <w:rFonts w:hint="eastAsia" w:ascii="宋体" w:hAnsi="宋体" w:cs="宋体"/>
          <w:color w:val="auto"/>
          <w:highlight w:val="none"/>
          <w:lang w:val="en-US" w:eastAsia="zh-CN"/>
        </w:rPr>
        <w:t>260</w:t>
      </w:r>
      <w:r>
        <w:rPr>
          <w:rFonts w:hint="eastAsia" w:ascii="宋体" w:hAnsi="宋体" w:eastAsia="宋体" w:cs="宋体"/>
          <w:color w:val="auto"/>
          <w:highlight w:val="none"/>
        </w:rPr>
        <w:t xml:space="preserve"> </w:t>
      </w:r>
    </w:p>
    <w:p>
      <w:pPr>
        <w:outlineLvl w:val="1"/>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outlineLvl w:val="1"/>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outlineLvl w:val="0"/>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9" w:name="_Toc27915"/>
      <w:bookmarkStart w:id="20" w:name="_Toc26518_WPSOffice_Level1"/>
      <w:bookmarkStart w:id="21" w:name="_Toc78902191"/>
      <w:r>
        <w:rPr>
          <w:rStyle w:val="37"/>
          <w:rFonts w:hint="eastAsia" w:ascii="宋体" w:hAnsi="宋体" w:eastAsia="宋体" w:cs="宋体"/>
          <w:color w:val="auto"/>
          <w:highlight w:val="none"/>
        </w:rPr>
        <w:t>第一章 供应商须知</w:t>
      </w:r>
      <w:bookmarkEnd w:id="19"/>
      <w:bookmarkEnd w:id="20"/>
      <w:bookmarkEnd w:id="21"/>
    </w:p>
    <w:p>
      <w:pPr>
        <w:pStyle w:val="4"/>
        <w:rPr>
          <w:rFonts w:hint="eastAsia" w:ascii="宋体" w:hAnsi="宋体" w:eastAsia="宋体" w:cs="宋体"/>
          <w:color w:val="auto"/>
          <w:highlight w:val="none"/>
        </w:rPr>
      </w:pPr>
      <w:bookmarkStart w:id="22" w:name="_Toc18613_WPSOffice_Level2"/>
      <w:r>
        <w:rPr>
          <w:rFonts w:hint="eastAsia" w:ascii="宋体" w:hAnsi="宋体" w:eastAsia="宋体" w:cs="宋体"/>
          <w:color w:val="auto"/>
          <w:highlight w:val="none"/>
        </w:rPr>
        <w:t>一 供应商须知表</w:t>
      </w:r>
      <w:bookmarkEnd w:id="22"/>
    </w:p>
    <w:tbl>
      <w:tblPr>
        <w:tblStyle w:val="27"/>
        <w:tblW w:w="8656" w:type="dxa"/>
        <w:tblInd w:w="108" w:type="dxa"/>
        <w:tblLayout w:type="fixed"/>
        <w:tblCellMar>
          <w:top w:w="0" w:type="dxa"/>
          <w:left w:w="108" w:type="dxa"/>
          <w:bottom w:w="0" w:type="dxa"/>
          <w:right w:w="108" w:type="dxa"/>
        </w:tblCellMar>
      </w:tblPr>
      <w:tblGrid>
        <w:gridCol w:w="852"/>
        <w:gridCol w:w="1917"/>
        <w:gridCol w:w="5887"/>
      </w:tblGrid>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3" w:name="sys_招标项目基本内容及要求其他：Block"/>
            <w:bookmarkEnd w:id="23"/>
            <w:bookmarkStart w:id="24" w:name="招标项目基本内容及要求：Block"/>
            <w:bookmarkEnd w:id="24"/>
            <w:bookmarkStart w:id="25" w:name="sys_招标项目基本内容及要求：Block"/>
            <w:bookmarkEnd w:id="25"/>
            <w:bookmarkStart w:id="26" w:name="招标项目基本内容及要求其他：Block"/>
            <w:bookmarkEnd w:id="26"/>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联系人：</w:t>
            </w:r>
            <w:r>
              <w:rPr>
                <w:rFonts w:hint="eastAsia" w:ascii="宋体" w:hAnsi="宋体" w:cs="宋体"/>
                <w:color w:val="auto"/>
                <w:highlight w:val="none"/>
                <w:lang w:eastAsia="zh-CN"/>
              </w:rPr>
              <w:t>高女士</w:t>
            </w:r>
          </w:p>
          <w:p>
            <w:pPr>
              <w:spacing w:line="300" w:lineRule="exact"/>
              <w:rPr>
                <w:rFonts w:hint="default" w:ascii="宋体" w:hAnsi="宋体" w:eastAsia="宋体" w:cs="宋体"/>
                <w:color w:val="auto"/>
                <w:kern w:val="0"/>
                <w:highlight w:val="none"/>
                <w:lang w:val="en-US" w:eastAsia="zh-CN"/>
              </w:rPr>
            </w:pPr>
            <w:r>
              <w:rPr>
                <w:rFonts w:hint="eastAsia" w:ascii="宋体" w:hAnsi="宋体" w:eastAsia="宋体" w:cs="宋体"/>
                <w:color w:val="auto"/>
                <w:highlight w:val="none"/>
              </w:rPr>
              <w:t>电话：0451-53611</w:t>
            </w:r>
            <w:r>
              <w:rPr>
                <w:rFonts w:hint="eastAsia" w:ascii="宋体" w:hAnsi="宋体" w:cs="宋体"/>
                <w:color w:val="auto"/>
                <w:highlight w:val="none"/>
                <w:lang w:val="en-US" w:eastAsia="zh-CN"/>
              </w:rPr>
              <w:t>260</w:t>
            </w:r>
          </w:p>
        </w:tc>
      </w:tr>
      <w:tr>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CellMar>
            <w:top w:w="0" w:type="dxa"/>
            <w:left w:w="108" w:type="dxa"/>
            <w:bottom w:w="0" w:type="dxa"/>
            <w:right w:w="108" w:type="dxa"/>
          </w:tblCellMar>
        </w:tblPrEx>
        <w:trPr>
          <w:trHeight w:val="613"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color w:val="auto"/>
                <w:lang w:val="en-US" w:eastAsia="zh-CN"/>
              </w:rPr>
            </w:pPr>
            <w:r>
              <w:rPr>
                <w:rFonts w:hint="eastAsia" w:ascii="Times New Roman" w:hAnsi="Times New Roman" w:eastAsia="宋体" w:cs="Times New Roman"/>
                <w:color w:val="auto"/>
                <w:lang w:val="en-US" w:eastAsia="zh-CN"/>
              </w:rPr>
              <w:t>第四包：48.125万元</w:t>
            </w:r>
            <w:r>
              <w:rPr>
                <w:rFonts w:hint="eastAsia" w:ascii="宋体" w:hAnsi="宋体" w:cs="宋体"/>
                <w:color w:val="auto"/>
                <w:highlight w:val="none"/>
                <w:lang w:val="en-US" w:eastAsia="zh-CN"/>
              </w:rPr>
              <w:t>/年</w:t>
            </w:r>
          </w:p>
        </w:tc>
      </w:tr>
      <w:tr>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第四包：20000元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cs="宋体"/>
                <w:color w:val="auto"/>
                <w:highlight w:val="none"/>
                <w:lang w:val="en-US" w:eastAsia="zh-CN"/>
              </w:rPr>
              <w:t>每包</w:t>
            </w:r>
            <w:r>
              <w:rPr>
                <w:rFonts w:hint="eastAsia" w:ascii="宋体" w:hAnsi="宋体" w:eastAsia="宋体" w:cs="宋体"/>
                <w:color w:val="auto"/>
                <w:kern w:val="0"/>
                <w:highlight w:val="none"/>
              </w:rPr>
              <w:t>不低于3名</w:t>
            </w:r>
          </w:p>
        </w:tc>
      </w:tr>
      <w:tr>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w:t>
            </w:r>
            <w:r>
              <w:rPr>
                <w:rFonts w:hint="eastAsia" w:ascii="宋体" w:hAnsi="宋体" w:cs="宋体"/>
                <w:color w:val="auto"/>
                <w:highlight w:val="none"/>
                <w:lang w:val="en-US" w:eastAsia="zh-CN"/>
              </w:rPr>
              <w:t>每包</w:t>
            </w:r>
            <w:r>
              <w:rPr>
                <w:rFonts w:hint="eastAsia" w:ascii="宋体" w:hAnsi="宋体" w:eastAsia="宋体" w:cs="宋体"/>
                <w:color w:val="auto"/>
                <w:highlight w:val="none"/>
              </w:rPr>
              <w:t>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w:t>
            </w:r>
            <w:r>
              <w:rPr>
                <w:rFonts w:hint="eastAsia" w:ascii="宋体" w:hAnsi="宋体" w:cs="宋体"/>
                <w:color w:val="auto"/>
                <w:highlight w:val="none"/>
                <w:lang w:val="en-US" w:eastAsia="zh-CN"/>
              </w:rPr>
              <w:t>年</w:t>
            </w:r>
            <w:r>
              <w:rPr>
                <w:rFonts w:hint="eastAsia" w:ascii="宋体" w:hAnsi="宋体" w:eastAsia="宋体" w:cs="宋体"/>
                <w:color w:val="auto"/>
                <w:highlight w:val="none"/>
              </w:rPr>
              <w:t>中标</w:t>
            </w:r>
            <w:r>
              <w:rPr>
                <w:rFonts w:hint="eastAsia" w:ascii="宋体" w:hAnsi="宋体" w:eastAsia="宋体" w:cs="宋体"/>
                <w:color w:val="auto"/>
                <w:highlight w:val="none"/>
                <w:lang w:val="en-US" w:eastAsia="zh-CN"/>
              </w:rPr>
              <w:t>金额</w:t>
            </w:r>
            <w:r>
              <w:rPr>
                <w:rFonts w:hint="eastAsia" w:ascii="宋体" w:hAnsi="宋体" w:cs="宋体"/>
                <w:color w:val="auto"/>
                <w:highlight w:val="none"/>
                <w:lang w:val="en-US" w:eastAsia="zh-CN"/>
              </w:rPr>
              <w:t>乘以三年</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w:t>
            </w:r>
            <w:r>
              <w:rPr>
                <w:rFonts w:hint="eastAsia" w:ascii="宋体" w:hAnsi="宋体" w:cs="宋体"/>
                <w:color w:val="auto"/>
                <w:highlight w:val="none"/>
                <w:lang w:eastAsia="zh-CN"/>
              </w:rPr>
              <w:t>质</w:t>
            </w:r>
            <w:r>
              <w:rPr>
                <w:rFonts w:hint="eastAsia" w:ascii="宋体" w:hAnsi="宋体" w:eastAsia="宋体" w:cs="宋体"/>
                <w:color w:val="auto"/>
                <w:highlight w:val="none"/>
              </w:rPr>
              <w:t>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4"/>
        <w:adjustRightInd w:val="0"/>
        <w:snapToGrid w:val="0"/>
        <w:rPr>
          <w:rStyle w:val="38"/>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7" w:name="_Toc30384_WPSOffice_Level2"/>
      <w:r>
        <w:rPr>
          <w:rStyle w:val="38"/>
          <w:rFonts w:hint="eastAsia" w:ascii="宋体" w:hAnsi="宋体" w:eastAsia="宋体" w:cs="宋体"/>
          <w:color w:val="auto"/>
          <w:highlight w:val="none"/>
        </w:rPr>
        <w:t>二 总则</w:t>
      </w:r>
      <w:bookmarkEnd w:id="27"/>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4"/>
        <w:jc w:val="left"/>
        <w:rPr>
          <w:rFonts w:hint="eastAsia" w:ascii="宋体" w:hAnsi="宋体" w:eastAsia="宋体" w:cs="宋体"/>
          <w:color w:val="auto"/>
          <w:highlight w:val="none"/>
        </w:rPr>
      </w:pPr>
      <w:bookmarkStart w:id="28" w:name="_Toc266951048"/>
      <w:r>
        <w:rPr>
          <w:rFonts w:hint="eastAsia" w:ascii="宋体" w:hAnsi="宋体" w:eastAsia="宋体" w:cs="宋体"/>
          <w:color w:val="auto"/>
          <w:highlight w:val="none"/>
        </w:rPr>
        <w:t>3.语言文字</w:t>
      </w:r>
      <w:bookmarkEnd w:id="28"/>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4"/>
        <w:jc w:val="left"/>
        <w:rPr>
          <w:rFonts w:hint="eastAsia" w:ascii="宋体" w:hAnsi="宋体" w:eastAsia="宋体" w:cs="宋体"/>
          <w:color w:val="auto"/>
          <w:highlight w:val="none"/>
        </w:rPr>
      </w:pPr>
      <w:bookmarkStart w:id="29" w:name="_1.8_计量单位"/>
      <w:bookmarkEnd w:id="29"/>
      <w:bookmarkStart w:id="30" w:name="_Toc266951049"/>
      <w:r>
        <w:rPr>
          <w:rFonts w:hint="eastAsia" w:ascii="宋体" w:hAnsi="宋体" w:eastAsia="宋体" w:cs="宋体"/>
          <w:color w:val="auto"/>
          <w:highlight w:val="none"/>
        </w:rPr>
        <w:t>★4.</w:t>
      </w:r>
      <w:bookmarkEnd w:id="30"/>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1" w:name="_1.10_投标预备会"/>
      <w:bookmarkEnd w:id="31"/>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2"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2"/>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3"/>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4"/>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4"/>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4"/>
        <w:rPr>
          <w:rFonts w:hint="eastAsia" w:ascii="宋体" w:hAnsi="宋体" w:eastAsia="宋体" w:cs="宋体"/>
          <w:color w:val="auto"/>
          <w:highlight w:val="none"/>
        </w:rPr>
      </w:pPr>
      <w:bookmarkStart w:id="33" w:name="_Toc10106_WPSOffice_Level2"/>
    </w:p>
    <w:p>
      <w:pPr>
        <w:pStyle w:val="4"/>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3"/>
    </w:p>
    <w:p>
      <w:pPr>
        <w:pStyle w:val="4"/>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4" w:name="_Toc24604_WPSOffice_Level2"/>
      <w:bookmarkStart w:id="35" w:name="_Toc25935_WPSOffice_Level2"/>
      <w:bookmarkStart w:id="36" w:name="_Toc188_WPSOffice_Level2"/>
      <w:bookmarkStart w:id="37" w:name="_Toc4961_WPSOffice_Level2"/>
      <w:r>
        <w:rPr>
          <w:rFonts w:hint="eastAsia" w:ascii="宋体" w:hAnsi="宋体" w:eastAsia="宋体" w:cs="宋体"/>
          <w:color w:val="auto"/>
          <w:highlight w:val="none"/>
        </w:rPr>
        <w:t>供应商须知</w:t>
      </w:r>
      <w:bookmarkEnd w:id="34"/>
      <w:bookmarkEnd w:id="35"/>
      <w:bookmarkEnd w:id="36"/>
      <w:bookmarkEnd w:id="37"/>
    </w:p>
    <w:p>
      <w:pPr>
        <w:adjustRightInd w:val="0"/>
        <w:snapToGrid w:val="0"/>
        <w:ind w:firstLine="420" w:firstLineChars="200"/>
        <w:rPr>
          <w:rFonts w:hint="eastAsia" w:ascii="宋体" w:hAnsi="宋体" w:eastAsia="宋体" w:cs="宋体"/>
          <w:color w:val="auto"/>
          <w:highlight w:val="none"/>
        </w:rPr>
      </w:pPr>
      <w:bookmarkStart w:id="38" w:name="_Toc13276_WPSOffice_Level2"/>
      <w:bookmarkStart w:id="39" w:name="_Toc32235_WPSOffice_Level2"/>
      <w:bookmarkStart w:id="40" w:name="_Toc2443_WPSOffice_Level2"/>
      <w:bookmarkStart w:id="41" w:name="_Toc31424_WPSOffice_Level2"/>
      <w:r>
        <w:rPr>
          <w:rFonts w:hint="eastAsia" w:ascii="宋体" w:hAnsi="宋体" w:eastAsia="宋体" w:cs="宋体"/>
          <w:color w:val="auto"/>
          <w:highlight w:val="none"/>
        </w:rPr>
        <w:t>第二章 投标文件内容及格式</w:t>
      </w:r>
      <w:bookmarkEnd w:id="38"/>
      <w:bookmarkEnd w:id="39"/>
      <w:bookmarkEnd w:id="40"/>
      <w:bookmarkEnd w:id="41"/>
    </w:p>
    <w:p>
      <w:pPr>
        <w:adjustRightInd w:val="0"/>
        <w:snapToGrid w:val="0"/>
        <w:ind w:firstLine="420" w:firstLineChars="200"/>
        <w:rPr>
          <w:rFonts w:hint="eastAsia" w:ascii="宋体" w:hAnsi="宋体" w:eastAsia="宋体" w:cs="宋体"/>
          <w:color w:val="auto"/>
          <w:highlight w:val="none"/>
        </w:rPr>
      </w:pPr>
      <w:bookmarkStart w:id="42" w:name="_Toc16269_WPSOffice_Level2"/>
      <w:bookmarkStart w:id="43" w:name="_Toc4416_WPSOffice_Level2"/>
      <w:bookmarkStart w:id="44" w:name="_Toc7005_WPSOffice_Level2"/>
      <w:bookmarkStart w:id="45" w:name="_Toc24836_WPSOffice_Level2"/>
      <w:r>
        <w:rPr>
          <w:rFonts w:hint="eastAsia" w:ascii="宋体" w:hAnsi="宋体" w:eastAsia="宋体" w:cs="宋体"/>
          <w:color w:val="auto"/>
          <w:highlight w:val="none"/>
        </w:rPr>
        <w:t>第三章 服务需求</w:t>
      </w:r>
      <w:bookmarkEnd w:id="42"/>
      <w:bookmarkEnd w:id="43"/>
      <w:bookmarkEnd w:id="44"/>
      <w:bookmarkEnd w:id="45"/>
    </w:p>
    <w:p>
      <w:pPr>
        <w:adjustRightInd w:val="0"/>
        <w:snapToGrid w:val="0"/>
        <w:ind w:firstLine="420" w:firstLineChars="200"/>
        <w:rPr>
          <w:rFonts w:hint="eastAsia" w:ascii="宋体" w:hAnsi="宋体" w:eastAsia="宋体" w:cs="宋体"/>
          <w:color w:val="auto"/>
          <w:highlight w:val="none"/>
        </w:rPr>
      </w:pPr>
      <w:bookmarkStart w:id="46" w:name="_Toc16294_WPSOffice_Level2"/>
      <w:bookmarkStart w:id="47" w:name="_Toc23459_WPSOffice_Level2"/>
      <w:bookmarkStart w:id="48" w:name="_Toc16119_WPSOffice_Level2"/>
      <w:bookmarkStart w:id="49" w:name="_Toc25382_WPSOffice_Level2"/>
      <w:r>
        <w:rPr>
          <w:rFonts w:hint="eastAsia" w:ascii="宋体" w:hAnsi="宋体" w:eastAsia="宋体" w:cs="宋体"/>
          <w:color w:val="auto"/>
          <w:highlight w:val="none"/>
        </w:rPr>
        <w:t>第四章 评标方法</w:t>
      </w:r>
      <w:bookmarkEnd w:id="46"/>
      <w:bookmarkEnd w:id="47"/>
      <w:bookmarkEnd w:id="48"/>
      <w:bookmarkEnd w:id="49"/>
    </w:p>
    <w:p>
      <w:pPr>
        <w:adjustRightInd w:val="0"/>
        <w:snapToGrid w:val="0"/>
        <w:ind w:firstLine="420" w:firstLineChars="200"/>
        <w:rPr>
          <w:rFonts w:hint="eastAsia" w:ascii="宋体" w:hAnsi="宋体" w:eastAsia="宋体" w:cs="宋体"/>
          <w:color w:val="auto"/>
          <w:highlight w:val="none"/>
        </w:rPr>
      </w:pPr>
      <w:bookmarkStart w:id="50" w:name="_Toc9629_WPSOffice_Level2"/>
      <w:bookmarkStart w:id="51" w:name="_Toc16368_WPSOffice_Level2"/>
      <w:bookmarkStart w:id="52" w:name="_Toc17794_WPSOffice_Level2"/>
      <w:bookmarkStart w:id="53" w:name="_Toc28106_WPSOffice_Level2"/>
      <w:r>
        <w:rPr>
          <w:rFonts w:hint="eastAsia" w:ascii="宋体" w:hAnsi="宋体" w:eastAsia="宋体" w:cs="宋体"/>
          <w:color w:val="auto"/>
          <w:highlight w:val="none"/>
        </w:rPr>
        <w:t>第五章 政府采购合同</w:t>
      </w:r>
      <w:bookmarkEnd w:id="50"/>
      <w:bookmarkEnd w:id="51"/>
      <w:bookmarkEnd w:id="52"/>
      <w:bookmarkEnd w:id="53"/>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4"/>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4"/>
        <w:rPr>
          <w:rFonts w:hint="eastAsia" w:ascii="宋体" w:hAnsi="宋体" w:eastAsia="宋体" w:cs="宋体"/>
          <w:color w:val="auto"/>
          <w:highlight w:val="none"/>
        </w:rPr>
      </w:pPr>
      <w:bookmarkStart w:id="54" w:name="_Toc7415_WPSOffice_Level2"/>
      <w:r>
        <w:rPr>
          <w:rFonts w:hint="eastAsia" w:ascii="宋体" w:hAnsi="宋体" w:eastAsia="宋体" w:cs="宋体"/>
          <w:color w:val="auto"/>
          <w:highlight w:val="none"/>
        </w:rPr>
        <w:t>四</w:t>
      </w:r>
      <w:r>
        <w:rPr>
          <w:rFonts w:hint="eastAsia" w:ascii="宋体" w:hAnsi="宋体" w:eastAsia="宋体" w:cs="宋体"/>
          <w:color w:val="auto"/>
          <w:highlight w:val="none"/>
          <w:lang w:val="en-US" w:eastAsia="zh-CN"/>
        </w:rPr>
        <w:t xml:space="preserve"> </w:t>
      </w:r>
      <w:r>
        <w:rPr>
          <w:rFonts w:hint="eastAsia" w:ascii="宋体" w:hAnsi="宋体" w:eastAsia="宋体" w:cs="宋体"/>
          <w:color w:val="auto"/>
          <w:highlight w:val="none"/>
        </w:rPr>
        <w:t>投标文件的编制</w:t>
      </w:r>
      <w:bookmarkEnd w:id="54"/>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5" w:name="_Toc31973_WPSOffice_Level2"/>
      <w:bookmarkStart w:id="56" w:name="_Toc22507_WPSOffice_Level2"/>
      <w:r>
        <w:rPr>
          <w:rFonts w:hint="eastAsia" w:ascii="宋体" w:hAnsi="宋体" w:eastAsia="宋体" w:cs="宋体"/>
          <w:color w:val="auto"/>
          <w:highlight w:val="none"/>
        </w:rPr>
        <w:t>12.5除非招标文件另有规定，报价原则上精确到小数点后两位。</w:t>
      </w:r>
      <w:bookmarkEnd w:id="55"/>
      <w:bookmarkEnd w:id="56"/>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4"/>
        <w:rPr>
          <w:rFonts w:hint="eastAsia" w:ascii="宋体" w:hAnsi="宋体" w:eastAsia="宋体" w:cs="宋体"/>
          <w:color w:val="auto"/>
          <w:highlight w:val="none"/>
        </w:rPr>
      </w:pPr>
      <w:bookmarkStart w:id="57" w:name="_Toc27725_WPSOffice_Level2"/>
      <w:r>
        <w:rPr>
          <w:rFonts w:hint="eastAsia" w:ascii="宋体" w:hAnsi="宋体" w:eastAsia="宋体" w:cs="宋体"/>
          <w:color w:val="auto"/>
          <w:highlight w:val="none"/>
        </w:rPr>
        <w:t>五 投标文件的递交</w:t>
      </w:r>
      <w:bookmarkEnd w:id="57"/>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4"/>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4"/>
        <w:rPr>
          <w:rFonts w:hint="eastAsia" w:ascii="宋体" w:hAnsi="宋体" w:eastAsia="宋体" w:cs="宋体"/>
          <w:color w:val="auto"/>
          <w:highlight w:val="none"/>
        </w:rPr>
      </w:pPr>
      <w:bookmarkStart w:id="58" w:name="_Toc988_WPSOffice_Level2"/>
      <w:r>
        <w:rPr>
          <w:rFonts w:hint="eastAsia" w:ascii="宋体" w:hAnsi="宋体" w:eastAsia="宋体" w:cs="宋体"/>
          <w:color w:val="auto"/>
          <w:highlight w:val="none"/>
        </w:rPr>
        <w:t>六 开标及评标</w:t>
      </w:r>
      <w:bookmarkEnd w:id="58"/>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9" w:name="_Hlk77063627"/>
      <w:r>
        <w:rPr>
          <w:rFonts w:hint="eastAsia" w:ascii="宋体" w:hAnsi="宋体" w:eastAsia="宋体" w:cs="宋体"/>
          <w:color w:val="auto"/>
          <w:highlight w:val="none"/>
        </w:rPr>
        <w:t>评标委员会组建后，</w:t>
      </w:r>
      <w:bookmarkEnd w:id="59"/>
      <w:r>
        <w:rPr>
          <w:rFonts w:hint="eastAsia" w:ascii="宋体" w:hAnsi="宋体" w:eastAsia="宋体" w:cs="宋体"/>
          <w:color w:val="auto"/>
          <w:highlight w:val="none"/>
        </w:rPr>
        <w:t>评标委员会成员共同推选组长，组长负责组织评标工作，采购人代表不得担任组长。</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2"/>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0"/>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4"/>
        <w:rPr>
          <w:rFonts w:hint="eastAsia" w:ascii="宋体" w:hAnsi="宋体" w:eastAsia="宋体" w:cs="宋体"/>
          <w:color w:val="auto"/>
          <w:highlight w:val="none"/>
        </w:rPr>
      </w:pPr>
      <w:bookmarkStart w:id="60" w:name="_Toc4544_WPSOffice_Level2"/>
      <w:r>
        <w:rPr>
          <w:rFonts w:hint="eastAsia" w:ascii="宋体" w:hAnsi="宋体" w:eastAsia="宋体" w:cs="宋体"/>
          <w:color w:val="auto"/>
          <w:highlight w:val="none"/>
        </w:rPr>
        <w:t>七 确定中标</w:t>
      </w:r>
      <w:bookmarkEnd w:id="60"/>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1" w:name="_Hlk77150539"/>
      <w:r>
        <w:rPr>
          <w:rFonts w:hint="eastAsia" w:ascii="宋体" w:hAnsi="宋体" w:eastAsia="宋体" w:cs="宋体"/>
          <w:color w:val="auto"/>
          <w:highlight w:val="none"/>
        </w:rPr>
        <w:t>详见中国政府采购网或</w:t>
      </w:r>
      <w:bookmarkEnd w:id="61"/>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4"/>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3"/>
        <w:rPr>
          <w:rFonts w:hint="eastAsia" w:ascii="宋体" w:hAnsi="宋体" w:eastAsia="宋体" w:cs="宋体"/>
          <w:color w:val="auto"/>
          <w:highlight w:val="none"/>
        </w:rPr>
      </w:pPr>
      <w:bookmarkStart w:id="62" w:name="_Toc17725_WPSOffice_Level1"/>
      <w:bookmarkStart w:id="63" w:name="_Toc78902192"/>
      <w:bookmarkStart w:id="64" w:name="_Toc29813"/>
      <w:r>
        <w:rPr>
          <w:rFonts w:hint="eastAsia" w:ascii="宋体" w:hAnsi="宋体" w:eastAsia="宋体" w:cs="宋体"/>
          <w:color w:val="auto"/>
          <w:highlight w:val="none"/>
        </w:rPr>
        <w:t>第二章 投标文件内容及格式</w:t>
      </w:r>
      <w:bookmarkEnd w:id="62"/>
      <w:bookmarkEnd w:id="63"/>
      <w:bookmarkEnd w:id="64"/>
    </w:p>
    <w:p>
      <w:pPr>
        <w:pStyle w:val="5"/>
        <w:rPr>
          <w:rFonts w:hint="eastAsia" w:ascii="宋体" w:hAnsi="宋体" w:eastAsia="宋体" w:cs="宋体"/>
          <w:color w:val="auto"/>
          <w:highlight w:val="none"/>
        </w:rPr>
      </w:pPr>
      <w:bookmarkStart w:id="65" w:name="投标文件内容及格式：Block"/>
      <w:bookmarkEnd w:id="65"/>
      <w:bookmarkStart w:id="66" w:name="sys_投标文件内容及格式：Block"/>
      <w:bookmarkEnd w:id="66"/>
      <w:bookmarkStart w:id="67" w:name="_Toc2481_WPSOffice_Level2"/>
      <w:bookmarkStart w:id="68" w:name="_Toc1538_WPSOffice_Level2"/>
      <w:r>
        <w:rPr>
          <w:rFonts w:hint="eastAsia" w:ascii="宋体" w:hAnsi="宋体" w:eastAsia="宋体" w:cs="宋体"/>
          <w:color w:val="auto"/>
          <w:highlight w:val="none"/>
        </w:rPr>
        <w:t>一、投标文件、电子文档的外封面、封口、封皮及目录</w:t>
      </w:r>
      <w:bookmarkEnd w:id="67"/>
      <w:bookmarkEnd w:id="68"/>
    </w:p>
    <w:tbl>
      <w:tblPr>
        <w:tblStyle w:val="2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6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6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6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4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6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52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5"/>
        <w:rPr>
          <w:rFonts w:hint="eastAsia" w:ascii="宋体" w:hAnsi="宋体" w:eastAsia="宋体" w:cs="宋体"/>
          <w:b/>
          <w:color w:val="auto"/>
          <w:highlight w:val="none"/>
        </w:rPr>
      </w:pPr>
      <w:bookmarkStart w:id="69" w:name="_Toc31052_WPSOffice_Level2"/>
      <w:bookmarkStart w:id="70" w:name="_Toc1266_WPSOffice_Level2"/>
      <w:r>
        <w:rPr>
          <w:rFonts w:hint="eastAsia" w:ascii="宋体" w:hAnsi="宋体" w:eastAsia="宋体" w:cs="宋体"/>
          <w:color w:val="auto"/>
          <w:highlight w:val="none"/>
        </w:rPr>
        <w:t>二、资格证明材料</w:t>
      </w:r>
      <w:bookmarkEnd w:id="69"/>
      <w:bookmarkEnd w:id="70"/>
      <w:r>
        <w:rPr>
          <w:rFonts w:hint="eastAsia" w:ascii="宋体" w:hAnsi="宋体" w:eastAsia="宋体" w:cs="宋体"/>
          <w:color w:val="auto"/>
          <w:highlight w:val="none"/>
        </w:rPr>
        <w:t>（有一项不符合要求，不能进入下一阶段评审）</w:t>
      </w:r>
    </w:p>
    <w:tbl>
      <w:tblPr>
        <w:tblStyle w:val="27"/>
        <w:tblW w:w="4997" w:type="pct"/>
        <w:jc w:val="center"/>
        <w:tblLayout w:type="autofit"/>
        <w:tblCellMar>
          <w:top w:w="0" w:type="dxa"/>
          <w:left w:w="0" w:type="dxa"/>
          <w:bottom w:w="0" w:type="dxa"/>
          <w:right w:w="0" w:type="dxa"/>
        </w:tblCellMar>
      </w:tblPr>
      <w:tblGrid>
        <w:gridCol w:w="737"/>
        <w:gridCol w:w="7711"/>
        <w:gridCol w:w="834"/>
      </w:tblGrid>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1" w:name="资格性证明材料：Document"/>
            <w:bookmarkStart w:id="72" w:name="sys_资格性证明材料：Document"/>
            <w:r>
              <w:rPr>
                <w:rFonts w:hint="eastAsia" w:ascii="宋体" w:hAnsi="宋体" w:eastAsia="宋体" w:cs="宋体"/>
                <w:color w:val="auto"/>
                <w:highlight w:val="none"/>
              </w:rPr>
              <w:t>序号</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CellMar>
            <w:top w:w="0" w:type="dxa"/>
            <w:left w:w="0" w:type="dxa"/>
            <w:bottom w:w="0" w:type="dxa"/>
            <w:right w:w="0" w:type="dxa"/>
          </w:tblCellMar>
        </w:tblPrEx>
        <w:trPr>
          <w:trHeight w:val="113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cs="宋体"/>
                <w:color w:val="auto"/>
                <w:highlight w:val="none"/>
                <w:lang w:val="en-US" w:eastAsia="zh-CN"/>
              </w:rPr>
              <w:t>3</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CellMar>
            <w:top w:w="0" w:type="dxa"/>
            <w:left w:w="0" w:type="dxa"/>
            <w:bottom w:w="0" w:type="dxa"/>
            <w:right w:w="0" w:type="dxa"/>
          </w:tblCellMar>
        </w:tblPrEx>
        <w:trPr>
          <w:trHeight w:val="574"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CellMar>
            <w:top w:w="0" w:type="dxa"/>
            <w:left w:w="0" w:type="dxa"/>
            <w:bottom w:w="0" w:type="dxa"/>
            <w:right w:w="0" w:type="dxa"/>
          </w:tblCellMar>
        </w:tblPrEx>
        <w:trPr>
          <w:trHeight w:val="90"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CellMar>
            <w:top w:w="0" w:type="dxa"/>
            <w:left w:w="0" w:type="dxa"/>
            <w:bottom w:w="0" w:type="dxa"/>
            <w:right w:w="0" w:type="dxa"/>
          </w:tblCellMar>
        </w:tblPrEx>
        <w:trPr>
          <w:trHeight w:val="699" w:hRule="atLeast"/>
          <w:jc w:val="center"/>
        </w:trPr>
        <w:tc>
          <w:tcPr>
            <w:tcW w:w="397"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11</w:t>
            </w:r>
          </w:p>
        </w:tc>
        <w:tc>
          <w:tcPr>
            <w:tcW w:w="4152"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449" w:type="pct"/>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5"/>
        <w:rPr>
          <w:rFonts w:hint="eastAsia" w:ascii="宋体" w:hAnsi="宋体" w:eastAsia="宋体" w:cs="宋体"/>
          <w:b/>
          <w:color w:val="auto"/>
          <w:highlight w:val="none"/>
        </w:rPr>
      </w:pPr>
      <w:bookmarkStart w:id="73" w:name="_Toc25206_WPSOffice_Level2"/>
      <w:bookmarkStart w:id="74" w:name="_Toc22359_WPSOffice_Level2"/>
      <w:r>
        <w:rPr>
          <w:rFonts w:hint="eastAsia" w:ascii="宋体" w:hAnsi="宋体" w:eastAsia="宋体" w:cs="宋体"/>
          <w:color w:val="auto"/>
          <w:highlight w:val="none"/>
        </w:rPr>
        <w:t>三、符合性证明材料</w:t>
      </w:r>
      <w:bookmarkEnd w:id="73"/>
      <w:bookmarkEnd w:id="74"/>
      <w:r>
        <w:rPr>
          <w:rFonts w:hint="eastAsia" w:ascii="宋体" w:hAnsi="宋体" w:eastAsia="宋体" w:cs="宋体"/>
          <w:color w:val="auto"/>
          <w:highlight w:val="none"/>
        </w:rPr>
        <w:t>（有一项不符合要求，不能进入下一阶段评审）</w:t>
      </w:r>
    </w:p>
    <w:bookmarkEnd w:id="71"/>
    <w:bookmarkEnd w:id="72"/>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5" w:name="_Toc27769_WPSOffice_Level2"/>
            <w:bookmarkStart w:id="76" w:name="_Toc24432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5"/>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5"/>
      <w:bookmarkEnd w:id="76"/>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7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4085"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53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4085"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1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4085" w:type="pct"/>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1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4085"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1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377" w:type="pct"/>
            <w:vAlign w:val="center"/>
          </w:tcPr>
          <w:p>
            <w:pPr>
              <w:spacing w:line="300" w:lineRule="exact"/>
              <w:jc w:val="center"/>
              <w:rPr>
                <w:rFonts w:hint="eastAsia" w:ascii="宋体" w:hAnsi="宋体" w:eastAsia="宋体" w:cs="宋体"/>
                <w:color w:val="auto"/>
                <w:highlight w:val="none"/>
              </w:rPr>
            </w:pPr>
          </w:p>
        </w:tc>
        <w:tc>
          <w:tcPr>
            <w:tcW w:w="4085"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537" w:type="pct"/>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7" w:name="_Toc24011_WPSOffice_Level2"/>
      <w:bookmarkStart w:id="78" w:name="_Toc23127_WPSOffice_Level2"/>
      <w:r>
        <w:rPr>
          <w:rFonts w:hint="eastAsia" w:ascii="宋体" w:hAnsi="宋体" w:eastAsia="宋体" w:cs="宋体"/>
          <w:b/>
          <w:color w:val="auto"/>
          <w:highlight w:val="none"/>
        </w:rPr>
        <w:t>重要提示：</w:t>
      </w:r>
      <w:bookmarkEnd w:id="77"/>
      <w:bookmarkEnd w:id="78"/>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9"/>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bCs/>
          <w:color w:val="auto"/>
          <w:highlight w:val="none"/>
        </w:rPr>
        <w:t>格式1</w:t>
      </w:r>
    </w:p>
    <w:p>
      <w:pPr>
        <w:pStyle w:val="4"/>
        <w:spacing w:before="0" w:after="0"/>
        <w:rPr>
          <w:rFonts w:hint="eastAsia" w:ascii="宋体" w:hAnsi="宋体" w:eastAsia="宋体" w:cs="宋体"/>
          <w:b/>
          <w:bCs/>
          <w:color w:val="auto"/>
          <w:highlight w:val="none"/>
        </w:rPr>
      </w:pPr>
      <w:bookmarkStart w:id="79" w:name="_Toc21090_WPSOffice_Level2"/>
      <w:bookmarkStart w:id="80" w:name="_Toc26322_WPSOffice_Level2"/>
      <w:r>
        <w:rPr>
          <w:rFonts w:hint="eastAsia" w:ascii="宋体" w:hAnsi="宋体" w:eastAsia="宋体" w:cs="宋体"/>
          <w:color w:val="auto"/>
          <w:highlight w:val="none"/>
        </w:rPr>
        <w:t>投标文件、电子文档外封面、封口格式</w:t>
      </w:r>
      <w:bookmarkEnd w:id="79"/>
      <w:bookmarkEnd w:id="80"/>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7"/>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9"/>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格式2</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5"/>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9"/>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9"/>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1" w:name="_Toc2304_WPSOffice_Level2"/>
      <w:bookmarkStart w:id="82" w:name="_Toc21414_WPSOffice_Level2"/>
      <w:r>
        <w:rPr>
          <w:rFonts w:hint="eastAsia" w:ascii="宋体" w:hAnsi="宋体" w:eastAsia="宋体" w:cs="宋体"/>
          <w:color w:val="auto"/>
          <w:sz w:val="32"/>
          <w:szCs w:val="32"/>
          <w:highlight w:val="none"/>
        </w:rPr>
        <w:t>目  录</w:t>
      </w:r>
      <w:bookmarkEnd w:id="81"/>
      <w:bookmarkEnd w:id="82"/>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4"/>
        <w:adjustRightInd w:val="0"/>
        <w:snapToGrid w:val="0"/>
        <w:spacing w:before="0" w:after="0"/>
        <w:jc w:val="left"/>
        <w:outlineLvl w:val="0"/>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格式4</w:t>
      </w:r>
      <w:bookmarkStart w:id="83" w:name="_Toc3401_WPSOffice_Level2"/>
      <w:bookmarkStart w:id="84" w:name="_Toc16924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3"/>
      <w:bookmarkEnd w:id="84"/>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格式5</w:t>
      </w:r>
      <w:bookmarkStart w:id="85" w:name="_Toc21833_WPSOffice_Level2"/>
      <w:bookmarkStart w:id="86" w:name="_Toc122_WPSOffice_Level2"/>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5"/>
      <w:bookmarkEnd w:id="86"/>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5000" w:type="pct"/>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9"/>
          <w:rFonts w:hint="eastAsia" w:ascii="宋体" w:hAnsi="宋体" w:eastAsia="宋体" w:cs="宋体"/>
          <w:color w:val="auto"/>
          <w:highlight w:val="none"/>
        </w:rPr>
        <w:t>格式6</w:t>
      </w:r>
    </w:p>
    <w:p>
      <w:pPr>
        <w:pStyle w:val="5"/>
        <w:jc w:val="center"/>
        <w:rPr>
          <w:rFonts w:hint="eastAsia" w:ascii="宋体" w:hAnsi="宋体" w:eastAsia="宋体" w:cs="宋体"/>
          <w:color w:val="auto"/>
          <w:highlight w:val="none"/>
        </w:rPr>
      </w:pPr>
      <w:bookmarkStart w:id="87" w:name="_Toc23728_WPSOffice_Level2"/>
      <w:bookmarkStart w:id="88" w:name="_Toc12037_WPSOffice_Level2"/>
      <w:r>
        <w:rPr>
          <w:rFonts w:hint="eastAsia" w:ascii="宋体" w:hAnsi="宋体" w:eastAsia="宋体" w:cs="宋体"/>
          <w:color w:val="auto"/>
          <w:highlight w:val="none"/>
        </w:rPr>
        <w:t>具备履行合同所必需的设备和专业技术能力声明函</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2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7"/>
    <w:bookmarkEnd w:id="88"/>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4"/>
        <w:rPr>
          <w:rFonts w:hint="eastAsia" w:ascii="宋体" w:hAnsi="宋体" w:eastAsia="宋体" w:cs="宋体"/>
          <w:color w:val="auto"/>
          <w:highlight w:val="none"/>
        </w:rPr>
      </w:pPr>
      <w:bookmarkStart w:id="89" w:name="_Toc11967_WPSOffice_Level2"/>
      <w:bookmarkStart w:id="90" w:name="_Toc7498_WPSOffice_Level2"/>
      <w:r>
        <w:rPr>
          <w:rFonts w:hint="eastAsia" w:ascii="宋体" w:hAnsi="宋体" w:eastAsia="宋体" w:cs="宋体"/>
          <w:color w:val="auto"/>
          <w:highlight w:val="none"/>
        </w:rPr>
        <w:t>参加政府采购活动前3年内在经营活动中没有重大违法记录的书面声明</w:t>
      </w:r>
      <w:bookmarkEnd w:id="89"/>
      <w:bookmarkEnd w:id="90"/>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4"/>
        <w:rPr>
          <w:rFonts w:hint="eastAsia" w:ascii="宋体" w:hAnsi="宋体" w:eastAsia="宋体" w:cs="宋体"/>
          <w:color w:val="auto"/>
          <w:highlight w:val="none"/>
        </w:rPr>
      </w:pPr>
      <w:bookmarkStart w:id="91" w:name="_Toc30548_WPSOffice_Level2"/>
      <w:bookmarkStart w:id="92" w:name="_Toc16873_WPSOffice_Level2"/>
      <w:r>
        <w:rPr>
          <w:rFonts w:hint="eastAsia" w:ascii="宋体" w:hAnsi="宋体" w:eastAsia="宋体" w:cs="宋体"/>
          <w:color w:val="auto"/>
          <w:highlight w:val="none"/>
        </w:rPr>
        <w:t>联合体协议书</w:t>
      </w:r>
      <w:bookmarkEnd w:id="91"/>
      <w:bookmarkEnd w:id="92"/>
    </w:p>
    <w:p>
      <w:pPr>
        <w:pStyle w:val="15"/>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5"/>
        <w:ind w:firstLine="420" w:firstLineChars="200"/>
        <w:rPr>
          <w:rFonts w:hint="eastAsia" w:ascii="宋体" w:hAnsi="宋体" w:eastAsia="宋体" w:cs="宋体"/>
          <w:color w:val="auto"/>
          <w:highlight w:val="none"/>
          <w:u w:val="single"/>
        </w:rPr>
      </w:pPr>
      <w:bookmarkStart w:id="93" w:name="_Toc23749_WPSOffice_Level2"/>
      <w:bookmarkStart w:id="94" w:name="_Toc15561_WPSOffice_Level2"/>
      <w:r>
        <w:rPr>
          <w:rFonts w:hint="eastAsia" w:ascii="宋体" w:hAnsi="宋体" w:eastAsia="宋体" w:cs="宋体"/>
          <w:color w:val="auto"/>
          <w:highlight w:val="none"/>
        </w:rPr>
        <w:t>1.</w:t>
      </w:r>
      <w:bookmarkEnd w:id="93"/>
      <w:bookmarkEnd w:id="94"/>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5" w:name="_Toc405_WPSOffice_Level2"/>
      <w:bookmarkStart w:id="96" w:name="_Toc22173_WPSOffice_Level2"/>
      <w:r>
        <w:rPr>
          <w:rFonts w:hint="eastAsia" w:ascii="宋体" w:hAnsi="宋体" w:eastAsia="宋体" w:cs="宋体"/>
          <w:color w:val="auto"/>
          <w:highlight w:val="none"/>
        </w:rPr>
        <w:t>2.</w:t>
      </w:r>
      <w:bookmarkEnd w:id="95"/>
      <w:bookmarkEnd w:id="96"/>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bookmarkStart w:id="97" w:name="_Toc7084_WPSOffice_Level2"/>
      <w:bookmarkStart w:id="98" w:name="_Toc23482_WPSOffice_Level2"/>
      <w:r>
        <w:rPr>
          <w:rFonts w:hint="eastAsia" w:ascii="宋体" w:hAnsi="宋体" w:eastAsia="宋体" w:cs="宋体"/>
          <w:color w:val="auto"/>
          <w:highlight w:val="none"/>
        </w:rPr>
        <w:t>3.</w:t>
      </w:r>
      <w:bookmarkEnd w:id="97"/>
      <w:bookmarkEnd w:id="98"/>
      <w:r>
        <w:rPr>
          <w:rFonts w:hint="eastAsia" w:ascii="宋体" w:hAnsi="宋体" w:eastAsia="宋体" w:cs="宋体"/>
          <w:color w:val="auto"/>
          <w:highlight w:val="none"/>
          <w:u w:val="single"/>
        </w:rPr>
        <w:t xml:space="preserve">                  </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5"/>
        <w:ind w:firstLine="420" w:firstLineChars="200"/>
        <w:rPr>
          <w:rFonts w:hint="eastAsia" w:ascii="宋体" w:hAnsi="宋体" w:eastAsia="宋体" w:cs="宋体"/>
          <w:color w:val="auto"/>
          <w:highlight w:val="none"/>
        </w:rPr>
      </w:pP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5"/>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5"/>
        <w:ind w:firstLine="560"/>
        <w:rPr>
          <w:rFonts w:hint="eastAsia" w:ascii="宋体" w:hAnsi="宋体" w:eastAsia="宋体" w:cs="宋体"/>
          <w:color w:val="auto"/>
          <w:sz w:val="28"/>
          <w:szCs w:val="28"/>
          <w:highlight w:val="none"/>
        </w:rPr>
      </w:pP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5"/>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5"/>
        <w:ind w:firstLine="420" w:firstLineChars="200"/>
        <w:rPr>
          <w:rFonts w:hint="eastAsia" w:ascii="宋体" w:hAnsi="宋体" w:eastAsia="宋体"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4"/>
        <w:rPr>
          <w:rFonts w:hint="eastAsia" w:ascii="宋体" w:hAnsi="宋体" w:eastAsia="宋体" w:cs="宋体"/>
          <w:color w:val="auto"/>
          <w:highlight w:val="none"/>
        </w:rPr>
      </w:pPr>
      <w:bookmarkStart w:id="99" w:name="_Toc24841_WPSOffice_Level2"/>
      <w:bookmarkStart w:id="100" w:name="_Toc14782_WPSOffice_Level2"/>
      <w:r>
        <w:rPr>
          <w:rFonts w:hint="eastAsia" w:ascii="宋体" w:hAnsi="宋体" w:eastAsia="宋体" w:cs="宋体"/>
          <w:color w:val="auto"/>
          <w:highlight w:val="none"/>
        </w:rPr>
        <w:t>投标函</w:t>
      </w:r>
      <w:bookmarkEnd w:id="99"/>
      <w:bookmarkEnd w:id="100"/>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cs="宋体"/>
          <w:color w:val="auto"/>
          <w:highlight w:val="none"/>
          <w:u w:val="single"/>
          <w:lang w:val="en-US" w:eastAsia="zh-CN"/>
        </w:rPr>
        <w:t>如我方在多个包中标，优先选择的顺序为第 包→第 包</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5"/>
        <w:ind w:firstLine="420"/>
        <w:rPr>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格式10</w:t>
      </w:r>
    </w:p>
    <w:p>
      <w:pPr>
        <w:pStyle w:val="4"/>
        <w:rPr>
          <w:rFonts w:hint="eastAsia" w:ascii="宋体" w:hAnsi="宋体" w:eastAsia="宋体" w:cs="宋体"/>
          <w:b/>
          <w:bCs/>
          <w:color w:val="auto"/>
          <w:highlight w:val="none"/>
        </w:rPr>
      </w:pPr>
      <w:bookmarkStart w:id="101" w:name="_Toc11267_WPSOffice_Level2"/>
      <w:bookmarkStart w:id="102" w:name="_Toc2673_WPSOffice_Level2"/>
      <w:r>
        <w:rPr>
          <w:rFonts w:hint="eastAsia" w:ascii="宋体" w:hAnsi="宋体" w:eastAsia="宋体" w:cs="宋体"/>
          <w:color w:val="auto"/>
          <w:highlight w:val="none"/>
        </w:rPr>
        <w:t>开标一览表</w:t>
      </w:r>
      <w:bookmarkEnd w:id="101"/>
      <w:bookmarkEnd w:id="102"/>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868"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00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88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750"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84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64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868" w:type="pct"/>
            <w:vAlign w:val="center"/>
          </w:tcPr>
          <w:p>
            <w:pPr>
              <w:spacing w:line="300" w:lineRule="exact"/>
              <w:jc w:val="center"/>
              <w:rPr>
                <w:rFonts w:hint="eastAsia" w:ascii="宋体" w:hAnsi="宋体" w:eastAsia="宋体" w:cs="宋体"/>
                <w:color w:val="auto"/>
                <w:highlight w:val="none"/>
              </w:rPr>
            </w:pPr>
          </w:p>
        </w:tc>
        <w:tc>
          <w:tcPr>
            <w:tcW w:w="1004" w:type="pct"/>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886" w:type="pct"/>
            <w:vAlign w:val="center"/>
          </w:tcPr>
          <w:p>
            <w:pPr>
              <w:spacing w:line="300" w:lineRule="exact"/>
              <w:jc w:val="center"/>
              <w:rPr>
                <w:rFonts w:hint="eastAsia" w:ascii="宋体" w:hAnsi="宋体" w:eastAsia="宋体" w:cs="宋体"/>
                <w:color w:val="auto"/>
                <w:highlight w:val="none"/>
              </w:rPr>
            </w:pPr>
          </w:p>
        </w:tc>
        <w:tc>
          <w:tcPr>
            <w:tcW w:w="750" w:type="pct"/>
            <w:vAlign w:val="center"/>
          </w:tcPr>
          <w:p>
            <w:pPr>
              <w:spacing w:line="300" w:lineRule="exact"/>
              <w:jc w:val="center"/>
              <w:rPr>
                <w:rFonts w:hint="eastAsia" w:ascii="宋体" w:hAnsi="宋体" w:eastAsia="宋体" w:cs="宋体"/>
                <w:color w:val="auto"/>
                <w:highlight w:val="none"/>
              </w:rPr>
            </w:pPr>
          </w:p>
        </w:tc>
        <w:tc>
          <w:tcPr>
            <w:tcW w:w="847" w:type="pct"/>
            <w:vAlign w:val="center"/>
          </w:tcPr>
          <w:p>
            <w:pPr>
              <w:spacing w:line="300" w:lineRule="exact"/>
              <w:jc w:val="center"/>
              <w:rPr>
                <w:rFonts w:hint="eastAsia" w:ascii="宋体" w:hAnsi="宋体" w:eastAsia="宋体" w:cs="宋体"/>
                <w:color w:val="auto"/>
                <w:highlight w:val="none"/>
              </w:rPr>
            </w:pPr>
          </w:p>
        </w:tc>
        <w:tc>
          <w:tcPr>
            <w:tcW w:w="643" w:type="pct"/>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9"/>
          <w:rFonts w:hint="eastAsia" w:ascii="宋体" w:hAnsi="宋体" w:eastAsia="宋体" w:cs="宋体"/>
          <w:color w:val="auto"/>
          <w:highlight w:val="none"/>
        </w:rPr>
        <w:t>格式11</w:t>
      </w:r>
    </w:p>
    <w:p>
      <w:pPr>
        <w:pStyle w:val="4"/>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60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9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68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4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454"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448"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448"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45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53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609" w:type="pct"/>
            <w:vAlign w:val="center"/>
          </w:tcPr>
          <w:p>
            <w:pPr>
              <w:spacing w:line="300" w:lineRule="exact"/>
              <w:jc w:val="center"/>
              <w:rPr>
                <w:rFonts w:hint="eastAsia" w:ascii="宋体" w:hAnsi="宋体" w:eastAsia="宋体" w:cs="宋体"/>
                <w:color w:val="auto"/>
                <w:highlight w:val="none"/>
              </w:rPr>
            </w:pPr>
          </w:p>
        </w:tc>
        <w:tc>
          <w:tcPr>
            <w:tcW w:w="894" w:type="pct"/>
            <w:vAlign w:val="center"/>
          </w:tcPr>
          <w:p>
            <w:pPr>
              <w:spacing w:line="300" w:lineRule="exact"/>
              <w:jc w:val="center"/>
              <w:rPr>
                <w:rFonts w:hint="eastAsia" w:ascii="宋体" w:hAnsi="宋体" w:eastAsia="宋体" w:cs="宋体"/>
                <w:color w:val="auto"/>
                <w:highlight w:val="none"/>
              </w:rPr>
            </w:pP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1503" w:type="pct"/>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686" w:type="pct"/>
            <w:vAlign w:val="center"/>
          </w:tcPr>
          <w:p>
            <w:pPr>
              <w:spacing w:line="300" w:lineRule="exact"/>
              <w:jc w:val="center"/>
              <w:rPr>
                <w:rFonts w:hint="eastAsia" w:ascii="宋体" w:hAnsi="宋体" w:eastAsia="宋体" w:cs="宋体"/>
                <w:color w:val="auto"/>
                <w:highlight w:val="none"/>
              </w:rPr>
            </w:pPr>
          </w:p>
        </w:tc>
        <w:tc>
          <w:tcPr>
            <w:tcW w:w="472" w:type="pct"/>
            <w:vAlign w:val="center"/>
          </w:tcPr>
          <w:p>
            <w:pPr>
              <w:spacing w:line="300" w:lineRule="exact"/>
              <w:jc w:val="center"/>
              <w:rPr>
                <w:rFonts w:hint="eastAsia" w:ascii="宋体" w:hAnsi="宋体" w:eastAsia="宋体" w:cs="宋体"/>
                <w:color w:val="auto"/>
                <w:highlight w:val="none"/>
              </w:rPr>
            </w:pPr>
          </w:p>
        </w:tc>
        <w:tc>
          <w:tcPr>
            <w:tcW w:w="454"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48" w:type="pct"/>
            <w:vAlign w:val="center"/>
          </w:tcPr>
          <w:p>
            <w:pPr>
              <w:spacing w:line="300" w:lineRule="exact"/>
              <w:jc w:val="center"/>
              <w:rPr>
                <w:rFonts w:hint="eastAsia" w:ascii="宋体" w:hAnsi="宋体" w:eastAsia="宋体" w:cs="宋体"/>
                <w:color w:val="auto"/>
                <w:highlight w:val="none"/>
              </w:rPr>
            </w:pPr>
          </w:p>
        </w:tc>
        <w:tc>
          <w:tcPr>
            <w:tcW w:w="452" w:type="pct"/>
            <w:vAlign w:val="center"/>
          </w:tcPr>
          <w:p>
            <w:pPr>
              <w:spacing w:line="300" w:lineRule="exact"/>
              <w:jc w:val="center"/>
              <w:rPr>
                <w:rFonts w:hint="eastAsia" w:ascii="宋体" w:hAnsi="宋体" w:eastAsia="宋体" w:cs="宋体"/>
                <w:color w:val="auto"/>
                <w:highlight w:val="none"/>
              </w:rPr>
            </w:pPr>
          </w:p>
        </w:tc>
        <w:tc>
          <w:tcPr>
            <w:tcW w:w="532" w:type="pct"/>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4"/>
        <w:rPr>
          <w:rFonts w:hint="eastAsia" w:ascii="宋体" w:hAnsi="宋体" w:eastAsia="宋体" w:cs="宋体"/>
          <w:color w:val="auto"/>
          <w:highlight w:val="none"/>
        </w:rPr>
      </w:pPr>
      <w:bookmarkStart w:id="103" w:name="_Toc9235_WPSOffice_Level2"/>
      <w:bookmarkStart w:id="104" w:name="_Toc31555_WPSOffice_Level2"/>
      <w:r>
        <w:rPr>
          <w:rFonts w:hint="eastAsia" w:ascii="宋体" w:hAnsi="宋体" w:eastAsia="宋体" w:cs="宋体"/>
          <w:color w:val="auto"/>
          <w:highlight w:val="none"/>
        </w:rPr>
        <w:t>服务需求响应表</w:t>
      </w:r>
      <w:bookmarkEnd w:id="103"/>
      <w:bookmarkEnd w:id="104"/>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5000" w:type="pct"/>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1760"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231"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64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7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68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9"/>
          <w:rFonts w:hint="eastAsia" w:ascii="宋体" w:hAnsi="宋体" w:eastAsia="宋体" w:cs="宋体"/>
          <w:color w:val="auto"/>
          <w:highlight w:val="none"/>
        </w:rPr>
        <w:t>格式13</w:t>
      </w:r>
    </w:p>
    <w:p>
      <w:pPr>
        <w:pStyle w:val="4"/>
        <w:rPr>
          <w:rFonts w:hint="eastAsia" w:ascii="宋体" w:hAnsi="宋体" w:eastAsia="宋体" w:cs="宋体"/>
          <w:color w:val="auto"/>
          <w:highlight w:val="none"/>
        </w:rPr>
      </w:pPr>
      <w:bookmarkStart w:id="105" w:name="_Toc4431_WPSOffice_Level2"/>
      <w:bookmarkStart w:id="106" w:name="_Toc8488_WPSOffice_Level2"/>
      <w:r>
        <w:rPr>
          <w:rFonts w:hint="eastAsia" w:ascii="宋体" w:hAnsi="宋体" w:eastAsia="宋体" w:cs="宋体"/>
          <w:color w:val="auto"/>
          <w:highlight w:val="none"/>
        </w:rPr>
        <w:t>商务条款偏离表</w:t>
      </w:r>
      <w:bookmarkEnd w:id="105"/>
      <w:bookmarkEnd w:id="106"/>
    </w:p>
    <w:p>
      <w:pPr>
        <w:adjustRightInd w:val="0"/>
        <w:snapToGrid w:val="0"/>
        <w:ind w:right="105" w:rightChars="50" w:firstLine="479" w:firstLineChars="227"/>
        <w:jc w:val="center"/>
        <w:outlineLvl w:val="2"/>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0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1385"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589"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496"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w:t>
            </w:r>
            <w:r>
              <w:rPr>
                <w:rFonts w:hint="eastAsia" w:ascii="宋体" w:hAnsi="宋体" w:eastAsia="宋体" w:cs="宋体"/>
                <w:color w:val="auto"/>
                <w:highlight w:val="none"/>
                <w:lang w:val="en-US" w:eastAsia="zh-CN"/>
              </w:rPr>
              <w:t>自合同签字起生效，服务期限为一年。一年服务期满，根据《财政部关于推进和完善服务项目政府采购有关问题的通知》（财库【2014】37号)文件要求，采购结果最多3年沿用，合同一年一考核一续签，是否续签，由采购人视财政预算安排及供应商资质条件、服务质量、服务内容、服务满意度等绩效考核情况确定。</w:t>
            </w:r>
          </w:p>
        </w:tc>
        <w:tc>
          <w:tcPr>
            <w:tcW w:w="1385" w:type="pct"/>
            <w:vAlign w:val="center"/>
          </w:tcPr>
          <w:p>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1385" w:type="pct"/>
            <w:vAlign w:val="center"/>
          </w:tcPr>
          <w:p>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321"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1385" w:type="pct"/>
            <w:vAlign w:val="center"/>
          </w:tcPr>
          <w:p>
            <w:pPr>
              <w:adjustRightInd w:val="0"/>
              <w:snapToGrid w:val="0"/>
              <w:ind w:right="105" w:rightChars="50"/>
              <w:jc w:val="center"/>
              <w:rPr>
                <w:rFonts w:hint="eastAsia" w:ascii="宋体" w:hAnsi="宋体" w:eastAsia="宋体" w:cs="宋体"/>
                <w:color w:val="auto"/>
                <w:highlight w:val="none"/>
              </w:rPr>
            </w:pP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21" w:type="pct"/>
            <w:vAlign w:val="center"/>
          </w:tcPr>
          <w:p>
            <w:pPr>
              <w:spacing w:line="300" w:lineRule="exact"/>
              <w:jc w:val="center"/>
              <w:rPr>
                <w:rFonts w:hint="eastAsia" w:ascii="宋体" w:hAnsi="宋体" w:eastAsia="宋体" w:cs="宋体"/>
                <w:color w:val="auto"/>
                <w:highlight w:val="none"/>
              </w:rPr>
            </w:pPr>
          </w:p>
        </w:tc>
        <w:tc>
          <w:tcPr>
            <w:tcW w:w="220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1385"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589" w:type="pct"/>
            <w:vAlign w:val="center"/>
          </w:tcPr>
          <w:p>
            <w:pPr>
              <w:adjustRightInd w:val="0"/>
              <w:snapToGrid w:val="0"/>
              <w:ind w:right="105" w:rightChars="50"/>
              <w:jc w:val="center"/>
              <w:rPr>
                <w:rFonts w:hint="eastAsia" w:ascii="宋体" w:hAnsi="宋体" w:eastAsia="宋体" w:cs="宋体"/>
                <w:color w:val="auto"/>
                <w:highlight w:val="none"/>
              </w:rPr>
            </w:pPr>
          </w:p>
        </w:tc>
        <w:tc>
          <w:tcPr>
            <w:tcW w:w="496" w:type="pct"/>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5"/>
        <w:ind w:firstLine="420"/>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5"/>
        <w:ind w:firstLine="420"/>
        <w:rPr>
          <w:rFonts w:hint="eastAsia" w:ascii="宋体" w:hAnsi="宋体" w:eastAsia="宋体" w:cs="宋体"/>
          <w:color w:val="auto"/>
          <w:highlight w:val="none"/>
        </w:rPr>
      </w:pPr>
    </w:p>
    <w:p>
      <w:pPr>
        <w:ind w:firstLine="420" w:firstLineChars="200"/>
        <w:rPr>
          <w:rStyle w:val="39"/>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9"/>
          <w:rFonts w:hint="eastAsia" w:ascii="宋体" w:hAnsi="宋体" w:eastAsia="宋体" w:cs="宋体"/>
          <w:color w:val="auto"/>
          <w:highlight w:val="none"/>
        </w:rPr>
        <w:t>格式14</w:t>
      </w:r>
    </w:p>
    <w:p>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5"/>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5"/>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9"/>
          <w:rFonts w:hint="eastAsia" w:ascii="宋体" w:hAnsi="宋体" w:eastAsia="宋体" w:cs="宋体"/>
          <w:color w:val="auto"/>
          <w:highlight w:val="none"/>
        </w:rPr>
      </w:pPr>
      <w:r>
        <w:rPr>
          <w:rStyle w:val="39"/>
          <w:rFonts w:hint="eastAsia" w:ascii="宋体" w:hAnsi="宋体" w:eastAsia="宋体" w:cs="宋体"/>
          <w:color w:val="auto"/>
          <w:highlight w:val="none"/>
        </w:rPr>
        <w:br w:type="page"/>
      </w: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4"/>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21"/>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pPr>
    </w:p>
    <w:p>
      <w:pPr>
        <w:pStyle w:val="35"/>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5"/>
        <w:spacing w:before="0" w:after="0"/>
        <w:outlineLvl w:val="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4"/>
        <w:rPr>
          <w:rFonts w:hint="eastAsia" w:ascii="宋体" w:hAnsi="宋体" w:eastAsia="宋体" w:cs="宋体"/>
          <w:color w:val="auto"/>
          <w:szCs w:val="21"/>
          <w:highlight w:val="none"/>
        </w:rPr>
      </w:pPr>
      <w:bookmarkStart w:id="107" w:name="_Toc29880_WPSOffice_Level2"/>
      <w:bookmarkStart w:id="108" w:name="_Toc13566_WPSOffice_Level2"/>
      <w:r>
        <w:rPr>
          <w:rFonts w:hint="eastAsia" w:ascii="宋体" w:hAnsi="宋体" w:eastAsia="宋体" w:cs="宋体"/>
          <w:color w:val="auto"/>
          <w:highlight w:val="none"/>
        </w:rPr>
        <w:t>残疾人福利性单位声明函</w:t>
      </w:r>
      <w:bookmarkEnd w:id="107"/>
      <w:bookmarkEnd w:id="108"/>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7"/>
        <w:tblpPr w:leftFromText="180" w:rightFromText="180" w:vertAnchor="text" w:horzAnchor="page" w:tblpX="1873" w:tblpY="40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50"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95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85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85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807"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72"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50" w:type="pct"/>
            <w:vAlign w:val="center"/>
          </w:tcPr>
          <w:p>
            <w:pPr>
              <w:spacing w:line="300" w:lineRule="exact"/>
              <w:jc w:val="center"/>
              <w:rPr>
                <w:rFonts w:hint="eastAsia" w:ascii="宋体" w:hAnsi="宋体" w:eastAsia="宋体" w:cs="宋体"/>
                <w:color w:val="auto"/>
                <w:highlight w:val="none"/>
              </w:rPr>
            </w:pPr>
          </w:p>
        </w:tc>
        <w:tc>
          <w:tcPr>
            <w:tcW w:w="953"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57" w:type="pct"/>
            <w:vAlign w:val="center"/>
          </w:tcPr>
          <w:p>
            <w:pPr>
              <w:spacing w:line="300" w:lineRule="exact"/>
              <w:jc w:val="center"/>
              <w:rPr>
                <w:rFonts w:hint="eastAsia" w:ascii="宋体" w:hAnsi="宋体" w:eastAsia="宋体" w:cs="宋体"/>
                <w:color w:val="auto"/>
                <w:highlight w:val="none"/>
              </w:rPr>
            </w:pPr>
          </w:p>
        </w:tc>
        <w:tc>
          <w:tcPr>
            <w:tcW w:w="807" w:type="pct"/>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5000" w:type="pct"/>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5"/>
        <w:spacing w:before="0" w:after="0"/>
        <w:outlineLvl w:val="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4"/>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pStyle w:val="35"/>
        <w:ind w:firstLine="480"/>
        <w:rPr>
          <w:rFonts w:hint="eastAsia" w:ascii="宋体" w:hAnsi="宋体" w:eastAsia="宋体" w:cs="宋体"/>
          <w:color w:val="auto"/>
          <w:sz w:val="24"/>
          <w:szCs w:val="24"/>
          <w:highlight w:val="none"/>
        </w:rPr>
      </w:pPr>
    </w:p>
    <w:p>
      <w:pPr>
        <w:spacing w:before="200" w:after="200"/>
        <w:jc w:val="center"/>
        <w:outlineLvl w:val="0"/>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9" w:name="_Toc4498_WPSOffice_Level1"/>
      <w:bookmarkStart w:id="110" w:name="_Toc18902"/>
      <w:bookmarkStart w:id="111" w:name="_Toc78902193"/>
      <w:r>
        <w:rPr>
          <w:rStyle w:val="37"/>
          <w:rFonts w:hint="eastAsia" w:ascii="宋体" w:hAnsi="宋体" w:eastAsia="宋体" w:cs="宋体"/>
          <w:color w:val="auto"/>
          <w:highlight w:val="none"/>
        </w:rPr>
        <w:t>第三章 服务需求</w:t>
      </w:r>
      <w:bookmarkEnd w:id="109"/>
      <w:bookmarkEnd w:id="110"/>
      <w:bookmarkEnd w:id="111"/>
    </w:p>
    <w:p>
      <w:pPr>
        <w:pStyle w:val="12"/>
        <w:rPr>
          <w:rFonts w:hint="eastAsia" w:ascii="宋体" w:hAnsi="宋体" w:eastAsia="宋体" w:cs="宋体"/>
          <w:color w:val="auto"/>
          <w:kern w:val="2"/>
          <w:sz w:val="21"/>
          <w:szCs w:val="21"/>
          <w:lang w:val="en-US" w:eastAsia="zh-CN" w:bidi="ar-SA"/>
        </w:rPr>
      </w:pPr>
      <w:bookmarkStart w:id="112" w:name="_Toc78902194"/>
      <w:bookmarkStart w:id="113" w:name="_Toc2821_WPSOffice_Level1"/>
      <w:r>
        <w:rPr>
          <w:rFonts w:hint="eastAsia" w:ascii="宋体" w:hAnsi="宋体" w:eastAsia="宋体" w:cs="宋体"/>
          <w:color w:val="auto"/>
          <w:kern w:val="2"/>
          <w:sz w:val="21"/>
          <w:szCs w:val="21"/>
          <w:lang w:val="en-US" w:eastAsia="zh-CN" w:bidi="ar-SA"/>
        </w:rPr>
        <w:t>第四包：统一身份管理平台运维项目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一、项目概述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left"/>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（一）</w:t>
      </w:r>
      <w:r>
        <w:rPr>
          <w:rFonts w:hint="eastAsia" w:ascii="宋体" w:hAnsi="宋体" w:eastAsia="宋体" w:cs="宋体"/>
          <w:color w:val="auto"/>
          <w:sz w:val="21"/>
          <w:szCs w:val="21"/>
        </w:rPr>
        <w:t>项目背景</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为深入落实国家推进“互联网+政务服务”有关要求，推动发票电子化（金税四期）的建设，结合税收信息化发展规划，针对用户接入数量快速增长、方式多样化的特点和税务应用系统安全接入的需求，建设税务网络可信身份体系，按照总局统一规划部署，我省于2023年5月21日正式启用生产环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统一身份管理平台是贯彻落实《关于进一步深化税收征管改革的意见》的基础上，坚持统筹发展和安全，全面加强网络安全保障体系和能力建设，建成涵盖全面纵深防御、动态主动防护、智能指挥调度、协同联防联控的新一代网络安全防护体系。</w:t>
      </w:r>
      <w:r>
        <w:rPr>
          <w:rFonts w:hint="eastAsia" w:ascii="宋体" w:hAnsi="宋体" w:eastAsia="宋体" w:cs="宋体"/>
          <w:color w:val="auto"/>
          <w:sz w:val="21"/>
          <w:szCs w:val="21"/>
          <w:lang w:eastAsia="zh-CN"/>
        </w:rPr>
        <w:t>为确保金税四期统一身份管理平台平稳运行，需要组建相应专业团队进行全面保障，提供不少于</w:t>
      </w:r>
      <w:r>
        <w:rPr>
          <w:rFonts w:hint="eastAsia" w:ascii="宋体" w:hAnsi="宋体" w:eastAsia="宋体" w:cs="宋体"/>
          <w:color w:val="auto"/>
          <w:sz w:val="21"/>
          <w:szCs w:val="21"/>
          <w:lang w:val="en-US" w:eastAsia="zh-CN"/>
        </w:rPr>
        <w:t>3人的专业运维团队，服务期自合同签订日期起，期限为1年。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（二）</w:t>
      </w:r>
      <w:r>
        <w:rPr>
          <w:rFonts w:hint="eastAsia" w:ascii="宋体" w:hAnsi="宋体" w:eastAsia="宋体" w:cs="宋体"/>
          <w:color w:val="auto"/>
          <w:sz w:val="21"/>
          <w:szCs w:val="21"/>
        </w:rPr>
        <w:t>项目内容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val="en" w:eastAsia="zh-CN"/>
        </w:rPr>
        <w:t>项目目标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本项目目标是建立一个体系化、标准化且能支撑大规模信息化服务工作的信息安全管理体系，全面、有效实施信息化安全管理，保障黑龙江省税务局信息系统安全稳定运行。具体项目目标如下：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为黑龙江省税务局提供统一的信息安全服务，按照相关法律法规所规定的标准、规范和流程，通过现场和非现场以电话、网络等方式，及时解决信息系统在运行使用过程中出现的各类安全事件、系统故障和服务请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采购内容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不少于3人的专业运维团队，主要运维工作内容包括运行环境运维、系统集成服务和安全保障服务。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本项目服务期限为1年。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本项目的实施准备工作须在合同签订后3日内完成，并正式提供服务，投标人要有具体的项目交接方案以保证黑龙江省税务局统一身份管理平台顺畅运行以及各项信息安全服务工作有序开展。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标准规范</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所提供的各项服务内容必须完全符合本招标文件的服务指标要求和服务内容要求，符合国内和国际的相应标准、规范，符合国家税务总局的相关要求。投标人根据项目需求提供完整的本项目所需信息系统安全技术支持相关服务方案，相关方案必须满足但不限于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需具备完善的服务管理体系，遵循ISO20000、ITIL、ITSS技术服务标准，并遵循国家税务总局和黑龙江省税务局的管理规范，按照黑龙江省税务局要求定期提供运维文档，包括且不限于设备配置文档、监控巡检文档、健康检查文档、例行维护文档、故障管理文档、分析报告文档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 w:eastAsia="zh-CN"/>
        </w:rPr>
        <w:t>投标人须按照《中华人民共和国网络安全法》、《中华人民共和国数据安全法》、《国家信息化发展战略纲要》、《“十三五”国家信息化规划》和《国家标准化体系建设发展规划（2016—2020年）》、《信息安全技术网络安全等级保护基本要求》（GB/T22239-2019）中相关要求执行各项服务工作，同时须遵循以下原则：</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val="en" w:eastAsia="zh-CN"/>
        </w:rPr>
        <w:t>遵守法律、法规原则：投标人在服务过程中，应遵守国家制定的法律法规要求，以及国家税务总局和黑龙江省税务局指定的税务行业相关规范、要求；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val="en" w:eastAsia="zh-CN"/>
        </w:rPr>
        <w:t>安全性原则：应遵循国家相关技术规范和标准，从多方面考虑整个系统安全性，提供技术手段落实对应安全防范措施；</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val="en" w:eastAsia="zh-CN"/>
        </w:rPr>
        <w:t>可扩展性原则：在整体架构上应充分考虑黑龙江省税务局税收业务系统未来的扩展能力，保证本项目各业务系统的扩展需求；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val="en" w:eastAsia="zh-CN"/>
        </w:rPr>
        <w:t>可靠性原则：应充分考虑网络环境、安全环境、计算环境、存储环境等系统的各种不稳定因素，采取相应措施提高整个系统可靠性；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 w:eastAsia="zh-CN"/>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val="en" w:eastAsia="zh-CN"/>
        </w:rPr>
        <w:t>通用性原则：采用开放的、标准化的技术体系，保障网络环境、安全环境、计算环境、存储环境的完全兼容；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lang w:val="en" w:eastAsia="zh-CN"/>
        </w:rPr>
        <w:t>架构方案充分考虑业务系统运行要求，系统架构符合目前主流技术发展趋势，具有前瞻性。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b/>
          <w:bCs/>
          <w:color w:val="auto"/>
          <w:sz w:val="21"/>
          <w:szCs w:val="21"/>
        </w:rPr>
      </w:pPr>
      <w:r>
        <w:rPr>
          <w:rFonts w:hint="eastAsia" w:ascii="宋体" w:hAnsi="宋体" w:eastAsia="宋体" w:cs="宋体"/>
          <w:color w:val="auto"/>
          <w:sz w:val="21"/>
          <w:szCs w:val="21"/>
        </w:rPr>
        <w:t>二、投标</w:t>
      </w:r>
      <w:r>
        <w:rPr>
          <w:rFonts w:hint="eastAsia" w:ascii="宋体" w:hAnsi="宋体" w:eastAsia="宋体" w:cs="宋体"/>
          <w:color w:val="auto"/>
          <w:sz w:val="21"/>
          <w:szCs w:val="21"/>
          <w:lang w:val="en"/>
        </w:rPr>
        <w:t>/</w:t>
      </w:r>
      <w:r>
        <w:rPr>
          <w:rFonts w:hint="eastAsia" w:ascii="宋体" w:hAnsi="宋体" w:eastAsia="宋体" w:cs="宋体"/>
          <w:color w:val="auto"/>
          <w:sz w:val="21"/>
          <w:szCs w:val="21"/>
        </w:rPr>
        <w:t>响应要求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对投标人基本要求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投标人须充分理解本项目招标技术需求书的内容，并根据需求书的具体要求编制提供详细的项目技术服务方案。对本项目需求书的完全响应，至少包含以下内容：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对项目现状及项目目标的准确理解和详细响应。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对需要提供服务的网络系统、安全系统充分了解，并详细响应。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对系统运行维护工作内容、工作流程、质量标准、管理要求的准确理解和详细响应。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对项目约束条件的准确理解和详细响应。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对项目管理要求、服务质量要求、项目验收、付款要求的准确理解和详细响应。</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投标人在投标文件中为本项目制定的具体服务方案与规划不应作为投标人履约的最终依据，投标人的服务履行，应同时严格遵从采购人的实际工作安排。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对投标方案的要求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实施方案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该方案需详细描述投标人计划采取哪些具体措施和手段，保证本项目业务系统平稳、安全、顺畅的运行</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服务方案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该方案需充分考虑本项目运维服务工作的特点，具体结合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税务局的需求，详细描述工作内容及各项具体工作计划，方案必须符合实际系统运行现状，需要对本项目的系统运行维护工作详细阐述。</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需要对满足本项目需求的运维人员资质应答。该应答需详细描述本项目支持服务人员所具备的资质、业务能力和IT相关技能；在运行维护服务过程中，服务人员对应不同工作岗位上已经具备的工作经验和专业技能。此部分应答内容将作为评标过程中评价和判断该服务人员是否能够胜任对应支持服务工作，并满足本需求书对服务人员资质要求的重要依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投标人在投标文件中需提供服务人员资料，包括：1）服务人员详细信息；2）服务人员居民身份证、最高学历证书、专业技术职称证书、技术认证证书等复印件</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验收方案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该方案需详细描述投标人计划采取哪些具体方法和依据，保证本项目顺利验收。验收方案中需明确项目验收的前提条件、验收时间、验收对象、验收采用的方法、验收步骤、验收依据、验收标准、以及验收结论等，并需制定具体的项目验收计划。</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三、项目需求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（一）技术需求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投标人需满足不少于3人的专业运维团队。运维工作内容如下：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运行环境运维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运行环境运维是指对所运维系统的生产环境、预生产环境，以及应用运行相关的操作系统和系统软件配置。应用运行环境运维工作包括对应用运行环境的日常监控和巡检、日常故障处理、环境部署和优化、系统升级、安全管理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日常监控和巡检</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监控可能引起故障的事项及潜在的问题，避免故障发生，确保应用系统正常运行。做好日常监控，工作日每天8：30-17：30现场监控、17：30-次日8：30远程监控，非工作日24小时远程监控。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1）云上基础设施巡检</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负责云上基础设施检查，包括云服务器、数据库、TKE集群、中间件等。通过巡检工作，了解云平台基础设施健康情况，发现当前系统存在的隐患，提升系统性能和优化空间。重点解决当前系统存在的疑难问题，最大限度的减少局端运维质量事故的发生，以便更好的对系统进行优化完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2）系统运行监控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服务内容：基于税务局要求和系统特点，对统一身份平台纳税人端和和税务人端服务运行状况进行，并填写系统运行监表。检查主要包括：系统服务运行健康状态检查；系统服务使用资源，包括内存、CPU、I/O等检查；系统服务间调用延迟情况检查；业务拨测系统对服务能力检查</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3）数据库检查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统一身份管理平台核心库的数据库类型为分布式TDSQL，风险审计库的数据库类型为分布式TBASE，需分别监控TDSQL及TBASE数据库集群的CPU使用率、磁盘使用率、磁盘IO情况、主从情况等，确保数据库稳定不间断运行。定期检查数据库数据备份及日志备份情况，保证备份的有效性、及时性，有效保障数据安全；定期检查数据库性能指标，及时对统一身份管理平台数据库进行性能问题作出处理，以确保数据库高效对外服务；定期按数据链路检查流程检查省局链路同步情况，及时向链路厂商反馈数据同步问题，确保数据链路同步的时效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日常故障处理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故障处理是指在应用系统运行出现异常情况下的管理操作流程。包括在最短的时间内恢复正常的服务运行，将故障对业务的负面影响降至最低，保证系统最高级别的服务质量和可用性，力求找到引发故障的根源，并及时改善或纠正。通过对系统监控和巡检发现的问题及应用系统运行过程出现的系统故障，及时通知局方并立即组织技术人员对系统故障现象和故障信息进行收集和分析，定位故障原因，快速解决，保障业务办理的连续性。针对每次故障处理提交故障分析报告，总结整理故障案例库，避免以后再次发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对故障处理报告按季进行分类、统计、汇总、分析，逐步完善日常运维知识库，并提交分析报告。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故障的处理步骤：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故障现象查看与收集：对故障所产生的现象进行查看和收集。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故障原因定位：对收集到的故障信息进行排除、分析和定位。</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故障处理：通过分析和定位后，有针对性地对故障进行分类后处理，对于系统性的、网络性的请局方进行协调，由专业人员进行处置后，由驻场人员进行业务验证。</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故障记录：故障处理完毕后，完成系统故障处理报告。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故障汇总：按季对故障报告进行分类、统计、汇总、分析，并完善日常运维知识库。</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环境部署及优化</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按照要求及系统运行需要做好系统部署；根据应用系统运行情况，以及随着数据量的不断增加，定期调整云端资源配置和应用节点数量，对系统进行调优。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系统升级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根据采购人要求以及软件补丁实施要求，进行软件补丁的实施，并做好实施补丁的版本管理。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安全管理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根据要求，进行安全防护。在系统运维过程中，有安全保密义务、安全运维能力、安全工作规范，根据网络安全需求处理采购人提出的应用加固、补丁升级、漏洞修复等网络安全工作，及时向采购人报告网络安全事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系统集成服务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统一身份认证平台每天提供给各系统调用的接口数量多，频率大，运维人员需要对提供给外部系统的接口进行管理，监控，同时对服务间调用链路进行监控和维护，配合完成问题排查，做好各项集成服务工作。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按照采购人或者税务总局要求进行系统对接，为新接入系统进行环境准备、配合完成联调测试等工作。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数据维护</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对由于数据迁移、基础数据采集以及操作失误等原因导致所运维系统数据错误的情况，经采购人确认同意修改的，由运维小组提交总局运维，完成数据修改。配合采购人对问题数据进行跟踪、定位。</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应用软件运维</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对纳税人、基层等系统使用人员在使用本系统过程中出现的问题进行收集、处理、反馈等。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1）问题收集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通过各渠道（运维管理平台、多云运维平台、内网邮件、微信群、钉钉群、电话等）收集纳税人、基层等系统使用人员的问题。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2）问题处理及反馈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对通过各渠道采集的问题，运维人员首先记录问题的内容、提出人及联系方式，要进行及时、有效处理。对于征期内的问题，或者及时响应要求较高的问他，做到实时回复，其他的问题，一个工作日内回复。用户每日对当天问题接收和处理情况进行通报，运维人员对当日未完成问题说明原因，并给出完成时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①</w:t>
      </w:r>
      <w:r>
        <w:rPr>
          <w:rFonts w:hint="eastAsia" w:ascii="宋体" w:hAnsi="宋体" w:eastAsia="宋体" w:cs="宋体"/>
          <w:color w:val="auto"/>
          <w:sz w:val="21"/>
          <w:szCs w:val="21"/>
        </w:rPr>
        <w:t>操作类问题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针对应用系统日常维护等技术问题提供及时全面地解答与处理。操作人员在系统应用过程中遇到的问题，可以向运维支持人员进行咨询。针对这些问题，运维支持人员应通过电话指导、远程协助等方式协助操作人员解决。针对共性的问题,运维人员应该及时进行提炼和总结，维护到知识库中并作为下次培训时的讲解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②</w:t>
      </w:r>
      <w:r>
        <w:rPr>
          <w:rFonts w:hint="eastAsia" w:ascii="宋体" w:hAnsi="宋体" w:eastAsia="宋体" w:cs="宋体"/>
          <w:color w:val="auto"/>
          <w:sz w:val="21"/>
          <w:szCs w:val="21"/>
        </w:rPr>
        <w:t>程序类问题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日常维护中发现属于程序问题后，针对有临时解决方案的，应向给出临时解决办法，同时记录问题。同时，及时向二线团队进行联系，反馈解决方案和解决时限，并跟踪问题处理情况。</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驻场管理服务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委派项目经理和技术人员，在国家税务总局黑龙江省税务局开展工作。驻场人员负责合同履约交付、项目现场沟通和进度管理、项目文档资料整理等，要及时解决用户日常问题。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驻场人员严格遵守局方关于网络安全、数据安全、运维安全等方面的工作要求。执行工作日和法定节假日的加班安排。出现突发故障时，运维人员应于2小时内到达现场，排除故障。</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安全保障服务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做好针对大征期、重要节庆日及特殊日周期安全值守服务。提供7*24小时全面安全保障，制定专项保障方案，提升巡检和监控频率，专人值守及时解决问题，每两小时编写一次安全巡检报告。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4.其他服务要求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为了更好的服务于本项目，投标人需熟悉了解统一身份管理平台纳税人端对接相关系统。投标人需熟悉了解统一身份平台税务人端对接的相关系统。投标人需提供系统运维服务方案、应急响应方案、日常保障方案、实施方案和验收方案及服务承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具体内容如下：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（1）系统运维服务方案，包括但不限于服务目标、范围和任务，服务期限，服务内容，服务方式，服务响应时间，服务团队组织安排计划，工作流程等内容。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（2）应急响应方案，包括但不限于应急响应组织结构及人员职责、应急预案制定、培训与演练、监控与预警、特殊时期启动保障流程等方面的内容。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日常保障方案，包括但不限于程序类问题、数据修改类问题、数据应用类问题、版本升级、系统配置维护、日常问题受理和一般问题受理、紧急问题处理、重大配置变更、重要时刻保障、知识收集整理和转移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（4）信息安全保密管理：包括信息安全保密整体方案、信息安全保密管理制度及信息安全保密措施等内容。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（5）项目组织管理，包括项目进度计划、人员保障及项目管理办法。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（6）验收方案，包括验收整体方案、验收内容及材料、验收流程等内容。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（7）服务承诺包括：</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1）服务响应时间承诺 ：承诺提供5*8小时的驻场服务，提供7*24小时的电话响应服务。故障响应时间支持根据故障等级进行响应。对用户所提出的系统业务应用软件等故障处理要求，在1小时内做出安排并将其反馈给用户，遇到重大技术问题，在30分钟内响应，并在24小时内采取相应措施以确保系统可正常操作。无法在24小时内解决的，必须提供解决时间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2）保密承诺 ：针对本项目提供保密承诺，除需对系统软件维护工作负责外，还对涉及的相关设备、系统以及数据安全负责。</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3）人员管理承诺 ：为本项目提供驻场服务人员至少3人，服务人员至少具有1年以上相关工作经验，可熟练操作Linux操作系统、应用中间件等。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4）服务考核措施承诺 ：投标人须满足采购方服务考核需求，包括人员到位情况、出勤情况、问题处理情况、系统运行故障率、重大故障重复发生率等各方面。</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5）知识产权承诺 ：招标人对项目实施过程中所产生的所有成果，投标人不得擅自使用、复制招标人的商标、标志、数据信息、文档及其他资料。</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四、项目实施要求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本项目所有相关工作内容的实施均由投标人负责提供，并且配合</w:t>
      </w:r>
      <w:r>
        <w:rPr>
          <w:rFonts w:hint="eastAsia" w:ascii="宋体" w:hAnsi="宋体" w:eastAsia="宋体" w:cs="宋体"/>
          <w:color w:val="auto"/>
          <w:sz w:val="21"/>
          <w:szCs w:val="21"/>
          <w:lang w:eastAsia="zh-CN"/>
        </w:rPr>
        <w:t>黑龙江省税务局</w:t>
      </w:r>
      <w:r>
        <w:rPr>
          <w:rFonts w:hint="eastAsia" w:ascii="宋体" w:hAnsi="宋体" w:eastAsia="宋体" w:cs="宋体"/>
          <w:color w:val="auto"/>
          <w:sz w:val="21"/>
          <w:szCs w:val="21"/>
        </w:rPr>
        <w:t>进行应用系统部署工作，同时满足以下要求：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（一）总体要求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应答时应详细阐述技术支持和维护维修服务的内容。投标人须在技术支持与保修方案书中详细阐述项目技术支持与保修服务体系、服务响应流程、服务质量承诺、技术支持与保修服务投入人员情况、备品备件方案、运行维护管理工具与手段、服务质量监督机制等与保障本项目完整顺利实施的相关内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（二）运维团队要求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要求投标人为本项目设立专门的技术团队，完成此次招标涉及的所有服务工作。实施完成后，应按要求提供监控报告、运维记录、事件报告、评估方案等相关服务材料，电子文档、纸质文档。</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项目主管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指定一名项目主管，负责项目整体管理和资源协调，熟悉网络安全行业动态和信息系统项目管理，以及IT服务流程，具备公司资源协调权力；提供投标人最近12个月内任意一个月项目主管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项目主管相关要求如下，并提供相应证明：</w:t>
      </w:r>
    </w:p>
    <w:tbl>
      <w:tblPr>
        <w:tblStyle w:val="61"/>
        <w:tblW w:w="823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3777"/>
        <w:gridCol w:w="382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7"/>
                <w:sz w:val="21"/>
                <w:szCs w:val="21"/>
              </w:rPr>
              <w:t>序号</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414"/>
              <w:textAlignment w:val="baseline"/>
              <w:rPr>
                <w:rFonts w:hint="eastAsia" w:ascii="宋体" w:hAnsi="宋体" w:eastAsia="宋体" w:cs="宋体"/>
                <w:color w:val="auto"/>
                <w:sz w:val="21"/>
                <w:szCs w:val="21"/>
              </w:rPr>
            </w:pPr>
            <w:r>
              <w:rPr>
                <w:rFonts w:hint="eastAsia" w:ascii="宋体" w:hAnsi="宋体" w:eastAsia="宋体" w:cs="宋体"/>
                <w:color w:val="auto"/>
                <w:spacing w:val="-3"/>
                <w:sz w:val="21"/>
                <w:szCs w:val="21"/>
              </w:rPr>
              <w:t>相关要求</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82"/>
              <w:textAlignment w:val="baseline"/>
              <w:rPr>
                <w:rFonts w:hint="eastAsia" w:ascii="宋体" w:hAnsi="宋体" w:eastAsia="宋体" w:cs="宋体"/>
                <w:color w:val="auto"/>
                <w:sz w:val="21"/>
                <w:szCs w:val="21"/>
              </w:rPr>
            </w:pPr>
            <w:r>
              <w:rPr>
                <w:rFonts w:hint="eastAsia" w:ascii="宋体" w:hAnsi="宋体" w:eastAsia="宋体" w:cs="宋体"/>
                <w:b w:val="0"/>
                <w:bCs w:val="0"/>
                <w:color w:val="auto"/>
                <w:spacing w:val="-9"/>
                <w:sz w:val="21"/>
                <w:szCs w:val="21"/>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72"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3777"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5"/>
              <w:jc w:val="center"/>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pacing w:val="-1"/>
                <w:sz w:val="21"/>
                <w:szCs w:val="21"/>
                <w:lang w:val="en-US" w:eastAsia="zh-CN"/>
              </w:rPr>
              <w:t>PMP</w:t>
            </w:r>
          </w:p>
        </w:tc>
        <w:tc>
          <w:tcPr>
            <w:tcW w:w="3829"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6"/>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1"/>
                <w:sz w:val="21"/>
                <w:szCs w:val="21"/>
                <w:lang w:eastAsia="zh-CN"/>
              </w:rPr>
              <w:t>项目管理专业人士认证</w:t>
            </w:r>
            <w:r>
              <w:rPr>
                <w:rFonts w:hint="eastAsia" w:ascii="宋体" w:hAnsi="宋体" w:eastAsia="宋体" w:cs="宋体"/>
                <w:color w:val="auto"/>
                <w:spacing w:val="-1"/>
                <w:sz w:val="21"/>
                <w:szCs w:val="21"/>
              </w:rPr>
              <w:t>证书</w:t>
            </w:r>
          </w:p>
        </w:tc>
      </w:tr>
    </w:tbl>
    <w:p>
      <w:pPr>
        <w:pStyle w:val="25"/>
        <w:keepNext w:val="0"/>
        <w:keepLines w:val="0"/>
        <w:pageBreakBefore w:val="0"/>
        <w:widowControl w:val="0"/>
        <w:kinsoku/>
        <w:wordWrap/>
        <w:topLinePunct w:val="0"/>
        <w:bidi w:val="0"/>
        <w:spacing w:after="0" w:line="360" w:lineRule="auto"/>
        <w:rPr>
          <w:rFonts w:hint="eastAsia" w:ascii="宋体" w:hAnsi="宋体" w:eastAsia="宋体" w:cs="宋体"/>
          <w:color w:val="auto"/>
          <w:sz w:val="21"/>
          <w:szCs w:val="21"/>
        </w:rPr>
      </w:pP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现场运维团队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投标人应组建不少于</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人的专业现场服务团队，熟悉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税务局信息系统及安全系统相关情况，应按照工作需要配备相应的专业化岗位，并具备相应的资质条件，提供投标人最近3个月内任意一个月为服务团队核心成员（</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人及以上）依法缴纳社保费的证明。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服务团队成员具备</w:t>
      </w:r>
      <w:r>
        <w:rPr>
          <w:rFonts w:hint="eastAsia" w:ascii="宋体" w:hAnsi="宋体" w:eastAsia="宋体" w:cs="宋体"/>
          <w:color w:val="auto"/>
          <w:sz w:val="21"/>
          <w:szCs w:val="21"/>
          <w:lang w:val="en-US" w:eastAsia="zh-CN"/>
        </w:rPr>
        <w:t>数据库系统工程师（中级）</w:t>
      </w:r>
      <w:r>
        <w:rPr>
          <w:rFonts w:hint="eastAsia" w:ascii="宋体" w:hAnsi="宋体" w:eastAsia="宋体" w:cs="宋体"/>
          <w:color w:val="auto"/>
          <w:sz w:val="21"/>
          <w:szCs w:val="21"/>
        </w:rPr>
        <w:t>认证及相关维护技术经验，具体现场服务团队技术资质要求如下，并提供相应证明：</w:t>
      </w:r>
    </w:p>
    <w:tbl>
      <w:tblPr>
        <w:tblStyle w:val="61"/>
        <w:tblW w:w="829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0"/>
        <w:gridCol w:w="2821"/>
        <w:gridCol w:w="3400"/>
        <w:gridCol w:w="144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6"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0"/>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序号</w:t>
            </w:r>
          </w:p>
        </w:tc>
        <w:tc>
          <w:tcPr>
            <w:tcW w:w="282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5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7"/>
                <w:sz w:val="21"/>
                <w:szCs w:val="21"/>
              </w:rPr>
              <w:t>资质名称</w:t>
            </w:r>
          </w:p>
        </w:tc>
        <w:tc>
          <w:tcPr>
            <w:tcW w:w="340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966"/>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备注</w:t>
            </w:r>
          </w:p>
        </w:tc>
        <w:tc>
          <w:tcPr>
            <w:tcW w:w="1442"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82"/>
              <w:jc w:val="center"/>
              <w:textAlignment w:val="baseline"/>
              <w:rPr>
                <w:rFonts w:hint="eastAsia" w:ascii="宋体" w:hAnsi="宋体" w:eastAsia="宋体" w:cs="宋体"/>
                <w:b w:val="0"/>
                <w:bCs w:val="0"/>
                <w:color w:val="auto"/>
                <w:sz w:val="21"/>
                <w:szCs w:val="21"/>
              </w:rPr>
            </w:pPr>
            <w:r>
              <w:rPr>
                <w:rFonts w:hint="eastAsia" w:ascii="宋体" w:hAnsi="宋体" w:eastAsia="宋体" w:cs="宋体"/>
                <w:b w:val="0"/>
                <w:bCs w:val="0"/>
                <w:color w:val="auto"/>
                <w:spacing w:val="-9"/>
                <w:sz w:val="21"/>
                <w:szCs w:val="21"/>
              </w:rPr>
              <w:t>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63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9"/>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2821"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3"/>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数据库系统工程师（中级）</w:t>
            </w:r>
          </w:p>
        </w:tc>
        <w:tc>
          <w:tcPr>
            <w:tcW w:w="3400"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17"/>
              <w:jc w:val="center"/>
              <w:textAlignment w:val="baseline"/>
              <w:rPr>
                <w:rFonts w:hint="eastAsia" w:ascii="宋体" w:hAnsi="宋体" w:eastAsia="宋体" w:cs="宋体"/>
                <w:color w:val="auto"/>
                <w:sz w:val="21"/>
                <w:szCs w:val="21"/>
                <w:lang w:eastAsia="zh-CN"/>
              </w:rPr>
            </w:pPr>
            <w:r>
              <w:rPr>
                <w:rFonts w:hint="eastAsia" w:ascii="宋体" w:hAnsi="宋体" w:eastAsia="宋体" w:cs="宋体"/>
                <w:color w:val="auto"/>
                <w:spacing w:val="-2"/>
                <w:sz w:val="21"/>
                <w:szCs w:val="21"/>
                <w:lang w:eastAsia="zh-CN"/>
              </w:rPr>
              <w:t>计算机技术与软件专业技术资格</w:t>
            </w:r>
          </w:p>
        </w:tc>
        <w:tc>
          <w:tcPr>
            <w:tcW w:w="1442" w:type="dxa"/>
            <w:noWrap w:val="0"/>
            <w:vAlign w:val="top"/>
          </w:tcPr>
          <w:p>
            <w:pPr>
              <w:pStyle w:val="60"/>
              <w:keepNext w:val="0"/>
              <w:keepLines w:val="0"/>
              <w:pageBreakBefore w:val="0"/>
              <w:widowControl w:val="0"/>
              <w:kinsoku/>
              <w:wordWrap/>
              <w:overflowPunct w:val="0"/>
              <w:topLinePunct w:val="0"/>
              <w:autoSpaceDE w:val="0"/>
              <w:autoSpaceDN w:val="0"/>
              <w:bidi w:val="0"/>
              <w:adjustRightInd w:val="0"/>
              <w:snapToGrid w:val="0"/>
              <w:spacing w:line="360" w:lineRule="auto"/>
              <w:ind w:left="27"/>
              <w:jc w:val="center"/>
              <w:textAlignment w:val="baseline"/>
              <w:rPr>
                <w:rFonts w:hint="eastAsia" w:ascii="宋体" w:hAnsi="宋体" w:eastAsia="宋体" w:cs="宋体"/>
                <w:color w:val="auto"/>
                <w:sz w:val="21"/>
                <w:szCs w:val="21"/>
              </w:rPr>
            </w:pPr>
            <w:r>
              <w:rPr>
                <w:rFonts w:hint="eastAsia" w:ascii="宋体" w:hAnsi="宋体" w:eastAsia="宋体" w:cs="宋体"/>
                <w:color w:val="auto"/>
                <w:spacing w:val="-6"/>
                <w:sz w:val="21"/>
                <w:szCs w:val="21"/>
              </w:rPr>
              <w:t>&gt;=1</w:t>
            </w:r>
          </w:p>
        </w:tc>
      </w:tr>
    </w:tbl>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投标人须组建一定数量的二线服务团队，具备丰富的专业经验与专业资质，提供大型数据中心交换路由网络、安全设备和安全系统服务的高级专家团队，与现场技术团队实力、证书相匹配，能够解决现场无法解决的问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五、项目验收要求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项目验收工作由采购人按照内部验收的有关制度和流程组织开展。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本项目验收，由中标人在每个合同期满后提出验收申请，经审核后满足验收准入条件后，予以启动项目验收程序。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（一）</w:t>
      </w:r>
      <w:r>
        <w:rPr>
          <w:rFonts w:hint="eastAsia" w:ascii="宋体" w:hAnsi="宋体" w:eastAsia="宋体" w:cs="宋体"/>
          <w:color w:val="auto"/>
          <w:sz w:val="21"/>
          <w:szCs w:val="21"/>
        </w:rPr>
        <w:t>项目验收准入条件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本需求书中包含的服务需求内容全部完成。</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服务响应、服务流程、服务质量、服务成果以及组织管理和项目文档满足本技术需求书的规定要求。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（二）项目验收标准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以本需求书中相关内容为依据，作为项目验收标准。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（三）项目验收流程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符合项目验收准入条件后，可提出项目验收申请。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提交书面项目验收申请。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提交《项目验收工作总结报告》。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提交项目相关管理、技术文档电子版文件。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rPr>
        <w:t>组织进行项目验收评审会议，对项目工作内容及文档进行验收评审。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项目验收评审通过后，出具项目验收报告。</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（四）</w:t>
      </w:r>
      <w:r>
        <w:rPr>
          <w:rFonts w:hint="eastAsia" w:ascii="宋体" w:hAnsi="宋体" w:eastAsia="宋体" w:cs="宋体"/>
          <w:color w:val="auto"/>
          <w:sz w:val="21"/>
          <w:szCs w:val="21"/>
        </w:rPr>
        <w:t>验收交付物</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验收交付物列表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服务期内的各类服务报告，包括监控记录、巡检记录、故障记录、事件记录、维护记录等。具体文件清单以国家税务总局印发的基础设施日常运行管理规范为准。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交付物标准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按照要求提交相应文档，并保证文档质量。</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六、项目技术支持服务要求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本项目系统运维服务要求按照国家税务总局对信息系统运维工作提出的“网络不能断、系统不能停、数据不能丢”的要求，和</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委、</w:t>
      </w:r>
      <w:r>
        <w:rPr>
          <w:rFonts w:hint="eastAsia" w:ascii="宋体" w:hAnsi="宋体" w:eastAsia="宋体" w:cs="宋体"/>
          <w:color w:val="auto"/>
          <w:sz w:val="21"/>
          <w:szCs w:val="21"/>
          <w:lang w:eastAsia="zh-CN"/>
        </w:rPr>
        <w:t>省</w:t>
      </w:r>
      <w:r>
        <w:rPr>
          <w:rFonts w:hint="eastAsia" w:ascii="宋体" w:hAnsi="宋体" w:eastAsia="宋体" w:cs="宋体"/>
          <w:color w:val="auto"/>
          <w:sz w:val="21"/>
          <w:szCs w:val="21"/>
        </w:rPr>
        <w:t>政府提出的关于保持稳定的相关文件要求，投标人应签署保密协议并作出相应承诺，做好各项运行维护服务工作，确保系统</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小时安全稳定持续运行。具体要求如下：</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（一）运维管理要求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投标人须具有丰富的运维管理经验和完善的运维管理流程、制度和标准，并具备完备的运维管理工具；</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税务局的安全要求，建立健全完善的授权审批流程，任何系统的访问与维护都要根据流程进行授权审批处理。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投标人须配合</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税务局部署及调整应用软件；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投标人根据</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税务局需求调整资源配置；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投标人提供与本项目有关的其它资源及服务。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w:t>
      </w:r>
      <w:r>
        <w:rPr>
          <w:rFonts w:hint="eastAsia" w:ascii="宋体" w:hAnsi="宋体" w:eastAsia="宋体" w:cs="宋体"/>
          <w:color w:val="auto"/>
          <w:sz w:val="21"/>
          <w:szCs w:val="21"/>
          <w:lang w:val="en-US" w:eastAsia="zh-CN"/>
        </w:rPr>
        <w:t>5*9</w:t>
      </w:r>
      <w:r>
        <w:rPr>
          <w:rFonts w:hint="eastAsia" w:ascii="宋体" w:hAnsi="宋体" w:eastAsia="宋体" w:cs="宋体"/>
          <w:color w:val="auto"/>
          <w:sz w:val="21"/>
          <w:szCs w:val="21"/>
        </w:rPr>
        <w:t>现场支持服务（包括但不限于重大变更、重要时期值守、网络安全攻防演练等）和现场值守；特殊岗位须提供</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税务局认为有必要时，须提供双岗</w:t>
      </w:r>
      <w:r>
        <w:rPr>
          <w:rFonts w:hint="eastAsia" w:ascii="宋体" w:hAnsi="宋体" w:eastAsia="宋体" w:cs="宋体"/>
          <w:color w:val="auto"/>
          <w:sz w:val="21"/>
          <w:szCs w:val="21"/>
          <w:lang w:val="en-US" w:eastAsia="zh-CN"/>
        </w:rPr>
        <w:t>7*24</w:t>
      </w:r>
      <w:r>
        <w:rPr>
          <w:rFonts w:hint="eastAsia" w:ascii="宋体" w:hAnsi="宋体" w:eastAsia="宋体" w:cs="宋体"/>
          <w:color w:val="auto"/>
          <w:sz w:val="21"/>
          <w:szCs w:val="21"/>
        </w:rPr>
        <w:t>小时的现场值守。</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（三）系统调优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投标人须按照系统日常运行情况，提供系统调优服务。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（四）故障处理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投标人须在影响业务的故障发生时立即进行处理并报告</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现场人员无法处理故障情况下，二线支持人员须在2小时之内到达现场；单次故障处理时间不超过4小时。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（五）应急处理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投标人针对本项目可能出现的故障，制定相应的应急预案，并定期进行组织应急演练工作。要确保故障发生后能够及时响应，缩短故障处理时间，最大限度的减少影响程度。</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为保障税收业务征期内系统运行稳定，投标人结合税务行业运维经验提供不少于5个重要应急场景（非通用故障）和解决办法，故障波及范围不少于5个业务系统。</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（六）运维服务承诺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投标人承诺采取本地化运行维护与技术服务，严格按照项目要求，提供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税务局项目要求标准范围内的所有技术支持服务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投标人承诺按照国际标准ISO20000及ITIL运维服务管理规范提供标准化运维服务，建设符合项目要求的服务体系，实施满足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税务局要求的服务流程管理、服务级别协议，服务目录、问题管理、配置管理、故障管理等服务</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投标人承诺定期进行运维服务质量跟踪，进行定期服务回访，主动了解</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税务局的服务意见与建议，了解最新服务要求，迅速改善服务的不足之处。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七、税收信息化项目开发和应用管理工作要求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（一）失信行为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1.一般失信行为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（1）违反网络安全管理规定，但未造成不良后果的；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（2）运维服务质量评价上季度得分被扣减较多，且未按承诺改进到位的；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（3）违反合同约定内容，但未造成不良后果的；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（4）不配合监理工作或对监理指出问题整改不到位的；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（5）其他违反规定但未造成不良后果的行为。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2.严重失信行为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（1）攻击或侵入税务信息系统（包括CA等）；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（2）违反网络安全管理规定，造成不良后果的；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（3）违反合同约定内容，造成不良后果的；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（4）利用为税务机关提供信息化服务的便利，向纳税人、缴费人搭车收费或变相收费；</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（5）另行开发销售合同业务需求范围内，供纳税人、缴费人使用的软件；</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（6）以明显低于成本的报价恶意竞标；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（7）存在“围猎”税务人员行为的；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（8）违规聘用离职税务人员；</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（9）一年内发生2次以上（含2次）一般失信行为的；</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（10）其他违反规定造成不良后果的行为。</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（二）对失信行为的惩罚</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对于一般失信行为的，由认定部门的同级网信办函告服务商。对于严重失信行为的，由认定部门的同级网信办约谈服务商主要负责人。对于违反合同约定内容的，由采购部门按合同约定处理。对于影响恶劣的严重违法失信行为，由采购部门按规定将其推送财政部纳入政府采购严重违法失信行为记录名单。</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约定对于违反网络安全规定行为造成不良后果的服务商，3年内限制参加税务系统政府采购活动；经其认定存在失信行为的服务商，3年内限制参加税收信息化项目政府采购活动。</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八、其他要求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（一）安全及保密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投标人提供专职岗位人员信息须在</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税务局备案</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访问控制机制、变更管理流程等遵循</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税务局相关管理办法；投标人对本项目涉及的工作人员定期进行安全教育培训</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rPr>
        <w:t>投标人在合同终止时，有责任将本项目所有数据无条件交还给</w:t>
      </w:r>
      <w:r>
        <w:rPr>
          <w:rFonts w:hint="eastAsia" w:ascii="宋体" w:hAnsi="宋体" w:eastAsia="宋体" w:cs="宋体"/>
          <w:color w:val="auto"/>
          <w:sz w:val="21"/>
          <w:szCs w:val="21"/>
          <w:lang w:eastAsia="zh-CN"/>
        </w:rPr>
        <w:t>黑龙省税务局</w:t>
      </w:r>
      <w:r>
        <w:rPr>
          <w:rFonts w:hint="eastAsia" w:ascii="宋体" w:hAnsi="宋体" w:eastAsia="宋体" w:cs="宋体"/>
          <w:color w:val="auto"/>
          <w:sz w:val="21"/>
          <w:szCs w:val="21"/>
        </w:rPr>
        <w:t>，并彻底删除有关</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税务局的全部数据且确保以任何手段无法恢复相关数据</w:t>
      </w:r>
      <w:r>
        <w:rPr>
          <w:rFonts w:hint="eastAsia" w:ascii="宋体" w:hAnsi="宋体" w:eastAsia="宋体" w:cs="宋体"/>
          <w:color w:val="auto"/>
          <w:sz w:val="21"/>
          <w:szCs w:val="21"/>
          <w:lang w:eastAsia="zh-CN"/>
        </w:rPr>
        <w:t>。</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投标人须与</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税务局签署专门的保密协议；根据项目相关信息安全要求，该项目各岗位维护人员与服务商签署项目保密协议。</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（二）系统交接</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投标人在合同终止时，须将系统的管理文档、用户名、密码、相关系统软件等全部技术文档无条件交还给</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税务局，并保证其准确性。</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（三）知识产权要求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项目实施过程中所有产出物、交付物归采购人所有。</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（四）项目归档要求</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420" w:firstLineChars="200"/>
        <w:jc w:val="both"/>
        <w:textAlignment w:val="baseline"/>
        <w:rPr>
          <w:rFonts w:hint="eastAsia" w:ascii="宋体" w:hAnsi="宋体" w:eastAsia="宋体" w:cs="宋体"/>
          <w:color w:val="auto"/>
          <w:sz w:val="21"/>
          <w:szCs w:val="21"/>
        </w:rPr>
      </w:pPr>
      <w:r>
        <w:rPr>
          <w:rFonts w:hint="eastAsia" w:ascii="宋体" w:hAnsi="宋体" w:eastAsia="宋体" w:cs="宋体"/>
          <w:color w:val="auto"/>
          <w:sz w:val="21"/>
          <w:szCs w:val="21"/>
        </w:rPr>
        <w:t>投标人按</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税务局要求提供运维报告。保留服务期内的各类记录（监控记录、巡检记录、故障记录、事件记录、维护记录等等），供</w:t>
      </w:r>
      <w:r>
        <w:rPr>
          <w:rFonts w:hint="eastAsia" w:ascii="宋体" w:hAnsi="宋体" w:eastAsia="宋体" w:cs="宋体"/>
          <w:color w:val="auto"/>
          <w:sz w:val="21"/>
          <w:szCs w:val="21"/>
          <w:lang w:eastAsia="zh-CN"/>
        </w:rPr>
        <w:t>黑龙江省</w:t>
      </w:r>
      <w:r>
        <w:rPr>
          <w:rFonts w:hint="eastAsia" w:ascii="宋体" w:hAnsi="宋体" w:eastAsia="宋体" w:cs="宋体"/>
          <w:color w:val="auto"/>
          <w:sz w:val="21"/>
          <w:szCs w:val="21"/>
        </w:rPr>
        <w:t>税务局查阅审计。</w:t>
      </w:r>
    </w:p>
    <w:p>
      <w:pPr>
        <w:rPr>
          <w:rFonts w:hint="eastAsia"/>
          <w:color w:val="auto"/>
        </w:rPr>
      </w:pPr>
      <w:r>
        <w:rPr>
          <w:rFonts w:hint="eastAsia"/>
          <w:color w:val="auto"/>
        </w:rPr>
        <w:br w:type="page"/>
      </w:r>
    </w:p>
    <w:p>
      <w:pPr>
        <w:spacing w:before="200" w:after="200"/>
        <w:jc w:val="center"/>
        <w:outlineLvl w:val="0"/>
        <w:rPr>
          <w:rFonts w:hint="eastAsia" w:ascii="宋体" w:hAnsi="宋体" w:eastAsia="宋体" w:cs="宋体"/>
          <w:color w:val="auto"/>
          <w:highlight w:val="none"/>
        </w:rPr>
      </w:pPr>
      <w:bookmarkStart w:id="114" w:name="_Toc17739"/>
      <w:r>
        <w:rPr>
          <w:rStyle w:val="37"/>
          <w:rFonts w:hint="eastAsia" w:ascii="宋体" w:hAnsi="宋体" w:eastAsia="宋体" w:cs="宋体"/>
          <w:color w:val="auto"/>
          <w:highlight w:val="none"/>
        </w:rPr>
        <w:t>第四章 评标方法</w:t>
      </w:r>
      <w:bookmarkEnd w:id="112"/>
      <w:bookmarkEnd w:id="113"/>
      <w:bookmarkEnd w:id="114"/>
    </w:p>
    <w:p>
      <w:pPr>
        <w:adjustRightInd w:val="0"/>
        <w:snapToGrid w:val="0"/>
        <w:ind w:firstLine="422" w:firstLineChars="200"/>
        <w:rPr>
          <w:rFonts w:hint="eastAsia" w:ascii="宋体" w:hAnsi="宋体" w:eastAsia="宋体" w:cs="宋体"/>
          <w:b/>
          <w:color w:val="auto"/>
          <w:kern w:val="0"/>
          <w:highlight w:val="none"/>
        </w:rPr>
      </w:pPr>
      <w:bookmarkStart w:id="115" w:name="_Toc22313_WPSOffice_Level2"/>
      <w:r>
        <w:rPr>
          <w:rFonts w:hint="eastAsia" w:ascii="宋体" w:hAnsi="宋体" w:eastAsia="宋体" w:cs="宋体"/>
          <w:b/>
          <w:color w:val="auto"/>
          <w:kern w:val="0"/>
          <w:highlight w:val="none"/>
        </w:rPr>
        <w:t>一、评标方法</w:t>
      </w:r>
      <w:bookmarkEnd w:id="115"/>
    </w:p>
    <w:p>
      <w:pPr>
        <w:adjustRightInd w:val="0"/>
        <w:snapToGrid w:val="0"/>
        <w:ind w:firstLine="420" w:firstLineChars="200"/>
        <w:textAlignment w:val="baseline"/>
        <w:rPr>
          <w:rFonts w:hint="eastAsia" w:ascii="宋体" w:hAnsi="宋体" w:eastAsia="宋体" w:cs="宋体"/>
          <w:color w:val="auto"/>
          <w:highlight w:val="none"/>
        </w:rPr>
      </w:pPr>
      <w:bookmarkStart w:id="116"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16"/>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17"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1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4"/>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18" w:name="_Toc32318_WPSOffice_Level2"/>
      <w:r>
        <w:rPr>
          <w:rStyle w:val="39"/>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4"/>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18"/>
    </w:p>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94" w:type="pct"/>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142" w:type="pct"/>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152" w:type="pct"/>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1410" w:type="pct"/>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4" w:type="pct"/>
            <w:vMerge w:val="continue"/>
            <w:vAlign w:val="center"/>
          </w:tcPr>
          <w:p>
            <w:pPr>
              <w:spacing w:line="300" w:lineRule="exact"/>
              <w:rPr>
                <w:rFonts w:hint="eastAsia" w:ascii="宋体" w:hAnsi="宋体" w:eastAsia="宋体" w:cs="宋体"/>
                <w:color w:val="auto"/>
                <w:highlight w:val="none"/>
              </w:rPr>
            </w:pPr>
          </w:p>
        </w:tc>
        <w:tc>
          <w:tcPr>
            <w:tcW w:w="2142" w:type="pct"/>
            <w:vMerge w:val="continue"/>
            <w:vAlign w:val="center"/>
          </w:tcPr>
          <w:p>
            <w:pPr>
              <w:spacing w:line="300" w:lineRule="exact"/>
              <w:rPr>
                <w:rFonts w:hint="eastAsia" w:ascii="宋体" w:hAnsi="宋体" w:eastAsia="宋体" w:cs="宋体"/>
                <w:color w:val="auto"/>
                <w:highlight w:val="none"/>
              </w:rPr>
            </w:pPr>
          </w:p>
        </w:tc>
        <w:tc>
          <w:tcPr>
            <w:tcW w:w="1152" w:type="pct"/>
            <w:vMerge w:val="continue"/>
            <w:vAlign w:val="center"/>
          </w:tcPr>
          <w:p>
            <w:pPr>
              <w:spacing w:line="300" w:lineRule="exact"/>
              <w:rPr>
                <w:rFonts w:hint="eastAsia" w:ascii="宋体" w:hAnsi="宋体" w:eastAsia="宋体" w:cs="宋体"/>
                <w:color w:val="auto"/>
                <w:highlight w:val="none"/>
              </w:rPr>
            </w:pPr>
          </w:p>
        </w:tc>
        <w:tc>
          <w:tcPr>
            <w:tcW w:w="408" w:type="pct"/>
            <w:vAlign w:val="center"/>
          </w:tcPr>
          <w:p>
            <w:pPr>
              <w:spacing w:line="300" w:lineRule="exact"/>
              <w:rPr>
                <w:rFonts w:hint="eastAsia" w:ascii="宋体" w:hAnsi="宋体" w:eastAsia="宋体" w:cs="宋体"/>
                <w:color w:val="auto"/>
                <w:highlight w:val="none"/>
              </w:rPr>
            </w:pPr>
          </w:p>
        </w:tc>
        <w:tc>
          <w:tcPr>
            <w:tcW w:w="520" w:type="pct"/>
            <w:vAlign w:val="center"/>
          </w:tcPr>
          <w:p>
            <w:pPr>
              <w:spacing w:line="300" w:lineRule="exact"/>
              <w:rPr>
                <w:rFonts w:hint="eastAsia" w:ascii="宋体" w:hAnsi="宋体" w:eastAsia="宋体" w:cs="宋体"/>
                <w:color w:val="auto"/>
                <w:highlight w:val="none"/>
              </w:rPr>
            </w:pPr>
          </w:p>
        </w:tc>
        <w:tc>
          <w:tcPr>
            <w:tcW w:w="482" w:type="pct"/>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vAlign w:val="center"/>
          </w:tcPr>
          <w:p>
            <w:pPr>
              <w:spacing w:line="300" w:lineRule="exact"/>
              <w:rPr>
                <w:rFonts w:hint="eastAsia" w:ascii="宋体" w:hAnsi="宋体" w:eastAsia="宋体" w:cs="宋体"/>
                <w:color w:val="auto"/>
                <w:highlight w:val="none"/>
              </w:rPr>
            </w:pPr>
          </w:p>
        </w:tc>
        <w:tc>
          <w:tcPr>
            <w:tcW w:w="520" w:type="pct"/>
            <w:vAlign w:val="center"/>
          </w:tcPr>
          <w:p>
            <w:pPr>
              <w:spacing w:line="300" w:lineRule="exact"/>
              <w:rPr>
                <w:rFonts w:hint="eastAsia" w:ascii="宋体" w:hAnsi="宋体" w:eastAsia="宋体" w:cs="宋体"/>
                <w:color w:val="auto"/>
                <w:highlight w:val="none"/>
              </w:rPr>
            </w:pPr>
          </w:p>
        </w:tc>
        <w:tc>
          <w:tcPr>
            <w:tcW w:w="482" w:type="pct"/>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15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294"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2142"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152" w:type="pct"/>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3589" w:type="pct"/>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408" w:type="pct"/>
          </w:tcPr>
          <w:p>
            <w:pPr>
              <w:spacing w:line="300" w:lineRule="exact"/>
              <w:rPr>
                <w:rFonts w:hint="eastAsia" w:ascii="宋体" w:hAnsi="宋体" w:eastAsia="宋体" w:cs="宋体"/>
                <w:color w:val="auto"/>
                <w:highlight w:val="none"/>
              </w:rPr>
            </w:pPr>
          </w:p>
        </w:tc>
        <w:tc>
          <w:tcPr>
            <w:tcW w:w="520" w:type="pct"/>
          </w:tcPr>
          <w:p>
            <w:pPr>
              <w:spacing w:line="300" w:lineRule="exact"/>
              <w:rPr>
                <w:rFonts w:hint="eastAsia" w:ascii="宋体" w:hAnsi="宋体" w:eastAsia="宋体" w:cs="宋体"/>
                <w:color w:val="auto"/>
                <w:highlight w:val="none"/>
              </w:rPr>
            </w:pPr>
          </w:p>
        </w:tc>
        <w:tc>
          <w:tcPr>
            <w:tcW w:w="482" w:type="pct"/>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2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19" w:name="_Toc11558_WPSOffice_Level2"/>
      <w:r>
        <w:rPr>
          <w:rStyle w:val="39"/>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2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8"/>
          <w:rFonts w:hint="eastAsia" w:ascii="宋体" w:hAnsi="宋体" w:eastAsia="宋体" w:cs="宋体"/>
          <w:color w:val="auto"/>
          <w:highlight w:val="none"/>
        </w:rPr>
        <w:t xml:space="preserve"> 符合性审查表</w:t>
      </w:r>
      <w:bookmarkEnd w:id="119"/>
    </w:p>
    <w:tbl>
      <w:tblPr>
        <w:tblStyle w:val="2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373" w:type="pct"/>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326" w:type="pct"/>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1617" w:type="pct"/>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1682" w:type="pct"/>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373" w:type="pct"/>
            <w:vMerge w:val="continue"/>
            <w:vAlign w:val="center"/>
          </w:tcPr>
          <w:p>
            <w:pPr>
              <w:spacing w:line="300" w:lineRule="exact"/>
              <w:jc w:val="center"/>
              <w:rPr>
                <w:rFonts w:hint="eastAsia" w:ascii="宋体" w:hAnsi="宋体" w:eastAsia="宋体" w:cs="宋体"/>
                <w:color w:val="auto"/>
                <w:highlight w:val="none"/>
              </w:rPr>
            </w:pPr>
          </w:p>
        </w:tc>
        <w:tc>
          <w:tcPr>
            <w:tcW w:w="1326" w:type="pct"/>
            <w:vMerge w:val="continue"/>
            <w:vAlign w:val="center"/>
          </w:tcPr>
          <w:p>
            <w:pPr>
              <w:spacing w:line="300" w:lineRule="exact"/>
              <w:rPr>
                <w:rFonts w:hint="eastAsia" w:ascii="宋体" w:hAnsi="宋体" w:eastAsia="宋体" w:cs="宋体"/>
                <w:color w:val="auto"/>
                <w:highlight w:val="none"/>
              </w:rPr>
            </w:pPr>
          </w:p>
        </w:tc>
        <w:tc>
          <w:tcPr>
            <w:tcW w:w="1617" w:type="pct"/>
            <w:vMerge w:val="continue"/>
            <w:vAlign w:val="center"/>
          </w:tcPr>
          <w:p>
            <w:pPr>
              <w:spacing w:line="300" w:lineRule="exact"/>
              <w:rPr>
                <w:rFonts w:hint="eastAsia" w:ascii="宋体" w:hAnsi="宋体" w:eastAsia="宋体" w:cs="宋体"/>
                <w:color w:val="auto"/>
                <w:highlight w:val="none"/>
              </w:rPr>
            </w:pPr>
          </w:p>
        </w:tc>
        <w:tc>
          <w:tcPr>
            <w:tcW w:w="584"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373" w:type="pc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1326" w:type="pct"/>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1617" w:type="pct"/>
          </w:tcPr>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4"/>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3317" w:type="pct"/>
            <w:gridSpan w:val="3"/>
            <w:vAlign w:val="center"/>
          </w:tcPr>
          <w:p>
            <w:pPr>
              <w:pStyle w:val="4"/>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584"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6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c>
          <w:tcPr>
            <w:tcW w:w="529" w:type="pct"/>
          </w:tcPr>
          <w:p>
            <w:pPr>
              <w:pStyle w:val="4"/>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2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2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adjustRightInd w:val="0"/>
        <w:snapToGrid w:val="0"/>
        <w:spacing w:before="0" w:after="0" w:line="240" w:lineRule="auto"/>
        <w:jc w:val="left"/>
        <w:rPr>
          <w:rFonts w:hint="eastAsia" w:ascii="宋体" w:hAnsi="宋体" w:eastAsia="宋体" w:cs="宋体"/>
          <w:color w:val="auto"/>
          <w:highlight w:val="none"/>
        </w:rPr>
      </w:pPr>
      <w:bookmarkStart w:id="120" w:name="_Toc17433_WPSOffice_Level2"/>
      <w:r>
        <w:rPr>
          <w:rStyle w:val="39"/>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4"/>
        <w:spacing w:before="0" w:after="0"/>
        <w:rPr>
          <w:rFonts w:hint="eastAsia" w:ascii="宋体" w:hAnsi="宋体" w:eastAsia="宋体" w:cs="宋体"/>
          <w:color w:val="auto"/>
          <w:highlight w:val="none"/>
          <w:lang w:eastAsia="zh-CN"/>
        </w:rPr>
      </w:pPr>
      <w:r>
        <w:rPr>
          <w:rFonts w:hint="eastAsia" w:ascii="宋体" w:hAnsi="宋体" w:eastAsia="宋体" w:cs="宋体"/>
          <w:color w:val="auto"/>
          <w:highlight w:val="none"/>
        </w:rPr>
        <w:t>评分细则</w:t>
      </w:r>
      <w:bookmarkEnd w:id="120"/>
    </w:p>
    <w:p>
      <w:pPr>
        <w:pStyle w:val="2"/>
        <w:ind w:firstLine="420"/>
        <w:rPr>
          <w:rFonts w:hint="eastAsia" w:ascii="宋体" w:hAnsi="宋体" w:cs="宋体"/>
          <w:color w:val="auto"/>
          <w:highlight w:val="none"/>
          <w:lang w:val="en-US" w:eastAsia="zh-CN"/>
        </w:rPr>
      </w:pPr>
      <w:r>
        <w:rPr>
          <w:rFonts w:hint="eastAsia" w:ascii="宋体" w:hAnsi="宋体" w:cs="宋体"/>
          <w:color w:val="auto"/>
          <w:highlight w:val="none"/>
          <w:lang w:val="en-US" w:eastAsia="zh-CN"/>
        </w:rPr>
        <w:t>第四包：</w:t>
      </w:r>
      <w:r>
        <w:rPr>
          <w:rFonts w:hint="eastAsia"/>
          <w:color w:val="auto"/>
          <w:highlight w:val="none"/>
        </w:rPr>
        <w:t>统一身份管理平台运维项目</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824"/>
        <w:gridCol w:w="666"/>
        <w:gridCol w:w="456"/>
        <w:gridCol w:w="61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评审项目</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分项</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分值</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评分细则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7" w:hRule="atLeast"/>
          <w:jc w:val="center"/>
        </w:trPr>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0" w:type="auto"/>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价格（</w:t>
            </w: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报价得分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1</w:t>
            </w:r>
            <w:r>
              <w:rPr>
                <w:rFonts w:hint="eastAsia" w:ascii="宋体" w:hAnsi="宋体" w:eastAsia="宋体" w:cs="宋体"/>
                <w:color w:val="auto"/>
                <w:sz w:val="21"/>
                <w:szCs w:val="21"/>
              </w:rPr>
              <w:t>0</w:t>
            </w:r>
          </w:p>
        </w:tc>
        <w:tc>
          <w:tcPr>
            <w:tcW w:w="0" w:type="auto"/>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采用低价优先法计算，即满足招标文件要求且投标价格最低的投标报价为评标基准价，其价格分为满分，其他供应商的价格分统一按照下列公式计算：投标报价得分=（评标基准价/评标价）×价格权值×100</w:t>
            </w:r>
          </w:p>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0" w:type="auto"/>
            <w:vMerge w:val="restart"/>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0" w:type="auto"/>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商务部分（1</w:t>
            </w:r>
            <w:r>
              <w:rPr>
                <w:rFonts w:hint="eastAsia" w:ascii="宋体" w:hAnsi="宋体" w:eastAsia="宋体" w:cs="宋体"/>
                <w:color w:val="auto"/>
                <w:sz w:val="21"/>
                <w:szCs w:val="21"/>
                <w:lang w:val="en-US" w:eastAsia="zh-CN"/>
              </w:rPr>
              <w:t>5</w:t>
            </w:r>
            <w:r>
              <w:rPr>
                <w:rFonts w:hint="eastAsia" w:ascii="宋体" w:hAnsi="宋体" w:eastAsia="宋体" w:cs="宋体"/>
                <w:color w:val="auto"/>
                <w:sz w:val="21"/>
                <w:szCs w:val="21"/>
              </w:rPr>
              <w:t>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售后服务承诺</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4</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根据供应商提供的售后服务承诺进行打分，内容包括服务大纲、故障响应、服务应答、备机备件等方面，以上内容每具备一项且</w:t>
            </w:r>
            <w:r>
              <w:rPr>
                <w:rFonts w:hint="eastAsia" w:ascii="宋体" w:hAnsi="宋体" w:eastAsia="宋体" w:cs="宋体"/>
                <w:color w:val="auto"/>
                <w:sz w:val="21"/>
                <w:szCs w:val="21"/>
                <w:lang w:eastAsia="zh-CN"/>
              </w:rPr>
              <w:t>无缺陷</w:t>
            </w:r>
            <w:r>
              <w:rPr>
                <w:rFonts w:hint="eastAsia" w:ascii="宋体" w:hAnsi="宋体" w:eastAsia="宋体" w:cs="宋体"/>
                <w:color w:val="auto"/>
                <w:sz w:val="21"/>
                <w:szCs w:val="21"/>
              </w:rPr>
              <w:t>得1分，最多得4分。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6"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供应商资质</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6</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重点考核供应商保证本项目履约能力的相关企业资质证书。根据供应商提供的资质证明，质量管理体系认证（ISO9001）、信息安全管理体系认证（ISO27001）、信息技术服务管理体系认证（ISO20000），每提供一个得2分；满分6分。（提供证书复印件</w:t>
            </w:r>
            <w:r>
              <w:rPr>
                <w:rFonts w:hint="eastAsia" w:ascii="宋体" w:hAnsi="宋体" w:eastAsia="宋体" w:cs="宋体"/>
                <w:color w:val="auto"/>
                <w:sz w:val="21"/>
                <w:szCs w:val="21"/>
                <w:lang w:val="en-US" w:eastAsia="zh-CN"/>
              </w:rPr>
              <w:t>与全国认证认可信息公共服务平台http://cx.cnca.cn查询截图，原件备查</w:t>
            </w:r>
            <w:r>
              <w:rPr>
                <w:rFonts w:hint="eastAsia" w:ascii="宋体" w:hAnsi="宋体" w:eastAsia="宋体" w:cs="宋体"/>
                <w:color w:val="auto"/>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供应商类似项目业绩</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5</w:t>
            </w:r>
          </w:p>
        </w:tc>
        <w:tc>
          <w:tcPr>
            <w:tcW w:w="0" w:type="auto"/>
            <w:noWrap w:val="0"/>
            <w:vAlign w:val="center"/>
          </w:tcPr>
          <w:p>
            <w:pPr>
              <w:adjustRightInd w:val="0"/>
              <w:snapToGrid w:val="0"/>
              <w:jc w:val="left"/>
              <w:rPr>
                <w:rFonts w:hint="eastAsia" w:ascii="宋体" w:hAnsi="宋体" w:eastAsia="宋体" w:cs="宋体"/>
                <w:color w:val="auto"/>
                <w:sz w:val="21"/>
                <w:szCs w:val="21"/>
              </w:rPr>
            </w:pPr>
            <w:r>
              <w:rPr>
                <w:rFonts w:hint="eastAsia" w:ascii="宋体" w:hAnsi="宋体" w:eastAsia="宋体" w:cs="宋体"/>
                <w:color w:val="auto"/>
                <w:sz w:val="21"/>
                <w:szCs w:val="21"/>
              </w:rPr>
              <w:t>提供20</w:t>
            </w:r>
            <w:r>
              <w:rPr>
                <w:rFonts w:hint="eastAsia" w:ascii="宋体" w:hAnsi="宋体" w:eastAsia="宋体" w:cs="宋体"/>
                <w:color w:val="auto"/>
                <w:sz w:val="21"/>
                <w:szCs w:val="21"/>
                <w:lang w:val="en-US" w:eastAsia="zh-CN"/>
              </w:rPr>
              <w:t>21</w:t>
            </w:r>
            <w:r>
              <w:rPr>
                <w:rFonts w:hint="eastAsia" w:ascii="宋体" w:hAnsi="宋体" w:eastAsia="宋体" w:cs="宋体"/>
                <w:color w:val="auto"/>
                <w:sz w:val="21"/>
                <w:szCs w:val="21"/>
              </w:rPr>
              <w:t>年1月1日之后供应商类似项目合同，以合同个数为准，每提供一个合同得1分，最多得5分。时间以签订合同时间为准。</w:t>
            </w:r>
          </w:p>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restart"/>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3</w:t>
            </w:r>
          </w:p>
        </w:tc>
        <w:tc>
          <w:tcPr>
            <w:tcW w:w="0" w:type="auto"/>
            <w:vMerge w:val="restart"/>
            <w:noWrap w:val="0"/>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技术部分（</w:t>
            </w:r>
            <w:r>
              <w:rPr>
                <w:rFonts w:hint="eastAsia" w:ascii="宋体" w:hAnsi="宋体" w:cs="宋体"/>
                <w:color w:val="auto"/>
                <w:sz w:val="21"/>
                <w:szCs w:val="21"/>
                <w:lang w:val="en-US" w:eastAsia="zh-CN"/>
              </w:rPr>
              <w:t>7</w:t>
            </w:r>
            <w:r>
              <w:rPr>
                <w:rFonts w:hint="eastAsia" w:ascii="宋体" w:hAnsi="宋体" w:eastAsia="宋体" w:cs="宋体"/>
                <w:color w:val="auto"/>
                <w:sz w:val="21"/>
                <w:szCs w:val="21"/>
              </w:rPr>
              <w:t>5分）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项目需求理解</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20</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要对服务的业务有充分的了解，内容包括：设计思路、安全总体规划、网络安全方案、业务安全方案、数据安全设计、税务应用安全保护、密码应用安全、安全测评、安全运营方案、系统功能介绍，以上内容每具备一项且无缺陷得2分，最多得20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系统运维服务方案</w:t>
            </w:r>
          </w:p>
        </w:tc>
        <w:tc>
          <w:tcPr>
            <w:tcW w:w="0" w:type="auto"/>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14</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投标人需提供系统运维服务方案，</w:t>
            </w:r>
            <w:r>
              <w:rPr>
                <w:rFonts w:hint="eastAsia" w:ascii="宋体" w:hAnsi="宋体" w:cs="宋体"/>
                <w:color w:val="auto"/>
                <w:sz w:val="21"/>
                <w:szCs w:val="21"/>
                <w:lang w:val="en-US" w:eastAsia="zh-CN"/>
              </w:rPr>
              <w:t>内容</w:t>
            </w:r>
            <w:r>
              <w:rPr>
                <w:rFonts w:hint="eastAsia" w:ascii="宋体" w:hAnsi="宋体" w:eastAsia="宋体" w:cs="宋体"/>
                <w:color w:val="auto"/>
                <w:sz w:val="21"/>
                <w:szCs w:val="21"/>
              </w:rPr>
              <w:t>包括服务目标、范围和任务、服务期限、服务内容、服务方式、服务团队组织安排计划、工作流程等内容，以上内容每具备一项且无缺陷得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14</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日常保障方案</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9</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为保障项目稳定运行，投标人需提供日常保障方案，</w:t>
            </w:r>
            <w:r>
              <w:rPr>
                <w:rFonts w:hint="eastAsia" w:ascii="宋体" w:hAnsi="宋体" w:cs="宋体"/>
                <w:color w:val="auto"/>
                <w:sz w:val="21"/>
                <w:szCs w:val="21"/>
                <w:lang w:val="en-US" w:eastAsia="zh-CN"/>
              </w:rPr>
              <w:t>内容</w:t>
            </w:r>
            <w:r>
              <w:rPr>
                <w:rFonts w:hint="eastAsia" w:ascii="宋体" w:hAnsi="宋体" w:eastAsia="宋体" w:cs="宋体"/>
                <w:color w:val="auto"/>
                <w:sz w:val="21"/>
                <w:szCs w:val="21"/>
              </w:rPr>
              <w:t>包括程序类问题、数据</w:t>
            </w:r>
            <w:r>
              <w:rPr>
                <w:rFonts w:hint="eastAsia" w:ascii="宋体" w:hAnsi="宋体" w:cs="宋体"/>
                <w:color w:val="auto"/>
                <w:sz w:val="21"/>
                <w:szCs w:val="21"/>
                <w:lang w:eastAsia="zh-CN"/>
              </w:rPr>
              <w:t>应用</w:t>
            </w:r>
            <w:r>
              <w:rPr>
                <w:rFonts w:hint="eastAsia" w:ascii="宋体" w:hAnsi="宋体" w:eastAsia="宋体" w:cs="宋体"/>
                <w:color w:val="auto"/>
                <w:sz w:val="21"/>
                <w:szCs w:val="21"/>
              </w:rPr>
              <w:t>类问题、版本升级、系统配置维护、日常问题受理和一般问题受理、紧急问题处理、重大配置变更、重要时刻保障、知识收集整理和转移。以上内容每具备一项且无缺陷得1分，最多得9分。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信息安全保密管理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投标人需为本项目提供完善的信息安全保密管理，包括信息安全保密整体方案、信息安全保密管理制度</w:t>
            </w:r>
            <w:r>
              <w:rPr>
                <w:rFonts w:hint="eastAsia" w:ascii="宋体" w:hAnsi="宋体" w:cs="宋体"/>
                <w:color w:val="auto"/>
                <w:sz w:val="21"/>
                <w:szCs w:val="21"/>
                <w:lang w:eastAsia="zh-CN"/>
              </w:rPr>
              <w:t>、</w:t>
            </w:r>
            <w:r>
              <w:rPr>
                <w:rFonts w:hint="eastAsia" w:ascii="宋体" w:hAnsi="宋体" w:eastAsia="宋体" w:cs="宋体"/>
                <w:color w:val="auto"/>
                <w:sz w:val="21"/>
                <w:szCs w:val="21"/>
              </w:rPr>
              <w:t>信息安全保密措施等内容。以上内容每具备一项且无缺陷得</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eastAsia="宋体" w:cs="宋体"/>
                <w:color w:val="auto"/>
                <w:sz w:val="21"/>
                <w:szCs w:val="21"/>
                <w:lang w:val="en-US" w:eastAsia="zh-CN"/>
              </w:rPr>
              <w:t>6</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7"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项目组织管理</w:t>
            </w: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6</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投标人需为本项目提供完善的项目组织管理，包括项目进度计划、人员保障</w:t>
            </w:r>
            <w:r>
              <w:rPr>
                <w:rFonts w:hint="eastAsia" w:ascii="宋体" w:hAnsi="宋体" w:cs="宋体"/>
                <w:color w:val="auto"/>
                <w:sz w:val="21"/>
                <w:szCs w:val="21"/>
                <w:lang w:eastAsia="zh-CN"/>
              </w:rPr>
              <w:t>、</w:t>
            </w:r>
            <w:r>
              <w:rPr>
                <w:rFonts w:hint="eastAsia" w:ascii="宋体" w:hAnsi="宋体" w:eastAsia="宋体" w:cs="宋体"/>
                <w:color w:val="auto"/>
                <w:sz w:val="21"/>
                <w:szCs w:val="21"/>
              </w:rPr>
              <w:t>项目管理办法。以上内容每具备一项且无缺陷得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6</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服务</w:t>
            </w:r>
            <w:r>
              <w:rPr>
                <w:rFonts w:hint="eastAsia" w:ascii="宋体" w:hAnsi="宋体" w:eastAsia="宋体" w:cs="宋体"/>
                <w:color w:val="auto"/>
                <w:sz w:val="21"/>
                <w:szCs w:val="21"/>
                <w:lang w:eastAsia="zh-CN"/>
              </w:rPr>
              <w:t>保障</w:t>
            </w:r>
          </w:p>
        </w:tc>
        <w:tc>
          <w:tcPr>
            <w:tcW w:w="0" w:type="auto"/>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为保障项目稳定顺利进行，投标人需提供以下服务承诺：服务响应时间承诺 、保密承诺、人员管理承诺 、服务考核措施承诺、知识产权承诺等内容。以上内容每具备一项且无缺陷得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jc w:val="center"/>
        </w:trPr>
        <w:tc>
          <w:tcPr>
            <w:tcW w:w="0" w:type="auto"/>
            <w:vMerge w:val="continue"/>
            <w:noWrap w:val="0"/>
            <w:vAlign w:val="center"/>
          </w:tcPr>
          <w:p>
            <w:pPr>
              <w:adjustRightInd w:val="0"/>
              <w:snapToGrid w:val="0"/>
              <w:jc w:val="left"/>
              <w:rPr>
                <w:rFonts w:hint="eastAsia" w:ascii="宋体" w:hAnsi="宋体" w:eastAsia="宋体" w:cs="宋体"/>
                <w:color w:val="auto"/>
                <w:sz w:val="21"/>
                <w:szCs w:val="21"/>
              </w:rPr>
            </w:pPr>
          </w:p>
        </w:tc>
        <w:tc>
          <w:tcPr>
            <w:tcW w:w="0" w:type="auto"/>
            <w:vMerge w:val="continue"/>
            <w:noWrap w:val="0"/>
            <w:vAlign w:val="center"/>
          </w:tcPr>
          <w:p>
            <w:pPr>
              <w:adjustRightInd w:val="0"/>
              <w:snapToGrid w:val="0"/>
              <w:jc w:val="center"/>
              <w:rPr>
                <w:rFonts w:hint="eastAsia" w:ascii="宋体" w:hAnsi="宋体" w:eastAsia="宋体" w:cs="宋体"/>
                <w:color w:val="auto"/>
                <w:sz w:val="21"/>
                <w:szCs w:val="21"/>
              </w:rPr>
            </w:pPr>
          </w:p>
        </w:tc>
        <w:tc>
          <w:tcPr>
            <w:tcW w:w="0" w:type="auto"/>
            <w:noWrap w:val="0"/>
            <w:vAlign w:val="center"/>
          </w:tcPr>
          <w:p>
            <w:pPr>
              <w:adjustRightInd w:val="0"/>
              <w:snapToGrid w:val="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应急响应方案</w:t>
            </w:r>
          </w:p>
        </w:tc>
        <w:tc>
          <w:tcPr>
            <w:tcW w:w="0" w:type="auto"/>
            <w:noWrap w:val="0"/>
            <w:vAlign w:val="center"/>
          </w:tcPr>
          <w:p>
            <w:pPr>
              <w:adjustRightInd w:val="0"/>
              <w:snapToGrid w:val="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10</w:t>
            </w:r>
          </w:p>
        </w:tc>
        <w:tc>
          <w:tcPr>
            <w:tcW w:w="0" w:type="auto"/>
            <w:noWrap w:val="0"/>
            <w:vAlign w:val="center"/>
          </w:tcPr>
          <w:p>
            <w:pPr>
              <w:adjustRightInd w:val="0"/>
              <w:snapToGrid w:val="0"/>
              <w:jc w:val="left"/>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投标人需制定应急响应方案，包括但不限于应急响应组织结构及人员职责、应急预案制定、培训与演练、监控与预警、特殊时期启动保障流程等方面的内容。以上内容每具备一项且无缺陷得</w:t>
            </w:r>
            <w:r>
              <w:rPr>
                <w:rFonts w:hint="eastAsia" w:ascii="宋体" w:hAnsi="宋体" w:cs="宋体"/>
                <w:color w:val="auto"/>
                <w:sz w:val="21"/>
                <w:szCs w:val="21"/>
                <w:lang w:val="en-US" w:eastAsia="zh-CN"/>
              </w:rPr>
              <w:t>2</w:t>
            </w:r>
            <w:r>
              <w:rPr>
                <w:rFonts w:hint="eastAsia" w:ascii="宋体" w:hAnsi="宋体" w:eastAsia="宋体" w:cs="宋体"/>
                <w:color w:val="auto"/>
                <w:sz w:val="21"/>
                <w:szCs w:val="21"/>
              </w:rPr>
              <w:t>分，最多得</w:t>
            </w:r>
            <w:r>
              <w:rPr>
                <w:rFonts w:hint="eastAsia" w:ascii="宋体" w:hAnsi="宋体" w:cs="宋体"/>
                <w:color w:val="auto"/>
                <w:sz w:val="21"/>
                <w:szCs w:val="21"/>
                <w:lang w:val="en-US" w:eastAsia="zh-CN"/>
              </w:rPr>
              <w:t>10</w:t>
            </w:r>
            <w:r>
              <w:rPr>
                <w:rFonts w:hint="eastAsia" w:ascii="宋体" w:hAnsi="宋体" w:eastAsia="宋体" w:cs="宋体"/>
                <w:color w:val="auto"/>
                <w:sz w:val="21"/>
                <w:szCs w:val="21"/>
              </w:rPr>
              <w:t>分。</w:t>
            </w:r>
          </w:p>
        </w:tc>
      </w:tr>
    </w:tbl>
    <w:p>
      <w:pPr>
        <w:pStyle w:val="2"/>
        <w:ind w:firstLine="420"/>
        <w:rPr>
          <w:rFonts w:hint="default" w:ascii="宋体" w:hAnsi="宋体" w:cs="宋体"/>
          <w:color w:val="auto"/>
          <w:highlight w:val="none"/>
          <w:lang w:val="en-US" w:eastAsia="zh-CN"/>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21"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
        <w:rPr>
          <w:rFonts w:hint="eastAsia" w:ascii="宋体" w:hAnsi="宋体" w:eastAsia="宋体" w:cs="宋体"/>
          <w:color w:val="auto"/>
          <w:highlight w:val="none"/>
        </w:rPr>
      </w:pPr>
      <w:bookmarkStart w:id="122" w:name="_Toc78902195"/>
      <w:bookmarkStart w:id="123" w:name="_Toc25807"/>
      <w:r>
        <w:rPr>
          <w:rFonts w:hint="eastAsia" w:ascii="宋体" w:hAnsi="宋体" w:eastAsia="宋体" w:cs="宋体"/>
          <w:color w:val="auto"/>
          <w:highlight w:val="none"/>
        </w:rPr>
        <w:t>第五章 政府采购合同条款</w:t>
      </w:r>
      <w:bookmarkEnd w:id="121"/>
      <w:r>
        <w:rPr>
          <w:rFonts w:hint="eastAsia" w:ascii="宋体" w:hAnsi="宋体" w:eastAsia="宋体" w:cs="宋体"/>
          <w:color w:val="auto"/>
          <w:highlight w:val="none"/>
        </w:rPr>
        <w:t>及格式</w:t>
      </w:r>
      <w:bookmarkEnd w:id="122"/>
      <w:bookmarkEnd w:id="123"/>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rPr>
          <w:rFonts w:hint="eastAsia"/>
          <w:b/>
          <w:color w:val="auto"/>
          <w:sz w:val="52"/>
        </w:rPr>
      </w:pPr>
    </w:p>
    <w:p>
      <w:pPr>
        <w:spacing w:line="600" w:lineRule="auto"/>
        <w:jc w:val="center"/>
        <w:outlineLvl w:val="0"/>
        <w:rPr>
          <w:rFonts w:hint="eastAsia"/>
          <w:b/>
          <w:color w:val="auto"/>
          <w:sz w:val="48"/>
        </w:rPr>
      </w:pPr>
      <w:r>
        <w:rPr>
          <w:rFonts w:hint="eastAsia"/>
          <w:b/>
          <w:color w:val="auto"/>
          <w:sz w:val="48"/>
        </w:rPr>
        <w:t>国家税务总局黑龙江省税务局</w:t>
      </w:r>
    </w:p>
    <w:p>
      <w:pPr>
        <w:spacing w:line="600" w:lineRule="auto"/>
        <w:jc w:val="center"/>
        <w:outlineLvl w:val="0"/>
        <w:rPr>
          <w:rFonts w:hint="eastAsia"/>
          <w:b/>
          <w:color w:val="auto"/>
          <w:sz w:val="48"/>
        </w:rPr>
      </w:pPr>
      <w:r>
        <w:rPr>
          <w:rFonts w:hint="eastAsia"/>
          <w:b/>
          <w:color w:val="auto"/>
          <w:sz w:val="48"/>
        </w:rPr>
        <w:t>政府采购合同</w:t>
      </w:r>
    </w:p>
    <w:p>
      <w:pPr>
        <w:jc w:val="center"/>
        <w:rPr>
          <w:rFonts w:hint="eastAsia"/>
          <w:b/>
          <w:color w:val="auto"/>
          <w:sz w:val="48"/>
        </w:rPr>
      </w:pPr>
    </w:p>
    <w:p>
      <w:pPr>
        <w:jc w:val="center"/>
        <w:rPr>
          <w:rFonts w:hint="eastAsia"/>
          <w:b/>
          <w:color w:val="auto"/>
          <w:sz w:val="48"/>
        </w:rPr>
      </w:pPr>
    </w:p>
    <w:p>
      <w:pPr>
        <w:jc w:val="center"/>
        <w:rPr>
          <w:rFonts w:hint="eastAsia"/>
          <w:b/>
          <w:color w:val="auto"/>
          <w:sz w:val="48"/>
        </w:rPr>
      </w:pPr>
    </w:p>
    <w:p>
      <w:pPr>
        <w:jc w:val="both"/>
        <w:rPr>
          <w:rFonts w:hint="eastAsia"/>
          <w:b/>
          <w:color w:val="auto"/>
          <w:sz w:val="48"/>
        </w:rPr>
      </w:pPr>
    </w:p>
    <w:p>
      <w:pPr>
        <w:pStyle w:val="7"/>
        <w:rPr>
          <w:rFonts w:hint="eastAsia"/>
          <w:color w:val="auto"/>
        </w:rPr>
      </w:pPr>
    </w:p>
    <w:p>
      <w:pPr>
        <w:jc w:val="center"/>
        <w:rPr>
          <w:rFonts w:hint="eastAsia"/>
          <w:b/>
          <w:color w:val="auto"/>
          <w:sz w:val="48"/>
        </w:rPr>
      </w:pPr>
    </w:p>
    <w:p>
      <w:pPr>
        <w:jc w:val="center"/>
        <w:rPr>
          <w:b/>
          <w:color w:val="auto"/>
          <w:sz w:val="48"/>
        </w:rPr>
      </w:pPr>
    </w:p>
    <w:p>
      <w:pPr>
        <w:spacing w:line="360" w:lineRule="auto"/>
        <w:ind w:firstLine="1405" w:firstLineChars="500"/>
        <w:outlineLvl w:val="0"/>
        <w:rPr>
          <w:rFonts w:hint="eastAsia" w:ascii="宋体" w:hAnsi="宋体"/>
          <w:b/>
          <w:bCs/>
          <w:color w:val="auto"/>
          <w:sz w:val="28"/>
          <w:szCs w:val="28"/>
          <w:u w:val="single"/>
        </w:rPr>
      </w:pPr>
      <w:r>
        <w:rPr>
          <w:rFonts w:hint="eastAsia" w:ascii="宋体" w:hAnsi="宋体"/>
          <w:b/>
          <w:bCs/>
          <w:color w:val="auto"/>
          <w:sz w:val="28"/>
          <w:szCs w:val="28"/>
        </w:rPr>
        <w:t>合同编号：</w:t>
      </w:r>
      <w:r>
        <w:rPr>
          <w:rFonts w:hint="eastAsia" w:ascii="宋体" w:hAnsi="宋体"/>
          <w:b/>
          <w:bCs/>
          <w:color w:val="auto"/>
          <w:sz w:val="28"/>
          <w:szCs w:val="28"/>
          <w:u w:val="single"/>
        </w:rPr>
        <w:t>（HTCL-ZB-243192）</w:t>
      </w:r>
    </w:p>
    <w:p>
      <w:pPr>
        <w:spacing w:line="360" w:lineRule="auto"/>
        <w:ind w:firstLine="1405" w:firstLineChars="500"/>
        <w:rPr>
          <w:rFonts w:hint="eastAsia" w:ascii="宋体" w:hAnsi="宋体"/>
          <w:b/>
          <w:bCs/>
          <w:color w:val="auto"/>
          <w:sz w:val="28"/>
          <w:szCs w:val="28"/>
        </w:rPr>
      </w:pPr>
      <w:r>
        <w:rPr>
          <w:rFonts w:hint="eastAsia" w:ascii="宋体" w:hAnsi="宋体"/>
          <w:b/>
          <w:bCs/>
          <w:color w:val="auto"/>
          <w:sz w:val="28"/>
          <w:szCs w:val="28"/>
        </w:rPr>
        <w:t>甲</w:t>
      </w:r>
      <w:r>
        <w:rPr>
          <w:rFonts w:ascii="宋体" w:hAnsi="宋体"/>
          <w:b/>
          <w:bCs/>
          <w:color w:val="auto"/>
          <w:sz w:val="28"/>
          <w:szCs w:val="28"/>
        </w:rPr>
        <w:t xml:space="preserve">    </w:t>
      </w:r>
      <w:r>
        <w:rPr>
          <w:rFonts w:hint="eastAsia" w:ascii="宋体" w:hAnsi="宋体"/>
          <w:b/>
          <w:bCs/>
          <w:color w:val="auto"/>
          <w:sz w:val="28"/>
          <w:szCs w:val="28"/>
        </w:rPr>
        <w:t>方：</w:t>
      </w:r>
      <w:r>
        <w:rPr>
          <w:rFonts w:hint="eastAsia"/>
          <w:b/>
          <w:color w:val="auto"/>
          <w:sz w:val="28"/>
        </w:rPr>
        <w:t>【</w:t>
      </w:r>
      <w:r>
        <w:rPr>
          <w:rFonts w:hint="eastAsia" w:ascii="宋体" w:hAnsi="宋体"/>
          <w:b/>
          <w:bCs/>
          <w:color w:val="auto"/>
          <w:sz w:val="28"/>
          <w:szCs w:val="28"/>
        </w:rPr>
        <w:t>国家税务总局黑龙江省税务局</w:t>
      </w:r>
      <w:r>
        <w:rPr>
          <w:rFonts w:hint="eastAsia"/>
          <w:b/>
          <w:color w:val="auto"/>
          <w:sz w:val="28"/>
        </w:rPr>
        <w:t>】</w:t>
      </w:r>
      <w:r>
        <w:rPr>
          <w:rFonts w:hint="eastAsia" w:ascii="宋体" w:hAnsi="宋体"/>
          <w:b/>
          <w:bCs/>
          <w:color w:val="auto"/>
          <w:sz w:val="28"/>
          <w:szCs w:val="28"/>
        </w:rPr>
        <w:t xml:space="preserve">                        </w:t>
      </w:r>
    </w:p>
    <w:p>
      <w:pPr>
        <w:spacing w:line="360" w:lineRule="auto"/>
        <w:ind w:firstLine="1405" w:firstLineChars="500"/>
        <w:rPr>
          <w:rFonts w:hint="eastAsia"/>
          <w:b/>
          <w:color w:val="auto"/>
          <w:sz w:val="28"/>
        </w:rPr>
      </w:pPr>
      <w:r>
        <w:rPr>
          <w:rFonts w:hint="eastAsia" w:ascii="宋体" w:hAnsi="宋体"/>
          <w:b/>
          <w:bCs/>
          <w:color w:val="auto"/>
          <w:sz w:val="28"/>
          <w:szCs w:val="28"/>
        </w:rPr>
        <w:t>乙</w:t>
      </w:r>
      <w:r>
        <w:rPr>
          <w:rFonts w:ascii="宋体" w:hAnsi="宋体"/>
          <w:b/>
          <w:bCs/>
          <w:color w:val="auto"/>
          <w:sz w:val="28"/>
          <w:szCs w:val="28"/>
        </w:rPr>
        <w:t xml:space="preserve">    </w:t>
      </w:r>
      <w:r>
        <w:rPr>
          <w:rFonts w:hint="eastAsia" w:ascii="宋体" w:hAnsi="宋体"/>
          <w:b/>
          <w:bCs/>
          <w:color w:val="auto"/>
          <w:sz w:val="28"/>
          <w:szCs w:val="28"/>
        </w:rPr>
        <w:t>方：</w:t>
      </w:r>
      <w:r>
        <w:rPr>
          <w:rFonts w:hint="eastAsia"/>
          <w:b/>
          <w:color w:val="auto"/>
          <w:sz w:val="28"/>
        </w:rPr>
        <w:t>【                    】</w:t>
      </w:r>
    </w:p>
    <w:p>
      <w:pPr>
        <w:spacing w:line="360" w:lineRule="auto"/>
        <w:ind w:firstLine="1405" w:firstLineChars="500"/>
        <w:outlineLvl w:val="0"/>
        <w:rPr>
          <w:rFonts w:hint="eastAsia" w:ascii="宋体" w:hAnsi="宋体"/>
          <w:b/>
          <w:bCs/>
          <w:color w:val="auto"/>
          <w:sz w:val="28"/>
          <w:szCs w:val="28"/>
        </w:rPr>
      </w:pPr>
      <w:r>
        <w:rPr>
          <w:rFonts w:hint="eastAsia" w:ascii="宋体" w:hAnsi="宋体"/>
          <w:b/>
          <w:bCs/>
          <w:color w:val="auto"/>
          <w:sz w:val="28"/>
          <w:szCs w:val="28"/>
        </w:rPr>
        <w:t>签订日期：20  年   月   日</w:t>
      </w:r>
    </w:p>
    <w:p>
      <w:pPr>
        <w:pStyle w:val="2"/>
        <w:ind w:firstLine="420"/>
        <w:rPr>
          <w:color w:val="auto"/>
        </w:rPr>
      </w:pPr>
    </w:p>
    <w:p>
      <w:pPr>
        <w:pStyle w:val="2"/>
        <w:ind w:firstLine="420"/>
        <w:rPr>
          <w:color w:val="auto"/>
        </w:rPr>
      </w:pPr>
    </w:p>
    <w:p>
      <w:pPr>
        <w:pStyle w:val="2"/>
        <w:ind w:firstLine="420"/>
        <w:rPr>
          <w:color w:val="auto"/>
        </w:rPr>
      </w:pPr>
    </w:p>
    <w:p>
      <w:pPr>
        <w:rPr>
          <w:rFonts w:ascii="宋体" w:hAnsi="宋体"/>
          <w:i/>
          <w:color w:val="auto"/>
          <w:sz w:val="24"/>
        </w:rPr>
      </w:pPr>
      <w:r>
        <w:rPr>
          <w:rFonts w:hint="eastAsia" w:ascii="宋体" w:hAnsi="宋体"/>
          <w:color w:val="auto"/>
          <w:sz w:val="24"/>
        </w:rPr>
        <w:t>甲方：【国家税务总局黑龙江省税务局】</w:t>
      </w:r>
    </w:p>
    <w:p>
      <w:pPr>
        <w:rPr>
          <w:rFonts w:ascii="宋体" w:hAnsi="宋体"/>
          <w:color w:val="auto"/>
          <w:sz w:val="24"/>
        </w:rPr>
      </w:pPr>
    </w:p>
    <w:p>
      <w:pPr>
        <w:rPr>
          <w:rFonts w:ascii="宋体" w:hAnsi="宋体"/>
          <w:color w:val="auto"/>
          <w:sz w:val="24"/>
        </w:rPr>
      </w:pPr>
      <w:r>
        <w:rPr>
          <w:rFonts w:hint="eastAsia" w:ascii="宋体" w:hAnsi="宋体"/>
          <w:color w:val="auto"/>
          <w:sz w:val="24"/>
        </w:rPr>
        <w:t>乙方：【                】</w:t>
      </w:r>
    </w:p>
    <w:p>
      <w:pPr>
        <w:rPr>
          <w:rFonts w:ascii="宋体" w:hAnsi="宋体"/>
          <w:color w:val="auto"/>
          <w:sz w:val="24"/>
        </w:rPr>
      </w:pPr>
    </w:p>
    <w:p>
      <w:pPr>
        <w:spacing w:line="432" w:lineRule="auto"/>
        <w:ind w:firstLine="480" w:firstLineChars="200"/>
        <w:rPr>
          <w:rFonts w:ascii="宋体" w:hAnsi="宋体"/>
          <w:color w:val="auto"/>
          <w:sz w:val="24"/>
        </w:rPr>
      </w:pPr>
      <w:r>
        <w:rPr>
          <w:rFonts w:hint="eastAsia" w:ascii="宋体" w:hAnsi="宋体"/>
          <w:color w:val="auto"/>
          <w:sz w:val="24"/>
        </w:rPr>
        <w:t>国家税务总局黑龙江省税务局组织的</w:t>
      </w:r>
      <w:r>
        <w:rPr>
          <w:rFonts w:hint="eastAsia" w:ascii="宋体" w:hAnsi="宋体" w:cs="Times New Roman"/>
          <w:color w:val="auto"/>
          <w:sz w:val="24"/>
          <w:lang w:val="en-US" w:eastAsia="zh-CN"/>
        </w:rPr>
        <w:t>国家税务总局黑龙江省税务局云平台及附属系统运维服务项目</w:t>
      </w:r>
      <w:r>
        <w:rPr>
          <w:rFonts w:hint="eastAsia" w:ascii="宋体" w:hAnsi="宋体"/>
          <w:color w:val="auto"/>
          <w:sz w:val="24"/>
        </w:rPr>
        <w:t>（招标编号：HTCL-ZB-243192</w:t>
      </w:r>
      <w:r>
        <w:rPr>
          <w:rFonts w:ascii="宋体" w:hAnsi="宋体"/>
          <w:color w:val="auto"/>
          <w:sz w:val="24"/>
        </w:rPr>
        <w:t xml:space="preserve"> </w:t>
      </w:r>
      <w:r>
        <w:rPr>
          <w:rFonts w:hint="eastAsia" w:ascii="宋体" w:hAnsi="宋体"/>
          <w:color w:val="auto"/>
          <w:sz w:val="24"/>
        </w:rPr>
        <w:t>）经黑龙江省招标公司国内公开招标，(</w:t>
      </w:r>
      <w:r>
        <w:rPr>
          <w:rFonts w:hint="eastAsia" w:ascii="宋体" w:hAnsi="宋体"/>
          <w:color w:val="auto"/>
          <w:sz w:val="24"/>
          <w:u w:val="single"/>
        </w:rPr>
        <w:t>*乙方名称</w:t>
      </w:r>
      <w:r>
        <w:rPr>
          <w:rFonts w:hint="eastAsia" w:ascii="宋体" w:hAnsi="宋体"/>
          <w:color w:val="auto"/>
          <w:sz w:val="24"/>
        </w:rPr>
        <w:t>)为中标单位。根据《中华人民共和国政府采购法》、《中华人民共和国民法典》等法律、法规规定，按照招投标文件规定条款和中标供应商承诺，经平等自愿协商达成一致，甲乙双方签订本合同。</w:t>
      </w:r>
    </w:p>
    <w:p>
      <w:pPr>
        <w:ind w:firstLine="420"/>
        <w:rPr>
          <w:rFonts w:hint="eastAsia" w:ascii="宋体" w:hAnsi="宋体"/>
          <w:color w:val="auto"/>
          <w:sz w:val="24"/>
        </w:rPr>
      </w:pPr>
      <w:r>
        <w:rPr>
          <w:rFonts w:hint="eastAsia" w:ascii="宋体" w:hAnsi="宋体"/>
          <w:color w:val="auto"/>
          <w:sz w:val="24"/>
        </w:rPr>
        <w:t>甲乙双方本着相互信任、真诚合作、共同发展的原则，在友好协商的基础上共同制定如下合同内容。</w:t>
      </w:r>
    </w:p>
    <w:p>
      <w:pPr>
        <w:pStyle w:val="2"/>
        <w:rPr>
          <w:rFonts w:hint="eastAsia"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第一条  总则</w:t>
      </w:r>
    </w:p>
    <w:p>
      <w:pPr>
        <w:outlineLvl w:val="1"/>
        <w:rPr>
          <w:rFonts w:hint="eastAsia" w:ascii="宋体" w:hAnsi="宋体"/>
          <w:color w:val="auto"/>
          <w:sz w:val="24"/>
        </w:rPr>
      </w:pPr>
      <w:r>
        <w:rPr>
          <w:rFonts w:hint="eastAsia" w:ascii="宋体" w:hAnsi="宋体"/>
          <w:color w:val="auto"/>
          <w:sz w:val="24"/>
        </w:rPr>
        <w:t>1．定义</w:t>
      </w:r>
    </w:p>
    <w:p>
      <w:pPr>
        <w:rPr>
          <w:rFonts w:hint="eastAsia" w:ascii="宋体" w:hAnsi="宋体"/>
          <w:color w:val="auto"/>
          <w:sz w:val="24"/>
        </w:rPr>
      </w:pPr>
      <w:r>
        <w:rPr>
          <w:rFonts w:hint="eastAsia" w:ascii="宋体" w:hAnsi="宋体"/>
          <w:color w:val="auto"/>
          <w:sz w:val="24"/>
        </w:rPr>
        <w:t>(1)</w:t>
      </w:r>
      <w:r>
        <w:rPr>
          <w:rFonts w:hint="eastAsia" w:ascii="宋体" w:hAnsi="宋体"/>
          <w:color w:val="auto"/>
          <w:sz w:val="24"/>
        </w:rPr>
        <w:tab/>
      </w:r>
      <w:r>
        <w:rPr>
          <w:rFonts w:hint="eastAsia" w:ascii="宋体" w:hAnsi="宋体"/>
          <w:color w:val="auto"/>
          <w:sz w:val="24"/>
        </w:rPr>
        <w:t>合同：除非特别说明，“合同”一词均指本合同。</w:t>
      </w:r>
    </w:p>
    <w:p>
      <w:pPr>
        <w:rPr>
          <w:rFonts w:hint="eastAsia" w:ascii="宋体" w:hAnsi="宋体"/>
          <w:color w:val="auto"/>
          <w:sz w:val="24"/>
        </w:rPr>
      </w:pPr>
      <w:r>
        <w:rPr>
          <w:rFonts w:hint="eastAsia" w:ascii="宋体" w:hAnsi="宋体"/>
          <w:color w:val="auto"/>
          <w:sz w:val="24"/>
        </w:rPr>
        <w:t>(2)</w:t>
      </w:r>
      <w:r>
        <w:rPr>
          <w:rFonts w:hint="eastAsia" w:ascii="宋体" w:hAnsi="宋体"/>
          <w:color w:val="auto"/>
          <w:sz w:val="24"/>
        </w:rPr>
        <w:tab/>
      </w:r>
      <w:r>
        <w:rPr>
          <w:rFonts w:hint="eastAsia" w:ascii="宋体" w:hAnsi="宋体"/>
          <w:color w:val="auto"/>
          <w:sz w:val="24"/>
        </w:rPr>
        <w:t>项目：本合同是乙方对甲方信息系统技术服务的维护，对系统运行中发生的故障进行软件升级、系统巡检等服务。</w:t>
      </w:r>
    </w:p>
    <w:p>
      <w:pPr>
        <w:rPr>
          <w:rFonts w:hint="eastAsia" w:ascii="宋体" w:hAnsi="宋体"/>
          <w:color w:val="auto"/>
          <w:sz w:val="24"/>
        </w:rPr>
      </w:pPr>
      <w:r>
        <w:rPr>
          <w:rFonts w:hint="eastAsia" w:ascii="宋体" w:hAnsi="宋体"/>
          <w:color w:val="auto"/>
          <w:sz w:val="24"/>
        </w:rPr>
        <w:t>(3)</w:t>
      </w:r>
      <w:r>
        <w:rPr>
          <w:rFonts w:hint="eastAsia" w:ascii="宋体" w:hAnsi="宋体"/>
          <w:color w:val="auto"/>
          <w:sz w:val="24"/>
        </w:rPr>
        <w:tab/>
      </w:r>
      <w:r>
        <w:rPr>
          <w:rFonts w:hint="eastAsia" w:ascii="宋体" w:hAnsi="宋体"/>
          <w:color w:val="auto"/>
          <w:sz w:val="24"/>
        </w:rPr>
        <w:t>不可抗力：是指不能预见、不能避免并不能克服的客观情况。不可抗力不包括由于一方的疏忽或故意不遵守良好的项目惯例所发生的事故。</w:t>
      </w:r>
    </w:p>
    <w:p>
      <w:pPr>
        <w:outlineLvl w:val="1"/>
        <w:rPr>
          <w:rFonts w:hint="eastAsia" w:ascii="宋体" w:hAnsi="宋体"/>
          <w:color w:val="auto"/>
          <w:sz w:val="24"/>
        </w:rPr>
      </w:pPr>
      <w:r>
        <w:rPr>
          <w:rFonts w:hint="eastAsia" w:ascii="宋体" w:hAnsi="宋体"/>
          <w:color w:val="auto"/>
          <w:sz w:val="24"/>
        </w:rPr>
        <w:t>2．合同生效</w:t>
      </w:r>
    </w:p>
    <w:p>
      <w:pPr>
        <w:rPr>
          <w:rFonts w:hint="eastAsia" w:ascii="宋体" w:hAnsi="宋体"/>
          <w:color w:val="auto"/>
          <w:sz w:val="24"/>
        </w:rPr>
      </w:pPr>
      <w:r>
        <w:rPr>
          <w:rFonts w:hint="eastAsia" w:ascii="宋体" w:hAnsi="宋体"/>
          <w:color w:val="auto"/>
          <w:sz w:val="24"/>
        </w:rPr>
        <w:t>本合同经甲、乙双方签字盖章后生效。本合同壹式肆份，甲、乙双方各持贰份，具有同等法律效力。</w:t>
      </w:r>
    </w:p>
    <w:p>
      <w:pPr>
        <w:outlineLvl w:val="1"/>
        <w:rPr>
          <w:rFonts w:hint="eastAsia" w:ascii="宋体" w:hAnsi="宋体"/>
          <w:color w:val="auto"/>
          <w:sz w:val="24"/>
        </w:rPr>
      </w:pPr>
      <w:r>
        <w:rPr>
          <w:rFonts w:hint="eastAsia" w:ascii="宋体" w:hAnsi="宋体"/>
          <w:color w:val="auto"/>
          <w:sz w:val="24"/>
        </w:rPr>
        <w:t>3．合同修改</w:t>
      </w:r>
    </w:p>
    <w:p>
      <w:pPr>
        <w:rPr>
          <w:rFonts w:hint="eastAsia" w:ascii="宋体" w:hAnsi="宋体"/>
          <w:color w:val="auto"/>
          <w:sz w:val="24"/>
        </w:rPr>
      </w:pPr>
      <w:r>
        <w:rPr>
          <w:rFonts w:hint="eastAsia" w:ascii="宋体" w:hAnsi="宋体"/>
          <w:color w:val="auto"/>
          <w:sz w:val="24"/>
        </w:rPr>
        <w:t>除非由双方签订书面修改文件，否则合同不得修改。符合这一程序的修改将构成合同的一部分，并将与合同具有同等的法律效力。</w:t>
      </w:r>
    </w:p>
    <w:p>
      <w:pPr>
        <w:outlineLvl w:val="1"/>
        <w:rPr>
          <w:rFonts w:hint="eastAsia" w:ascii="宋体" w:hAnsi="宋体"/>
          <w:color w:val="auto"/>
          <w:sz w:val="24"/>
        </w:rPr>
      </w:pPr>
      <w:r>
        <w:rPr>
          <w:rFonts w:hint="eastAsia" w:ascii="宋体" w:hAnsi="宋体"/>
          <w:color w:val="auto"/>
          <w:sz w:val="24"/>
        </w:rPr>
        <w:t>4．补充条款</w:t>
      </w:r>
    </w:p>
    <w:p>
      <w:pPr>
        <w:rPr>
          <w:rFonts w:hint="eastAsia" w:ascii="宋体" w:hAnsi="宋体"/>
          <w:color w:val="auto"/>
          <w:sz w:val="24"/>
        </w:rPr>
      </w:pPr>
      <w:r>
        <w:rPr>
          <w:rFonts w:hint="eastAsia" w:ascii="宋体" w:hAnsi="宋体"/>
          <w:color w:val="auto"/>
          <w:sz w:val="24"/>
        </w:rPr>
        <w:t>本合同生效后，经双方共同协商，可以达成书面补充协议，补充协议与本合同具有同等效力。</w:t>
      </w:r>
    </w:p>
    <w:p>
      <w:pPr>
        <w:outlineLvl w:val="1"/>
        <w:rPr>
          <w:rFonts w:hint="eastAsia" w:ascii="宋体" w:hAnsi="宋体"/>
          <w:color w:val="auto"/>
          <w:sz w:val="24"/>
        </w:rPr>
      </w:pPr>
      <w:r>
        <w:rPr>
          <w:rFonts w:hint="eastAsia" w:ascii="宋体" w:hAnsi="宋体"/>
          <w:color w:val="auto"/>
          <w:sz w:val="24"/>
        </w:rPr>
        <w:t>5．告知</w:t>
      </w:r>
    </w:p>
    <w:p>
      <w:pPr>
        <w:rPr>
          <w:rFonts w:hint="eastAsia" w:ascii="宋体" w:hAnsi="宋体"/>
          <w:color w:val="auto"/>
          <w:sz w:val="24"/>
        </w:rPr>
      </w:pPr>
      <w:r>
        <w:rPr>
          <w:rFonts w:hint="eastAsia" w:ascii="宋体" w:hAnsi="宋体"/>
          <w:color w:val="auto"/>
          <w:sz w:val="24"/>
        </w:rPr>
        <w:t xml:space="preserve">涉及本合同的一切事宜均以书面形式提交，对方应及时响应。 </w:t>
      </w:r>
    </w:p>
    <w:p>
      <w:pPr>
        <w:outlineLvl w:val="1"/>
        <w:rPr>
          <w:rFonts w:hint="eastAsia" w:ascii="宋体" w:hAnsi="宋体"/>
          <w:color w:val="auto"/>
          <w:sz w:val="24"/>
        </w:rPr>
      </w:pPr>
      <w:r>
        <w:rPr>
          <w:rFonts w:hint="eastAsia" w:ascii="宋体" w:hAnsi="宋体"/>
          <w:color w:val="auto"/>
          <w:sz w:val="24"/>
        </w:rPr>
        <w:t>6．保密责任</w:t>
      </w:r>
    </w:p>
    <w:p>
      <w:pPr>
        <w:rPr>
          <w:rFonts w:hint="eastAsia" w:ascii="宋体" w:hAnsi="宋体"/>
          <w:color w:val="auto"/>
          <w:sz w:val="24"/>
        </w:rPr>
      </w:pPr>
      <w:r>
        <w:rPr>
          <w:rFonts w:hint="eastAsia" w:ascii="宋体" w:hAnsi="宋体"/>
          <w:color w:val="auto"/>
          <w:sz w:val="24"/>
        </w:rPr>
        <w:t>双方共同恪守对技术及对项目的保密责任。</w:t>
      </w:r>
    </w:p>
    <w:p>
      <w:pPr>
        <w:rPr>
          <w:rFonts w:hint="eastAsia" w:ascii="宋体" w:hAnsi="宋体"/>
          <w:color w:val="auto"/>
          <w:sz w:val="24"/>
        </w:rPr>
      </w:pPr>
      <w:r>
        <w:rPr>
          <w:rFonts w:hint="eastAsia" w:ascii="宋体" w:hAnsi="宋体"/>
          <w:color w:val="auto"/>
          <w:sz w:val="24"/>
        </w:rPr>
        <w:t>(1)</w:t>
      </w:r>
      <w:r>
        <w:rPr>
          <w:rFonts w:hint="eastAsia" w:ascii="宋体" w:hAnsi="宋体"/>
          <w:color w:val="auto"/>
          <w:sz w:val="24"/>
        </w:rPr>
        <w:tab/>
      </w:r>
      <w:r>
        <w:rPr>
          <w:rFonts w:hint="eastAsia" w:ascii="宋体" w:hAnsi="宋体"/>
          <w:color w:val="auto"/>
          <w:sz w:val="24"/>
        </w:rPr>
        <w:t>所有项目相关人员不得以任何形式向第三方泄露项目合作计划和内容。</w:t>
      </w:r>
    </w:p>
    <w:p>
      <w:pPr>
        <w:rPr>
          <w:rFonts w:hint="eastAsia" w:ascii="宋体" w:hAnsi="宋体"/>
          <w:color w:val="auto"/>
          <w:sz w:val="24"/>
        </w:rPr>
      </w:pPr>
      <w:r>
        <w:rPr>
          <w:rFonts w:hint="eastAsia" w:ascii="宋体" w:hAnsi="宋体"/>
          <w:color w:val="auto"/>
          <w:sz w:val="24"/>
        </w:rPr>
        <w:t>(2)</w:t>
      </w:r>
      <w:r>
        <w:rPr>
          <w:rFonts w:hint="eastAsia" w:ascii="宋体" w:hAnsi="宋体"/>
          <w:color w:val="auto"/>
          <w:sz w:val="24"/>
        </w:rPr>
        <w:tab/>
      </w:r>
      <w:r>
        <w:rPr>
          <w:rFonts w:hint="eastAsia" w:ascii="宋体" w:hAnsi="宋体"/>
          <w:color w:val="auto"/>
          <w:sz w:val="24"/>
        </w:rPr>
        <w:t>所有项目相关人员，不得以任何方式向第三方泄露有关项目的技术资料。</w:t>
      </w:r>
    </w:p>
    <w:p>
      <w:pPr>
        <w:rPr>
          <w:rFonts w:hint="eastAsia" w:ascii="宋体" w:hAnsi="宋体"/>
          <w:color w:val="auto"/>
          <w:sz w:val="24"/>
        </w:rPr>
      </w:pPr>
      <w:r>
        <w:rPr>
          <w:rFonts w:hint="eastAsia" w:ascii="宋体" w:hAnsi="宋体"/>
          <w:color w:val="auto"/>
          <w:sz w:val="24"/>
        </w:rPr>
        <w:t>(3)</w:t>
      </w:r>
      <w:r>
        <w:rPr>
          <w:rFonts w:hint="eastAsia" w:ascii="宋体" w:hAnsi="宋体"/>
          <w:color w:val="auto"/>
          <w:sz w:val="24"/>
        </w:rPr>
        <w:tab/>
      </w:r>
      <w:r>
        <w:rPr>
          <w:rFonts w:hint="eastAsia" w:ascii="宋体" w:hAnsi="宋体"/>
          <w:color w:val="auto"/>
          <w:sz w:val="24"/>
        </w:rPr>
        <w:t>乙方对甲方提供给乙方的注明保密的信息系统数据、信息系统实务及相关信息，不得外泄。</w:t>
      </w:r>
    </w:p>
    <w:p>
      <w:pPr>
        <w:rPr>
          <w:rFonts w:hint="eastAsia"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第二条服务内容及相关事项</w:t>
      </w:r>
    </w:p>
    <w:tbl>
      <w:tblPr>
        <w:tblStyle w:val="27"/>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pPr>
              <w:jc w:val="center"/>
              <w:rPr>
                <w:rFonts w:ascii="宋体" w:hAnsi="宋体"/>
                <w:b/>
                <w:color w:val="auto"/>
                <w:sz w:val="24"/>
              </w:rPr>
            </w:pPr>
            <w:r>
              <w:rPr>
                <w:rFonts w:ascii="宋体" w:hAnsi="宋体"/>
                <w:b/>
                <w:color w:val="auto"/>
                <w:sz w:val="24"/>
              </w:rPr>
              <w:t>项目</w:t>
            </w:r>
            <w:r>
              <w:rPr>
                <w:rFonts w:hint="eastAsia" w:ascii="宋体" w:hAnsi="宋体"/>
                <w:b/>
                <w:color w:val="auto"/>
                <w:sz w:val="24"/>
              </w:rPr>
              <w:t>名称</w:t>
            </w:r>
          </w:p>
        </w:tc>
        <w:tc>
          <w:tcPr>
            <w:tcW w:w="2131" w:type="dxa"/>
            <w:noWrap w:val="0"/>
            <w:vAlign w:val="center"/>
          </w:tcPr>
          <w:p>
            <w:pPr>
              <w:jc w:val="center"/>
              <w:rPr>
                <w:rFonts w:ascii="宋体" w:hAnsi="宋体"/>
                <w:b/>
                <w:color w:val="auto"/>
                <w:sz w:val="24"/>
              </w:rPr>
            </w:pPr>
            <w:r>
              <w:rPr>
                <w:rFonts w:hint="eastAsia" w:ascii="宋体" w:hAnsi="宋体"/>
                <w:b/>
                <w:color w:val="auto"/>
                <w:sz w:val="24"/>
              </w:rPr>
              <w:t>服务</w:t>
            </w:r>
            <w:r>
              <w:rPr>
                <w:rFonts w:ascii="宋体" w:hAnsi="宋体"/>
                <w:b/>
                <w:color w:val="auto"/>
                <w:sz w:val="24"/>
              </w:rPr>
              <w:t>内容</w:t>
            </w:r>
          </w:p>
        </w:tc>
        <w:tc>
          <w:tcPr>
            <w:tcW w:w="4818" w:type="dxa"/>
            <w:noWrap w:val="0"/>
            <w:vAlign w:val="center"/>
          </w:tcPr>
          <w:p>
            <w:pPr>
              <w:jc w:val="center"/>
              <w:rPr>
                <w:rFonts w:ascii="宋体" w:hAnsi="宋体"/>
                <w:b/>
                <w:color w:val="auto"/>
                <w:sz w:val="24"/>
              </w:rPr>
            </w:pPr>
            <w:r>
              <w:rPr>
                <w:rFonts w:hint="eastAsia" w:ascii="宋体" w:hAnsi="宋体"/>
                <w:b/>
                <w:color w:val="auto"/>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pPr>
              <w:rPr>
                <w:rFonts w:ascii="宋体" w:hAnsi="宋体"/>
                <w:color w:val="auto"/>
                <w:sz w:val="24"/>
              </w:rPr>
            </w:pPr>
            <w:r>
              <w:rPr>
                <w:rFonts w:hint="eastAsia" w:ascii="宋体" w:hAnsi="宋体" w:cs="Times New Roman"/>
                <w:color w:val="auto"/>
                <w:sz w:val="24"/>
                <w:lang w:val="en-US" w:eastAsia="zh-CN"/>
              </w:rPr>
              <w:t>国家税务总局黑龙江省税务局云平台及附属系统运维服务项目</w:t>
            </w: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left"/>
              <w:rPr>
                <w:rFonts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jc w:val="center"/>
              <w:rPr>
                <w:rFonts w:hint="eastAsia"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pPr>
              <w:ind w:firstLine="480" w:firstLineChars="200"/>
              <w:jc w:val="left"/>
              <w:rPr>
                <w:rFonts w:hint="eastAsia" w:ascii="宋体" w:hAnsi="宋体"/>
                <w:color w:val="auto"/>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pP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pPr>
              <w:jc w:val="center"/>
              <w:rPr>
                <w:rFonts w:hint="eastAsia" w:ascii="宋体" w:hAnsi="宋体"/>
                <w:color w:val="auto"/>
                <w:sz w:val="24"/>
              </w:rPr>
            </w:pPr>
          </w:p>
        </w:tc>
        <w:tc>
          <w:tcPr>
            <w:tcW w:w="2131" w:type="dxa"/>
            <w:tcBorders>
              <w:top w:val="single" w:color="auto" w:sz="4" w:space="0"/>
              <w:left w:val="single" w:color="auto" w:sz="4" w:space="0"/>
              <w:right w:val="single" w:color="auto" w:sz="4" w:space="0"/>
            </w:tcBorders>
            <w:noWrap w:val="0"/>
            <w:vAlign w:val="top"/>
          </w:tcPr>
          <w:p>
            <w:pPr>
              <w:ind w:firstLine="482" w:firstLineChars="200"/>
              <w:jc w:val="left"/>
              <w:rPr>
                <w:rFonts w:hint="eastAsia" w:ascii="宋体" w:hAnsi="宋体"/>
                <w:b/>
                <w:color w:val="auto"/>
                <w:sz w:val="24"/>
              </w:rPr>
            </w:pPr>
          </w:p>
        </w:tc>
        <w:tc>
          <w:tcPr>
            <w:tcW w:w="4818" w:type="dxa"/>
            <w:tcBorders>
              <w:top w:val="single" w:color="auto" w:sz="4" w:space="0"/>
              <w:left w:val="single" w:color="auto" w:sz="4" w:space="0"/>
              <w:right w:val="single" w:color="auto" w:sz="4" w:space="0"/>
            </w:tcBorders>
            <w:noWrap w:val="0"/>
            <w:vAlign w:val="center"/>
          </w:tcPr>
          <w:p>
            <w:pPr>
              <w:rPr>
                <w:rFonts w:ascii="宋体" w:hAnsi="宋体"/>
                <w:color w:val="auto"/>
                <w:sz w:val="24"/>
              </w:rPr>
            </w:pPr>
          </w:p>
        </w:tc>
      </w:tr>
    </w:tbl>
    <w:p>
      <w:pPr>
        <w:rPr>
          <w:rFonts w:hint="eastAsia" w:ascii="宋体" w:hAnsi="宋体"/>
          <w:color w:val="auto"/>
          <w:sz w:val="24"/>
        </w:rPr>
      </w:pPr>
    </w:p>
    <w:p>
      <w:pPr>
        <w:pStyle w:val="3"/>
        <w:spacing w:before="200" w:after="200" w:line="240" w:lineRule="auto"/>
        <w:rPr>
          <w:rFonts w:hint="eastAsia" w:ascii="宋体" w:hAnsi="宋体"/>
          <w:color w:val="auto"/>
          <w:kern w:val="2"/>
          <w:sz w:val="24"/>
          <w:szCs w:val="24"/>
        </w:rPr>
      </w:pPr>
      <w:r>
        <w:rPr>
          <w:rFonts w:hint="eastAsia" w:ascii="宋体" w:hAnsi="宋体"/>
          <w:color w:val="auto"/>
          <w:kern w:val="2"/>
          <w:sz w:val="24"/>
          <w:szCs w:val="24"/>
        </w:rPr>
        <w:t xml:space="preserve">第三条  </w:t>
      </w:r>
      <w:r>
        <w:rPr>
          <w:rFonts w:hint="eastAsia" w:ascii="宋体" w:hAnsi="宋体"/>
          <w:color w:val="auto"/>
          <w:kern w:val="2"/>
          <w:sz w:val="24"/>
          <w:szCs w:val="24"/>
          <w:lang w:eastAsia="zh-CN"/>
        </w:rPr>
        <w:t>服务</w:t>
      </w:r>
      <w:r>
        <w:rPr>
          <w:rFonts w:hint="eastAsia" w:ascii="宋体" w:hAnsi="宋体"/>
          <w:color w:val="auto"/>
          <w:kern w:val="2"/>
          <w:sz w:val="24"/>
          <w:szCs w:val="24"/>
        </w:rPr>
        <w:t>内容</w:t>
      </w:r>
    </w:p>
    <w:p>
      <w:pPr>
        <w:numPr>
          <w:ilvl w:val="0"/>
          <w:numId w:val="8"/>
        </w:numPr>
        <w:rPr>
          <w:rFonts w:hint="eastAsia" w:ascii="宋体" w:hAnsi="宋体"/>
          <w:color w:val="auto"/>
          <w:sz w:val="24"/>
        </w:rPr>
      </w:pPr>
      <w:r>
        <w:rPr>
          <w:rFonts w:hint="eastAsia" w:ascii="宋体" w:hAnsi="宋体"/>
          <w:color w:val="auto"/>
          <w:sz w:val="24"/>
        </w:rPr>
        <w:t>在一年服务期内，乙方为完成“</w:t>
      </w:r>
      <w:r>
        <w:rPr>
          <w:rFonts w:hint="eastAsia" w:ascii="宋体" w:hAnsi="宋体" w:cs="Times New Roman"/>
          <w:color w:val="auto"/>
          <w:sz w:val="24"/>
          <w:lang w:val="en-US" w:eastAsia="zh-CN"/>
        </w:rPr>
        <w:t>国家税务总局黑龙江省税务局云平台及附属系统运维服务项目</w:t>
      </w:r>
      <w:r>
        <w:rPr>
          <w:rFonts w:hint="eastAsia" w:ascii="宋体" w:hAnsi="宋体"/>
          <w:color w:val="auto"/>
          <w:sz w:val="24"/>
        </w:rPr>
        <w:t>”招标文件所列全部服务内容,</w:t>
      </w:r>
      <w:r>
        <w:rPr>
          <w:rFonts w:ascii="宋体" w:hAnsi="宋体"/>
          <w:color w:val="auto"/>
          <w:sz w:val="24"/>
        </w:rPr>
        <w:t>范围内的</w:t>
      </w:r>
      <w:r>
        <w:rPr>
          <w:rFonts w:hint="eastAsia" w:ascii="宋体" w:hAnsi="宋体"/>
          <w:color w:val="auto"/>
          <w:sz w:val="24"/>
        </w:rPr>
        <w:t>乙方自行使用的</w:t>
      </w:r>
      <w:r>
        <w:rPr>
          <w:rFonts w:ascii="宋体" w:hAnsi="宋体"/>
          <w:color w:val="auto"/>
          <w:sz w:val="24"/>
        </w:rPr>
        <w:t>所有设备、耗材</w:t>
      </w:r>
      <w:r>
        <w:rPr>
          <w:rFonts w:hint="eastAsia" w:ascii="宋体" w:hAnsi="宋体"/>
          <w:color w:val="auto"/>
          <w:sz w:val="24"/>
        </w:rPr>
        <w:t>等</w:t>
      </w:r>
      <w:r>
        <w:rPr>
          <w:rFonts w:ascii="宋体" w:hAnsi="宋体"/>
          <w:color w:val="auto"/>
          <w:sz w:val="24"/>
        </w:rPr>
        <w:t>由乙方</w:t>
      </w:r>
      <w:r>
        <w:rPr>
          <w:rFonts w:hint="eastAsia" w:ascii="宋体" w:hAnsi="宋体"/>
          <w:color w:val="auto"/>
          <w:sz w:val="24"/>
        </w:rPr>
        <w:t>自行</w:t>
      </w:r>
      <w:r>
        <w:rPr>
          <w:rFonts w:ascii="宋体" w:hAnsi="宋体"/>
          <w:color w:val="auto"/>
          <w:sz w:val="24"/>
        </w:rPr>
        <w:t>承担</w:t>
      </w:r>
      <w:r>
        <w:rPr>
          <w:rFonts w:hint="eastAsia" w:ascii="宋体" w:hAnsi="宋体"/>
          <w:color w:val="auto"/>
          <w:sz w:val="24"/>
        </w:rPr>
        <w:t>。</w:t>
      </w:r>
    </w:p>
    <w:p>
      <w:pPr>
        <w:numPr>
          <w:ilvl w:val="0"/>
          <w:numId w:val="8"/>
        </w:numPr>
        <w:rPr>
          <w:rFonts w:hint="eastAsia" w:ascii="宋体" w:hAnsi="宋体"/>
          <w:color w:val="auto"/>
          <w:sz w:val="24"/>
        </w:rPr>
      </w:pPr>
      <w:r>
        <w:rPr>
          <w:rFonts w:hint="eastAsia" w:ascii="宋体" w:hAnsi="宋体"/>
          <w:color w:val="auto"/>
          <w:sz w:val="24"/>
        </w:rPr>
        <w:t>乙方委派。</w:t>
      </w:r>
    </w:p>
    <w:p>
      <w:pPr>
        <w:pStyle w:val="2"/>
        <w:ind w:firstLine="420"/>
        <w:rPr>
          <w:rFonts w:hint="eastAsia"/>
          <w:color w:val="auto"/>
        </w:rPr>
      </w:pPr>
      <w:r>
        <w:rPr>
          <w:rFonts w:hint="eastAsia"/>
          <w:color w:val="auto"/>
        </w:rPr>
        <w:t>（同“附件2”人员）</w:t>
      </w:r>
    </w:p>
    <w:p>
      <w:pPr>
        <w:numPr>
          <w:ilvl w:val="0"/>
          <w:numId w:val="8"/>
        </w:numPr>
        <w:rPr>
          <w:rFonts w:hint="eastAsia" w:ascii="宋体" w:hAnsi="宋体"/>
          <w:color w:val="auto"/>
          <w:sz w:val="24"/>
        </w:rPr>
      </w:pPr>
      <w:r>
        <w:rPr>
          <w:rFonts w:hint="eastAsia" w:ascii="宋体" w:hAnsi="宋体"/>
          <w:color w:val="auto"/>
          <w:sz w:val="24"/>
        </w:rPr>
        <w:t>服务电话。</w:t>
      </w:r>
    </w:p>
    <w:p>
      <w:pPr>
        <w:pStyle w:val="2"/>
        <w:rPr>
          <w:rFonts w:hint="eastAsia" w:ascii="宋体" w:hAnsi="宋体"/>
          <w:color w:val="auto"/>
          <w:sz w:val="24"/>
        </w:rPr>
      </w:pPr>
      <w:r>
        <w:rPr>
          <w:rFonts w:hint="eastAsia" w:ascii="宋体" w:hAnsi="宋体"/>
          <w:color w:val="auto"/>
          <w:sz w:val="24"/>
        </w:rPr>
        <w:t>（售后电话，必填项）</w:t>
      </w:r>
    </w:p>
    <w:p>
      <w:pPr>
        <w:pStyle w:val="3"/>
        <w:spacing w:before="200" w:after="200" w:line="240" w:lineRule="auto"/>
        <w:rPr>
          <w:rFonts w:ascii="宋体" w:hAnsi="宋体"/>
          <w:color w:val="auto"/>
          <w:kern w:val="2"/>
          <w:sz w:val="24"/>
          <w:szCs w:val="24"/>
        </w:rPr>
      </w:pPr>
      <w:r>
        <w:rPr>
          <w:rFonts w:hint="eastAsia" w:ascii="宋体" w:hAnsi="宋体"/>
          <w:color w:val="auto"/>
          <w:kern w:val="2"/>
          <w:sz w:val="24"/>
          <w:szCs w:val="24"/>
        </w:rPr>
        <w:t>第四条  服务期限及服务生效时间</w:t>
      </w:r>
    </w:p>
    <w:p>
      <w:pPr>
        <w:ind w:firstLine="240" w:firstLineChars="100"/>
        <w:rPr>
          <w:rFonts w:hint="eastAsia" w:ascii="宋体" w:hAnsi="宋体"/>
          <w:color w:val="auto"/>
          <w:sz w:val="24"/>
        </w:rPr>
      </w:pPr>
      <w:r>
        <w:rPr>
          <w:rFonts w:hint="eastAsia" w:ascii="宋体" w:hAnsi="宋体"/>
          <w:color w:val="auto"/>
          <w:sz w:val="24"/>
        </w:rPr>
        <w:t>1丶本合同有效期一年，自＿年  ＿月＿日起至＿年＿月＿日止。</w:t>
      </w:r>
    </w:p>
    <w:p>
      <w:pPr>
        <w:ind w:firstLine="240" w:firstLineChars="100"/>
        <w:rPr>
          <w:rFonts w:ascii="宋体" w:hAnsi="宋体"/>
          <w:color w:val="auto"/>
          <w:sz w:val="24"/>
        </w:rPr>
      </w:pPr>
      <w:r>
        <w:rPr>
          <w:rFonts w:hint="eastAsia" w:ascii="宋体" w:hAnsi="宋体"/>
          <w:color w:val="auto"/>
          <w:sz w:val="24"/>
        </w:rPr>
        <w:t>2丶本项目为政府采购服务类采购项目，按照《财政部关于推进和完善服务项目政府采购有关问题的通知》（财库2014  37号）文件要求，采购结果最多__3__年沿用，合同一年一考核一续签。是否续签，由甲方视财政预算安排及乙方供应商资质条件（是否符合《政府采购法》第二十二条规定等）、服务质量、服务内容、服务满意度等绩效考核情况确定。</w:t>
      </w:r>
    </w:p>
    <w:p>
      <w:pPr>
        <w:pStyle w:val="3"/>
        <w:spacing w:before="200" w:after="200" w:line="240" w:lineRule="auto"/>
        <w:rPr>
          <w:rFonts w:hint="eastAsia" w:ascii="宋体" w:hAnsi="宋体"/>
          <w:color w:val="auto"/>
          <w:kern w:val="2"/>
          <w:sz w:val="24"/>
          <w:szCs w:val="24"/>
        </w:rPr>
      </w:pPr>
      <w:r>
        <w:rPr>
          <w:rFonts w:hint="eastAsia" w:ascii="宋体" w:hAnsi="宋体"/>
          <w:color w:val="auto"/>
          <w:kern w:val="2"/>
          <w:sz w:val="24"/>
          <w:szCs w:val="24"/>
        </w:rPr>
        <w:t>第五条 具体服务项目计费标准</w:t>
      </w:r>
    </w:p>
    <w:tbl>
      <w:tblPr>
        <w:tblStyle w:val="27"/>
        <w:tblpPr w:leftFromText="180" w:rightFromText="180" w:vertAnchor="text" w:horzAnchor="page" w:tblpX="1402" w:tblpY="50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left="250" w:right="71" w:hanging="250" w:hangingChars="101"/>
              <w:jc w:val="center"/>
              <w:rPr>
                <w:rFonts w:ascii="宋体" w:hAnsi="宋体"/>
                <w:color w:val="auto"/>
                <w:spacing w:val="4"/>
                <w:sz w:val="24"/>
              </w:rPr>
            </w:pPr>
            <w:r>
              <w:rPr>
                <w:rFonts w:hint="eastAsia" w:ascii="宋体" w:hAnsi="宋体"/>
                <w:color w:val="auto"/>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r>
              <w:rPr>
                <w:rFonts w:hint="eastAsia" w:ascii="宋体" w:hAnsi="宋体"/>
                <w:color w:val="auto"/>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color w:val="auto"/>
                <w:spacing w:val="4"/>
                <w:sz w:val="24"/>
              </w:rPr>
            </w:pPr>
            <w:r>
              <w:rPr>
                <w:rFonts w:hint="eastAsia" w:ascii="宋体" w:hAnsi="宋体"/>
                <w:color w:val="auto"/>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left"/>
              <w:rPr>
                <w:rFonts w:ascii="宋体" w:hAnsi="宋体"/>
                <w:color w:val="auto"/>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hint="eastAsia" w:ascii="宋体" w:hAnsi="宋体"/>
                <w:color w:val="auto"/>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40" w:lineRule="exact"/>
              <w:ind w:right="71"/>
              <w:jc w:val="center"/>
              <w:rPr>
                <w:rFonts w:ascii="宋体" w:hAnsi="宋体"/>
                <w:color w:val="auto"/>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pPr>
              <w:spacing w:line="440" w:lineRule="exact"/>
              <w:ind w:right="71"/>
              <w:rPr>
                <w:rFonts w:ascii="宋体" w:hAnsi="宋体"/>
                <w:color w:val="auto"/>
                <w:spacing w:val="4"/>
                <w:sz w:val="24"/>
              </w:rPr>
            </w:pPr>
            <w:r>
              <w:rPr>
                <w:rFonts w:hint="eastAsia" w:ascii="宋体" w:hAnsi="宋体"/>
                <w:color w:val="auto"/>
                <w:spacing w:val="4"/>
                <w:sz w:val="24"/>
              </w:rPr>
              <w:t>金额合计：人民币</w:t>
            </w:r>
            <w:r>
              <w:rPr>
                <w:rFonts w:hint="eastAsia" w:ascii="宋体" w:hAnsi="宋体"/>
                <w:color w:val="auto"/>
                <w:spacing w:val="4"/>
                <w:sz w:val="24"/>
                <w:u w:val="single"/>
              </w:rPr>
              <w:t>￥</w:t>
            </w:r>
            <w:r>
              <w:rPr>
                <w:rFonts w:ascii="宋体" w:hAnsi="宋体"/>
                <w:color w:val="auto"/>
                <w:spacing w:val="4"/>
                <w:sz w:val="24"/>
                <w:u w:val="single"/>
              </w:rPr>
              <w:t xml:space="preserve"> </w:t>
            </w:r>
            <w:r>
              <w:rPr>
                <w:rFonts w:hint="eastAsia" w:ascii="宋体" w:hAnsi="宋体"/>
                <w:color w:val="auto"/>
                <w:spacing w:val="4"/>
                <w:sz w:val="24"/>
                <w:u w:val="single"/>
              </w:rPr>
              <w:t xml:space="preserve">           ，（大写） </w:t>
            </w:r>
            <w:r>
              <w:rPr>
                <w:rFonts w:ascii="宋体" w:hAnsi="宋体"/>
                <w:color w:val="auto"/>
                <w:spacing w:val="4"/>
                <w:sz w:val="24"/>
                <w:u w:val="single"/>
              </w:rPr>
              <w:t xml:space="preserve"> </w:t>
            </w:r>
          </w:p>
        </w:tc>
      </w:tr>
    </w:tbl>
    <w:p>
      <w:pPr>
        <w:pStyle w:val="3"/>
        <w:spacing w:before="200" w:after="200" w:line="240" w:lineRule="auto"/>
        <w:rPr>
          <w:rFonts w:hint="eastAsia" w:ascii="宋体" w:hAnsi="宋体"/>
          <w:color w:val="auto"/>
          <w:kern w:val="2"/>
          <w:sz w:val="24"/>
          <w:szCs w:val="24"/>
        </w:rPr>
      </w:pPr>
      <w:r>
        <w:rPr>
          <w:rFonts w:hint="eastAsia" w:ascii="宋体" w:hAnsi="宋体"/>
          <w:color w:val="auto"/>
          <w:kern w:val="2"/>
          <w:sz w:val="24"/>
          <w:szCs w:val="24"/>
        </w:rPr>
        <w:t>第六条 费用支付方式</w:t>
      </w:r>
    </w:p>
    <w:p>
      <w:pPr>
        <w:rPr>
          <w:rFonts w:hint="eastAsia" w:ascii="宋体" w:hAnsi="宋体" w:eastAsia="宋体" w:cs="Times New Roman"/>
          <w:color w:val="auto"/>
          <w:sz w:val="24"/>
          <w:lang w:val="en-US" w:eastAsia="zh-CN"/>
        </w:rPr>
      </w:pPr>
      <w:r>
        <w:rPr>
          <w:rFonts w:hint="eastAsia" w:ascii="宋体" w:hAnsi="宋体" w:eastAsia="宋体" w:cs="Times New Roman"/>
          <w:color w:val="auto"/>
          <w:sz w:val="24"/>
          <w:lang w:val="en-US" w:eastAsia="zh-CN"/>
        </w:rPr>
        <w:t>合同标的服务费金额为人民币   万元（大写：   ）。合同签订后10个工作日内，甲方支付给乙方合同价款的50%，人民币   万元（大写：   ）。服务期满10个工作日后，甲方对乙方的运维工作进验收，验收通过后10个工作日内，甲方支付合同价款的50%，人民币   万元（大写：   ）。乙方需在甲方转账前提供符合甲方要求的等额票据。</w:t>
      </w:r>
    </w:p>
    <w:p>
      <w:pPr>
        <w:rPr>
          <w:rFonts w:ascii="宋体" w:hAnsi="宋体"/>
          <w:color w:val="auto"/>
          <w:sz w:val="24"/>
        </w:rPr>
      </w:pPr>
      <w:r>
        <w:rPr>
          <w:rFonts w:hint="eastAsia" w:ascii="宋体" w:hAnsi="宋体"/>
          <w:color w:val="auto"/>
          <w:sz w:val="24"/>
        </w:rPr>
        <w:t>乙方指定收款账户如下：</w:t>
      </w:r>
    </w:p>
    <w:p>
      <w:pPr>
        <w:rPr>
          <w:rFonts w:hint="eastAsia" w:ascii="宋体" w:hAnsi="宋体"/>
          <w:color w:val="auto"/>
          <w:sz w:val="24"/>
        </w:rPr>
      </w:pPr>
      <w:r>
        <w:rPr>
          <w:rFonts w:hint="eastAsia" w:ascii="宋体" w:hAnsi="宋体"/>
          <w:color w:val="auto"/>
          <w:sz w:val="24"/>
        </w:rPr>
        <w:t xml:space="preserve">单位全称： </w:t>
      </w:r>
    </w:p>
    <w:p>
      <w:pPr>
        <w:rPr>
          <w:rFonts w:hint="eastAsia" w:ascii="宋体" w:hAnsi="宋体"/>
          <w:color w:val="auto"/>
          <w:sz w:val="24"/>
        </w:rPr>
      </w:pPr>
      <w:r>
        <w:rPr>
          <w:rFonts w:hint="eastAsia" w:ascii="宋体" w:hAnsi="宋体"/>
          <w:color w:val="auto"/>
          <w:sz w:val="24"/>
        </w:rPr>
        <w:t xml:space="preserve">开 户 行： </w:t>
      </w:r>
    </w:p>
    <w:p>
      <w:pPr>
        <w:rPr>
          <w:rFonts w:hint="eastAsia" w:ascii="宋体" w:hAnsi="宋体"/>
          <w:color w:val="auto"/>
          <w:sz w:val="24"/>
        </w:rPr>
      </w:pPr>
      <w:r>
        <w:rPr>
          <w:rFonts w:hint="eastAsia" w:ascii="宋体" w:hAnsi="宋体"/>
          <w:color w:val="auto"/>
          <w:sz w:val="24"/>
        </w:rPr>
        <w:t xml:space="preserve">帐    号： </w:t>
      </w:r>
    </w:p>
    <w:p>
      <w:pPr>
        <w:pStyle w:val="3"/>
        <w:spacing w:before="200" w:after="200" w:line="240" w:lineRule="auto"/>
        <w:rPr>
          <w:rFonts w:ascii="宋体" w:hAnsi="宋体"/>
          <w:color w:val="auto"/>
          <w:kern w:val="2"/>
          <w:sz w:val="24"/>
          <w:szCs w:val="24"/>
        </w:rPr>
      </w:pPr>
      <w:r>
        <w:rPr>
          <w:rFonts w:hint="eastAsia" w:ascii="宋体" w:hAnsi="宋体"/>
          <w:color w:val="auto"/>
          <w:kern w:val="2"/>
          <w:sz w:val="24"/>
          <w:szCs w:val="24"/>
        </w:rPr>
        <w:t>第七条 甲乙双方责任与义务</w:t>
      </w:r>
    </w:p>
    <w:p>
      <w:pPr>
        <w:rPr>
          <w:rFonts w:hint="eastAsia" w:ascii="宋体" w:hAnsi="宋体"/>
          <w:color w:val="auto"/>
          <w:sz w:val="24"/>
        </w:rPr>
      </w:pPr>
      <w:r>
        <w:rPr>
          <w:rFonts w:hint="eastAsia" w:ascii="宋体" w:hAnsi="宋体"/>
          <w:color w:val="auto"/>
          <w:sz w:val="24"/>
        </w:rPr>
        <w:t>甲方责任：</w:t>
      </w:r>
    </w:p>
    <w:p>
      <w:pPr>
        <w:rPr>
          <w:rFonts w:ascii="宋体" w:hAnsi="宋体"/>
          <w:color w:val="auto"/>
          <w:sz w:val="24"/>
        </w:rPr>
      </w:pPr>
      <w:r>
        <w:rPr>
          <w:rFonts w:hint="eastAsia" w:ascii="宋体" w:hAnsi="宋体"/>
          <w:color w:val="auto"/>
          <w:sz w:val="24"/>
        </w:rPr>
        <w:t>1、在乙方进行支持服务时，根据乙方要求，指定配合工作的人员，提供必要的设备。</w:t>
      </w:r>
    </w:p>
    <w:p>
      <w:pPr>
        <w:rPr>
          <w:rFonts w:hint="eastAsia" w:ascii="宋体" w:hAnsi="宋体"/>
          <w:color w:val="auto"/>
          <w:sz w:val="24"/>
        </w:rPr>
      </w:pPr>
      <w:r>
        <w:rPr>
          <w:rFonts w:hint="eastAsia" w:ascii="宋体" w:hAnsi="宋体"/>
          <w:color w:val="auto"/>
          <w:sz w:val="24"/>
        </w:rPr>
        <w:t>2、在乙方服务人员支持服务完成时，配合检查设备、系统运行是否正常。</w:t>
      </w:r>
    </w:p>
    <w:p>
      <w:pPr>
        <w:rPr>
          <w:rFonts w:ascii="宋体" w:hAnsi="宋体"/>
          <w:color w:val="auto"/>
          <w:sz w:val="24"/>
        </w:rPr>
      </w:pPr>
      <w:r>
        <w:rPr>
          <w:rFonts w:hint="eastAsia" w:ascii="宋体" w:hAnsi="宋体"/>
          <w:color w:val="auto"/>
          <w:sz w:val="24"/>
        </w:rPr>
        <w:t>3、甲方如果要求乙方超出本合同及其附件约定的范围提供支持服务，甲方应与乙方另行协商签署相关合同，并向乙方支付相应的服务费用。</w:t>
      </w:r>
    </w:p>
    <w:p>
      <w:pPr>
        <w:rPr>
          <w:rFonts w:hint="eastAsia" w:ascii="宋体" w:hAnsi="宋体"/>
          <w:color w:val="auto"/>
          <w:sz w:val="24"/>
        </w:rPr>
      </w:pPr>
    </w:p>
    <w:p>
      <w:pPr>
        <w:rPr>
          <w:rFonts w:hint="eastAsia" w:ascii="宋体" w:hAnsi="宋体"/>
          <w:color w:val="auto"/>
          <w:sz w:val="24"/>
        </w:rPr>
      </w:pPr>
      <w:r>
        <w:rPr>
          <w:rFonts w:hint="eastAsia" w:ascii="宋体" w:hAnsi="宋体"/>
          <w:color w:val="auto"/>
          <w:sz w:val="24"/>
        </w:rPr>
        <w:t>乙方责任：</w:t>
      </w:r>
    </w:p>
    <w:p>
      <w:pPr>
        <w:rPr>
          <w:rFonts w:hint="eastAsia" w:ascii="宋体" w:hAnsi="宋体"/>
          <w:color w:val="auto"/>
          <w:sz w:val="24"/>
        </w:rPr>
      </w:pPr>
      <w:r>
        <w:rPr>
          <w:rFonts w:hint="eastAsia" w:ascii="宋体" w:hAnsi="宋体"/>
          <w:color w:val="auto"/>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auto"/>
          <w:sz w:val="24"/>
        </w:rPr>
      </w:pPr>
      <w:r>
        <w:rPr>
          <w:rFonts w:hint="eastAsia" w:ascii="宋体" w:hAnsi="宋体"/>
          <w:color w:val="auto"/>
          <w:sz w:val="24"/>
        </w:rPr>
        <w:t>2. 严格遵守甲方安全保密制度和规定，签署保密协议。</w:t>
      </w:r>
    </w:p>
    <w:p>
      <w:pPr>
        <w:rPr>
          <w:rFonts w:hint="eastAsia" w:ascii="宋体" w:hAnsi="宋体"/>
          <w:color w:val="auto"/>
          <w:sz w:val="24"/>
        </w:rPr>
      </w:pPr>
      <w:r>
        <w:rPr>
          <w:rFonts w:hint="eastAsia" w:ascii="宋体" w:hAnsi="宋体"/>
          <w:color w:val="auto"/>
          <w:sz w:val="24"/>
        </w:rPr>
        <w:t>3. 严格按照甲方的管理维护制度要求进行相关工作。</w:t>
      </w:r>
    </w:p>
    <w:p>
      <w:pPr>
        <w:rPr>
          <w:rFonts w:hint="eastAsia" w:ascii="宋体" w:hAnsi="宋体"/>
          <w:color w:val="auto"/>
          <w:sz w:val="24"/>
        </w:rPr>
      </w:pPr>
      <w:r>
        <w:rPr>
          <w:rFonts w:hint="eastAsia" w:ascii="宋体" w:hAnsi="宋体"/>
          <w:color w:val="auto"/>
          <w:sz w:val="24"/>
        </w:rPr>
        <w:t>4.发生重大故障立即报告并进行故障排查，故障解决后立即形成书面材料进行上报，说明故障原因、排查过程 、解决方法及预防故障发生的措施或建议等。</w:t>
      </w:r>
    </w:p>
    <w:p>
      <w:pPr>
        <w:rPr>
          <w:rFonts w:hint="eastAsia" w:ascii="宋体" w:hAnsi="宋体"/>
          <w:color w:val="auto"/>
          <w:sz w:val="24"/>
        </w:rPr>
      </w:pPr>
      <w:r>
        <w:rPr>
          <w:rFonts w:hint="eastAsia" w:ascii="宋体" w:hAnsi="宋体"/>
          <w:color w:val="auto"/>
          <w:sz w:val="24"/>
        </w:rPr>
        <w:t>5. 及时填写各类维护记录，保证每次维护工作可进行有效追踪和核查。</w:t>
      </w:r>
    </w:p>
    <w:p>
      <w:pPr>
        <w:rPr>
          <w:rFonts w:hint="eastAsia" w:ascii="宋体" w:hAnsi="宋体"/>
          <w:color w:val="auto"/>
          <w:sz w:val="24"/>
        </w:rPr>
      </w:pPr>
      <w:r>
        <w:rPr>
          <w:rFonts w:hint="eastAsia" w:ascii="宋体" w:hAnsi="宋体"/>
          <w:color w:val="auto"/>
          <w:sz w:val="24"/>
        </w:rPr>
        <w:t>6. 甲方对聘用人员进行工作考核，对不符合要求的人员随时进行撤换。</w:t>
      </w:r>
    </w:p>
    <w:p>
      <w:pPr>
        <w:rPr>
          <w:rFonts w:hint="eastAsia" w:ascii="宋体" w:hAnsi="宋体"/>
          <w:color w:val="auto"/>
          <w:sz w:val="24"/>
        </w:rPr>
      </w:pPr>
      <w:r>
        <w:rPr>
          <w:rFonts w:hint="eastAsia" w:ascii="宋体" w:hAnsi="宋体"/>
          <w:color w:val="auto"/>
          <w:sz w:val="24"/>
        </w:rPr>
        <w:t>7. 甲方只负责按照合同约定的金额向乙方支付人员聘用费用，维护人员的工资、社会保险及其它待遇或相关费用等均由乙方负责。</w:t>
      </w:r>
    </w:p>
    <w:p>
      <w:pPr>
        <w:rPr>
          <w:rFonts w:hint="eastAsia" w:ascii="宋体" w:hAnsi="宋体"/>
          <w:color w:val="auto"/>
          <w:sz w:val="24"/>
        </w:rPr>
      </w:pPr>
      <w:r>
        <w:rPr>
          <w:rFonts w:hint="eastAsia" w:ascii="宋体" w:hAnsi="宋体"/>
          <w:color w:val="auto"/>
          <w:sz w:val="24"/>
        </w:rPr>
        <w:t>8. 未经甲方批准，获聘单位不准随意更换聘用人员。</w:t>
      </w:r>
    </w:p>
    <w:p>
      <w:pPr>
        <w:rPr>
          <w:rFonts w:hint="eastAsia" w:ascii="宋体" w:hAnsi="宋体"/>
          <w:color w:val="auto"/>
          <w:sz w:val="24"/>
        </w:rPr>
      </w:pPr>
      <w:r>
        <w:rPr>
          <w:rFonts w:hint="eastAsia" w:ascii="宋体" w:hAnsi="宋体"/>
          <w:color w:val="auto"/>
          <w:sz w:val="24"/>
        </w:rPr>
        <w:t>9. 聘用人员在聘用期间必须完全遵守甲方的有关规定和服从管理。</w:t>
      </w:r>
    </w:p>
    <w:p>
      <w:pPr>
        <w:rPr>
          <w:rFonts w:hint="eastAsia" w:ascii="宋体" w:hAnsi="宋体"/>
          <w:color w:val="auto"/>
          <w:sz w:val="24"/>
        </w:rPr>
      </w:pPr>
      <w:r>
        <w:rPr>
          <w:rFonts w:hint="eastAsia" w:ascii="宋体" w:hAnsi="宋体"/>
          <w:color w:val="auto"/>
          <w:sz w:val="24"/>
        </w:rPr>
        <w:t>10. 所有获聘人员均有三个月试用期，期间不满足甲方要求，需无条件更换获聘人员，若整个试用期间一直无法满足甲方的要求，甲方有权解除聘用合同，不承担任何违约责任。</w:t>
      </w:r>
    </w:p>
    <w:p>
      <w:pPr>
        <w:rPr>
          <w:rFonts w:hint="eastAsia" w:ascii="宋体" w:hAnsi="宋体"/>
          <w:color w:val="auto"/>
          <w:sz w:val="24"/>
          <w:lang w:eastAsia="zh-CN"/>
        </w:rPr>
      </w:pPr>
      <w:r>
        <w:rPr>
          <w:rFonts w:hint="eastAsia" w:ascii="宋体" w:hAnsi="宋体"/>
          <w:color w:val="auto"/>
          <w:sz w:val="24"/>
        </w:rPr>
        <w:t>1</w:t>
      </w:r>
      <w:r>
        <w:rPr>
          <w:rFonts w:hint="eastAsia" w:ascii="宋体" w:hAnsi="宋体"/>
          <w:color w:val="auto"/>
          <w:sz w:val="24"/>
          <w:lang w:val="en-US" w:eastAsia="zh-CN"/>
        </w:rPr>
        <w:t>1</w:t>
      </w:r>
      <w:r>
        <w:rPr>
          <w:rFonts w:hint="eastAsia" w:ascii="宋体" w:hAnsi="宋体"/>
          <w:color w:val="auto"/>
          <w:sz w:val="24"/>
        </w:rPr>
        <w:t>.供应链安全要求：供应链厂商应明确税务应用系统的安全责任和数据安全责任，包括但不限于</w:t>
      </w:r>
      <w:r>
        <w:rPr>
          <w:rFonts w:hint="eastAsia" w:ascii="宋体" w:hAnsi="宋体"/>
          <w:color w:val="auto"/>
          <w:sz w:val="24"/>
          <w:lang w:eastAsia="zh-CN"/>
        </w:rPr>
        <w:t>：</w:t>
      </w:r>
    </w:p>
    <w:p>
      <w:pPr>
        <w:spacing w:line="432" w:lineRule="auto"/>
        <w:ind w:left="567" w:hanging="567"/>
        <w:rPr>
          <w:rFonts w:hint="eastAsia" w:eastAsia="宋体"/>
          <w:color w:val="auto"/>
          <w:sz w:val="24"/>
          <w:szCs w:val="24"/>
        </w:rPr>
      </w:pPr>
      <w:r>
        <w:rPr>
          <w:rFonts w:hint="eastAsia" w:eastAsia="宋体"/>
          <w:color w:val="auto"/>
          <w:sz w:val="24"/>
          <w:szCs w:val="24"/>
        </w:rPr>
        <w:t>（1）具备销售许可证、满足国家认可的网络安全规范和认证要求；</w:t>
      </w:r>
    </w:p>
    <w:p>
      <w:pPr>
        <w:spacing w:line="432" w:lineRule="auto"/>
        <w:ind w:left="567" w:hanging="567"/>
        <w:rPr>
          <w:rFonts w:hint="eastAsia" w:eastAsia="宋体"/>
          <w:color w:val="auto"/>
          <w:sz w:val="24"/>
          <w:szCs w:val="24"/>
        </w:rPr>
      </w:pPr>
      <w:r>
        <w:rPr>
          <w:rFonts w:hint="eastAsia" w:eastAsia="宋体"/>
          <w:color w:val="auto"/>
          <w:sz w:val="24"/>
          <w:szCs w:val="24"/>
        </w:rPr>
        <w:t>（2）产品满足业务持续稳定运行时限需求的使用授权；</w:t>
      </w:r>
    </w:p>
    <w:p>
      <w:pPr>
        <w:spacing w:line="432" w:lineRule="auto"/>
        <w:ind w:left="567" w:hanging="567"/>
        <w:rPr>
          <w:rFonts w:hint="eastAsia" w:eastAsia="宋体"/>
          <w:color w:val="auto"/>
          <w:sz w:val="24"/>
          <w:szCs w:val="24"/>
        </w:rPr>
      </w:pPr>
      <w:r>
        <w:rPr>
          <w:rFonts w:hint="eastAsia" w:eastAsia="宋体"/>
          <w:color w:val="auto"/>
          <w:sz w:val="24"/>
          <w:szCs w:val="24"/>
        </w:rPr>
        <w:t>（3）采用安全可控的方式、渠道，交付产品或开展服务等；</w:t>
      </w:r>
    </w:p>
    <w:p>
      <w:pPr>
        <w:spacing w:line="432" w:lineRule="auto"/>
        <w:ind w:left="567" w:hanging="567"/>
        <w:rPr>
          <w:rFonts w:hint="eastAsia" w:eastAsia="宋体"/>
          <w:color w:val="auto"/>
          <w:sz w:val="24"/>
          <w:szCs w:val="24"/>
        </w:rPr>
      </w:pPr>
      <w:r>
        <w:rPr>
          <w:rFonts w:hint="eastAsia" w:eastAsia="宋体"/>
          <w:color w:val="auto"/>
          <w:sz w:val="24"/>
          <w:szCs w:val="24"/>
        </w:rPr>
        <w:t>（4）产品安全性保障，如不可利用产品的便利条件非法获取用户数据、控制和操纵用户系统和设备，不得在未授权情况下对产品进行升级或更新换代等；</w:t>
      </w:r>
    </w:p>
    <w:p>
      <w:pPr>
        <w:spacing w:line="432" w:lineRule="auto"/>
        <w:ind w:left="567" w:hanging="567"/>
        <w:rPr>
          <w:rFonts w:hint="eastAsia" w:eastAsia="宋体"/>
          <w:color w:val="auto"/>
          <w:sz w:val="24"/>
          <w:szCs w:val="24"/>
        </w:rPr>
      </w:pPr>
      <w:r>
        <w:rPr>
          <w:rFonts w:hint="eastAsia" w:eastAsia="宋体"/>
          <w:color w:val="auto"/>
          <w:sz w:val="24"/>
          <w:szCs w:val="24"/>
        </w:rPr>
        <w:t>（5）明确供应链厂商的安全责任和义务，如供应链厂商对软硬件产品和服务的设计、研发、生产、交付等关键环节加强安全管理；</w:t>
      </w:r>
    </w:p>
    <w:p>
      <w:pPr>
        <w:spacing w:line="432" w:lineRule="auto"/>
        <w:ind w:left="567" w:hanging="567"/>
        <w:rPr>
          <w:rFonts w:hint="eastAsia" w:eastAsia="宋体"/>
          <w:color w:val="auto"/>
          <w:sz w:val="24"/>
          <w:szCs w:val="24"/>
        </w:rPr>
      </w:pPr>
      <w:r>
        <w:rPr>
          <w:rFonts w:hint="eastAsia" w:eastAsia="宋体"/>
          <w:color w:val="auto"/>
          <w:sz w:val="24"/>
          <w:szCs w:val="24"/>
        </w:rPr>
        <w:t>（6）按照国家法律法规开展的安全审查、安全评估、渗透测试等；</w:t>
      </w:r>
    </w:p>
    <w:p>
      <w:pPr>
        <w:spacing w:line="432" w:lineRule="auto"/>
        <w:ind w:left="567" w:hanging="567"/>
        <w:rPr>
          <w:rFonts w:hint="eastAsia" w:eastAsia="宋体"/>
          <w:color w:val="auto"/>
          <w:sz w:val="24"/>
          <w:szCs w:val="24"/>
        </w:rPr>
      </w:pPr>
      <w:r>
        <w:rPr>
          <w:rFonts w:hint="eastAsia" w:eastAsia="宋体"/>
          <w:color w:val="auto"/>
          <w:sz w:val="24"/>
          <w:szCs w:val="24"/>
        </w:rPr>
        <w:t>（7）在项目实施过程中须提高开发人员安全技术水平，加强源代码安全管理，健全源代码安全管理机制，确保税务应用系统安全。因源代码泄露，造成税务应用系统被攻击，导致涉税数据泄露，甲方将严肃追究责任并将供应链厂商列入失信人名单。</w:t>
      </w:r>
    </w:p>
    <w:p>
      <w:pPr>
        <w:rPr>
          <w:rFonts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第八条 违约责任</w:t>
      </w:r>
    </w:p>
    <w:p>
      <w:pPr>
        <w:rPr>
          <w:rFonts w:hint="eastAsia" w:ascii="宋体" w:hAnsi="宋体"/>
          <w:color w:val="auto"/>
          <w:sz w:val="24"/>
        </w:rPr>
      </w:pPr>
      <w:r>
        <w:rPr>
          <w:rFonts w:hint="eastAsia" w:ascii="宋体" w:hAnsi="宋体"/>
          <w:color w:val="auto"/>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color w:val="auto"/>
          <w:sz w:val="24"/>
        </w:rPr>
      </w:pPr>
      <w:r>
        <w:rPr>
          <w:rFonts w:hint="eastAsia" w:ascii="宋体" w:hAnsi="宋体"/>
          <w:color w:val="auto"/>
          <w:sz w:val="24"/>
        </w:rPr>
        <w:t>2、如甲方未按合同约定的时间和金额向乙方支付应付款项，则自本合同约定的付款之日起，每延迟一天，甲方应向乙方支付本合同应付而未付金额的万分之一的违约金。</w:t>
      </w:r>
    </w:p>
    <w:p>
      <w:pPr>
        <w:rPr>
          <w:rFonts w:hint="eastAsia" w:ascii="宋体" w:hAnsi="宋体"/>
          <w:color w:val="auto"/>
          <w:sz w:val="24"/>
        </w:rPr>
      </w:pPr>
      <w:r>
        <w:rPr>
          <w:rFonts w:hint="eastAsia" w:ascii="宋体" w:hAnsi="宋体"/>
          <w:color w:val="auto"/>
          <w:sz w:val="24"/>
        </w:rPr>
        <w:t>3、如因乙方责任造成项目延期，则自项目应完成之日起，每延迟一天，乙方应向甲方支付未完成部分的合同金额，违约金最高限额为本合同标的总金额的百分之五。</w:t>
      </w:r>
    </w:p>
    <w:p>
      <w:pPr>
        <w:rPr>
          <w:rFonts w:hint="eastAsia" w:ascii="宋体" w:hAnsi="宋体"/>
          <w:color w:val="auto"/>
          <w:sz w:val="24"/>
        </w:rPr>
      </w:pPr>
      <w:r>
        <w:rPr>
          <w:rFonts w:hint="eastAsia" w:ascii="宋体" w:hAnsi="宋体"/>
          <w:color w:val="auto"/>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color w:val="auto"/>
          <w:sz w:val="24"/>
        </w:rPr>
      </w:pPr>
      <w:r>
        <w:rPr>
          <w:rFonts w:hint="eastAsia" w:ascii="宋体" w:hAnsi="宋体"/>
          <w:color w:val="auto"/>
          <w:sz w:val="24"/>
        </w:rPr>
        <w:t>5、对本合同项下某一条款的争议，不应影响合同双方对其他条款的履行。</w:t>
      </w:r>
    </w:p>
    <w:p>
      <w:pPr>
        <w:rPr>
          <w:rFonts w:hint="eastAsia" w:ascii="宋体" w:hAnsi="宋体"/>
          <w:color w:val="auto"/>
          <w:sz w:val="30"/>
          <w:szCs w:val="30"/>
        </w:rPr>
      </w:pPr>
      <w:r>
        <w:rPr>
          <w:rFonts w:hint="eastAsia" w:ascii="宋体" w:hAnsi="宋体"/>
          <w:color w:val="auto"/>
          <w:sz w:val="24"/>
        </w:rPr>
        <w:t>6、乙方的服务人员不履行或不按本合同约定履行服务，并给甲方造成了实际损失，乙方应该对甲方实际损失给予赔偿。</w:t>
      </w:r>
      <w:r>
        <w:rPr>
          <w:rFonts w:hint="eastAsia" w:ascii="宋体" w:hAnsi="宋体"/>
          <w:color w:val="auto"/>
          <w:sz w:val="30"/>
          <w:szCs w:val="30"/>
        </w:rPr>
        <w:t xml:space="preserve">   </w:t>
      </w:r>
    </w:p>
    <w:p>
      <w:pPr>
        <w:rPr>
          <w:rFonts w:hint="eastAsia" w:ascii="宋体" w:hAnsi="宋体"/>
          <w:color w:val="auto"/>
          <w:sz w:val="24"/>
        </w:rPr>
      </w:pPr>
      <w:r>
        <w:rPr>
          <w:rFonts w:hint="eastAsia" w:ascii="宋体" w:hAnsi="宋体"/>
          <w:color w:val="auto"/>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pPr>
        <w:rPr>
          <w:rFonts w:hint="eastAsia" w:ascii="宋体" w:hAnsi="宋体"/>
          <w:color w:val="auto"/>
          <w:sz w:val="24"/>
        </w:rPr>
      </w:pPr>
      <w:r>
        <w:rPr>
          <w:rFonts w:hint="eastAsia" w:ascii="宋体" w:hAnsi="宋体"/>
          <w:color w:val="auto"/>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color w:val="auto"/>
          <w:sz w:val="24"/>
        </w:rPr>
      </w:pPr>
      <w:r>
        <w:rPr>
          <w:rFonts w:hint="eastAsia" w:ascii="宋体" w:hAnsi="宋体"/>
          <w:color w:val="auto"/>
          <w:sz w:val="24"/>
        </w:rPr>
        <w:t>9、乙方运维人员工作时间，严格遵守局方工作制度和工作纪律要求，包括节假日在内的各类加班和值班。否则，按照每天5%人月费用从运维费用中扣除。</w:t>
      </w:r>
    </w:p>
    <w:p>
      <w:pPr>
        <w:rPr>
          <w:rFonts w:hint="eastAsia" w:ascii="宋体" w:hAnsi="宋体"/>
          <w:color w:val="auto"/>
          <w:sz w:val="24"/>
        </w:rPr>
      </w:pPr>
      <w:r>
        <w:rPr>
          <w:rFonts w:hint="eastAsia" w:ascii="宋体" w:hAnsi="宋体"/>
          <w:color w:val="auto"/>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color w:val="auto"/>
          <w:sz w:val="24"/>
        </w:rPr>
      </w:pPr>
      <w:r>
        <w:rPr>
          <w:rFonts w:hint="eastAsia" w:ascii="宋体" w:hAnsi="宋体"/>
          <w:color w:val="auto"/>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color w:val="auto"/>
          <w:sz w:val="24"/>
        </w:rPr>
      </w:pPr>
      <w:r>
        <w:rPr>
          <w:rFonts w:hint="eastAsia" w:ascii="宋体" w:hAnsi="宋体"/>
          <w:color w:val="auto"/>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2"/>
        <w:ind w:firstLine="0" w:firstLineChars="0"/>
        <w:rPr>
          <w:rFonts w:hint="eastAsia"/>
          <w:color w:val="auto"/>
        </w:rPr>
      </w:pPr>
    </w:p>
    <w:p>
      <w:pPr>
        <w:pStyle w:val="4"/>
        <w:outlineLvl w:val="0"/>
        <w:rPr>
          <w:rFonts w:ascii="宋体" w:hAnsi="宋体"/>
          <w:color w:val="auto"/>
          <w:sz w:val="24"/>
          <w:szCs w:val="24"/>
        </w:rPr>
      </w:pPr>
      <w:r>
        <w:rPr>
          <w:rFonts w:hint="eastAsia" w:ascii="宋体" w:hAnsi="宋体"/>
          <w:color w:val="auto"/>
          <w:sz w:val="24"/>
          <w:szCs w:val="24"/>
        </w:rPr>
        <w:t>第九条 合同终止</w:t>
      </w:r>
    </w:p>
    <w:p>
      <w:pPr>
        <w:rPr>
          <w:rFonts w:ascii="宋体" w:hAnsi="宋体"/>
          <w:color w:val="auto"/>
          <w:sz w:val="24"/>
        </w:rPr>
      </w:pPr>
      <w:r>
        <w:rPr>
          <w:rFonts w:hint="eastAsia" w:ascii="宋体" w:hAnsi="宋体"/>
          <w:color w:val="auto"/>
          <w:sz w:val="24"/>
        </w:rPr>
        <w:t>1、甲方逾期付款超过90日，乙方将有权利单方终止本合同。</w:t>
      </w:r>
    </w:p>
    <w:p>
      <w:pPr>
        <w:rPr>
          <w:rFonts w:hint="eastAsia" w:ascii="宋体" w:hAnsi="宋体"/>
          <w:color w:val="auto"/>
          <w:sz w:val="24"/>
        </w:rPr>
      </w:pPr>
      <w:r>
        <w:rPr>
          <w:rFonts w:hint="eastAsia" w:ascii="宋体" w:hAnsi="宋体"/>
          <w:color w:val="auto"/>
          <w:sz w:val="24"/>
        </w:rPr>
        <w:t>2、甲方在当年计费周期届满前30日内向乙方提出是否续签合同的书面通知，如未书面通知的合同期满后自然终止。</w:t>
      </w:r>
    </w:p>
    <w:p>
      <w:pPr>
        <w:pStyle w:val="2"/>
        <w:rPr>
          <w:rFonts w:hint="eastAsia" w:ascii="宋体" w:hAnsi="宋体"/>
          <w:color w:val="auto"/>
          <w:sz w:val="24"/>
        </w:rPr>
      </w:pPr>
    </w:p>
    <w:p>
      <w:pPr>
        <w:pStyle w:val="4"/>
        <w:outlineLvl w:val="0"/>
        <w:rPr>
          <w:rFonts w:hint="eastAsia" w:ascii="宋体" w:hAnsi="宋体"/>
          <w:color w:val="auto"/>
          <w:sz w:val="24"/>
          <w:szCs w:val="24"/>
        </w:rPr>
      </w:pPr>
      <w:r>
        <w:rPr>
          <w:rFonts w:hint="eastAsia" w:ascii="宋体" w:hAnsi="宋体"/>
          <w:color w:val="auto"/>
          <w:sz w:val="24"/>
          <w:szCs w:val="24"/>
        </w:rPr>
        <w:t>第十条 免责条款</w:t>
      </w:r>
    </w:p>
    <w:p>
      <w:pPr>
        <w:rPr>
          <w:rFonts w:hint="eastAsia" w:ascii="宋体" w:hAnsi="宋体"/>
          <w:color w:val="auto"/>
          <w:sz w:val="24"/>
        </w:rPr>
      </w:pPr>
      <w:r>
        <w:rPr>
          <w:rFonts w:hint="eastAsia" w:ascii="宋体" w:hAnsi="宋体"/>
          <w:color w:val="auto"/>
          <w:sz w:val="24"/>
        </w:rPr>
        <w:t>1、因自然灾害、战争、特别恶劣天气等原因造成乙方维修人员不能按承诺时限到达现场，甲方对乙方不予处罚。</w:t>
      </w:r>
    </w:p>
    <w:p>
      <w:pPr>
        <w:rPr>
          <w:rFonts w:hint="eastAsia" w:ascii="宋体" w:hAnsi="宋体"/>
          <w:color w:val="auto"/>
          <w:sz w:val="24"/>
        </w:rPr>
      </w:pPr>
      <w:r>
        <w:rPr>
          <w:rFonts w:hint="eastAsia" w:ascii="宋体" w:hAnsi="宋体"/>
          <w:color w:val="auto"/>
          <w:sz w:val="24"/>
        </w:rPr>
        <w:t>2、因雷击、火灾、供电事故、人为因素造成设备损坏，甲方另行按实支付维修费。</w:t>
      </w:r>
    </w:p>
    <w:p>
      <w:pPr>
        <w:pStyle w:val="4"/>
        <w:outlineLvl w:val="0"/>
        <w:rPr>
          <w:rFonts w:ascii="宋体" w:hAnsi="宋体"/>
          <w:color w:val="auto"/>
          <w:sz w:val="24"/>
          <w:szCs w:val="24"/>
        </w:rPr>
      </w:pPr>
      <w:r>
        <w:rPr>
          <w:rFonts w:hint="eastAsia" w:ascii="宋体" w:hAnsi="宋体"/>
          <w:color w:val="auto"/>
          <w:sz w:val="24"/>
          <w:szCs w:val="24"/>
        </w:rPr>
        <w:t>第十一条 其他</w:t>
      </w:r>
    </w:p>
    <w:p>
      <w:pPr>
        <w:rPr>
          <w:rFonts w:hint="eastAsia" w:ascii="宋体" w:hAnsi="宋体"/>
          <w:color w:val="auto"/>
          <w:sz w:val="24"/>
        </w:rPr>
      </w:pPr>
      <w:r>
        <w:rPr>
          <w:rFonts w:hint="eastAsia" w:ascii="宋体" w:hAnsi="宋体"/>
          <w:color w:val="auto"/>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合同的履行地法院提起诉讼。本合同的履行地为甲方所在地。</w:t>
      </w:r>
    </w:p>
    <w:p>
      <w:pPr>
        <w:rPr>
          <w:rFonts w:hint="eastAsia" w:ascii="宋体" w:hAnsi="宋体"/>
          <w:color w:val="auto"/>
          <w:sz w:val="24"/>
        </w:rPr>
      </w:pPr>
      <w:r>
        <w:rPr>
          <w:rFonts w:hint="eastAsia" w:ascii="宋体" w:hAnsi="宋体"/>
          <w:color w:val="auto"/>
          <w:sz w:val="24"/>
        </w:rPr>
        <w:t>2、适用法律。本合同的成立、有效性、解释、履行及由此产生的争议的解决，均应适用中华人民共和国法律。</w:t>
      </w:r>
    </w:p>
    <w:p>
      <w:pPr>
        <w:rPr>
          <w:rFonts w:hint="eastAsia" w:ascii="宋体" w:hAnsi="宋体"/>
          <w:color w:val="auto"/>
          <w:sz w:val="24"/>
        </w:rPr>
      </w:pPr>
      <w:r>
        <w:rPr>
          <w:rFonts w:hint="eastAsia" w:ascii="宋体" w:hAnsi="宋体"/>
          <w:color w:val="auto"/>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7"/>
        <w:tblW w:w="8752" w:type="dxa"/>
        <w:jc w:val="center"/>
        <w:tblLayout w:type="fixed"/>
        <w:tblCellMar>
          <w:top w:w="567" w:type="dxa"/>
          <w:left w:w="105" w:type="dxa"/>
          <w:bottom w:w="567" w:type="dxa"/>
          <w:right w:w="105" w:type="dxa"/>
        </w:tblCellMar>
      </w:tblPr>
      <w:tblGrid>
        <w:gridCol w:w="4074"/>
        <w:gridCol w:w="4678"/>
      </w:tblGrid>
      <w:tr>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18"/>
                <w:szCs w:val="18"/>
              </w:rPr>
            </w:pPr>
            <w:r>
              <w:rPr>
                <w:rFonts w:ascii="方正宋黑简体" w:eastAsia="方正宋黑简体"/>
                <w:color w:val="auto"/>
                <w:kern w:val="0"/>
                <w:sz w:val="24"/>
              </w:rPr>
              <w:br w:type="page"/>
            </w:r>
            <w:r>
              <w:rPr>
                <w:rFonts w:hint="eastAsia" w:ascii="方正宋黑简体" w:hAnsi="微软雅黑" w:eastAsia="方正宋黑简体" w:cs="宋体"/>
                <w:color w:val="auto"/>
                <w:kern w:val="0"/>
                <w:sz w:val="24"/>
              </w:rPr>
              <w:t>甲方（章）</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wordWrap w:val="0"/>
              <w:ind w:firstLine="1080"/>
              <w:jc w:val="right"/>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年</w:t>
            </w:r>
            <w:r>
              <w:rPr>
                <w:rFonts w:ascii="方正宋黑简体" w:hAnsi="微软雅黑" w:eastAsia="方正宋黑简体" w:cs="宋体"/>
                <w:color w:val="auto"/>
                <w:kern w:val="0"/>
                <w:sz w:val="24"/>
              </w:rPr>
              <w:t xml:space="preserve">  </w:t>
            </w:r>
            <w:r>
              <w:rPr>
                <w:rFonts w:eastAsia="方正宋黑简体"/>
                <w:color w:val="auto"/>
                <w:kern w:val="0"/>
                <w:sz w:val="24"/>
              </w:rPr>
              <w:t>  </w:t>
            </w:r>
            <w:r>
              <w:rPr>
                <w:rFonts w:hint="eastAsia" w:ascii="方正宋黑简体" w:hAnsi="微软雅黑" w:eastAsia="方正宋黑简体" w:cs="宋体"/>
                <w:color w:val="auto"/>
                <w:kern w:val="0"/>
                <w:sz w:val="24"/>
              </w:rPr>
              <w:t>月</w:t>
            </w:r>
            <w:r>
              <w:rPr>
                <w:rFonts w:eastAsia="方正宋黑简体"/>
                <w:color w:val="auto"/>
                <w:kern w:val="0"/>
                <w:sz w:val="24"/>
              </w:rPr>
              <w:t> </w:t>
            </w:r>
            <w:r>
              <w:rPr>
                <w:rFonts w:ascii="方正宋黑简体" w:eastAsia="方正宋黑简体"/>
                <w:color w:val="auto"/>
                <w:kern w:val="0"/>
                <w:sz w:val="24"/>
              </w:rPr>
              <w:t xml:space="preserve">  </w:t>
            </w:r>
            <w:r>
              <w:rPr>
                <w:rFonts w:eastAsia="方正宋黑简体"/>
                <w:color w:val="auto"/>
                <w:kern w:val="0"/>
                <w:sz w:val="24"/>
              </w:rPr>
              <w:t> </w:t>
            </w:r>
            <w:r>
              <w:rPr>
                <w:rFonts w:hint="eastAsia" w:ascii="方正宋黑简体" w:hAnsi="微软雅黑" w:eastAsia="方正宋黑简体" w:cs="宋体"/>
                <w:color w:val="auto"/>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乙方（章）</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jc w:val="left"/>
              <w:rPr>
                <w:rFonts w:ascii="方正宋黑简体" w:hAnsi="微软雅黑" w:eastAsia="方正宋黑简体" w:cs="宋体"/>
                <w:color w:val="auto"/>
                <w:kern w:val="0"/>
                <w:sz w:val="18"/>
                <w:szCs w:val="18"/>
              </w:rPr>
            </w:pPr>
            <w:r>
              <w:rPr>
                <w:rFonts w:eastAsia="方正宋黑简体"/>
                <w:color w:val="auto"/>
                <w:kern w:val="0"/>
                <w:sz w:val="24"/>
              </w:rPr>
              <w:t> </w:t>
            </w:r>
          </w:p>
          <w:p>
            <w:pPr>
              <w:widowControl/>
              <w:wordWrap w:val="0"/>
              <w:jc w:val="right"/>
              <w:rPr>
                <w:rFonts w:ascii="方正宋黑简体" w:hAnsi="微软雅黑" w:eastAsia="方正宋黑简体" w:cs="宋体"/>
                <w:color w:val="auto"/>
                <w:kern w:val="0"/>
                <w:sz w:val="18"/>
                <w:szCs w:val="18"/>
              </w:rPr>
            </w:pPr>
            <w:r>
              <w:rPr>
                <w:rFonts w:eastAsia="方正宋黑简体"/>
                <w:color w:val="auto"/>
                <w:kern w:val="0"/>
                <w:sz w:val="24"/>
              </w:rPr>
              <w:t> </w:t>
            </w:r>
            <w:r>
              <w:rPr>
                <w:rFonts w:ascii="方正宋黑简体" w:eastAsia="方正宋黑简体"/>
                <w:color w:val="auto"/>
                <w:kern w:val="0"/>
                <w:sz w:val="24"/>
              </w:rPr>
              <w:t xml:space="preserve"> </w:t>
            </w:r>
            <w:r>
              <w:rPr>
                <w:rFonts w:hint="eastAsia" w:ascii="方正宋黑简体" w:hAnsi="微软雅黑" w:eastAsia="方正宋黑简体" w:cs="宋体"/>
                <w:color w:val="auto"/>
                <w:kern w:val="0"/>
                <w:sz w:val="24"/>
              </w:rPr>
              <w:t>年</w:t>
            </w:r>
            <w:r>
              <w:rPr>
                <w:rFonts w:eastAsia="方正宋黑简体"/>
                <w:color w:val="auto"/>
                <w:kern w:val="0"/>
                <w:sz w:val="24"/>
              </w:rPr>
              <w:t>  </w:t>
            </w:r>
            <w:r>
              <w:rPr>
                <w:rFonts w:ascii="方正宋黑简体" w:eastAsia="方正宋黑简体"/>
                <w:color w:val="auto"/>
                <w:kern w:val="0"/>
                <w:sz w:val="24"/>
              </w:rPr>
              <w:t xml:space="preserve">   </w:t>
            </w:r>
            <w:r>
              <w:rPr>
                <w:rFonts w:hint="eastAsia" w:ascii="方正宋黑简体" w:hAnsi="微软雅黑" w:eastAsia="方正宋黑简体" w:cs="宋体"/>
                <w:color w:val="auto"/>
                <w:kern w:val="0"/>
                <w:sz w:val="24"/>
              </w:rPr>
              <w:t>月</w:t>
            </w:r>
            <w:r>
              <w:rPr>
                <w:rFonts w:ascii="方正宋黑简体" w:hAnsi="微软雅黑" w:eastAsia="方正宋黑简体" w:cs="宋体"/>
                <w:color w:val="auto"/>
                <w:kern w:val="0"/>
                <w:sz w:val="24"/>
              </w:rPr>
              <w:t xml:space="preserve">  </w:t>
            </w:r>
            <w:r>
              <w:rPr>
                <w:rFonts w:eastAsia="方正宋黑简体"/>
                <w:color w:val="auto"/>
                <w:kern w:val="0"/>
                <w:sz w:val="24"/>
              </w:rPr>
              <w:t>  </w:t>
            </w:r>
            <w:r>
              <w:rPr>
                <w:rFonts w:hint="eastAsia" w:ascii="方正宋黑简体" w:hAnsi="微软雅黑" w:eastAsia="方正宋黑简体" w:cs="宋体"/>
                <w:color w:val="auto"/>
                <w:kern w:val="0"/>
                <w:sz w:val="24"/>
              </w:rPr>
              <w:t>日</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单位地址：哈尔滨市东大直街</w:t>
            </w:r>
            <w:r>
              <w:rPr>
                <w:rFonts w:ascii="方正宋黑简体" w:hAnsi="微软雅黑" w:eastAsia="方正宋黑简体" w:cs="宋体"/>
                <w:color w:val="auto"/>
                <w:kern w:val="0"/>
                <w:sz w:val="24"/>
              </w:rPr>
              <w:t>190</w:t>
            </w:r>
            <w:r>
              <w:rPr>
                <w:rFonts w:hint="eastAsia" w:ascii="方正宋黑简体" w:hAnsi="微软雅黑" w:eastAsia="方正宋黑简体" w:cs="宋体"/>
                <w:color w:val="auto"/>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单位地址：</w:t>
            </w:r>
            <w:r>
              <w:rPr>
                <w:rFonts w:ascii="方正宋黑简体" w:hAnsi="微软雅黑" w:eastAsia="方正宋黑简体" w:cs="宋体"/>
                <w:color w:val="auto"/>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法定代表人：</w:t>
            </w:r>
            <w:r>
              <w:rPr>
                <w:rFonts w:ascii="方正宋黑简体" w:hAnsi="微软雅黑" w:eastAsia="方正宋黑简体" w:cs="宋体"/>
                <w:color w:val="auto"/>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委托代理人：</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电话：</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jc w:val="left"/>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电话：</w:t>
            </w:r>
          </w:p>
        </w:tc>
      </w:tr>
      <w:tr>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开户银行：</w:t>
            </w:r>
            <w:r>
              <w:rPr>
                <w:rFonts w:ascii="方正宋黑简体" w:hAnsi="微软雅黑" w:eastAsia="方正宋黑简体" w:cs="宋体"/>
                <w:color w:val="auto"/>
                <w:kern w:val="0"/>
                <w:sz w:val="24"/>
              </w:rPr>
              <w:t xml:space="preserve"> </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24"/>
              </w:rPr>
            </w:pPr>
            <w:r>
              <w:rPr>
                <w:rFonts w:hint="eastAsia" w:ascii="方正宋黑简体" w:hAnsi="微软雅黑" w:eastAsia="方正宋黑简体" w:cs="宋体"/>
                <w:color w:val="auto"/>
                <w:kern w:val="0"/>
                <w:sz w:val="24"/>
              </w:rPr>
              <w:t>账号：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账号：</w:t>
            </w:r>
          </w:p>
        </w:tc>
      </w:tr>
      <w:tr>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邮政编码：</w:t>
            </w:r>
            <w:r>
              <w:rPr>
                <w:rFonts w:ascii="方正宋黑简体" w:hAnsi="微软雅黑" w:eastAsia="方正宋黑简体" w:cs="宋体"/>
                <w:color w:val="auto"/>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pPr>
              <w:widowControl/>
              <w:rPr>
                <w:rFonts w:ascii="方正宋黑简体" w:hAnsi="微软雅黑" w:eastAsia="方正宋黑简体" w:cs="宋体"/>
                <w:color w:val="auto"/>
                <w:kern w:val="0"/>
                <w:sz w:val="18"/>
                <w:szCs w:val="18"/>
              </w:rPr>
            </w:pPr>
            <w:r>
              <w:rPr>
                <w:rFonts w:hint="eastAsia" w:ascii="方正宋黑简体" w:hAnsi="微软雅黑" w:eastAsia="方正宋黑简体" w:cs="宋体"/>
                <w:color w:val="auto"/>
                <w:kern w:val="0"/>
                <w:sz w:val="24"/>
              </w:rPr>
              <w:t>邮政编码：</w:t>
            </w:r>
          </w:p>
        </w:tc>
      </w:tr>
    </w:tbl>
    <w:p>
      <w:pPr>
        <w:rPr>
          <w:rFonts w:hint="eastAsia" w:ascii="宋体" w:hAnsi="宋体"/>
          <w:color w:val="auto"/>
          <w:sz w:val="24"/>
        </w:rPr>
      </w:pPr>
    </w:p>
    <w:p>
      <w:pPr>
        <w:rPr>
          <w:rFonts w:hint="eastAsia" w:ascii="宋体" w:hAnsi="宋体"/>
          <w:color w:val="auto"/>
          <w:sz w:val="24"/>
        </w:rPr>
      </w:pPr>
    </w:p>
    <w:p>
      <w:pPr>
        <w:rPr>
          <w:rFonts w:hint="eastAsia" w:ascii="宋体" w:hAnsi="宋体"/>
          <w:color w:val="auto"/>
          <w:sz w:val="24"/>
        </w:rPr>
      </w:pPr>
      <w:r>
        <w:rPr>
          <w:rFonts w:hint="eastAsia" w:ascii="宋体" w:hAnsi="宋体"/>
          <w:color w:val="auto"/>
          <w:sz w:val="24"/>
        </w:rPr>
        <w:t>附件:</w:t>
      </w:r>
    </w:p>
    <w:p>
      <w:pPr>
        <w:rPr>
          <w:rFonts w:hint="eastAsia" w:ascii="宋体" w:hAnsi="宋体"/>
          <w:color w:val="auto"/>
          <w:sz w:val="24"/>
        </w:rPr>
      </w:pPr>
      <w:r>
        <w:rPr>
          <w:rFonts w:hint="eastAsia" w:ascii="宋体" w:hAnsi="宋体"/>
          <w:color w:val="auto"/>
          <w:sz w:val="24"/>
        </w:rPr>
        <w:t>1、售后服务承诺</w:t>
      </w:r>
    </w:p>
    <w:p>
      <w:pPr>
        <w:rPr>
          <w:rFonts w:hint="eastAsia" w:ascii="宋体" w:hAnsi="宋体"/>
          <w:color w:val="auto"/>
          <w:sz w:val="24"/>
        </w:rPr>
      </w:pPr>
      <w:r>
        <w:rPr>
          <w:rFonts w:hint="eastAsia" w:ascii="宋体" w:hAnsi="宋体"/>
          <w:color w:val="auto"/>
          <w:sz w:val="24"/>
        </w:rPr>
        <w:t>2、服务队伍</w:t>
      </w:r>
    </w:p>
    <w:p>
      <w:pPr>
        <w:rPr>
          <w:rFonts w:hint="eastAsia" w:ascii="宋体" w:hAnsi="宋体"/>
          <w:color w:val="auto"/>
          <w:sz w:val="24"/>
        </w:rPr>
      </w:pPr>
      <w:r>
        <w:rPr>
          <w:rFonts w:hint="eastAsia" w:ascii="宋体" w:hAnsi="宋体"/>
          <w:color w:val="auto"/>
          <w:sz w:val="24"/>
        </w:rPr>
        <w:t>3、中标通知书</w:t>
      </w:r>
    </w:p>
    <w:p>
      <w:pPr>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大标宋简体">
    <w:altName w:val="微软雅黑"/>
    <w:panose1 w:val="02010601030101010101"/>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Cambria Math">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 w:name="方正宋黑简体">
    <w:altName w:val="宋体"/>
    <w:panose1 w:val="02010601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8"/>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pPr>
                      <w:pStyle w:val="18"/>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pPr>
                      <w:pStyle w:val="18"/>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F466A374"/>
    <w:multiLevelType w:val="singleLevel"/>
    <w:tmpl w:val="F466A374"/>
    <w:lvl w:ilvl="0" w:tentative="0">
      <w:start w:val="1"/>
      <w:numFmt w:val="decimal"/>
      <w:pStyle w:val="9"/>
      <w:lvlText w:val="%1."/>
      <w:lvlJc w:val="left"/>
      <w:pPr>
        <w:tabs>
          <w:tab w:val="left" w:pos="780"/>
        </w:tabs>
        <w:ind w:left="780" w:hanging="36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50"/>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6">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7">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2"/>
  </w:num>
  <w:num w:numId="2">
    <w:abstractNumId w:val="3"/>
  </w:num>
  <w:num w:numId="3">
    <w:abstractNumId w:val="6"/>
  </w:num>
  <w:num w:numId="4">
    <w:abstractNumId w:val="0"/>
  </w:num>
  <w:num w:numId="5">
    <w:abstractNumId w:val="1"/>
  </w:num>
  <w:num w:numId="6">
    <w:abstractNumId w:val="5"/>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RhYTIwZmIwYWEwMWY2NmQ3MDc1NDg0MzA2ZmIzNTEifQ=="/>
  </w:docVars>
  <w:rsids>
    <w:rsidRoot w:val="4B262FC3"/>
    <w:rsid w:val="00062A80"/>
    <w:rsid w:val="003867C7"/>
    <w:rsid w:val="007A5D23"/>
    <w:rsid w:val="00912B81"/>
    <w:rsid w:val="00B601DD"/>
    <w:rsid w:val="00BE6023"/>
    <w:rsid w:val="00CA098B"/>
    <w:rsid w:val="00D356EE"/>
    <w:rsid w:val="01D51EF1"/>
    <w:rsid w:val="02307CBD"/>
    <w:rsid w:val="02994E80"/>
    <w:rsid w:val="038C7237"/>
    <w:rsid w:val="03B24C65"/>
    <w:rsid w:val="04193205"/>
    <w:rsid w:val="049878BD"/>
    <w:rsid w:val="055174C8"/>
    <w:rsid w:val="05594FD2"/>
    <w:rsid w:val="059738ED"/>
    <w:rsid w:val="06016AC0"/>
    <w:rsid w:val="062B60D6"/>
    <w:rsid w:val="07861826"/>
    <w:rsid w:val="082C0673"/>
    <w:rsid w:val="08633396"/>
    <w:rsid w:val="088562C4"/>
    <w:rsid w:val="08B573AC"/>
    <w:rsid w:val="0C6B37C3"/>
    <w:rsid w:val="0D1A4228"/>
    <w:rsid w:val="0E575CBB"/>
    <w:rsid w:val="0E7D42BB"/>
    <w:rsid w:val="0EC06840"/>
    <w:rsid w:val="0EE71081"/>
    <w:rsid w:val="103F356B"/>
    <w:rsid w:val="10BB4CCA"/>
    <w:rsid w:val="115F1A85"/>
    <w:rsid w:val="13533D6F"/>
    <w:rsid w:val="13593647"/>
    <w:rsid w:val="14FE49FC"/>
    <w:rsid w:val="150C64D7"/>
    <w:rsid w:val="15132098"/>
    <w:rsid w:val="16A4213B"/>
    <w:rsid w:val="17696FBF"/>
    <w:rsid w:val="18807C4B"/>
    <w:rsid w:val="18BC6A4A"/>
    <w:rsid w:val="19D626B5"/>
    <w:rsid w:val="1BE64FC7"/>
    <w:rsid w:val="1C5346CC"/>
    <w:rsid w:val="1DF100D4"/>
    <w:rsid w:val="1E10308F"/>
    <w:rsid w:val="1FBC673A"/>
    <w:rsid w:val="21F067CE"/>
    <w:rsid w:val="22B77B25"/>
    <w:rsid w:val="234F22B1"/>
    <w:rsid w:val="2365296A"/>
    <w:rsid w:val="23F07DC3"/>
    <w:rsid w:val="24700415"/>
    <w:rsid w:val="26170342"/>
    <w:rsid w:val="27C13B82"/>
    <w:rsid w:val="28DA283E"/>
    <w:rsid w:val="291759FE"/>
    <w:rsid w:val="294F7DE4"/>
    <w:rsid w:val="2AEB3A8A"/>
    <w:rsid w:val="2B821B32"/>
    <w:rsid w:val="2BE31E4D"/>
    <w:rsid w:val="2CFA5462"/>
    <w:rsid w:val="2F611A30"/>
    <w:rsid w:val="2F6534B7"/>
    <w:rsid w:val="30BD213F"/>
    <w:rsid w:val="312C60F2"/>
    <w:rsid w:val="33B43AA4"/>
    <w:rsid w:val="33EE52E9"/>
    <w:rsid w:val="33F60296"/>
    <w:rsid w:val="349109C3"/>
    <w:rsid w:val="3533276E"/>
    <w:rsid w:val="35980CA9"/>
    <w:rsid w:val="361A56F3"/>
    <w:rsid w:val="36B31F5F"/>
    <w:rsid w:val="37DA4CA6"/>
    <w:rsid w:val="37E67533"/>
    <w:rsid w:val="38B16276"/>
    <w:rsid w:val="38E427EC"/>
    <w:rsid w:val="392F341B"/>
    <w:rsid w:val="398D59F8"/>
    <w:rsid w:val="3A080755"/>
    <w:rsid w:val="3A197CA5"/>
    <w:rsid w:val="3A573E56"/>
    <w:rsid w:val="3AB801F8"/>
    <w:rsid w:val="3C9E0420"/>
    <w:rsid w:val="3D2B0581"/>
    <w:rsid w:val="3D597A2D"/>
    <w:rsid w:val="3DFF285A"/>
    <w:rsid w:val="3F9EC655"/>
    <w:rsid w:val="40137CA8"/>
    <w:rsid w:val="40A73D35"/>
    <w:rsid w:val="423A6C9B"/>
    <w:rsid w:val="4273192E"/>
    <w:rsid w:val="42A62ACD"/>
    <w:rsid w:val="446723D4"/>
    <w:rsid w:val="448F691B"/>
    <w:rsid w:val="459314F7"/>
    <w:rsid w:val="460542A6"/>
    <w:rsid w:val="49425DFB"/>
    <w:rsid w:val="4A793725"/>
    <w:rsid w:val="4B262FC3"/>
    <w:rsid w:val="4B68596F"/>
    <w:rsid w:val="4B6F4E42"/>
    <w:rsid w:val="4BCB04ED"/>
    <w:rsid w:val="4BCF5624"/>
    <w:rsid w:val="4C242C23"/>
    <w:rsid w:val="4C5F6EFC"/>
    <w:rsid w:val="4CBE335D"/>
    <w:rsid w:val="4DC27B03"/>
    <w:rsid w:val="4E67DA4F"/>
    <w:rsid w:val="4E70761B"/>
    <w:rsid w:val="4E7753B5"/>
    <w:rsid w:val="4EFF6BD2"/>
    <w:rsid w:val="4F1F5420"/>
    <w:rsid w:val="4FBDD2B1"/>
    <w:rsid w:val="4FCE8257"/>
    <w:rsid w:val="50B415EA"/>
    <w:rsid w:val="50DF39EF"/>
    <w:rsid w:val="53C92CD5"/>
    <w:rsid w:val="54AF23FC"/>
    <w:rsid w:val="5579D044"/>
    <w:rsid w:val="55896E70"/>
    <w:rsid w:val="56D3A8F1"/>
    <w:rsid w:val="57182A2A"/>
    <w:rsid w:val="581A4428"/>
    <w:rsid w:val="59DF6221"/>
    <w:rsid w:val="59FE5BD3"/>
    <w:rsid w:val="5A6E105D"/>
    <w:rsid w:val="5BA31CF2"/>
    <w:rsid w:val="5DA7155A"/>
    <w:rsid w:val="5DC53457"/>
    <w:rsid w:val="5E843C90"/>
    <w:rsid w:val="5EFFCFA4"/>
    <w:rsid w:val="5F4468FD"/>
    <w:rsid w:val="5FED902A"/>
    <w:rsid w:val="610B60EE"/>
    <w:rsid w:val="61AB6D83"/>
    <w:rsid w:val="61B501A0"/>
    <w:rsid w:val="61CD6F76"/>
    <w:rsid w:val="627333FC"/>
    <w:rsid w:val="62985ABA"/>
    <w:rsid w:val="641948C3"/>
    <w:rsid w:val="64207B96"/>
    <w:rsid w:val="64547F70"/>
    <w:rsid w:val="64F01F66"/>
    <w:rsid w:val="67EF0D19"/>
    <w:rsid w:val="684B72C6"/>
    <w:rsid w:val="69637209"/>
    <w:rsid w:val="696D37AB"/>
    <w:rsid w:val="6A144077"/>
    <w:rsid w:val="6B2B1B64"/>
    <w:rsid w:val="6BBDEA0E"/>
    <w:rsid w:val="6CF73EEF"/>
    <w:rsid w:val="6DAF4353"/>
    <w:rsid w:val="6EF9071C"/>
    <w:rsid w:val="6F74096F"/>
    <w:rsid w:val="6FB6ABA5"/>
    <w:rsid w:val="6FF006A6"/>
    <w:rsid w:val="6FFD1FE2"/>
    <w:rsid w:val="7052058D"/>
    <w:rsid w:val="70B1597A"/>
    <w:rsid w:val="71815530"/>
    <w:rsid w:val="72315D1C"/>
    <w:rsid w:val="72321CC5"/>
    <w:rsid w:val="72437D0A"/>
    <w:rsid w:val="72BD75D3"/>
    <w:rsid w:val="7355534B"/>
    <w:rsid w:val="73BD3260"/>
    <w:rsid w:val="741F6518"/>
    <w:rsid w:val="74FD35B0"/>
    <w:rsid w:val="76AFAAEF"/>
    <w:rsid w:val="77551EB6"/>
    <w:rsid w:val="77B7CE47"/>
    <w:rsid w:val="77E73431"/>
    <w:rsid w:val="78916B04"/>
    <w:rsid w:val="797307FA"/>
    <w:rsid w:val="79A26738"/>
    <w:rsid w:val="79F8179E"/>
    <w:rsid w:val="7AA83FCF"/>
    <w:rsid w:val="7AAF66A3"/>
    <w:rsid w:val="7AF5014E"/>
    <w:rsid w:val="7B8D6F20"/>
    <w:rsid w:val="7C066564"/>
    <w:rsid w:val="7C3F770A"/>
    <w:rsid w:val="7CD63399"/>
    <w:rsid w:val="7D974A70"/>
    <w:rsid w:val="7DCB1D58"/>
    <w:rsid w:val="7DFFA571"/>
    <w:rsid w:val="7E557CD8"/>
    <w:rsid w:val="7E8E48BA"/>
    <w:rsid w:val="7EF5F51E"/>
    <w:rsid w:val="7EFB5230"/>
    <w:rsid w:val="7F0B088D"/>
    <w:rsid w:val="7F2719EA"/>
    <w:rsid w:val="7FDF1636"/>
    <w:rsid w:val="7FEDFA98"/>
    <w:rsid w:val="7FFF2236"/>
    <w:rsid w:val="9EED3F6B"/>
    <w:rsid w:val="9FFF6D68"/>
    <w:rsid w:val="ADFCE66C"/>
    <w:rsid w:val="AF731AA5"/>
    <w:rsid w:val="B3FD2FAF"/>
    <w:rsid w:val="B3FFE009"/>
    <w:rsid w:val="B5F9E991"/>
    <w:rsid w:val="BA7B34CC"/>
    <w:rsid w:val="BDFF46DD"/>
    <w:rsid w:val="BF7B1486"/>
    <w:rsid w:val="C6FE5207"/>
    <w:rsid w:val="CEFF7572"/>
    <w:rsid w:val="D78B1E27"/>
    <w:rsid w:val="D7D66666"/>
    <w:rsid w:val="DB2D2548"/>
    <w:rsid w:val="DDF35767"/>
    <w:rsid w:val="DEFF86E0"/>
    <w:rsid w:val="EA3F23E4"/>
    <w:rsid w:val="EC7CCF93"/>
    <w:rsid w:val="ECF32D2B"/>
    <w:rsid w:val="EFC19506"/>
    <w:rsid w:val="EFFFC217"/>
    <w:rsid w:val="F40F10E5"/>
    <w:rsid w:val="F7FF9A66"/>
    <w:rsid w:val="FBFFBCB5"/>
    <w:rsid w:val="FC7B114F"/>
    <w:rsid w:val="FDBC35A3"/>
    <w:rsid w:val="FDF30C8C"/>
    <w:rsid w:val="FDFF397E"/>
    <w:rsid w:val="FE8F5AF5"/>
    <w:rsid w:val="FF927E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37"/>
    <w:qFormat/>
    <w:uiPriority w:val="0"/>
    <w:pPr>
      <w:keepNext/>
      <w:keepLines/>
      <w:spacing w:before="200" w:after="200"/>
      <w:jc w:val="center"/>
      <w:outlineLvl w:val="0"/>
    </w:pPr>
    <w:rPr>
      <w:rFonts w:eastAsia="黑体"/>
      <w:kern w:val="44"/>
      <w:sz w:val="44"/>
      <w:szCs w:val="44"/>
    </w:rPr>
  </w:style>
  <w:style w:type="paragraph" w:styleId="4">
    <w:name w:val="heading 2"/>
    <w:basedOn w:val="1"/>
    <w:next w:val="1"/>
    <w:link w:val="38"/>
    <w:qFormat/>
    <w:uiPriority w:val="0"/>
    <w:pPr>
      <w:keepNext/>
      <w:keepLines/>
      <w:spacing w:before="200" w:after="200"/>
      <w:jc w:val="center"/>
      <w:outlineLvl w:val="1"/>
    </w:pPr>
    <w:rPr>
      <w:rFonts w:eastAsia="黑体"/>
      <w:sz w:val="32"/>
      <w:szCs w:val="32"/>
    </w:rPr>
  </w:style>
  <w:style w:type="paragraph" w:styleId="5">
    <w:name w:val="heading 3"/>
    <w:basedOn w:val="1"/>
    <w:next w:val="1"/>
    <w:link w:val="39"/>
    <w:qFormat/>
    <w:uiPriority w:val="0"/>
    <w:pPr>
      <w:keepNext/>
      <w:keepLines/>
      <w:spacing w:before="200" w:after="200"/>
      <w:outlineLvl w:val="2"/>
    </w:pPr>
    <w:rPr>
      <w:rFonts w:eastAsia="黑体"/>
      <w:sz w:val="28"/>
      <w:szCs w:val="28"/>
    </w:rPr>
  </w:style>
  <w:style w:type="paragraph" w:styleId="6">
    <w:name w:val="heading 4"/>
    <w:basedOn w:val="3"/>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paragraph" w:styleId="8">
    <w:name w:val="heading 6"/>
    <w:basedOn w:val="1"/>
    <w:next w:val="1"/>
    <w:unhideWhenUsed/>
    <w:qFormat/>
    <w:uiPriority w:val="0"/>
    <w:pPr>
      <w:keepNext/>
      <w:keepLines/>
      <w:spacing w:before="240" w:after="64" w:line="320" w:lineRule="auto"/>
      <w:outlineLvl w:val="5"/>
    </w:pPr>
    <w:rPr>
      <w:rFonts w:ascii="Cambria" w:hAnsi="Cambria" w:eastAsia="宋体" w:cs="Times New Roman"/>
      <w:b/>
      <w:bCs/>
      <w:sz w:val="24"/>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customStyle="1" w:styleId="2">
    <w:name w:val="正文（缩进）"/>
    <w:basedOn w:val="1"/>
    <w:qFormat/>
    <w:uiPriority w:val="0"/>
    <w:pPr>
      <w:spacing w:before="156" w:after="156"/>
      <w:ind w:firstLine="480" w:firstLineChars="200"/>
    </w:pPr>
  </w:style>
  <w:style w:type="paragraph" w:styleId="9">
    <w:name w:val="List Number 2"/>
    <w:basedOn w:val="1"/>
    <w:qFormat/>
    <w:uiPriority w:val="0"/>
    <w:pPr>
      <w:numPr>
        <w:ilvl w:val="0"/>
        <w:numId w:val="1"/>
      </w:numPr>
    </w:pPr>
  </w:style>
  <w:style w:type="paragraph" w:styleId="10">
    <w:name w:val="Normal Indent"/>
    <w:basedOn w:val="1"/>
    <w:qFormat/>
    <w:uiPriority w:val="0"/>
    <w:pPr>
      <w:ind w:firstLine="420" w:firstLineChars="200"/>
    </w:pPr>
  </w:style>
  <w:style w:type="paragraph" w:styleId="11">
    <w:name w:val="annotation text"/>
    <w:basedOn w:val="1"/>
    <w:qFormat/>
    <w:uiPriority w:val="0"/>
    <w:pPr>
      <w:jc w:val="left"/>
    </w:pPr>
  </w:style>
  <w:style w:type="paragraph" w:styleId="12">
    <w:name w:val="Body Text"/>
    <w:basedOn w:val="1"/>
    <w:next w:val="13"/>
    <w:qFormat/>
    <w:uiPriority w:val="0"/>
    <w:pPr>
      <w:adjustRightInd w:val="0"/>
      <w:spacing w:line="360" w:lineRule="atLeast"/>
      <w:jc w:val="center"/>
      <w:textAlignment w:val="baseline"/>
    </w:pPr>
    <w:rPr>
      <w:kern w:val="0"/>
      <w:sz w:val="24"/>
      <w:szCs w:val="20"/>
    </w:rPr>
  </w:style>
  <w:style w:type="paragraph" w:styleId="13">
    <w:name w:val="Body Text Indent"/>
    <w:basedOn w:val="1"/>
    <w:qFormat/>
    <w:uiPriority w:val="0"/>
    <w:pPr>
      <w:spacing w:after="120"/>
      <w:ind w:left="420" w:leftChars="200"/>
    </w:pPr>
  </w:style>
  <w:style w:type="paragraph" w:styleId="14">
    <w:name w:val="index 4"/>
    <w:basedOn w:val="1"/>
    <w:next w:val="1"/>
    <w:unhideWhenUsed/>
    <w:qFormat/>
    <w:uiPriority w:val="99"/>
    <w:pPr>
      <w:ind w:left="600" w:leftChars="600"/>
    </w:pPr>
  </w:style>
  <w:style w:type="paragraph" w:styleId="15">
    <w:name w:val="Plain Text"/>
    <w:basedOn w:val="1"/>
    <w:qFormat/>
    <w:uiPriority w:val="0"/>
    <w:rPr>
      <w:rFonts w:ascii="宋体" w:hAnsi="宋体" w:cs="Courier New"/>
    </w:rPr>
  </w:style>
  <w:style w:type="paragraph" w:styleId="16">
    <w:name w:val="Date"/>
    <w:basedOn w:val="1"/>
    <w:next w:val="1"/>
    <w:unhideWhenUsed/>
    <w:qFormat/>
    <w:uiPriority w:val="99"/>
    <w:pPr>
      <w:ind w:left="100" w:leftChars="2500"/>
    </w:pPr>
  </w:style>
  <w:style w:type="paragraph" w:styleId="17">
    <w:name w:val="Balloon Text"/>
    <w:basedOn w:val="1"/>
    <w:link w:val="48"/>
    <w:qFormat/>
    <w:uiPriority w:val="0"/>
    <w:pPr>
      <w:spacing w:line="240" w:lineRule="auto"/>
    </w:pPr>
    <w:rPr>
      <w:sz w:val="18"/>
      <w:szCs w:val="18"/>
    </w:r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qFormat/>
    <w:uiPriority w:val="0"/>
    <w:pPr>
      <w:pBdr>
        <w:bottom w:val="single" w:color="auto" w:sz="4" w:space="1"/>
      </w:pBdr>
      <w:tabs>
        <w:tab w:val="center" w:pos="4153"/>
        <w:tab w:val="right" w:pos="8306"/>
      </w:tabs>
      <w:snapToGrid w:val="0"/>
    </w:pPr>
    <w:rPr>
      <w:sz w:val="18"/>
    </w:rPr>
  </w:style>
  <w:style w:type="paragraph" w:styleId="20">
    <w:name w:val="toc 1"/>
    <w:basedOn w:val="1"/>
    <w:next w:val="1"/>
    <w:qFormat/>
    <w:uiPriority w:val="0"/>
    <w:pPr>
      <w:spacing w:before="120" w:after="120"/>
      <w:jc w:val="left"/>
    </w:pPr>
    <w:rPr>
      <w:rFonts w:ascii="等线" w:eastAsia="等线"/>
      <w:b/>
      <w:bCs/>
      <w:caps/>
      <w:sz w:val="20"/>
      <w:szCs w:val="20"/>
    </w:rPr>
  </w:style>
  <w:style w:type="paragraph" w:styleId="21">
    <w:name w:val="footnote text"/>
    <w:basedOn w:val="1"/>
    <w:qFormat/>
    <w:uiPriority w:val="0"/>
    <w:pPr>
      <w:snapToGrid w:val="0"/>
      <w:jc w:val="left"/>
    </w:pPr>
    <w:rPr>
      <w:sz w:val="18"/>
    </w:rPr>
  </w:style>
  <w:style w:type="paragraph" w:styleId="22">
    <w:name w:val="index 9"/>
    <w:basedOn w:val="1"/>
    <w:next w:val="1"/>
    <w:qFormat/>
    <w:uiPriority w:val="0"/>
    <w:pPr>
      <w:ind w:left="3360"/>
    </w:pPr>
  </w:style>
  <w:style w:type="paragraph" w:styleId="23">
    <w:name w:val="Body Text 2"/>
    <w:basedOn w:val="1"/>
    <w:qFormat/>
    <w:uiPriority w:val="0"/>
    <w:pPr>
      <w:spacing w:after="120" w:line="480" w:lineRule="auto"/>
    </w:pPr>
  </w:style>
  <w:style w:type="paragraph" w:styleId="24">
    <w:name w:val="Normal (Web)"/>
    <w:basedOn w:val="1"/>
    <w:qFormat/>
    <w:uiPriority w:val="0"/>
    <w:pPr>
      <w:widowControl/>
      <w:spacing w:before="100" w:beforeAutospacing="1" w:after="100" w:afterAutospacing="1"/>
      <w:jc w:val="left"/>
    </w:pPr>
    <w:rPr>
      <w:rFonts w:ascii="宋体" w:cs="宋体"/>
      <w:kern w:val="0"/>
      <w:sz w:val="24"/>
    </w:rPr>
  </w:style>
  <w:style w:type="paragraph" w:styleId="25">
    <w:name w:val="Body Text First Indent"/>
    <w:basedOn w:val="12"/>
    <w:unhideWhenUsed/>
    <w:qFormat/>
    <w:uiPriority w:val="99"/>
    <w:pPr>
      <w:adjustRightInd/>
      <w:spacing w:after="120" w:line="240" w:lineRule="auto"/>
      <w:ind w:firstLine="420" w:firstLineChars="100"/>
      <w:jc w:val="both"/>
      <w:textAlignment w:val="auto"/>
    </w:pPr>
    <w:rPr>
      <w:kern w:val="2"/>
      <w:sz w:val="21"/>
      <w:szCs w:val="24"/>
    </w:rPr>
  </w:style>
  <w:style w:type="paragraph" w:styleId="26">
    <w:name w:val="Body Text First Indent 2"/>
    <w:basedOn w:val="13"/>
    <w:qFormat/>
    <w:uiPriority w:val="0"/>
    <w:pPr>
      <w:ind w:firstLine="420" w:firstLineChars="200"/>
    </w:p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0">
    <w:name w:val="page number"/>
    <w:basedOn w:val="29"/>
    <w:qFormat/>
    <w:uiPriority w:val="0"/>
  </w:style>
  <w:style w:type="character" w:styleId="31">
    <w:name w:val="Hyperlink"/>
    <w:qFormat/>
    <w:uiPriority w:val="0"/>
    <w:rPr>
      <w:color w:val="0000FF"/>
      <w:u w:val="single"/>
    </w:rPr>
  </w:style>
  <w:style w:type="character" w:styleId="32">
    <w:name w:val="annotation reference"/>
    <w:basedOn w:val="29"/>
    <w:qFormat/>
    <w:uiPriority w:val="0"/>
    <w:rPr>
      <w:sz w:val="21"/>
      <w:szCs w:val="21"/>
    </w:rPr>
  </w:style>
  <w:style w:type="paragraph" w:customStyle="1" w:styleId="33">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4">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列出段落1"/>
    <w:basedOn w:val="1"/>
    <w:qFormat/>
    <w:uiPriority w:val="0"/>
    <w:pPr>
      <w:ind w:firstLine="200" w:firstLineChars="200"/>
    </w:pPr>
    <w:rPr>
      <w:rFonts w:cs="Calibri"/>
    </w:rPr>
  </w:style>
  <w:style w:type="paragraph" w:customStyle="1" w:styleId="36">
    <w:name w:val="WPSOffice手动目录 1"/>
    <w:qFormat/>
    <w:uiPriority w:val="0"/>
    <w:rPr>
      <w:rFonts w:ascii="Times New Roman" w:hAnsi="Times New Roman" w:eastAsia="宋体" w:cs="Times New Roman"/>
      <w:lang w:val="en-US" w:eastAsia="zh-CN" w:bidi="ar-SA"/>
    </w:rPr>
  </w:style>
  <w:style w:type="character" w:customStyle="1" w:styleId="37">
    <w:name w:val="标题 1 Char"/>
    <w:link w:val="3"/>
    <w:qFormat/>
    <w:uiPriority w:val="0"/>
    <w:rPr>
      <w:rFonts w:ascii="Times New Roman" w:hAnsi="Times New Roman" w:eastAsia="黑体" w:cs="Times New Roman"/>
      <w:kern w:val="44"/>
      <w:sz w:val="44"/>
      <w:szCs w:val="44"/>
    </w:rPr>
  </w:style>
  <w:style w:type="character" w:customStyle="1" w:styleId="38">
    <w:name w:val="标题 2 Char"/>
    <w:link w:val="4"/>
    <w:qFormat/>
    <w:uiPriority w:val="0"/>
    <w:rPr>
      <w:rFonts w:eastAsia="黑体"/>
      <w:sz w:val="32"/>
      <w:szCs w:val="32"/>
    </w:rPr>
  </w:style>
  <w:style w:type="character" w:customStyle="1" w:styleId="39">
    <w:name w:val="标题 3 Char"/>
    <w:link w:val="5"/>
    <w:qFormat/>
    <w:uiPriority w:val="0"/>
    <w:rPr>
      <w:rFonts w:eastAsia="黑体"/>
      <w:sz w:val="28"/>
      <w:szCs w:val="28"/>
    </w:rPr>
  </w:style>
  <w:style w:type="paragraph" w:customStyle="1" w:styleId="40">
    <w:name w:val="_Style 1"/>
    <w:basedOn w:val="1"/>
    <w:qFormat/>
    <w:uiPriority w:val="0"/>
    <w:pPr>
      <w:ind w:firstLine="200" w:firstLineChars="200"/>
    </w:pPr>
    <w:rPr>
      <w:sz w:val="32"/>
    </w:rPr>
  </w:style>
  <w:style w:type="paragraph" w:customStyle="1" w:styleId="41">
    <w:name w:val="无间隔1"/>
    <w:basedOn w:val="1"/>
    <w:qFormat/>
    <w:uiPriority w:val="0"/>
    <w:pPr>
      <w:widowControl/>
      <w:spacing w:line="240" w:lineRule="auto"/>
      <w:jc w:val="left"/>
    </w:pPr>
    <w:rPr>
      <w:rFonts w:ascii="Calibri" w:hAnsi="Calibri"/>
      <w:kern w:val="0"/>
      <w:sz w:val="22"/>
      <w:szCs w:val="20"/>
    </w:rPr>
  </w:style>
  <w:style w:type="paragraph" w:styleId="42">
    <w:name w:val="List Paragraph"/>
    <w:basedOn w:val="1"/>
    <w:qFormat/>
    <w:uiPriority w:val="34"/>
    <w:pPr>
      <w:ind w:firstLine="420"/>
    </w:pPr>
  </w:style>
  <w:style w:type="paragraph" w:customStyle="1" w:styleId="43">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4">
    <w:name w:val="无间隔2"/>
    <w:qFormat/>
    <w:uiPriority w:val="0"/>
    <w:rPr>
      <w:rFonts w:ascii="Calibri" w:hAnsi="Calibri" w:eastAsia="宋体" w:cs="Times New Roman"/>
      <w:sz w:val="22"/>
      <w:lang w:val="en-US" w:eastAsia="zh-CN" w:bidi="ar-SA"/>
    </w:rPr>
  </w:style>
  <w:style w:type="paragraph" w:customStyle="1" w:styleId="45">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6">
    <w:name w:val="评分"/>
    <w:qFormat/>
    <w:uiPriority w:val="0"/>
    <w:rPr>
      <w:rFonts w:ascii="宋体" w:hAnsi="宋体" w:eastAsia="宋体" w:cs="Times New Roman"/>
      <w:snapToGrid w:val="0"/>
      <w:sz w:val="21"/>
      <w:szCs w:val="22"/>
      <w:lang w:val="en-US" w:eastAsia="zh-CN" w:bidi="ar-SA"/>
    </w:rPr>
  </w:style>
  <w:style w:type="paragraph" w:customStyle="1" w:styleId="47">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8">
    <w:name w:val="批注框文本 Char"/>
    <w:basedOn w:val="29"/>
    <w:link w:val="17"/>
    <w:qFormat/>
    <w:uiPriority w:val="0"/>
    <w:rPr>
      <w:rFonts w:ascii="Times New Roman" w:hAnsi="Times New Roman" w:eastAsia="宋体" w:cs="Times New Roman"/>
      <w:kern w:val="2"/>
      <w:sz w:val="18"/>
      <w:szCs w:val="18"/>
    </w:rPr>
  </w:style>
  <w:style w:type="paragraph" w:customStyle="1" w:styleId="49">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51">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3">
    <w:name w:val="No Spacing"/>
    <w:qFormat/>
    <w:uiPriority w:val="0"/>
    <w:rPr>
      <w:rFonts w:ascii="Calibri" w:hAnsi="Calibri" w:eastAsia="宋体" w:cs="Times New Roman"/>
      <w:sz w:val="22"/>
      <w:lang w:val="en-US" w:eastAsia="zh-CN" w:bidi="ar-SA"/>
    </w:rPr>
  </w:style>
  <w:style w:type="paragraph" w:customStyle="1" w:styleId="54">
    <w:name w:val="我的正文"/>
    <w:basedOn w:val="1"/>
    <w:qFormat/>
    <w:uiPriority w:val="0"/>
    <w:pPr>
      <w:ind w:firstLine="528"/>
    </w:pPr>
  </w:style>
  <w:style w:type="paragraph" w:customStyle="1" w:styleId="55">
    <w:name w:val="章标题"/>
    <w:next w:val="56"/>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样式1"/>
    <w:basedOn w:val="1"/>
    <w:qFormat/>
    <w:uiPriority w:val="0"/>
    <w:pPr>
      <w:jc w:val="center"/>
    </w:pPr>
    <w:rPr>
      <w:rFonts w:eastAsia="方正大标宋简体"/>
      <w:sz w:val="52"/>
    </w:rPr>
  </w:style>
  <w:style w:type="paragraph" w:customStyle="1" w:styleId="58">
    <w:name w:val="正常"/>
    <w:basedOn w:val="59"/>
    <w:qFormat/>
    <w:uiPriority w:val="0"/>
    <w:rPr>
      <w:sz w:val="24"/>
    </w:rPr>
  </w:style>
  <w:style w:type="paragraph" w:customStyle="1" w:styleId="59">
    <w:name w:val="小正常"/>
    <w:basedOn w:val="1"/>
    <w:qFormat/>
    <w:uiPriority w:val="0"/>
    <w:rPr>
      <w:rFonts w:cs="Times New Roman"/>
      <w:sz w:val="20"/>
      <w:szCs w:val="20"/>
    </w:rPr>
  </w:style>
  <w:style w:type="paragraph" w:customStyle="1" w:styleId="60">
    <w:name w:val="Table Text"/>
    <w:basedOn w:val="1"/>
    <w:semiHidden/>
    <w:qFormat/>
    <w:uiPriority w:val="0"/>
    <w:rPr>
      <w:rFonts w:ascii="宋体" w:hAnsi="宋体" w:eastAsia="宋体" w:cs="宋体"/>
      <w:sz w:val="21"/>
      <w:szCs w:val="21"/>
      <w:lang w:val="en-US" w:eastAsia="en-US" w:bidi="ar-SA"/>
    </w:rPr>
  </w:style>
  <w:style w:type="table" w:customStyle="1" w:styleId="61">
    <w:name w:val="Table Normal"/>
    <w:unhideWhenUsed/>
    <w:qFormat/>
    <w:uiPriority w:val="0"/>
    <w:tblPr>
      <w:tblCellMar>
        <w:top w:w="0" w:type="dxa"/>
        <w:left w:w="0" w:type="dxa"/>
        <w:bottom w:w="0" w:type="dxa"/>
        <w:right w:w="0" w:type="dxa"/>
      </w:tblCellMar>
    </w:tblPr>
  </w:style>
  <w:style w:type="paragraph" w:customStyle="1" w:styleId="62">
    <w:name w:val="8正文"/>
    <w:qFormat/>
    <w:uiPriority w:val="99"/>
    <w:pPr>
      <w:topLinePunct/>
      <w:ind w:firstLine="200" w:firstLineChars="200"/>
    </w:pPr>
    <w:rPr>
      <w:rFonts w:ascii="宋体" w:hAnsi="宋体" w:eastAsia="宋体" w:cs="Times New Roman"/>
      <w:kern w:val="2"/>
      <w:sz w:val="24"/>
      <w:szCs w:val="21"/>
      <w:lang w:val="en-US" w:eastAsia="zh-CN" w:bidi="ar-SA"/>
    </w:rPr>
  </w:style>
  <w:style w:type="paragraph" w:customStyle="1" w:styleId="63">
    <w:name w:val="业务规范正文"/>
    <w:basedOn w:val="1"/>
    <w:qFormat/>
    <w:uiPriority w:val="0"/>
    <w:pPr>
      <w:topLinePunct/>
      <w:ind w:firstLine="420" w:firstLineChars="200"/>
    </w:pPr>
    <w:rPr>
      <w:rFonts w:ascii="宋体" w:hAnsi="宋体" w:eastAsia="仿宋_GB2312" w:cs="Times New Roman"/>
      <w:bCs/>
      <w:sz w:val="24"/>
      <w:szCs w:val="21"/>
    </w:rPr>
  </w:style>
  <w:style w:type="paragraph" w:customStyle="1" w:styleId="64">
    <w:name w:val="正文 首行缩进"/>
    <w:basedOn w:val="1"/>
    <w:qFormat/>
    <w:uiPriority w:val="0"/>
    <w:pPr>
      <w:widowControl/>
      <w:spacing w:line="360" w:lineRule="auto"/>
      <w:ind w:firstLine="420" w:firstLineChars="200"/>
      <w:jc w:val="left"/>
    </w:pPr>
    <w:rPr>
      <w:rFonts w:ascii="Arial" w:hAnsi="Arial" w:cs="Arial"/>
    </w:rPr>
  </w:style>
  <w:style w:type="paragraph" w:customStyle="1" w:styleId="65">
    <w:name w:val="建设5级"/>
    <w:basedOn w:val="66"/>
    <w:qFormat/>
    <w:uiPriority w:val="0"/>
    <w:pPr>
      <w:ind w:firstLine="643"/>
      <w:outlineLvl w:val="5"/>
    </w:pPr>
    <w:rPr>
      <w:lang w:val="zh-CN"/>
    </w:rPr>
  </w:style>
  <w:style w:type="paragraph" w:customStyle="1" w:styleId="66">
    <w:name w:val="建设4级"/>
    <w:basedOn w:val="67"/>
    <w:qFormat/>
    <w:uiPriority w:val="0"/>
    <w:pPr>
      <w:outlineLvl w:val="4"/>
    </w:pPr>
  </w:style>
  <w:style w:type="paragraph" w:customStyle="1" w:styleId="67">
    <w:name w:val="建设3级"/>
    <w:basedOn w:val="1"/>
    <w:qFormat/>
    <w:uiPriority w:val="0"/>
    <w:pPr>
      <w:ind w:firstLine="200" w:firstLineChars="200"/>
      <w:outlineLvl w:val="3"/>
    </w:pPr>
    <w:rPr>
      <w:rFonts w:ascii="仿宋_GB2312" w:eastAsia="仿宋_GB2312"/>
      <w:b/>
      <w:kern w:val="0"/>
      <w:sz w:val="32"/>
      <w:szCs w:val="32"/>
    </w:rPr>
  </w:style>
  <w:style w:type="paragraph" w:customStyle="1" w:styleId="68">
    <w:name w:val="Normal Indent1"/>
    <w:basedOn w:val="12"/>
    <w:qFormat/>
    <w:uiPriority w:val="0"/>
    <w:pPr>
      <w:suppressAutoHyphens/>
      <w:spacing w:line="660" w:lineRule="exact"/>
      <w:ind w:firstLine="720"/>
    </w:pPr>
    <w:rPr>
      <w:rFonts w:ascii="Calibri" w:hAnsi="Calibri" w:eastAsia="Cambria Math"/>
      <w:sz w:val="36"/>
      <w:szCs w:val="36"/>
    </w:rPr>
  </w:style>
  <w:style w:type="character" w:customStyle="1" w:styleId="69">
    <w:name w:val="标题 3 Char1"/>
    <w:qFormat/>
    <w:uiPriority w:val="9"/>
    <w:rPr>
      <w:rFonts w:ascii="Times New Roman" w:hAnsi="Times New Roman" w:eastAsia="仿宋_GB2312"/>
      <w:b/>
      <w:bCs/>
      <w:sz w:val="32"/>
      <w:szCs w:val="32"/>
    </w:rPr>
  </w:style>
  <w:style w:type="paragraph" w:customStyle="1" w:styleId="70">
    <w:name w:val="表格文字 左对齐"/>
    <w:qFormat/>
    <w:uiPriority w:val="0"/>
    <w:pPr>
      <w:overflowPunct w:val="0"/>
      <w:autoSpaceDE w:val="0"/>
      <w:autoSpaceDN w:val="0"/>
      <w:adjustRightInd w:val="0"/>
      <w:jc w:val="both"/>
      <w:textAlignment w:val="baseline"/>
    </w:pPr>
    <w:rPr>
      <w:rFonts w:ascii="Times New Roman" w:hAnsi="Times New Roman" w:eastAsia="宋体" w:cs="Times New Roman"/>
      <w:sz w:val="21"/>
      <w:lang w:val="en-US" w:eastAsia="zh-CN" w:bidi="ar-SA"/>
    </w:rPr>
  </w:style>
  <w:style w:type="character" w:customStyle="1" w:styleId="71">
    <w:name w:val="15"/>
    <w:qFormat/>
    <w:uiPriority w:val="0"/>
    <w:rPr>
      <w:rFonts w:hint="default" w:ascii="Times New Roman" w:hAnsi="Times New Roman" w:eastAsia="宋体" w:cs="Times New Roman"/>
    </w:rPr>
  </w:style>
  <w:style w:type="paragraph" w:customStyle="1" w:styleId="72">
    <w:name w:val="列表段落"/>
    <w:basedOn w:val="1"/>
    <w:qFormat/>
    <w:uiPriority w:val="0"/>
    <w:pPr>
      <w:ind w:firstLine="200" w:firstLineChars="200"/>
    </w:pPr>
  </w:style>
  <w:style w:type="paragraph" w:customStyle="1" w:styleId="73">
    <w:name w:val="表格正文"/>
    <w:basedOn w:val="1"/>
    <w:qFormat/>
    <w:uiPriority w:val="0"/>
    <w:pPr>
      <w:spacing w:line="312" w:lineRule="auto"/>
    </w:pPr>
    <w:rPr>
      <w:rFonts w:ascii="宋体" w:hAnsi="宋体" w:eastAsia="宋体" w:cs="Times New Roman"/>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116</Pages>
  <Words>14331</Words>
  <Characters>15388</Characters>
  <Lines>302</Lines>
  <Paragraphs>85</Paragraphs>
  <TotalTime>14</TotalTime>
  <ScaleCrop>false</ScaleCrop>
  <LinksUpToDate>false</LinksUpToDate>
  <CharactersWithSpaces>15634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2022-07-15T12:44:00Z</dcterms:created>
  <dc:creator>QIQI</dc:creator>
  <cp:lastModifiedBy>韩宇奇</cp:lastModifiedBy>
  <dcterms:modified xsi:type="dcterms:W3CDTF">2024-12-02T02:54:46Z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C251EBDE8CAE449FA99D3D77AE3CC162_13</vt:lpwstr>
  </property>
</Properties>
</file>