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52"/>
          <w:szCs w:val="52"/>
          <w:lang w:val="en-US" w:eastAsia="zh-CN"/>
        </w:rPr>
      </w:pPr>
    </w:p>
    <w:p>
      <w:pPr>
        <w:jc w:val="both"/>
        <w:rPr>
          <w:rFonts w:hint="eastAsia" w:ascii="方正小标宋简体" w:hAnsi="方正小标宋简体" w:eastAsia="方正小标宋简体" w:cs="方正小标宋简体"/>
          <w:spacing w:val="-6"/>
          <w:sz w:val="72"/>
          <w:szCs w:val="7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before="346" w:line="720" w:lineRule="exact"/>
        <w:jc w:val="center"/>
        <w:textAlignment w:val="baseline"/>
        <w:rPr>
          <w:rFonts w:hint="eastAsia" w:ascii="宋体" w:hAnsi="宋体" w:eastAsia="宋体" w:cs="宋体"/>
          <w:b w:val="0"/>
          <w:bCs w:val="0"/>
          <w:snapToGrid w:val="0"/>
          <w:color w:val="000000"/>
          <w:spacing w:val="-6"/>
          <w:kern w:val="0"/>
          <w:sz w:val="72"/>
          <w:szCs w:val="72"/>
          <w14:textOutline w14:w="13075" w14:cap="sq" w14:cmpd="sng">
            <w14:solidFill>
              <w14:srgbClr w14:val="000000"/>
            </w14:solidFill>
            <w14:prstDash w14:val="solid"/>
            <w14:bevel/>
          </w14:textOutline>
        </w:rPr>
      </w:pPr>
      <w:r>
        <w:rPr>
          <w:rFonts w:hint="eastAsia" w:ascii="宋体" w:hAnsi="宋体" w:eastAsia="宋体" w:cs="宋体"/>
          <w:b w:val="0"/>
          <w:bCs w:val="0"/>
          <w:snapToGrid w:val="0"/>
          <w:color w:val="000000"/>
          <w:spacing w:val="-6"/>
          <w:kern w:val="0"/>
          <w:sz w:val="72"/>
          <w:szCs w:val="72"/>
          <w:lang w:val="en-US" w:eastAsia="zh-CN"/>
          <w14:textOutline w14:w="13075" w14:cap="sq" w14:cmpd="sng">
            <w14:solidFill>
              <w14:srgbClr w14:val="000000"/>
            </w14:solidFill>
            <w14:prstDash w14:val="solid"/>
            <w14:bevel/>
          </w14:textOutline>
        </w:rPr>
        <w:t>2023年阶段性</w:t>
      </w:r>
      <w:r>
        <w:rPr>
          <w:rFonts w:hint="eastAsia" w:ascii="宋体" w:hAnsi="宋体" w:eastAsia="宋体" w:cs="宋体"/>
          <w:b w:val="0"/>
          <w:bCs w:val="0"/>
          <w:snapToGrid w:val="0"/>
          <w:color w:val="000000"/>
          <w:spacing w:val="-6"/>
          <w:kern w:val="0"/>
          <w:sz w:val="72"/>
          <w:szCs w:val="72"/>
          <w14:textOutline w14:w="13075" w14:cap="sq" w14:cmpd="sng">
            <w14:solidFill>
              <w14:srgbClr w14:val="000000"/>
            </w14:solidFill>
            <w14:prstDash w14:val="solid"/>
            <w14:bevel/>
          </w14:textOutline>
        </w:rPr>
        <w:t>税</w:t>
      </w:r>
      <w:r>
        <w:rPr>
          <w:rFonts w:hint="eastAsia" w:ascii="宋体" w:hAnsi="宋体" w:eastAsia="宋体" w:cs="宋体"/>
          <w:b w:val="0"/>
          <w:bCs w:val="0"/>
          <w:snapToGrid w:val="0"/>
          <w:color w:val="000000"/>
          <w:spacing w:val="-6"/>
          <w:kern w:val="0"/>
          <w:sz w:val="72"/>
          <w:szCs w:val="72"/>
          <w:lang w:eastAsia="zh-CN"/>
          <w14:textOutline w14:w="13075" w14:cap="sq" w14:cmpd="sng">
            <w14:solidFill>
              <w14:srgbClr w14:val="000000"/>
            </w14:solidFill>
            <w14:prstDash w14:val="solid"/>
            <w14:bevel/>
          </w14:textOutline>
        </w:rPr>
        <w:t>费优</w:t>
      </w:r>
      <w:r>
        <w:rPr>
          <w:rFonts w:hint="eastAsia" w:ascii="宋体" w:hAnsi="宋体" w:eastAsia="宋体" w:cs="宋体"/>
          <w:b w:val="0"/>
          <w:bCs w:val="0"/>
          <w:snapToGrid w:val="0"/>
          <w:color w:val="000000"/>
          <w:spacing w:val="-6"/>
          <w:kern w:val="0"/>
          <w:sz w:val="72"/>
          <w:szCs w:val="72"/>
          <w14:textOutline w14:w="13075" w14:cap="sq" w14:cmpd="sng">
            <w14:solidFill>
              <w14:srgbClr w14:val="000000"/>
            </w14:solidFill>
            <w14:prstDash w14:val="solid"/>
            <w14:bevel/>
          </w14:textOutline>
        </w:rPr>
        <w:t>惠</w:t>
      </w:r>
    </w:p>
    <w:p>
      <w:pPr>
        <w:keepNext w:val="0"/>
        <w:keepLines w:val="0"/>
        <w:pageBreakBefore w:val="0"/>
        <w:widowControl/>
        <w:kinsoku w:val="0"/>
        <w:wordWrap/>
        <w:overflowPunct/>
        <w:topLinePunct w:val="0"/>
        <w:autoSpaceDE w:val="0"/>
        <w:autoSpaceDN w:val="0"/>
        <w:bidi w:val="0"/>
        <w:adjustRightInd w:val="0"/>
        <w:snapToGrid w:val="0"/>
        <w:spacing w:before="346" w:line="720" w:lineRule="exact"/>
        <w:jc w:val="center"/>
        <w:textAlignment w:val="baseline"/>
        <w:rPr>
          <w:rFonts w:hint="eastAsia" w:ascii="宋体" w:hAnsi="宋体" w:eastAsia="宋体" w:cs="宋体"/>
          <w:b w:val="0"/>
          <w:bCs w:val="0"/>
          <w:snapToGrid w:val="0"/>
          <w:color w:val="000000"/>
          <w:spacing w:val="-6"/>
          <w:kern w:val="0"/>
          <w:sz w:val="72"/>
          <w:szCs w:val="72"/>
          <w14:textOutline w14:w="13075" w14:cap="sq" w14:cmpd="sng">
            <w14:solidFill>
              <w14:srgbClr w14:val="000000"/>
            </w14:solidFill>
            <w14:prstDash w14:val="solid"/>
            <w14:bevel/>
          </w14:textOutline>
        </w:rPr>
      </w:pPr>
      <w:r>
        <w:rPr>
          <w:rFonts w:hint="eastAsia" w:ascii="宋体" w:hAnsi="宋体" w:eastAsia="宋体" w:cs="宋体"/>
          <w:b w:val="0"/>
          <w:bCs w:val="0"/>
          <w:snapToGrid w:val="0"/>
          <w:color w:val="000000"/>
          <w:spacing w:val="-6"/>
          <w:kern w:val="0"/>
          <w:sz w:val="72"/>
          <w:szCs w:val="72"/>
          <w14:textOutline w14:w="13075" w14:cap="sq" w14:cmpd="sng">
            <w14:solidFill>
              <w14:srgbClr w14:val="000000"/>
            </w14:solidFill>
            <w14:prstDash w14:val="solid"/>
            <w14:bevel/>
          </w14:textOutline>
        </w:rPr>
        <w:t>政</w:t>
      </w:r>
      <w:r>
        <w:rPr>
          <w:rFonts w:hint="eastAsia" w:ascii="宋体" w:hAnsi="宋体" w:eastAsia="宋体" w:cs="宋体"/>
          <w:b w:val="0"/>
          <w:bCs w:val="0"/>
          <w:snapToGrid w:val="0"/>
          <w:color w:val="000000"/>
          <w:spacing w:val="-6"/>
          <w:kern w:val="0"/>
          <w:sz w:val="72"/>
          <w:szCs w:val="72"/>
          <w:lang w:eastAsia="zh-CN"/>
          <w14:textOutline w14:w="13075" w14:cap="sq" w14:cmpd="sng">
            <w14:solidFill>
              <w14:srgbClr w14:val="000000"/>
            </w14:solidFill>
            <w14:prstDash w14:val="solid"/>
            <w14:bevel/>
          </w14:textOutline>
        </w:rPr>
        <w:t>策指</w:t>
      </w:r>
      <w:r>
        <w:rPr>
          <w:rFonts w:hint="eastAsia" w:ascii="宋体" w:hAnsi="宋体" w:eastAsia="宋体" w:cs="宋体"/>
          <w:b w:val="0"/>
          <w:bCs w:val="0"/>
          <w:snapToGrid w:val="0"/>
          <w:color w:val="000000"/>
          <w:spacing w:val="-6"/>
          <w:kern w:val="0"/>
          <w:sz w:val="72"/>
          <w:szCs w:val="72"/>
          <w14:textOutline w14:w="13075" w14:cap="sq" w14:cmpd="sng">
            <w14:solidFill>
              <w14:srgbClr w14:val="000000"/>
            </w14:solidFill>
            <w14:prstDash w14:val="solid"/>
            <w14:bevel/>
          </w14:textOutline>
        </w:rPr>
        <w:t>引</w:t>
      </w:r>
    </w:p>
    <w:p>
      <w:pPr>
        <w:jc w:val="both"/>
        <w:rPr>
          <w:rFonts w:hint="eastAsia" w:ascii="方正小标宋简体" w:hAnsi="方正小标宋简体" w:eastAsia="方正小标宋简体" w:cs="方正小标宋简体"/>
          <w:sz w:val="44"/>
          <w:szCs w:val="44"/>
        </w:rPr>
      </w:pPr>
      <w:bookmarkStart w:id="34" w:name="_GoBack"/>
      <w:bookmarkEnd w:id="34"/>
    </w:p>
    <w:p>
      <w:pPr>
        <w:jc w:val="both"/>
        <w:rPr>
          <w:rFonts w:hint="eastAsia"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pPr>
      <w:r>
        <w:drawing>
          <wp:inline distT="0" distB="0" distL="0" distR="0">
            <wp:extent cx="2371090" cy="2323465"/>
            <wp:effectExtent l="0" t="0" r="10160" b="635"/>
            <wp:docPr id="1" name="IM 2"/>
            <wp:cNvGraphicFramePr/>
            <a:graphic xmlns:a="http://schemas.openxmlformats.org/drawingml/2006/main">
              <a:graphicData uri="http://schemas.openxmlformats.org/drawingml/2006/picture">
                <pic:pic xmlns:pic="http://schemas.openxmlformats.org/drawingml/2006/picture">
                  <pic:nvPicPr>
                    <pic:cNvPr id="1" name="IM 2"/>
                    <pic:cNvPicPr/>
                  </pic:nvPicPr>
                  <pic:blipFill>
                    <a:blip r:embed="rId8"/>
                    <a:stretch>
                      <a:fillRect/>
                    </a:stretch>
                  </pic:blipFill>
                  <pic:spPr>
                    <a:xfrm>
                      <a:off x="0" y="0"/>
                      <a:ext cx="2371344" cy="2323465"/>
                    </a:xfrm>
                    <a:prstGeom prst="rect">
                      <a:avLst/>
                    </a:prstGeom>
                  </pic:spPr>
                </pic:pic>
              </a:graphicData>
            </a:graphic>
          </wp:inline>
        </w:drawing>
      </w:r>
    </w:p>
    <w:p>
      <w:pPr>
        <w:jc w:val="both"/>
        <w:rPr>
          <w:rFonts w:hint="eastAsia" w:ascii="方正小标宋简体" w:hAnsi="方正小标宋简体" w:eastAsia="方正小标宋简体" w:cs="方正小标宋简体"/>
          <w:sz w:val="44"/>
          <w:szCs w:val="44"/>
        </w:rPr>
      </w:pPr>
    </w:p>
    <w:p>
      <w:pPr>
        <w:jc w:val="both"/>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bCs/>
          <w:sz w:val="36"/>
          <w:szCs w:val="36"/>
          <w:lang w:eastAsia="zh-CN"/>
        </w:rPr>
      </w:pPr>
      <w:r>
        <w:rPr>
          <w:rFonts w:hint="eastAsia" w:ascii="仿宋_GB2312" w:hAnsi="仿宋_GB2312" w:eastAsia="仿宋_GB2312" w:cs="仿宋_GB2312"/>
          <w:b/>
          <w:bCs/>
          <w:sz w:val="36"/>
          <w:szCs w:val="36"/>
          <w:lang w:eastAsia="zh-CN"/>
        </w:rPr>
        <w:t>国家税务总局黑龙江省税务局</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6"/>
          <w:szCs w:val="36"/>
          <w:lang w:val="en-US" w:eastAsia="zh-CN"/>
        </w:rPr>
        <w:t>（2023年4月）</w:t>
      </w:r>
    </w:p>
    <w:sdt>
      <w:sdtPr>
        <w:rPr>
          <w:rFonts w:hint="eastAsia" w:ascii="仿宋_GB2312" w:hAnsi="仿宋_GB2312" w:eastAsia="仿宋_GB2312" w:cs="仿宋_GB2312"/>
          <w:kern w:val="2"/>
          <w:sz w:val="32"/>
          <w:szCs w:val="32"/>
          <w:lang w:val="en-US" w:eastAsia="zh-CN" w:bidi="ar-SA"/>
        </w:rPr>
        <w:id w:val="147453593"/>
        <w15:color w:val="DBDBDB"/>
        <w:docPartObj>
          <w:docPartGallery w:val="Table of Contents"/>
          <w:docPartUnique/>
        </w:docPartObj>
      </w:sdtPr>
      <w:sdtEndPr>
        <w:rPr>
          <w:rFonts w:hint="eastAsia" w:ascii="方正小标宋简体" w:hAnsi="方正小标宋简体" w:eastAsia="方正小标宋简体" w:cs="方正小标宋简体"/>
          <w:kern w:val="2"/>
          <w:sz w:val="28"/>
          <w:szCs w:val="28"/>
          <w:lang w:val="en-US" w:eastAsia="zh-CN" w:bidi="ar-SA"/>
        </w:rPr>
      </w:sdtEndPr>
      <w:sdtContent>
        <w:p>
          <w:pPr>
            <w:spacing w:before="0" w:beforeLines="0" w:after="0" w:afterLines="0" w:line="240" w:lineRule="auto"/>
            <w:ind w:left="0" w:leftChars="0" w:right="0" w:rightChars="0" w:firstLine="0" w:firstLineChars="0"/>
            <w:jc w:val="center"/>
            <w:rPr>
              <w:rFonts w:hint="eastAsia" w:ascii="仿宋_GB2312" w:hAnsi="仿宋_GB2312" w:eastAsia="仿宋_GB2312" w:cs="仿宋_GB2312"/>
              <w:kern w:val="2"/>
              <w:sz w:val="32"/>
              <w:szCs w:val="32"/>
              <w:lang w:val="en-US" w:eastAsia="zh-CN" w:bidi="ar-SA"/>
            </w:rPr>
          </w:pPr>
          <w:bookmarkStart w:id="0" w:name="_Toc21692"/>
          <w:bookmarkStart w:id="1" w:name="_Toc2389"/>
        </w:p>
        <w:p>
          <w:pPr>
            <w:spacing w:beforeLines="0" w:afterLines="0"/>
            <w:jc w:val="both"/>
            <w:rPr>
              <w:rFonts w:hint="eastAsia" w:ascii="仿宋_GB2312" w:hAnsi="仿宋_GB2312" w:eastAsia="仿宋_GB2312" w:cs="仿宋_GB2312"/>
              <w:sz w:val="32"/>
              <w:szCs w:val="32"/>
              <w:lang w:eastAsia="zh-CN"/>
            </w:rPr>
            <w:sectPr>
              <w:pgSz w:w="11906" w:h="16838"/>
              <w:pgMar w:top="1440" w:right="1803" w:bottom="1440" w:left="1803"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346" w:beforeLines="0" w:after="346" w:afterLines="0" w:line="72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概</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lang w:eastAsia="zh-CN"/>
            </w:rPr>
            <w:t>述</w:t>
          </w:r>
        </w:p>
        <w:p>
          <w:pPr>
            <w:keepNext w:val="0"/>
            <w:keepLines w:val="0"/>
            <w:pageBreakBefore w:val="0"/>
            <w:widowControl w:val="0"/>
            <w:kinsoku/>
            <w:wordWrap/>
            <w:overflowPunct/>
            <w:topLinePunct w:val="0"/>
            <w:autoSpaceDE/>
            <w:autoSpaceDN/>
            <w:bidi w:val="0"/>
            <w:adjustRightInd/>
            <w:snapToGrid/>
            <w:spacing w:beforeLines="0" w:afterLines="0"/>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税费优惠政策是积极财政的重要内容，是直接有效和公平的惠企政策。年初以来，按照党中央、国务院部署，财税等部门发布了延续和优化实施的税费优惠政策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着力纾解企业困难，提升政策效能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稳定市场预期、提振市场信心、助力企业发展具有重要意义。总体上看，这些税费优惠政策有三个特点：一是突出连续性，该延续的延续。如：延续实施物流企业大宗商品仓储用地减半征收城镇土地使用税、减征残疾人就业保障金等一批实施效果好、社会期待高的政策，及时稳定社会预期。二是突出精准性，该优化的优化。如：优化实施小规模纳税人减征增值税、小微企业和个体工商户减征所得税等一批支持小微经营主体纾困发展的政策，突出对小微企业、个体工商户的支持。三是突出制度性，该创新的创新。将企业研发费用加计扣除比例由75%统一提高到100%，并且作为制度性安排长期实施，进一步营造激励企业创新投入的良好税制环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为了方便市场主体及时了解适用税费</w:t>
          </w:r>
          <w:r>
            <w:rPr>
              <w:rFonts w:hint="eastAsia" w:ascii="仿宋_GB2312" w:hAnsi="仿宋_GB2312" w:eastAsia="仿宋_GB2312" w:cs="仿宋_GB2312"/>
              <w:sz w:val="32"/>
              <w:szCs w:val="32"/>
              <w:lang w:eastAsia="zh-CN"/>
            </w:rPr>
            <w:t>优惠</w:t>
          </w:r>
          <w:r>
            <w:rPr>
              <w:rFonts w:hint="eastAsia" w:ascii="仿宋_GB2312" w:hAnsi="仿宋_GB2312" w:eastAsia="仿宋_GB2312" w:cs="仿宋_GB2312"/>
              <w:sz w:val="32"/>
              <w:szCs w:val="32"/>
            </w:rPr>
            <w:t>政策，</w:t>
          </w:r>
          <w:r>
            <w:rPr>
              <w:rFonts w:hint="eastAsia" w:ascii="仿宋_GB2312" w:hAnsi="仿宋_GB2312" w:eastAsia="仿宋_GB2312" w:cs="仿宋_GB2312"/>
              <w:sz w:val="32"/>
              <w:szCs w:val="32"/>
              <w:lang w:eastAsia="zh-CN"/>
            </w:rPr>
            <w:t>黑龙江省税务局</w:t>
          </w:r>
          <w:r>
            <w:rPr>
              <w:rFonts w:hint="eastAsia" w:ascii="仿宋_GB2312" w:hAnsi="仿宋_GB2312" w:eastAsia="仿宋_GB2312" w:cs="仿宋_GB2312"/>
              <w:sz w:val="32"/>
              <w:szCs w:val="32"/>
            </w:rPr>
            <w:t>梳理</w:t>
          </w:r>
          <w:r>
            <w:rPr>
              <w:rFonts w:hint="eastAsia" w:ascii="仿宋_GB2312" w:hAnsi="仿宋_GB2312" w:eastAsia="仿宋_GB2312" w:cs="仿宋_GB2312"/>
              <w:sz w:val="32"/>
              <w:szCs w:val="32"/>
              <w:lang w:eastAsia="zh-CN"/>
            </w:rPr>
            <w:t>了</w:t>
          </w:r>
          <w:r>
            <w:rPr>
              <w:rFonts w:hint="eastAsia" w:ascii="仿宋_GB2312" w:hAnsi="仿宋_GB2312" w:eastAsia="仿宋_GB2312" w:cs="仿宋_GB2312"/>
              <w:sz w:val="32"/>
              <w:szCs w:val="32"/>
              <w:lang w:val="en-US" w:eastAsia="zh-CN"/>
            </w:rPr>
            <w:t>2023年</w:t>
          </w:r>
          <w:r>
            <w:rPr>
              <w:rFonts w:hint="eastAsia" w:ascii="仿宋_GB2312" w:hAnsi="仿宋_GB2312" w:eastAsia="仿宋_GB2312" w:cs="仿宋_GB2312"/>
              <w:sz w:val="32"/>
              <w:szCs w:val="32"/>
              <w:lang w:eastAsia="zh-CN"/>
            </w:rPr>
            <w:t>优化和</w:t>
          </w:r>
          <w:r>
            <w:rPr>
              <w:rFonts w:hint="eastAsia" w:ascii="仿宋_GB2312" w:hAnsi="仿宋_GB2312" w:eastAsia="仿宋_GB2312" w:cs="仿宋_GB2312"/>
              <w:sz w:val="32"/>
              <w:szCs w:val="32"/>
            </w:rPr>
            <w:t>延续实施的有关政策，按照享受主体、优惠内容、享受条件、</w:t>
          </w:r>
          <w:r>
            <w:rPr>
              <w:rFonts w:hint="eastAsia" w:ascii="仿宋_GB2312" w:hAnsi="仿宋_GB2312" w:eastAsia="仿宋_GB2312" w:cs="仿宋_GB2312"/>
              <w:sz w:val="32"/>
              <w:szCs w:val="32"/>
              <w:lang w:eastAsia="zh-CN"/>
            </w:rPr>
            <w:t>办理流程、</w:t>
          </w:r>
          <w:r>
            <w:rPr>
              <w:rFonts w:hint="eastAsia" w:ascii="仿宋_GB2312" w:hAnsi="仿宋_GB2312" w:eastAsia="仿宋_GB2312" w:cs="仿宋_GB2312"/>
              <w:sz w:val="32"/>
              <w:szCs w:val="32"/>
            </w:rPr>
            <w:t>政策依据的编写体例，形成了涵盖</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项内容的税费</w:t>
          </w:r>
          <w:r>
            <w:rPr>
              <w:rFonts w:hint="eastAsia" w:ascii="仿宋_GB2312" w:hAnsi="仿宋_GB2312" w:eastAsia="仿宋_GB2312" w:cs="仿宋_GB2312"/>
              <w:sz w:val="32"/>
              <w:szCs w:val="32"/>
              <w:lang w:eastAsia="zh-CN"/>
            </w:rPr>
            <w:t>优惠</w:t>
          </w:r>
          <w:r>
            <w:rPr>
              <w:rFonts w:hint="eastAsia" w:ascii="仿宋_GB2312" w:hAnsi="仿宋_GB2312" w:eastAsia="仿宋_GB2312" w:cs="仿宋_GB2312"/>
              <w:sz w:val="32"/>
              <w:szCs w:val="32"/>
            </w:rPr>
            <w:t>政策指引，后续将根据新出台税费政策情况持续更新。具体包括：</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sectPr>
              <w:footerReference r:id="rId3" w:type="default"/>
              <w:pgSz w:w="11906" w:h="16838"/>
              <w:pgMar w:top="1440" w:right="1803" w:bottom="1440" w:left="1803" w:header="851" w:footer="992" w:gutter="0"/>
              <w:pgNumType w:fmt="decimal"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1.小规模纳税人月销售额10万元以下免征增值税政策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2.小规模纳税人3%减按1%征收增值税政策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3.生产、生活性服务业增值税加计抵减政策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4.集成电路企业增值税加计抵减政策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5.小型微利企业年应纳税所得额不超过100万元的部分企业所得税政策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6.企业研发费用税前加计扣除政策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7.居民个人取得上市公司股权激励单独计税优惠政策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8.沪港、深港股票市场交易互联互通机制和内地与香港</w:t>
          </w:r>
        </w:p>
        <w:p>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基金互认有关个人所得税优惠政策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9.个体工商户年应纳税所得额不超过100万元的部分个人所得税政策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10.物流企业大宗商品仓储设施用地城镇土地使用税优惠政策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11.残疾人就业保障金优惠政策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12.阶段性降低失业保险、工伤保险费率政策</w:t>
          </w:r>
        </w:p>
        <w:p>
          <w:pPr>
            <w:spacing w:before="0" w:beforeLines="0" w:after="0" w:afterLines="0" w:line="240" w:lineRule="auto"/>
            <w:ind w:left="0" w:leftChars="0" w:right="0" w:rightChars="0" w:firstLine="0" w:firstLineChars="0"/>
            <w:jc w:val="center"/>
            <w:rPr>
              <w:rFonts w:hint="eastAsia" w:ascii="方正小标宋简体" w:hAnsi="方正小标宋简体" w:eastAsia="方正小标宋简体" w:cs="方正小标宋简体"/>
              <w:sz w:val="44"/>
              <w:szCs w:val="44"/>
            </w:rPr>
          </w:pPr>
        </w:p>
        <w:p>
          <w:pPr>
            <w:spacing w:before="0" w:beforeLines="0" w:after="0" w:afterLines="0" w:line="240" w:lineRule="auto"/>
            <w:ind w:left="0" w:leftChars="0" w:right="0" w:rightChars="0" w:firstLine="0" w:firstLineChars="0"/>
            <w:jc w:val="both"/>
            <w:rPr>
              <w:rFonts w:hint="eastAsia" w:ascii="方正小标宋简体" w:hAnsi="方正小标宋简体" w:eastAsia="方正小标宋简体" w:cs="方正小标宋简体"/>
              <w:sz w:val="44"/>
              <w:szCs w:val="44"/>
            </w:rPr>
          </w:pPr>
        </w:p>
        <w:p>
          <w:pPr>
            <w:spacing w:before="0" w:beforeLines="0" w:after="0" w:afterLines="0" w:line="240" w:lineRule="auto"/>
            <w:ind w:left="0" w:leftChars="0" w:right="0" w:rightChars="0" w:firstLine="0" w:firstLineChars="0"/>
            <w:jc w:val="center"/>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before="346" w:beforeLines="0" w:after="346" w:afterLines="0" w:line="720" w:lineRule="exact"/>
            <w:ind w:left="0" w:leftChars="0" w:right="0" w:rightChars="0" w:firstLine="0" w:firstLineChars="0"/>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before="346" w:beforeLines="0" w:after="346" w:afterLines="0" w:line="720" w:lineRule="exact"/>
            <w:ind w:left="0" w:leftChars="0" w:right="0" w:rightChars="0" w:firstLine="0" w:firstLineChars="0"/>
            <w:jc w:val="center"/>
            <w:textAlignment w:val="auto"/>
            <w:rPr>
              <w:rFonts w:hint="eastAsia" w:ascii="方正小标宋简体" w:hAnsi="方正小标宋简体" w:eastAsia="方正小标宋简体" w:cs="方正小标宋简体"/>
              <w:sz w:val="44"/>
              <w:szCs w:val="44"/>
            </w:rPr>
            <w:sectPr>
              <w:footerReference r:id="rId4" w:type="default"/>
              <w:pgSz w:w="11906" w:h="16838"/>
              <w:pgMar w:top="1440" w:right="1803" w:bottom="1440" w:left="1803" w:header="851" w:footer="992" w:gutter="0"/>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346" w:beforeLines="0" w:after="346" w:afterLines="0" w:line="720" w:lineRule="exact"/>
            <w:ind w:left="0" w:leftChars="0" w:right="0" w:rightChars="0" w:firstLine="0" w:firstLineChars="0"/>
            <w:jc w:val="center"/>
            <w:textAlignment w:val="auto"/>
            <w:rPr>
              <w:rFonts w:hint="eastAsia" w:ascii="楷体_GB2312" w:hAnsi="楷体_GB2312" w:eastAsia="楷体_GB2312" w:cs="楷体_GB2312"/>
              <w:sz w:val="36"/>
              <w:szCs w:val="36"/>
            </w:rPr>
          </w:pPr>
          <w:r>
            <w:rPr>
              <w:rFonts w:hint="eastAsia" w:ascii="方正小标宋简体" w:hAnsi="方正小标宋简体" w:eastAsia="方正小标宋简体" w:cs="方正小标宋简体"/>
              <w:sz w:val="44"/>
              <w:szCs w:val="44"/>
            </w:rPr>
            <w:t>目</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rPr>
            <w:t>录</w:t>
          </w:r>
        </w:p>
        <w:p>
          <w:pPr>
            <w:pStyle w:val="7"/>
            <w:tabs>
              <w:tab w:val="right" w:leader="dot" w:pos="8300"/>
            </w:tabs>
            <w:rPr>
              <w:sz w:val="28"/>
              <w:szCs w:val="28"/>
            </w:rPr>
          </w:pPr>
          <w:r>
            <w:rPr>
              <w:rFonts w:hint="eastAsia" w:ascii="方正小标宋简体" w:hAnsi="方正小标宋简体" w:eastAsia="方正小标宋简体" w:cs="方正小标宋简体"/>
              <w:sz w:val="28"/>
              <w:szCs w:val="28"/>
              <w:lang w:val="en-US" w:eastAsia="zh-CN"/>
            </w:rPr>
            <w:fldChar w:fldCharType="begin"/>
          </w:r>
          <w:r>
            <w:rPr>
              <w:rFonts w:hint="eastAsia" w:ascii="方正小标宋简体" w:hAnsi="方正小标宋简体" w:eastAsia="方正小标宋简体" w:cs="方正小标宋简体"/>
              <w:sz w:val="28"/>
              <w:szCs w:val="28"/>
              <w:lang w:val="en-US" w:eastAsia="zh-CN"/>
            </w:rPr>
            <w:instrText xml:space="preserve">TOC \o "1-1" \h \u </w:instrText>
          </w:r>
          <w:r>
            <w:rPr>
              <w:rFonts w:hint="eastAsia" w:ascii="方正小标宋简体" w:hAnsi="方正小标宋简体" w:eastAsia="方正小标宋简体" w:cs="方正小标宋简体"/>
              <w:sz w:val="28"/>
              <w:szCs w:val="28"/>
              <w:lang w:val="en-US" w:eastAsia="zh-CN"/>
            </w:rPr>
            <w:fldChar w:fldCharType="separate"/>
          </w:r>
          <w:r>
            <w:rPr>
              <w:rFonts w:hint="eastAsia" w:ascii="方正小标宋简体" w:hAnsi="方正小标宋简体" w:eastAsia="方正小标宋简体" w:cs="方正小标宋简体"/>
              <w:sz w:val="28"/>
              <w:szCs w:val="28"/>
              <w:lang w:val="en-US" w:eastAsia="zh-CN"/>
            </w:rPr>
            <w:fldChar w:fldCharType="begin"/>
          </w:r>
          <w:r>
            <w:rPr>
              <w:rFonts w:hint="eastAsia" w:ascii="方正小标宋简体" w:hAnsi="方正小标宋简体" w:eastAsia="方正小标宋简体" w:cs="方正小标宋简体"/>
              <w:sz w:val="28"/>
              <w:szCs w:val="28"/>
              <w:lang w:val="en-US" w:eastAsia="zh-CN"/>
            </w:rPr>
            <w:instrText xml:space="preserve"> HYPERLINK \l _Toc15239 </w:instrText>
          </w:r>
          <w:r>
            <w:rPr>
              <w:rFonts w:hint="eastAsia" w:ascii="方正小标宋简体" w:hAnsi="方正小标宋简体" w:eastAsia="方正小标宋简体" w:cs="方正小标宋简体"/>
              <w:sz w:val="28"/>
              <w:szCs w:val="28"/>
              <w:lang w:val="en-US" w:eastAsia="zh-CN"/>
            </w:rPr>
            <w:fldChar w:fldCharType="separate"/>
          </w:r>
          <w:r>
            <w:rPr>
              <w:rFonts w:hint="eastAsia" w:ascii="宋体" w:hAnsi="宋体" w:eastAsia="宋体" w:cs="宋体"/>
              <w:sz w:val="28"/>
              <w:szCs w:val="28"/>
              <w:lang w:val="en-US" w:eastAsia="zh-CN"/>
            </w:rPr>
            <w:t>一、小规模纳税人</w:t>
          </w:r>
          <w:r>
            <w:rPr>
              <w:rFonts w:hint="eastAsia" w:ascii="宋体" w:hAnsi="宋体" w:eastAsia="宋体" w:cs="宋体"/>
              <w:sz w:val="28"/>
              <w:szCs w:val="28"/>
            </w:rPr>
            <w:t>月销售额10万元以下免征增值税政策</w:t>
          </w:r>
          <w:r>
            <w:rPr>
              <w:sz w:val="28"/>
              <w:szCs w:val="28"/>
            </w:rPr>
            <w:tab/>
          </w:r>
          <w:r>
            <w:rPr>
              <w:sz w:val="28"/>
              <w:szCs w:val="28"/>
            </w:rPr>
            <w:fldChar w:fldCharType="begin"/>
          </w:r>
          <w:r>
            <w:rPr>
              <w:sz w:val="28"/>
              <w:szCs w:val="28"/>
            </w:rPr>
            <w:instrText xml:space="preserve"> PAGEREF _Toc15239 \h </w:instrText>
          </w:r>
          <w:r>
            <w:rPr>
              <w:sz w:val="28"/>
              <w:szCs w:val="28"/>
            </w:rPr>
            <w:fldChar w:fldCharType="separate"/>
          </w:r>
          <w:r>
            <w:rPr>
              <w:sz w:val="28"/>
              <w:szCs w:val="28"/>
            </w:rPr>
            <w:t>4</w:t>
          </w:r>
          <w:r>
            <w:rPr>
              <w:sz w:val="28"/>
              <w:szCs w:val="28"/>
            </w:rPr>
            <w:fldChar w:fldCharType="end"/>
          </w:r>
          <w:r>
            <w:rPr>
              <w:rFonts w:hint="eastAsia" w:ascii="方正小标宋简体" w:hAnsi="方正小标宋简体" w:eastAsia="方正小标宋简体" w:cs="方正小标宋简体"/>
              <w:sz w:val="28"/>
              <w:szCs w:val="28"/>
              <w:lang w:val="en-US" w:eastAsia="zh-CN"/>
            </w:rPr>
            <w:fldChar w:fldCharType="end"/>
          </w:r>
        </w:p>
        <w:p>
          <w:pPr>
            <w:pStyle w:val="7"/>
            <w:tabs>
              <w:tab w:val="right" w:leader="dot" w:pos="8300"/>
            </w:tabs>
            <w:rPr>
              <w:sz w:val="28"/>
              <w:szCs w:val="28"/>
            </w:rPr>
          </w:pPr>
          <w:r>
            <w:rPr>
              <w:rFonts w:hint="eastAsia" w:ascii="方正小标宋简体" w:hAnsi="方正小标宋简体" w:eastAsia="方正小标宋简体" w:cs="方正小标宋简体"/>
              <w:sz w:val="28"/>
              <w:szCs w:val="28"/>
              <w:lang w:val="en-US" w:eastAsia="zh-CN"/>
            </w:rPr>
            <w:fldChar w:fldCharType="begin"/>
          </w:r>
          <w:r>
            <w:rPr>
              <w:rFonts w:hint="eastAsia" w:ascii="方正小标宋简体" w:hAnsi="方正小标宋简体" w:eastAsia="方正小标宋简体" w:cs="方正小标宋简体"/>
              <w:sz w:val="28"/>
              <w:szCs w:val="28"/>
              <w:lang w:val="en-US" w:eastAsia="zh-CN"/>
            </w:rPr>
            <w:instrText xml:space="preserve"> HYPERLINK \l _Toc25707 </w:instrText>
          </w:r>
          <w:r>
            <w:rPr>
              <w:rFonts w:hint="eastAsia" w:ascii="方正小标宋简体" w:hAnsi="方正小标宋简体" w:eastAsia="方正小标宋简体" w:cs="方正小标宋简体"/>
              <w:sz w:val="28"/>
              <w:szCs w:val="28"/>
              <w:lang w:val="en-US" w:eastAsia="zh-CN"/>
            </w:rPr>
            <w:fldChar w:fldCharType="separate"/>
          </w:r>
          <w:r>
            <w:rPr>
              <w:rFonts w:hint="eastAsia" w:ascii="宋体" w:hAnsi="宋体" w:eastAsia="宋体" w:cs="宋体"/>
              <w:sz w:val="28"/>
              <w:szCs w:val="28"/>
              <w:lang w:val="en-US" w:eastAsia="zh-CN"/>
            </w:rPr>
            <w:t>二、小规模纳税人3%减按1%征收增值税政策</w:t>
          </w:r>
          <w:r>
            <w:rPr>
              <w:sz w:val="28"/>
              <w:szCs w:val="28"/>
            </w:rPr>
            <w:tab/>
          </w:r>
          <w:r>
            <w:rPr>
              <w:sz w:val="28"/>
              <w:szCs w:val="28"/>
            </w:rPr>
            <w:fldChar w:fldCharType="begin"/>
          </w:r>
          <w:r>
            <w:rPr>
              <w:sz w:val="28"/>
              <w:szCs w:val="28"/>
            </w:rPr>
            <w:instrText xml:space="preserve"> PAGEREF _Toc25707 \h </w:instrText>
          </w:r>
          <w:r>
            <w:rPr>
              <w:sz w:val="28"/>
              <w:szCs w:val="28"/>
            </w:rPr>
            <w:fldChar w:fldCharType="separate"/>
          </w:r>
          <w:r>
            <w:rPr>
              <w:sz w:val="28"/>
              <w:szCs w:val="28"/>
            </w:rPr>
            <w:t>5</w:t>
          </w:r>
          <w:r>
            <w:rPr>
              <w:sz w:val="28"/>
              <w:szCs w:val="28"/>
            </w:rPr>
            <w:fldChar w:fldCharType="end"/>
          </w:r>
          <w:r>
            <w:rPr>
              <w:rFonts w:hint="eastAsia" w:ascii="方正小标宋简体" w:hAnsi="方正小标宋简体" w:eastAsia="方正小标宋简体" w:cs="方正小标宋简体"/>
              <w:sz w:val="28"/>
              <w:szCs w:val="28"/>
              <w:lang w:val="en-US" w:eastAsia="zh-CN"/>
            </w:rPr>
            <w:fldChar w:fldCharType="end"/>
          </w:r>
        </w:p>
        <w:p>
          <w:pPr>
            <w:pStyle w:val="7"/>
            <w:tabs>
              <w:tab w:val="right" w:leader="dot" w:pos="8300"/>
            </w:tabs>
            <w:rPr>
              <w:sz w:val="28"/>
              <w:szCs w:val="28"/>
            </w:rPr>
          </w:pPr>
          <w:r>
            <w:rPr>
              <w:rFonts w:hint="eastAsia" w:ascii="方正小标宋简体" w:hAnsi="方正小标宋简体" w:eastAsia="方正小标宋简体" w:cs="方正小标宋简体"/>
              <w:sz w:val="28"/>
              <w:szCs w:val="28"/>
              <w:lang w:val="en-US" w:eastAsia="zh-CN"/>
            </w:rPr>
            <w:fldChar w:fldCharType="begin"/>
          </w:r>
          <w:r>
            <w:rPr>
              <w:rFonts w:hint="eastAsia" w:ascii="方正小标宋简体" w:hAnsi="方正小标宋简体" w:eastAsia="方正小标宋简体" w:cs="方正小标宋简体"/>
              <w:sz w:val="28"/>
              <w:szCs w:val="28"/>
              <w:lang w:val="en-US" w:eastAsia="zh-CN"/>
            </w:rPr>
            <w:instrText xml:space="preserve"> HYPERLINK \l _Toc28743 </w:instrText>
          </w:r>
          <w:r>
            <w:rPr>
              <w:rFonts w:hint="eastAsia" w:ascii="方正小标宋简体" w:hAnsi="方正小标宋简体" w:eastAsia="方正小标宋简体" w:cs="方正小标宋简体"/>
              <w:sz w:val="28"/>
              <w:szCs w:val="28"/>
              <w:lang w:val="en-US" w:eastAsia="zh-CN"/>
            </w:rPr>
            <w:fldChar w:fldCharType="separate"/>
          </w:r>
          <w:r>
            <w:rPr>
              <w:rFonts w:hint="eastAsia" w:ascii="宋体" w:hAnsi="宋体" w:eastAsia="宋体" w:cs="宋体"/>
              <w:sz w:val="28"/>
              <w:szCs w:val="28"/>
              <w:lang w:val="en-US" w:eastAsia="zh-CN"/>
            </w:rPr>
            <w:t>三、生产、生活性服务业增值税加计抵减政策</w:t>
          </w:r>
          <w:r>
            <w:rPr>
              <w:sz w:val="28"/>
              <w:szCs w:val="28"/>
            </w:rPr>
            <w:tab/>
          </w:r>
          <w:r>
            <w:rPr>
              <w:sz w:val="28"/>
              <w:szCs w:val="28"/>
            </w:rPr>
            <w:fldChar w:fldCharType="begin"/>
          </w:r>
          <w:r>
            <w:rPr>
              <w:sz w:val="28"/>
              <w:szCs w:val="28"/>
            </w:rPr>
            <w:instrText xml:space="preserve"> PAGEREF _Toc28743 \h </w:instrText>
          </w:r>
          <w:r>
            <w:rPr>
              <w:sz w:val="28"/>
              <w:szCs w:val="28"/>
            </w:rPr>
            <w:fldChar w:fldCharType="separate"/>
          </w:r>
          <w:r>
            <w:rPr>
              <w:sz w:val="28"/>
              <w:szCs w:val="28"/>
            </w:rPr>
            <w:t>6</w:t>
          </w:r>
          <w:r>
            <w:rPr>
              <w:sz w:val="28"/>
              <w:szCs w:val="28"/>
            </w:rPr>
            <w:fldChar w:fldCharType="end"/>
          </w:r>
          <w:r>
            <w:rPr>
              <w:rFonts w:hint="eastAsia" w:ascii="方正小标宋简体" w:hAnsi="方正小标宋简体" w:eastAsia="方正小标宋简体" w:cs="方正小标宋简体"/>
              <w:sz w:val="28"/>
              <w:szCs w:val="28"/>
              <w:lang w:val="en-US" w:eastAsia="zh-CN"/>
            </w:rPr>
            <w:fldChar w:fldCharType="end"/>
          </w:r>
        </w:p>
        <w:p>
          <w:pPr>
            <w:pStyle w:val="7"/>
            <w:tabs>
              <w:tab w:val="right" w:leader="dot" w:pos="8300"/>
            </w:tabs>
            <w:rPr>
              <w:sz w:val="28"/>
              <w:szCs w:val="28"/>
            </w:rPr>
          </w:pPr>
          <w:r>
            <w:rPr>
              <w:rFonts w:hint="eastAsia" w:ascii="方正小标宋简体" w:hAnsi="方正小标宋简体" w:eastAsia="方正小标宋简体" w:cs="方正小标宋简体"/>
              <w:sz w:val="28"/>
              <w:szCs w:val="28"/>
              <w:lang w:val="en-US" w:eastAsia="zh-CN"/>
            </w:rPr>
            <w:fldChar w:fldCharType="begin"/>
          </w:r>
          <w:r>
            <w:rPr>
              <w:rFonts w:hint="eastAsia" w:ascii="方正小标宋简体" w:hAnsi="方正小标宋简体" w:eastAsia="方正小标宋简体" w:cs="方正小标宋简体"/>
              <w:sz w:val="28"/>
              <w:szCs w:val="28"/>
              <w:lang w:val="en-US" w:eastAsia="zh-CN"/>
            </w:rPr>
            <w:instrText xml:space="preserve"> HYPERLINK \l _Toc5448 </w:instrText>
          </w:r>
          <w:r>
            <w:rPr>
              <w:rFonts w:hint="eastAsia" w:ascii="方正小标宋简体" w:hAnsi="方正小标宋简体" w:eastAsia="方正小标宋简体" w:cs="方正小标宋简体"/>
              <w:sz w:val="28"/>
              <w:szCs w:val="28"/>
              <w:lang w:val="en-US" w:eastAsia="zh-CN"/>
            </w:rPr>
            <w:fldChar w:fldCharType="separate"/>
          </w:r>
          <w:r>
            <w:rPr>
              <w:rFonts w:hint="eastAsia" w:ascii="宋体" w:hAnsi="宋体" w:cs="宋体"/>
              <w:sz w:val="28"/>
              <w:szCs w:val="28"/>
              <w:lang w:val="en-US" w:eastAsia="zh-CN"/>
            </w:rPr>
            <w:t>四</w:t>
          </w:r>
          <w:r>
            <w:rPr>
              <w:rFonts w:hint="eastAsia" w:ascii="宋体" w:hAnsi="宋体" w:eastAsia="宋体" w:cs="宋体"/>
              <w:sz w:val="28"/>
              <w:szCs w:val="28"/>
              <w:lang w:val="en-US" w:eastAsia="zh-CN"/>
            </w:rPr>
            <w:t>、</w:t>
          </w:r>
          <w:r>
            <w:rPr>
              <w:rFonts w:hint="eastAsia" w:ascii="宋体" w:hAnsi="宋体" w:cs="宋体"/>
              <w:sz w:val="28"/>
              <w:szCs w:val="28"/>
              <w:lang w:val="en-US" w:eastAsia="zh-CN"/>
            </w:rPr>
            <w:t>集成电路企业增值税加计抵减政策</w:t>
          </w:r>
          <w:r>
            <w:rPr>
              <w:sz w:val="28"/>
              <w:szCs w:val="28"/>
            </w:rPr>
            <w:tab/>
          </w:r>
          <w:r>
            <w:rPr>
              <w:sz w:val="28"/>
              <w:szCs w:val="28"/>
            </w:rPr>
            <w:fldChar w:fldCharType="begin"/>
          </w:r>
          <w:r>
            <w:rPr>
              <w:sz w:val="28"/>
              <w:szCs w:val="28"/>
            </w:rPr>
            <w:instrText xml:space="preserve"> PAGEREF _Toc5448 \h </w:instrText>
          </w:r>
          <w:r>
            <w:rPr>
              <w:sz w:val="28"/>
              <w:szCs w:val="28"/>
            </w:rPr>
            <w:fldChar w:fldCharType="separate"/>
          </w:r>
          <w:r>
            <w:rPr>
              <w:sz w:val="28"/>
              <w:szCs w:val="28"/>
            </w:rPr>
            <w:t>8</w:t>
          </w:r>
          <w:r>
            <w:rPr>
              <w:sz w:val="28"/>
              <w:szCs w:val="28"/>
            </w:rPr>
            <w:fldChar w:fldCharType="end"/>
          </w:r>
          <w:r>
            <w:rPr>
              <w:rFonts w:hint="eastAsia" w:ascii="方正小标宋简体" w:hAnsi="方正小标宋简体" w:eastAsia="方正小标宋简体" w:cs="方正小标宋简体"/>
              <w:sz w:val="28"/>
              <w:szCs w:val="28"/>
              <w:lang w:val="en-US" w:eastAsia="zh-CN"/>
            </w:rPr>
            <w:fldChar w:fldCharType="end"/>
          </w:r>
        </w:p>
        <w:p>
          <w:pPr>
            <w:pStyle w:val="7"/>
            <w:tabs>
              <w:tab w:val="right" w:leader="dot" w:pos="8300"/>
            </w:tabs>
            <w:rPr>
              <w:sz w:val="28"/>
              <w:szCs w:val="28"/>
            </w:rPr>
          </w:pPr>
          <w:r>
            <w:rPr>
              <w:rFonts w:hint="eastAsia" w:ascii="方正小标宋简体" w:hAnsi="方正小标宋简体" w:eastAsia="方正小标宋简体" w:cs="方正小标宋简体"/>
              <w:sz w:val="28"/>
              <w:szCs w:val="28"/>
              <w:lang w:val="en-US" w:eastAsia="zh-CN"/>
            </w:rPr>
            <w:fldChar w:fldCharType="begin"/>
          </w:r>
          <w:r>
            <w:rPr>
              <w:rFonts w:hint="eastAsia" w:ascii="方正小标宋简体" w:hAnsi="方正小标宋简体" w:eastAsia="方正小标宋简体" w:cs="方正小标宋简体"/>
              <w:sz w:val="28"/>
              <w:szCs w:val="28"/>
              <w:lang w:val="en-US" w:eastAsia="zh-CN"/>
            </w:rPr>
            <w:instrText xml:space="preserve"> HYPERLINK \l _Toc30711 </w:instrText>
          </w:r>
          <w:r>
            <w:rPr>
              <w:rFonts w:hint="eastAsia" w:ascii="方正小标宋简体" w:hAnsi="方正小标宋简体" w:eastAsia="方正小标宋简体" w:cs="方正小标宋简体"/>
              <w:sz w:val="28"/>
              <w:szCs w:val="28"/>
              <w:lang w:val="en-US" w:eastAsia="zh-CN"/>
            </w:rPr>
            <w:fldChar w:fldCharType="separate"/>
          </w:r>
          <w:r>
            <w:rPr>
              <w:rFonts w:hint="eastAsia" w:ascii="宋体" w:hAnsi="宋体" w:cs="宋体"/>
              <w:sz w:val="28"/>
              <w:szCs w:val="28"/>
              <w:lang w:val="en-US" w:eastAsia="zh-CN"/>
            </w:rPr>
            <w:t>五</w:t>
          </w:r>
          <w:r>
            <w:rPr>
              <w:rFonts w:hint="eastAsia" w:ascii="宋体" w:hAnsi="宋体" w:eastAsia="宋体" w:cs="宋体"/>
              <w:sz w:val="28"/>
              <w:szCs w:val="28"/>
              <w:lang w:val="en-US" w:eastAsia="zh-CN"/>
            </w:rPr>
            <w:t>、小型微利企业年应纳税所得额不超过100万元的部分企业所得税政策</w:t>
          </w:r>
          <w:r>
            <w:rPr>
              <w:sz w:val="28"/>
              <w:szCs w:val="28"/>
            </w:rPr>
            <w:tab/>
          </w:r>
          <w:r>
            <w:rPr>
              <w:sz w:val="28"/>
              <w:szCs w:val="28"/>
            </w:rPr>
            <w:fldChar w:fldCharType="begin"/>
          </w:r>
          <w:r>
            <w:rPr>
              <w:sz w:val="28"/>
              <w:szCs w:val="28"/>
            </w:rPr>
            <w:instrText xml:space="preserve"> PAGEREF _Toc30711 \h </w:instrText>
          </w:r>
          <w:r>
            <w:rPr>
              <w:sz w:val="28"/>
              <w:szCs w:val="28"/>
            </w:rPr>
            <w:fldChar w:fldCharType="separate"/>
          </w:r>
          <w:r>
            <w:rPr>
              <w:sz w:val="28"/>
              <w:szCs w:val="28"/>
            </w:rPr>
            <w:t>11</w:t>
          </w:r>
          <w:r>
            <w:rPr>
              <w:sz w:val="28"/>
              <w:szCs w:val="28"/>
            </w:rPr>
            <w:fldChar w:fldCharType="end"/>
          </w:r>
          <w:r>
            <w:rPr>
              <w:rFonts w:hint="eastAsia" w:ascii="方正小标宋简体" w:hAnsi="方正小标宋简体" w:eastAsia="方正小标宋简体" w:cs="方正小标宋简体"/>
              <w:sz w:val="28"/>
              <w:szCs w:val="28"/>
              <w:lang w:val="en-US" w:eastAsia="zh-CN"/>
            </w:rPr>
            <w:fldChar w:fldCharType="end"/>
          </w:r>
        </w:p>
        <w:p>
          <w:pPr>
            <w:pStyle w:val="7"/>
            <w:tabs>
              <w:tab w:val="right" w:leader="dot" w:pos="8300"/>
            </w:tabs>
            <w:rPr>
              <w:sz w:val="28"/>
              <w:szCs w:val="28"/>
            </w:rPr>
          </w:pPr>
          <w:r>
            <w:rPr>
              <w:rFonts w:hint="eastAsia" w:ascii="方正小标宋简体" w:hAnsi="方正小标宋简体" w:eastAsia="方正小标宋简体" w:cs="方正小标宋简体"/>
              <w:sz w:val="28"/>
              <w:szCs w:val="28"/>
              <w:lang w:val="en-US" w:eastAsia="zh-CN"/>
            </w:rPr>
            <w:fldChar w:fldCharType="begin"/>
          </w:r>
          <w:r>
            <w:rPr>
              <w:rFonts w:hint="eastAsia" w:ascii="方正小标宋简体" w:hAnsi="方正小标宋简体" w:eastAsia="方正小标宋简体" w:cs="方正小标宋简体"/>
              <w:sz w:val="28"/>
              <w:szCs w:val="28"/>
              <w:lang w:val="en-US" w:eastAsia="zh-CN"/>
            </w:rPr>
            <w:instrText xml:space="preserve"> HYPERLINK \l _Toc6272 </w:instrText>
          </w:r>
          <w:r>
            <w:rPr>
              <w:rFonts w:hint="eastAsia" w:ascii="方正小标宋简体" w:hAnsi="方正小标宋简体" w:eastAsia="方正小标宋简体" w:cs="方正小标宋简体"/>
              <w:sz w:val="28"/>
              <w:szCs w:val="28"/>
              <w:lang w:val="en-US" w:eastAsia="zh-CN"/>
            </w:rPr>
            <w:fldChar w:fldCharType="separate"/>
          </w:r>
          <w:r>
            <w:rPr>
              <w:rFonts w:hint="eastAsia" w:ascii="宋体" w:hAnsi="宋体" w:cs="宋体"/>
              <w:sz w:val="28"/>
              <w:szCs w:val="28"/>
              <w:lang w:val="en-US" w:eastAsia="zh-CN"/>
            </w:rPr>
            <w:t>六</w:t>
          </w:r>
          <w:r>
            <w:rPr>
              <w:rFonts w:hint="eastAsia" w:ascii="宋体" w:hAnsi="宋体" w:eastAsia="宋体" w:cs="宋体"/>
              <w:sz w:val="28"/>
              <w:szCs w:val="28"/>
              <w:lang w:val="en-US" w:eastAsia="zh-CN"/>
            </w:rPr>
            <w:t>、企业研发费用税前加计扣除政策</w:t>
          </w:r>
          <w:r>
            <w:rPr>
              <w:sz w:val="28"/>
              <w:szCs w:val="28"/>
            </w:rPr>
            <w:tab/>
          </w:r>
          <w:r>
            <w:rPr>
              <w:sz w:val="28"/>
              <w:szCs w:val="28"/>
            </w:rPr>
            <w:fldChar w:fldCharType="begin"/>
          </w:r>
          <w:r>
            <w:rPr>
              <w:sz w:val="28"/>
              <w:szCs w:val="28"/>
            </w:rPr>
            <w:instrText xml:space="preserve"> PAGEREF _Toc6272 \h </w:instrText>
          </w:r>
          <w:r>
            <w:rPr>
              <w:sz w:val="28"/>
              <w:szCs w:val="28"/>
            </w:rPr>
            <w:fldChar w:fldCharType="separate"/>
          </w:r>
          <w:r>
            <w:rPr>
              <w:sz w:val="28"/>
              <w:szCs w:val="28"/>
            </w:rPr>
            <w:t>12</w:t>
          </w:r>
          <w:r>
            <w:rPr>
              <w:sz w:val="28"/>
              <w:szCs w:val="28"/>
            </w:rPr>
            <w:fldChar w:fldCharType="end"/>
          </w:r>
          <w:r>
            <w:rPr>
              <w:rFonts w:hint="eastAsia" w:ascii="方正小标宋简体" w:hAnsi="方正小标宋简体" w:eastAsia="方正小标宋简体" w:cs="方正小标宋简体"/>
              <w:sz w:val="28"/>
              <w:szCs w:val="28"/>
              <w:lang w:val="en-US" w:eastAsia="zh-CN"/>
            </w:rPr>
            <w:fldChar w:fldCharType="end"/>
          </w:r>
        </w:p>
        <w:p>
          <w:pPr>
            <w:pStyle w:val="7"/>
            <w:tabs>
              <w:tab w:val="right" w:leader="dot" w:pos="8300"/>
            </w:tabs>
            <w:rPr>
              <w:sz w:val="28"/>
              <w:szCs w:val="28"/>
            </w:rPr>
          </w:pPr>
          <w:r>
            <w:rPr>
              <w:rFonts w:hint="eastAsia" w:ascii="方正小标宋简体" w:hAnsi="方正小标宋简体" w:eastAsia="方正小标宋简体" w:cs="方正小标宋简体"/>
              <w:sz w:val="28"/>
              <w:szCs w:val="28"/>
              <w:lang w:val="en-US" w:eastAsia="zh-CN"/>
            </w:rPr>
            <w:fldChar w:fldCharType="begin"/>
          </w:r>
          <w:r>
            <w:rPr>
              <w:rFonts w:hint="eastAsia" w:ascii="方正小标宋简体" w:hAnsi="方正小标宋简体" w:eastAsia="方正小标宋简体" w:cs="方正小标宋简体"/>
              <w:sz w:val="28"/>
              <w:szCs w:val="28"/>
              <w:lang w:val="en-US" w:eastAsia="zh-CN"/>
            </w:rPr>
            <w:instrText xml:space="preserve"> HYPERLINK \l _Toc25623 </w:instrText>
          </w:r>
          <w:r>
            <w:rPr>
              <w:rFonts w:hint="eastAsia" w:ascii="方正小标宋简体" w:hAnsi="方正小标宋简体" w:eastAsia="方正小标宋简体" w:cs="方正小标宋简体"/>
              <w:sz w:val="28"/>
              <w:szCs w:val="28"/>
              <w:lang w:val="en-US" w:eastAsia="zh-CN"/>
            </w:rPr>
            <w:fldChar w:fldCharType="separate"/>
          </w:r>
          <w:r>
            <w:rPr>
              <w:rFonts w:hint="eastAsia" w:ascii="宋体" w:hAnsi="宋体" w:cs="宋体"/>
              <w:sz w:val="28"/>
              <w:szCs w:val="28"/>
              <w:lang w:val="en-US" w:eastAsia="zh-CN"/>
            </w:rPr>
            <w:t>七</w:t>
          </w:r>
          <w:r>
            <w:rPr>
              <w:rFonts w:hint="eastAsia" w:ascii="宋体" w:hAnsi="宋体" w:eastAsia="宋体" w:cs="宋体"/>
              <w:sz w:val="28"/>
              <w:szCs w:val="28"/>
              <w:lang w:val="en-US" w:eastAsia="zh-CN"/>
            </w:rPr>
            <w:t>、居民个人取得上市公司股权激励单独计税优惠政策</w:t>
          </w:r>
          <w:r>
            <w:rPr>
              <w:sz w:val="28"/>
              <w:szCs w:val="28"/>
            </w:rPr>
            <w:tab/>
          </w:r>
          <w:r>
            <w:rPr>
              <w:sz w:val="28"/>
              <w:szCs w:val="28"/>
            </w:rPr>
            <w:fldChar w:fldCharType="begin"/>
          </w:r>
          <w:r>
            <w:rPr>
              <w:sz w:val="28"/>
              <w:szCs w:val="28"/>
            </w:rPr>
            <w:instrText xml:space="preserve"> PAGEREF _Toc25623 \h </w:instrText>
          </w:r>
          <w:r>
            <w:rPr>
              <w:sz w:val="28"/>
              <w:szCs w:val="28"/>
            </w:rPr>
            <w:fldChar w:fldCharType="separate"/>
          </w:r>
          <w:r>
            <w:rPr>
              <w:sz w:val="28"/>
              <w:szCs w:val="28"/>
            </w:rPr>
            <w:t>14</w:t>
          </w:r>
          <w:r>
            <w:rPr>
              <w:sz w:val="28"/>
              <w:szCs w:val="28"/>
            </w:rPr>
            <w:fldChar w:fldCharType="end"/>
          </w:r>
          <w:r>
            <w:rPr>
              <w:rFonts w:hint="eastAsia" w:ascii="方正小标宋简体" w:hAnsi="方正小标宋简体" w:eastAsia="方正小标宋简体" w:cs="方正小标宋简体"/>
              <w:sz w:val="28"/>
              <w:szCs w:val="28"/>
              <w:lang w:val="en-US" w:eastAsia="zh-CN"/>
            </w:rPr>
            <w:fldChar w:fldCharType="end"/>
          </w:r>
        </w:p>
        <w:p>
          <w:pPr>
            <w:pStyle w:val="7"/>
            <w:tabs>
              <w:tab w:val="right" w:leader="dot" w:pos="8300"/>
            </w:tabs>
            <w:rPr>
              <w:sz w:val="28"/>
              <w:szCs w:val="28"/>
            </w:rPr>
          </w:pPr>
          <w:r>
            <w:rPr>
              <w:rFonts w:hint="eastAsia" w:ascii="方正小标宋简体" w:hAnsi="方正小标宋简体" w:eastAsia="方正小标宋简体" w:cs="方正小标宋简体"/>
              <w:sz w:val="28"/>
              <w:szCs w:val="28"/>
              <w:lang w:val="en-US" w:eastAsia="zh-CN"/>
            </w:rPr>
            <w:fldChar w:fldCharType="begin"/>
          </w:r>
          <w:r>
            <w:rPr>
              <w:rFonts w:hint="eastAsia" w:ascii="方正小标宋简体" w:hAnsi="方正小标宋简体" w:eastAsia="方正小标宋简体" w:cs="方正小标宋简体"/>
              <w:sz w:val="28"/>
              <w:szCs w:val="28"/>
              <w:lang w:val="en-US" w:eastAsia="zh-CN"/>
            </w:rPr>
            <w:instrText xml:space="preserve"> HYPERLINK \l _Toc9454 </w:instrText>
          </w:r>
          <w:r>
            <w:rPr>
              <w:rFonts w:hint="eastAsia" w:ascii="方正小标宋简体" w:hAnsi="方正小标宋简体" w:eastAsia="方正小标宋简体" w:cs="方正小标宋简体"/>
              <w:sz w:val="28"/>
              <w:szCs w:val="28"/>
              <w:lang w:val="en-US" w:eastAsia="zh-CN"/>
            </w:rPr>
            <w:fldChar w:fldCharType="separate"/>
          </w:r>
          <w:r>
            <w:rPr>
              <w:rFonts w:hint="eastAsia" w:ascii="宋体" w:hAnsi="宋体" w:cs="宋体"/>
              <w:sz w:val="28"/>
              <w:szCs w:val="28"/>
              <w:lang w:val="en-US" w:eastAsia="zh-CN"/>
            </w:rPr>
            <w:t>八</w:t>
          </w:r>
          <w:r>
            <w:rPr>
              <w:rFonts w:hint="eastAsia" w:ascii="宋体" w:hAnsi="宋体" w:eastAsia="宋体" w:cs="宋体"/>
              <w:sz w:val="28"/>
              <w:szCs w:val="28"/>
              <w:lang w:val="en-US" w:eastAsia="zh-CN"/>
            </w:rPr>
            <w:t>、沪港、深港股票市场交易互联互通机制和内地与香港基金互认有关个人所得税优惠政策</w:t>
          </w:r>
          <w:r>
            <w:rPr>
              <w:sz w:val="28"/>
              <w:szCs w:val="28"/>
            </w:rPr>
            <w:tab/>
          </w:r>
          <w:r>
            <w:rPr>
              <w:sz w:val="28"/>
              <w:szCs w:val="28"/>
            </w:rPr>
            <w:fldChar w:fldCharType="begin"/>
          </w:r>
          <w:r>
            <w:rPr>
              <w:sz w:val="28"/>
              <w:szCs w:val="28"/>
            </w:rPr>
            <w:instrText xml:space="preserve"> PAGEREF _Toc9454 \h </w:instrText>
          </w:r>
          <w:r>
            <w:rPr>
              <w:sz w:val="28"/>
              <w:szCs w:val="28"/>
            </w:rPr>
            <w:fldChar w:fldCharType="separate"/>
          </w:r>
          <w:r>
            <w:rPr>
              <w:sz w:val="28"/>
              <w:szCs w:val="28"/>
            </w:rPr>
            <w:t>16</w:t>
          </w:r>
          <w:r>
            <w:rPr>
              <w:sz w:val="28"/>
              <w:szCs w:val="28"/>
            </w:rPr>
            <w:fldChar w:fldCharType="end"/>
          </w:r>
          <w:r>
            <w:rPr>
              <w:rFonts w:hint="eastAsia" w:ascii="方正小标宋简体" w:hAnsi="方正小标宋简体" w:eastAsia="方正小标宋简体" w:cs="方正小标宋简体"/>
              <w:sz w:val="28"/>
              <w:szCs w:val="28"/>
              <w:lang w:val="en-US" w:eastAsia="zh-CN"/>
            </w:rPr>
            <w:fldChar w:fldCharType="end"/>
          </w:r>
        </w:p>
        <w:p>
          <w:pPr>
            <w:pStyle w:val="7"/>
            <w:tabs>
              <w:tab w:val="right" w:leader="dot" w:pos="8300"/>
            </w:tabs>
            <w:rPr>
              <w:sz w:val="28"/>
              <w:szCs w:val="28"/>
            </w:rPr>
          </w:pPr>
          <w:r>
            <w:rPr>
              <w:rFonts w:hint="eastAsia" w:ascii="方正小标宋简体" w:hAnsi="方正小标宋简体" w:eastAsia="方正小标宋简体" w:cs="方正小标宋简体"/>
              <w:sz w:val="28"/>
              <w:szCs w:val="28"/>
              <w:lang w:val="en-US" w:eastAsia="zh-CN"/>
            </w:rPr>
            <w:fldChar w:fldCharType="begin"/>
          </w:r>
          <w:r>
            <w:rPr>
              <w:rFonts w:hint="eastAsia" w:ascii="方正小标宋简体" w:hAnsi="方正小标宋简体" w:eastAsia="方正小标宋简体" w:cs="方正小标宋简体"/>
              <w:sz w:val="28"/>
              <w:szCs w:val="28"/>
              <w:lang w:val="en-US" w:eastAsia="zh-CN"/>
            </w:rPr>
            <w:instrText xml:space="preserve"> HYPERLINK \l _Toc13826 </w:instrText>
          </w:r>
          <w:r>
            <w:rPr>
              <w:rFonts w:hint="eastAsia" w:ascii="方正小标宋简体" w:hAnsi="方正小标宋简体" w:eastAsia="方正小标宋简体" w:cs="方正小标宋简体"/>
              <w:sz w:val="28"/>
              <w:szCs w:val="28"/>
              <w:lang w:val="en-US" w:eastAsia="zh-CN"/>
            </w:rPr>
            <w:fldChar w:fldCharType="separate"/>
          </w:r>
          <w:r>
            <w:rPr>
              <w:rFonts w:hint="eastAsia" w:ascii="宋体" w:hAnsi="宋体" w:cs="宋体"/>
              <w:kern w:val="2"/>
              <w:sz w:val="28"/>
              <w:szCs w:val="28"/>
              <w:lang w:val="en-US" w:eastAsia="zh-CN" w:bidi="ar-SA"/>
            </w:rPr>
            <w:t>九</w:t>
          </w:r>
          <w:r>
            <w:rPr>
              <w:rFonts w:hint="eastAsia" w:ascii="宋体" w:hAnsi="宋体" w:eastAsia="宋体" w:cs="宋体"/>
              <w:kern w:val="2"/>
              <w:sz w:val="28"/>
              <w:szCs w:val="28"/>
              <w:lang w:val="en-US" w:eastAsia="zh-CN" w:bidi="ar-SA"/>
            </w:rPr>
            <w:t>、个体工商户年应纳税所得额不超过100万元的部分个人所得税政策</w:t>
          </w:r>
          <w:r>
            <w:rPr>
              <w:sz w:val="28"/>
              <w:szCs w:val="28"/>
            </w:rPr>
            <w:tab/>
          </w:r>
          <w:r>
            <w:rPr>
              <w:sz w:val="28"/>
              <w:szCs w:val="28"/>
            </w:rPr>
            <w:fldChar w:fldCharType="begin"/>
          </w:r>
          <w:r>
            <w:rPr>
              <w:sz w:val="28"/>
              <w:szCs w:val="28"/>
            </w:rPr>
            <w:instrText xml:space="preserve"> PAGEREF _Toc13826 \h </w:instrText>
          </w:r>
          <w:r>
            <w:rPr>
              <w:sz w:val="28"/>
              <w:szCs w:val="28"/>
            </w:rPr>
            <w:fldChar w:fldCharType="separate"/>
          </w:r>
          <w:r>
            <w:rPr>
              <w:sz w:val="28"/>
              <w:szCs w:val="28"/>
            </w:rPr>
            <w:t>17</w:t>
          </w:r>
          <w:r>
            <w:rPr>
              <w:sz w:val="28"/>
              <w:szCs w:val="28"/>
            </w:rPr>
            <w:fldChar w:fldCharType="end"/>
          </w:r>
          <w:r>
            <w:rPr>
              <w:rFonts w:hint="eastAsia" w:ascii="方正小标宋简体" w:hAnsi="方正小标宋简体" w:eastAsia="方正小标宋简体" w:cs="方正小标宋简体"/>
              <w:sz w:val="28"/>
              <w:szCs w:val="28"/>
              <w:lang w:val="en-US" w:eastAsia="zh-CN"/>
            </w:rPr>
            <w:fldChar w:fldCharType="end"/>
          </w:r>
        </w:p>
        <w:p>
          <w:pPr>
            <w:pStyle w:val="7"/>
            <w:tabs>
              <w:tab w:val="right" w:leader="dot" w:pos="8300"/>
            </w:tabs>
            <w:rPr>
              <w:sz w:val="28"/>
              <w:szCs w:val="28"/>
            </w:rPr>
          </w:pPr>
          <w:r>
            <w:rPr>
              <w:rFonts w:hint="eastAsia" w:ascii="方正小标宋简体" w:hAnsi="方正小标宋简体" w:eastAsia="方正小标宋简体" w:cs="方正小标宋简体"/>
              <w:sz w:val="28"/>
              <w:szCs w:val="28"/>
              <w:lang w:val="en-US" w:eastAsia="zh-CN"/>
            </w:rPr>
            <w:fldChar w:fldCharType="begin"/>
          </w:r>
          <w:r>
            <w:rPr>
              <w:rFonts w:hint="eastAsia" w:ascii="方正小标宋简体" w:hAnsi="方正小标宋简体" w:eastAsia="方正小标宋简体" w:cs="方正小标宋简体"/>
              <w:sz w:val="28"/>
              <w:szCs w:val="28"/>
              <w:lang w:val="en-US" w:eastAsia="zh-CN"/>
            </w:rPr>
            <w:instrText xml:space="preserve"> HYPERLINK \l _Toc3244 </w:instrText>
          </w:r>
          <w:r>
            <w:rPr>
              <w:rFonts w:hint="eastAsia" w:ascii="方正小标宋简体" w:hAnsi="方正小标宋简体" w:eastAsia="方正小标宋简体" w:cs="方正小标宋简体"/>
              <w:sz w:val="28"/>
              <w:szCs w:val="28"/>
              <w:lang w:val="en-US" w:eastAsia="zh-CN"/>
            </w:rPr>
            <w:fldChar w:fldCharType="separate"/>
          </w:r>
          <w:r>
            <w:rPr>
              <w:rFonts w:hint="eastAsia" w:ascii="宋体" w:hAnsi="宋体" w:cs="宋体"/>
              <w:kern w:val="2"/>
              <w:sz w:val="28"/>
              <w:szCs w:val="28"/>
              <w:lang w:val="en-US" w:eastAsia="zh-CN" w:bidi="ar-SA"/>
            </w:rPr>
            <w:t>十</w:t>
          </w:r>
          <w:r>
            <w:rPr>
              <w:rFonts w:hint="eastAsia" w:ascii="宋体" w:hAnsi="宋体" w:eastAsia="宋体" w:cs="宋体"/>
              <w:kern w:val="2"/>
              <w:sz w:val="28"/>
              <w:szCs w:val="28"/>
              <w:lang w:val="en-US" w:eastAsia="zh-CN" w:bidi="ar-SA"/>
            </w:rPr>
            <w:t>、物流企业大宗商品仓储设施用地城镇土地使用税优惠政策</w:t>
          </w:r>
          <w:r>
            <w:rPr>
              <w:sz w:val="28"/>
              <w:szCs w:val="28"/>
            </w:rPr>
            <w:tab/>
          </w:r>
          <w:r>
            <w:rPr>
              <w:sz w:val="28"/>
              <w:szCs w:val="28"/>
            </w:rPr>
            <w:fldChar w:fldCharType="begin"/>
          </w:r>
          <w:r>
            <w:rPr>
              <w:sz w:val="28"/>
              <w:szCs w:val="28"/>
            </w:rPr>
            <w:instrText xml:space="preserve"> PAGEREF _Toc3244 \h </w:instrText>
          </w:r>
          <w:r>
            <w:rPr>
              <w:sz w:val="28"/>
              <w:szCs w:val="28"/>
            </w:rPr>
            <w:fldChar w:fldCharType="separate"/>
          </w:r>
          <w:r>
            <w:rPr>
              <w:sz w:val="28"/>
              <w:szCs w:val="28"/>
            </w:rPr>
            <w:t>18</w:t>
          </w:r>
          <w:r>
            <w:rPr>
              <w:sz w:val="28"/>
              <w:szCs w:val="28"/>
            </w:rPr>
            <w:fldChar w:fldCharType="end"/>
          </w:r>
          <w:r>
            <w:rPr>
              <w:rFonts w:hint="eastAsia" w:ascii="方正小标宋简体" w:hAnsi="方正小标宋简体" w:eastAsia="方正小标宋简体" w:cs="方正小标宋简体"/>
              <w:sz w:val="28"/>
              <w:szCs w:val="28"/>
              <w:lang w:val="en-US" w:eastAsia="zh-CN"/>
            </w:rPr>
            <w:fldChar w:fldCharType="end"/>
          </w:r>
        </w:p>
        <w:p>
          <w:pPr>
            <w:pStyle w:val="7"/>
            <w:tabs>
              <w:tab w:val="right" w:leader="dot" w:pos="8300"/>
            </w:tabs>
            <w:rPr>
              <w:sz w:val="28"/>
              <w:szCs w:val="28"/>
            </w:rPr>
          </w:pPr>
          <w:r>
            <w:rPr>
              <w:rFonts w:hint="eastAsia" w:ascii="方正小标宋简体" w:hAnsi="方正小标宋简体" w:eastAsia="方正小标宋简体" w:cs="方正小标宋简体"/>
              <w:sz w:val="28"/>
              <w:szCs w:val="28"/>
              <w:lang w:val="en-US" w:eastAsia="zh-CN"/>
            </w:rPr>
            <w:fldChar w:fldCharType="begin"/>
          </w:r>
          <w:r>
            <w:rPr>
              <w:rFonts w:hint="eastAsia" w:ascii="方正小标宋简体" w:hAnsi="方正小标宋简体" w:eastAsia="方正小标宋简体" w:cs="方正小标宋简体"/>
              <w:sz w:val="28"/>
              <w:szCs w:val="28"/>
              <w:lang w:val="en-US" w:eastAsia="zh-CN"/>
            </w:rPr>
            <w:instrText xml:space="preserve"> HYPERLINK \l _Toc7411 </w:instrText>
          </w:r>
          <w:r>
            <w:rPr>
              <w:rFonts w:hint="eastAsia" w:ascii="方正小标宋简体" w:hAnsi="方正小标宋简体" w:eastAsia="方正小标宋简体" w:cs="方正小标宋简体"/>
              <w:sz w:val="28"/>
              <w:szCs w:val="28"/>
              <w:lang w:val="en-US" w:eastAsia="zh-CN"/>
            </w:rPr>
            <w:fldChar w:fldCharType="separate"/>
          </w:r>
          <w:r>
            <w:rPr>
              <w:rFonts w:hint="eastAsia" w:ascii="宋体" w:hAnsi="宋体" w:cs="宋体"/>
              <w:sz w:val="28"/>
              <w:szCs w:val="28"/>
              <w:lang w:val="en-US" w:eastAsia="zh-CN"/>
            </w:rPr>
            <w:t>十一</w:t>
          </w:r>
          <w:r>
            <w:rPr>
              <w:rFonts w:hint="eastAsia" w:ascii="宋体" w:hAnsi="宋体" w:eastAsia="宋体" w:cs="宋体"/>
              <w:sz w:val="28"/>
              <w:szCs w:val="28"/>
              <w:lang w:val="en-US" w:eastAsia="zh-CN"/>
            </w:rPr>
            <w:t>、残疾人就业保障金优惠政策</w:t>
          </w:r>
          <w:r>
            <w:rPr>
              <w:sz w:val="28"/>
              <w:szCs w:val="28"/>
            </w:rPr>
            <w:tab/>
          </w:r>
          <w:r>
            <w:rPr>
              <w:sz w:val="28"/>
              <w:szCs w:val="28"/>
            </w:rPr>
            <w:fldChar w:fldCharType="begin"/>
          </w:r>
          <w:r>
            <w:rPr>
              <w:sz w:val="28"/>
              <w:szCs w:val="28"/>
            </w:rPr>
            <w:instrText xml:space="preserve"> PAGEREF _Toc7411 \h </w:instrText>
          </w:r>
          <w:r>
            <w:rPr>
              <w:sz w:val="28"/>
              <w:szCs w:val="28"/>
            </w:rPr>
            <w:fldChar w:fldCharType="separate"/>
          </w:r>
          <w:r>
            <w:rPr>
              <w:sz w:val="28"/>
              <w:szCs w:val="28"/>
            </w:rPr>
            <w:t>20</w:t>
          </w:r>
          <w:r>
            <w:rPr>
              <w:sz w:val="28"/>
              <w:szCs w:val="28"/>
            </w:rPr>
            <w:fldChar w:fldCharType="end"/>
          </w:r>
          <w:r>
            <w:rPr>
              <w:rFonts w:hint="eastAsia" w:ascii="方正小标宋简体" w:hAnsi="方正小标宋简体" w:eastAsia="方正小标宋简体" w:cs="方正小标宋简体"/>
              <w:sz w:val="28"/>
              <w:szCs w:val="28"/>
              <w:lang w:val="en-US" w:eastAsia="zh-CN"/>
            </w:rPr>
            <w:fldChar w:fldCharType="end"/>
          </w:r>
        </w:p>
        <w:p>
          <w:pPr>
            <w:pStyle w:val="7"/>
            <w:tabs>
              <w:tab w:val="right" w:leader="dot" w:pos="8300"/>
            </w:tabs>
            <w:rPr>
              <w:sz w:val="28"/>
              <w:szCs w:val="28"/>
            </w:rPr>
          </w:pPr>
          <w:r>
            <w:rPr>
              <w:rFonts w:hint="eastAsia" w:ascii="方正小标宋简体" w:hAnsi="方正小标宋简体" w:eastAsia="方正小标宋简体" w:cs="方正小标宋简体"/>
              <w:sz w:val="28"/>
              <w:szCs w:val="28"/>
              <w:lang w:val="en-US" w:eastAsia="zh-CN"/>
            </w:rPr>
            <w:fldChar w:fldCharType="begin"/>
          </w:r>
          <w:r>
            <w:rPr>
              <w:rFonts w:hint="eastAsia" w:ascii="方正小标宋简体" w:hAnsi="方正小标宋简体" w:eastAsia="方正小标宋简体" w:cs="方正小标宋简体"/>
              <w:sz w:val="28"/>
              <w:szCs w:val="28"/>
              <w:lang w:val="en-US" w:eastAsia="zh-CN"/>
            </w:rPr>
            <w:instrText xml:space="preserve"> HYPERLINK \l _Toc22910 </w:instrText>
          </w:r>
          <w:r>
            <w:rPr>
              <w:rFonts w:hint="eastAsia" w:ascii="方正小标宋简体" w:hAnsi="方正小标宋简体" w:eastAsia="方正小标宋简体" w:cs="方正小标宋简体"/>
              <w:sz w:val="28"/>
              <w:szCs w:val="28"/>
              <w:lang w:val="en-US" w:eastAsia="zh-CN"/>
            </w:rPr>
            <w:fldChar w:fldCharType="separate"/>
          </w:r>
          <w:r>
            <w:rPr>
              <w:rFonts w:hint="eastAsia" w:ascii="宋体" w:hAnsi="宋体" w:cs="宋体"/>
              <w:kern w:val="2"/>
              <w:sz w:val="28"/>
              <w:szCs w:val="28"/>
              <w:lang w:val="en-US" w:eastAsia="zh-CN" w:bidi="ar-SA"/>
            </w:rPr>
            <w:t>十二</w:t>
          </w:r>
          <w:r>
            <w:rPr>
              <w:rFonts w:hint="eastAsia" w:ascii="宋体" w:hAnsi="宋体" w:eastAsia="宋体" w:cs="宋体"/>
              <w:kern w:val="2"/>
              <w:sz w:val="28"/>
              <w:szCs w:val="28"/>
              <w:lang w:val="en-US" w:eastAsia="zh-CN" w:bidi="ar-SA"/>
            </w:rPr>
            <w:t>、</w:t>
          </w:r>
          <w:r>
            <w:rPr>
              <w:rFonts w:hint="default" w:ascii="宋体" w:hAnsi="宋体" w:eastAsia="宋体" w:cs="宋体"/>
              <w:kern w:val="2"/>
              <w:sz w:val="28"/>
              <w:szCs w:val="28"/>
              <w:lang w:val="en-US" w:eastAsia="zh-CN" w:bidi="ar-SA"/>
            </w:rPr>
            <w:t>阶段性降低失业保险</w:t>
          </w:r>
          <w:r>
            <w:rPr>
              <w:rFonts w:hint="eastAsia" w:ascii="宋体" w:hAnsi="宋体" w:cs="宋体"/>
              <w:kern w:val="2"/>
              <w:sz w:val="28"/>
              <w:szCs w:val="28"/>
              <w:lang w:val="en-US" w:eastAsia="zh-CN" w:bidi="ar-SA"/>
            </w:rPr>
            <w:t>、工伤保险</w:t>
          </w:r>
          <w:r>
            <w:rPr>
              <w:rFonts w:hint="default" w:ascii="宋体" w:hAnsi="宋体" w:eastAsia="宋体" w:cs="宋体"/>
              <w:kern w:val="2"/>
              <w:sz w:val="28"/>
              <w:szCs w:val="28"/>
              <w:lang w:val="en-US" w:eastAsia="zh-CN" w:bidi="ar-SA"/>
            </w:rPr>
            <w:t>费率政策</w:t>
          </w:r>
          <w:r>
            <w:rPr>
              <w:sz w:val="28"/>
              <w:szCs w:val="28"/>
            </w:rPr>
            <w:tab/>
          </w:r>
          <w:r>
            <w:rPr>
              <w:sz w:val="28"/>
              <w:szCs w:val="28"/>
            </w:rPr>
            <w:fldChar w:fldCharType="begin"/>
          </w:r>
          <w:r>
            <w:rPr>
              <w:sz w:val="28"/>
              <w:szCs w:val="28"/>
            </w:rPr>
            <w:instrText xml:space="preserve"> PAGEREF _Toc22910 \h </w:instrText>
          </w:r>
          <w:r>
            <w:rPr>
              <w:sz w:val="28"/>
              <w:szCs w:val="28"/>
            </w:rPr>
            <w:fldChar w:fldCharType="separate"/>
          </w:r>
          <w:r>
            <w:rPr>
              <w:sz w:val="28"/>
              <w:szCs w:val="28"/>
            </w:rPr>
            <w:t>22</w:t>
          </w:r>
          <w:r>
            <w:rPr>
              <w:sz w:val="28"/>
              <w:szCs w:val="28"/>
            </w:rPr>
            <w:fldChar w:fldCharType="end"/>
          </w:r>
          <w:r>
            <w:rPr>
              <w:rFonts w:hint="eastAsia" w:ascii="方正小标宋简体" w:hAnsi="方正小标宋简体" w:eastAsia="方正小标宋简体" w:cs="方正小标宋简体"/>
              <w:sz w:val="28"/>
              <w:szCs w:val="28"/>
              <w:lang w:val="en-US" w:eastAsia="zh-CN"/>
            </w:rPr>
            <w:fldChar w:fldCharType="end"/>
          </w:r>
        </w:p>
        <w:p>
          <w:pPr>
            <w:pStyle w:val="7"/>
            <w:tabs>
              <w:tab w:val="right" w:leader="dot" w:pos="8306"/>
            </w:tabs>
            <w:rPr>
              <w:rFonts w:hint="eastAsia" w:ascii="方正小标宋简体" w:hAnsi="方正小标宋简体" w:eastAsia="方正小标宋简体" w:cs="方正小标宋简体"/>
              <w:kern w:val="2"/>
              <w:sz w:val="28"/>
              <w:szCs w:val="28"/>
              <w:lang w:val="en-US" w:eastAsia="zh-CN" w:bidi="ar-SA"/>
            </w:rPr>
          </w:pPr>
          <w:r>
            <w:rPr>
              <w:rFonts w:hint="eastAsia" w:ascii="方正小标宋简体" w:hAnsi="方正小标宋简体" w:eastAsia="方正小标宋简体" w:cs="方正小标宋简体"/>
              <w:sz w:val="28"/>
              <w:szCs w:val="28"/>
              <w:lang w:val="en-US" w:eastAsia="zh-CN"/>
            </w:rPr>
            <w:fldChar w:fldCharType="end"/>
          </w:r>
          <w:bookmarkEnd w:id="0"/>
          <w:bookmarkEnd w:id="1"/>
          <w:bookmarkStart w:id="2" w:name="_Toc12913"/>
          <w:bookmarkStart w:id="3" w:name="_Toc22603"/>
          <w:bookmarkStart w:id="4" w:name="_Toc9426"/>
          <w:bookmarkStart w:id="5" w:name="_Toc29697"/>
          <w:bookmarkStart w:id="6" w:name="_Toc8135"/>
        </w:p>
      </w:sdtContent>
    </w:sdt>
    <w:p>
      <w:pPr>
        <w:jc w:val="both"/>
        <w:rPr>
          <w:rFonts w:hint="eastAsia" w:ascii="方正小标宋简体" w:hAnsi="方正小标宋简体" w:eastAsia="方正小标宋简体" w:cs="方正小标宋简体"/>
          <w:kern w:val="2"/>
          <w:sz w:val="28"/>
          <w:szCs w:val="28"/>
          <w:lang w:val="en-US" w:eastAsia="zh-CN" w:bidi="ar-SA"/>
        </w:rPr>
        <w:sectPr>
          <w:footerReference r:id="rId5" w:type="default"/>
          <w:pgSz w:w="11906" w:h="16838"/>
          <w:pgMar w:top="1440" w:right="1803" w:bottom="1440" w:left="1803" w:header="851" w:footer="992" w:gutter="0"/>
          <w:pgNumType w:fmt="decimal"/>
          <w:cols w:space="425" w:num="1"/>
          <w:docGrid w:type="lines" w:linePitch="312" w:charSpace="0"/>
        </w:sectPr>
      </w:pPr>
    </w:p>
    <w:p>
      <w:pPr>
        <w:pStyle w:val="4"/>
        <w:keepNext/>
        <w:keepLines/>
        <w:pageBreakBefore w:val="0"/>
        <w:widowControl w:val="0"/>
        <w:kinsoku/>
        <w:wordWrap/>
        <w:overflowPunct/>
        <w:topLinePunct w:val="0"/>
        <w:autoSpaceDE/>
        <w:autoSpaceDN/>
        <w:bidi w:val="0"/>
        <w:adjustRightInd/>
        <w:snapToGrid/>
        <w:spacing w:line="416" w:lineRule="auto"/>
        <w:textAlignment w:val="auto"/>
        <w:outlineLvl w:val="0"/>
        <w:rPr>
          <w:rFonts w:hint="eastAsia" w:ascii="宋体" w:hAnsi="宋体" w:eastAsia="宋体" w:cs="宋体"/>
          <w:sz w:val="32"/>
          <w:szCs w:val="32"/>
          <w:lang w:eastAsia="zh-CN"/>
        </w:rPr>
      </w:pPr>
      <w:bookmarkStart w:id="7" w:name="_Toc15239"/>
      <w:r>
        <w:rPr>
          <w:rFonts w:hint="eastAsia" w:ascii="宋体" w:hAnsi="宋体" w:eastAsia="宋体" w:cs="宋体"/>
          <w:sz w:val="32"/>
          <w:szCs w:val="32"/>
          <w:lang w:val="en-US" w:eastAsia="zh-CN"/>
        </w:rPr>
        <w:t>一、小规模纳税人</w:t>
      </w:r>
      <w:r>
        <w:rPr>
          <w:rFonts w:hint="eastAsia" w:ascii="宋体" w:hAnsi="宋体" w:eastAsia="宋体" w:cs="宋体"/>
          <w:sz w:val="32"/>
          <w:szCs w:val="32"/>
        </w:rPr>
        <w:t>月销售额10万元以下免征增值税政策</w:t>
      </w:r>
      <w:bookmarkEnd w:id="7"/>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【享受主体】</w:t>
      </w:r>
      <w:bookmarkEnd w:id="2"/>
      <w:bookmarkEnd w:id="3"/>
      <w:bookmarkEnd w:id="4"/>
      <w:bookmarkEnd w:id="5"/>
      <w:bookmarkEnd w:id="6"/>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bookmarkStart w:id="8" w:name="_Toc15164"/>
      <w:bookmarkStart w:id="9" w:name="_Toc602"/>
      <w:bookmarkStart w:id="10" w:name="_Toc1454"/>
      <w:bookmarkStart w:id="11" w:name="_Toc4979"/>
      <w:bookmarkStart w:id="12" w:name="_Toc20954"/>
      <w:r>
        <w:rPr>
          <w:rFonts w:hint="eastAsia" w:ascii="仿宋_GB2312" w:hAnsi="仿宋_GB2312" w:eastAsia="仿宋_GB2312" w:cs="仿宋_GB2312"/>
          <w:sz w:val="32"/>
          <w:szCs w:val="32"/>
          <w:lang w:val="en-US" w:eastAsia="zh-CN"/>
        </w:rPr>
        <w:t>增值税小规模纳税人</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【优惠内容】</w:t>
      </w:r>
      <w:bookmarkEnd w:id="8"/>
      <w:bookmarkEnd w:id="9"/>
      <w:bookmarkEnd w:id="10"/>
      <w:bookmarkEnd w:id="11"/>
      <w:bookmarkEnd w:id="12"/>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bookmarkStart w:id="13" w:name="_Toc7924"/>
      <w:bookmarkStart w:id="14" w:name="_Toc10674"/>
      <w:bookmarkStart w:id="15" w:name="_Toc4932"/>
      <w:bookmarkStart w:id="16" w:name="_Toc10024"/>
      <w:bookmarkStart w:id="17" w:name="_Toc21393"/>
      <w:r>
        <w:rPr>
          <w:rFonts w:hint="default" w:ascii="仿宋_GB2312" w:hAnsi="仿宋_GB2312" w:eastAsia="仿宋_GB2312" w:cs="仿宋_GB2312"/>
          <w:sz w:val="32"/>
          <w:szCs w:val="32"/>
          <w:lang w:val="en-US" w:eastAsia="zh-CN"/>
        </w:rPr>
        <w:t>自2023年1月1日至2023年12月31日</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对月销售额10万元以下（含本数）的增值税小规模纳税人</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免征增值税。</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w:t>
      </w:r>
      <w:r>
        <w:rPr>
          <w:rFonts w:hint="eastAsia" w:ascii="宋体" w:hAnsi="宋体" w:eastAsia="宋体" w:cs="宋体"/>
          <w:b/>
          <w:bCs/>
          <w:sz w:val="32"/>
          <w:szCs w:val="32"/>
          <w:lang w:val="en-US" w:eastAsia="zh-Hans"/>
        </w:rPr>
        <w:t>享受条件</w:t>
      </w:r>
      <w:r>
        <w:rPr>
          <w:rFonts w:hint="eastAsia" w:ascii="宋体" w:hAnsi="宋体" w:eastAsia="宋体" w:cs="宋体"/>
          <w:b/>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US" w:eastAsia="zh-CN"/>
        </w:rPr>
        <w:t>增值税小规模纳税人（以下简称小规模纳税人）发生增值税应税销售行为</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合计月销售额未超过10万元（以1个季度为1个纳税期的</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季度销售额未超过30万元</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下同）的</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免征增值税。</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lang w:val="en-US" w:eastAsia="zh-CN"/>
        </w:rPr>
        <w:t>小规模纳税人发生增值税应税销售行为</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合计月销售额超过10万元</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但扣除本期发生的销售不动产的销售额后未超过10万元的</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其销售货物、劳务、服务、无形资产取得的销售额免征增值税。</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default" w:ascii="仿宋_GB2312" w:hAnsi="仿宋_GB2312" w:eastAsia="仿宋_GB2312" w:cs="仿宋_GB2312"/>
          <w:sz w:val="32"/>
          <w:szCs w:val="32"/>
          <w:lang w:val="en-US" w:eastAsia="zh-CN"/>
        </w:rPr>
        <w:t>适用增值税差额征税政策的小规模纳税人</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以差额后的销售额确定是否可以享受1号公告第一条规定的免征增值税政策。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lang w:val="en-US" w:eastAsia="zh-CN"/>
        </w:rPr>
        <w:t>《中华人民共和国增值税暂行条例实施细则》第九条所称的其他个人</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采取一次性收取租金形式出租不动产取得的租金收入</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可在对应的租赁期内平均分摊</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分摊后的月租金收入未超过10万元的</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免征增值税。</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【办理流程】</w:t>
      </w:r>
    </w:p>
    <w:bookmarkEnd w:id="13"/>
    <w:bookmarkEnd w:id="14"/>
    <w:bookmarkEnd w:id="15"/>
    <w:bookmarkEnd w:id="16"/>
    <w:bookmarkEnd w:id="17"/>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申报即享受。</w:t>
      </w:r>
      <w:bookmarkStart w:id="18" w:name="_Toc29585"/>
      <w:bookmarkStart w:id="19" w:name="_Toc30337"/>
      <w:bookmarkStart w:id="20" w:name="_Toc26772"/>
      <w:bookmarkStart w:id="21" w:name="_Toc22554"/>
      <w:bookmarkStart w:id="22" w:name="_Toc10146"/>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【政策依据】</w:t>
      </w:r>
      <w:bookmarkEnd w:id="18"/>
      <w:bookmarkEnd w:id="19"/>
      <w:bookmarkEnd w:id="20"/>
      <w:bookmarkEnd w:id="21"/>
      <w:bookmarkEnd w:id="22"/>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税务总局关于明确增值税小规模纳税人减免增值税等政策的公告》（财政部 税务总局公告2023年第1号）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2.《国家税务总局关于增值税小规模纳税人减免增值税等政策有关征管事项的公告》（国家税务总局公告2023年第1号）</w:t>
      </w:r>
    </w:p>
    <w:p>
      <w:pPr>
        <w:rPr>
          <w:rFonts w:hint="eastAsia"/>
          <w:lang w:val="en-US" w:eastAsia="zh-CN"/>
        </w:rPr>
      </w:pPr>
    </w:p>
    <w:p>
      <w:pPr>
        <w:rPr>
          <w:rFonts w:hint="eastAsia"/>
          <w:lang w:val="en-US" w:eastAsia="zh-CN"/>
        </w:rPr>
      </w:pPr>
    </w:p>
    <w:p>
      <w:pPr>
        <w:rPr>
          <w:rFonts w:hint="eastAsia"/>
          <w:lang w:val="en-US" w:eastAsia="zh-CN"/>
        </w:rPr>
      </w:pPr>
    </w:p>
    <w:p>
      <w:pPr>
        <w:pStyle w:val="4"/>
        <w:keepNext/>
        <w:keepLines/>
        <w:pageBreakBefore w:val="0"/>
        <w:widowControl w:val="0"/>
        <w:kinsoku/>
        <w:wordWrap/>
        <w:overflowPunct/>
        <w:topLinePunct w:val="0"/>
        <w:autoSpaceDE/>
        <w:autoSpaceDN/>
        <w:bidi w:val="0"/>
        <w:adjustRightInd/>
        <w:snapToGrid/>
        <w:spacing w:line="416" w:lineRule="auto"/>
        <w:textAlignment w:val="auto"/>
        <w:outlineLvl w:val="0"/>
        <w:rPr>
          <w:rFonts w:hint="default" w:ascii="宋体" w:hAnsi="宋体" w:eastAsia="宋体" w:cs="宋体"/>
          <w:b/>
          <w:sz w:val="32"/>
          <w:szCs w:val="32"/>
          <w:lang w:val="en-US" w:eastAsia="zh-CN"/>
        </w:rPr>
      </w:pPr>
      <w:bookmarkStart w:id="23" w:name="_Toc25707"/>
      <w:r>
        <w:rPr>
          <w:rFonts w:hint="eastAsia" w:ascii="宋体" w:hAnsi="宋体" w:eastAsia="宋体" w:cs="宋体"/>
          <w:b/>
          <w:sz w:val="32"/>
          <w:szCs w:val="32"/>
          <w:lang w:val="en-US" w:eastAsia="zh-CN"/>
        </w:rPr>
        <w:t>二、小规模纳税人3%减按1%征收增值税政策</w:t>
      </w:r>
      <w:bookmarkEnd w:id="23"/>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【享受主体】</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增值税小规模纳税人</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【优惠内容】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自2023年1月1日至2023年12月31日，增值税小规模纳税人适用3%征收率的应税销售收入，减按1%征收率征收增值税；适用3%预征率的预缴增值税项目，减按1%预征率预缴增值税。</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w:t>
      </w:r>
      <w:r>
        <w:rPr>
          <w:rFonts w:hint="eastAsia" w:ascii="宋体" w:hAnsi="宋体" w:eastAsia="宋体" w:cs="宋体"/>
          <w:b/>
          <w:bCs/>
          <w:sz w:val="32"/>
          <w:szCs w:val="32"/>
          <w:lang w:val="en-US" w:eastAsia="zh-Hans"/>
        </w:rPr>
        <w:t>享受条件</w:t>
      </w:r>
      <w:r>
        <w:rPr>
          <w:rFonts w:hint="eastAsia" w:ascii="宋体" w:hAnsi="宋体" w:eastAsia="宋体" w:cs="宋体"/>
          <w:b/>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适用3%征收率的小规模纳税人</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【办理流程】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申报即享受。</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税务总局关于明确增值税小规模纳税人减免增值税等政策的公告》（财政部 税务总局公告2023年第1号）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w:t>
      </w:r>
      <w:r>
        <w:rPr>
          <w:rFonts w:hint="eastAsia" w:ascii="黑体" w:hAnsi="黑体" w:eastAsia="黑体" w:cs="黑体"/>
          <w:spacing w:val="-20"/>
          <w:sz w:val="32"/>
          <w:szCs w:val="32"/>
          <w:lang w:val="en-US" w:eastAsia="zh-CN"/>
        </w:rPr>
        <w:t>《</w:t>
      </w:r>
      <w:r>
        <w:rPr>
          <w:rFonts w:hint="eastAsia" w:ascii="黑体" w:hAnsi="黑体" w:eastAsia="黑体" w:cs="黑体"/>
          <w:sz w:val="32"/>
          <w:szCs w:val="32"/>
          <w:lang w:val="en-US" w:eastAsia="zh-CN"/>
        </w:rPr>
        <w:t>国家税务总局关于增值税小规模纳税人减免增值税等政策有关征管事项的公告》（国家税务总局公告2023年第1号）</w:t>
      </w:r>
    </w:p>
    <w:p>
      <w:pPr>
        <w:rPr>
          <w:rFonts w:hint="eastAsia"/>
          <w:lang w:val="en-US" w:eastAsia="zh-CN"/>
        </w:rPr>
      </w:pPr>
    </w:p>
    <w:p>
      <w:pPr>
        <w:rPr>
          <w:rFonts w:hint="eastAsia"/>
          <w:lang w:val="en-US" w:eastAsia="zh-CN"/>
        </w:rPr>
      </w:pPr>
    </w:p>
    <w:p>
      <w:pPr>
        <w:rPr>
          <w:rFonts w:hint="eastAsia"/>
          <w:lang w:val="en-US" w:eastAsia="zh-CN"/>
        </w:rPr>
      </w:pPr>
    </w:p>
    <w:p>
      <w:pPr>
        <w:pStyle w:val="4"/>
        <w:keepNext/>
        <w:keepLines/>
        <w:pageBreakBefore w:val="0"/>
        <w:widowControl w:val="0"/>
        <w:kinsoku/>
        <w:wordWrap/>
        <w:overflowPunct/>
        <w:topLinePunct w:val="0"/>
        <w:autoSpaceDE/>
        <w:autoSpaceDN/>
        <w:bidi w:val="0"/>
        <w:adjustRightInd/>
        <w:snapToGrid/>
        <w:spacing w:line="416" w:lineRule="auto"/>
        <w:textAlignment w:val="auto"/>
        <w:outlineLvl w:val="0"/>
        <w:rPr>
          <w:rFonts w:hint="eastAsia" w:ascii="宋体" w:hAnsi="宋体" w:eastAsia="宋体" w:cs="宋体"/>
          <w:b/>
          <w:sz w:val="32"/>
          <w:szCs w:val="32"/>
          <w:lang w:val="en-US" w:eastAsia="zh-CN"/>
        </w:rPr>
      </w:pPr>
      <w:bookmarkStart w:id="24" w:name="_Toc28743"/>
      <w:r>
        <w:rPr>
          <w:rFonts w:hint="eastAsia" w:ascii="宋体" w:hAnsi="宋体" w:eastAsia="宋体" w:cs="宋体"/>
          <w:b/>
          <w:sz w:val="32"/>
          <w:szCs w:val="32"/>
          <w:lang w:val="en-US" w:eastAsia="zh-CN"/>
        </w:rPr>
        <w:t>三、生产、生活性服务业增值税加计抵减政策</w:t>
      </w:r>
      <w:bookmarkEnd w:id="24"/>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【享受主体】</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生产、生活性服务业纳税人</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sz w:val="32"/>
          <w:szCs w:val="24"/>
        </w:rPr>
        <w:t>【</w:t>
      </w:r>
      <w:r>
        <w:rPr>
          <w:rFonts w:hint="eastAsia" w:ascii="宋体" w:hAnsi="宋体" w:eastAsia="宋体" w:cs="宋体"/>
          <w:b/>
          <w:bCs/>
          <w:sz w:val="32"/>
          <w:szCs w:val="32"/>
          <w:lang w:val="en-US" w:eastAsia="zh-CN"/>
        </w:rPr>
        <w:t>【优惠内容】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自2023年1月1日至2023年12月31日，增值税加计抵减政策按照以下规定执行：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1.允许生产性服务业纳税人按照当期可抵扣进项税额加计5%抵减应纳税额。</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lang w:val="en-US" w:eastAsia="zh-CN"/>
        </w:rPr>
      </w:pPr>
      <w:r>
        <w:rPr>
          <w:rFonts w:hint="eastAsia" w:ascii="仿宋_GB2312" w:hAnsi="仿宋_GB2312" w:eastAsia="仿宋_GB2312" w:cs="仿宋_GB2312"/>
          <w:sz w:val="32"/>
          <w:szCs w:val="32"/>
          <w:lang w:val="en-US" w:eastAsia="zh-CN"/>
        </w:rPr>
        <w:t>2.允许生活性服务业纳税人按照当期可抵扣进项税额加计10%抵减应纳税额。</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w:t>
      </w:r>
      <w:r>
        <w:rPr>
          <w:rFonts w:hint="eastAsia" w:ascii="宋体" w:hAnsi="宋体" w:eastAsia="宋体" w:cs="宋体"/>
          <w:b/>
          <w:bCs/>
          <w:sz w:val="32"/>
          <w:szCs w:val="32"/>
          <w:lang w:val="en-US" w:eastAsia="zh-Hans"/>
        </w:rPr>
        <w:t>享受条件</w:t>
      </w:r>
      <w:r>
        <w:rPr>
          <w:rFonts w:hint="eastAsia" w:ascii="宋体" w:hAnsi="宋体" w:eastAsia="宋体" w:cs="宋体"/>
          <w:b/>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1.生产性服务业纳税人，是指提供邮政服务、电信服务、现代服务、生活服务取得的销售额占全部销售额的比重超过50%的纳税人。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2.生活性服务业纳税人，是指提供生活服务取得的销售额占全部销售额的比重超过50%的纳税人。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3.纳税人适用加计抵减政策的其他有关事项，按照《财政部 税务总局 海关总署关于深化增值税改革有关政策的公告》（财政部 税务总局 海关总署公告2019年第39号）、《财政部 税务总局关于明确生活性服务业增值税加计抵减政策的公告》（财政部 税务总局公告2019年第87号）等有关规定执行。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4.按照《财政部 税务总局关于明确增值税小规模纳税人减免增值税等政策的公告》（财政部 税务总局公告2023年第1号）规定，应予减免的增值税，在本公告下发前已征收的，可抵减纳税人以后纳税期应缴纳税款或予以退还。</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【办理流程】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宋体" w:hAnsi="宋体" w:eastAsia="宋体" w:cs="宋体"/>
          <w:b/>
          <w:bCs/>
          <w:sz w:val="32"/>
          <w:szCs w:val="32"/>
          <w:lang w:val="en-US" w:eastAsia="zh-CN"/>
        </w:rPr>
      </w:pPr>
      <w:r>
        <w:rPr>
          <w:rFonts w:hint="eastAsia" w:ascii="仿宋_GB2312" w:hAnsi="仿宋_GB2312" w:eastAsia="仿宋_GB2312" w:cs="仿宋_GB2312"/>
          <w:sz w:val="32"/>
          <w:szCs w:val="32"/>
          <w:lang w:val="en-US" w:eastAsia="zh-CN"/>
        </w:rPr>
        <w:t>申报即享受。</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税务总局关于明确增值税小规模纳税人减免增值税等政策的公告》（财政部 税务总局公告2023年第1号）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2.《国家税务总局关于增值税小规模纳税人减免增值税等政策有关征管事项的公告》（国家税务总局公告2023年第1号）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0"/>
        <w:rPr>
          <w:rFonts w:hint="eastAsia" w:ascii="宋体" w:hAnsi="宋体" w:cs="宋体"/>
          <w:b/>
          <w:sz w:val="32"/>
          <w:szCs w:val="32"/>
          <w:lang w:val="en-US" w:eastAsia="zh-CN"/>
        </w:rPr>
      </w:pPr>
      <w:bookmarkStart w:id="25" w:name="_Toc5448"/>
      <w:r>
        <w:rPr>
          <w:rFonts w:hint="eastAsia" w:ascii="宋体" w:hAnsi="宋体" w:cs="宋体"/>
          <w:b/>
          <w:sz w:val="32"/>
          <w:szCs w:val="32"/>
          <w:lang w:val="en-US" w:eastAsia="zh-CN"/>
        </w:rPr>
        <w:t>四</w:t>
      </w:r>
      <w:r>
        <w:rPr>
          <w:rFonts w:hint="eastAsia" w:ascii="宋体" w:hAnsi="宋体" w:eastAsia="宋体" w:cs="宋体"/>
          <w:b/>
          <w:sz w:val="32"/>
          <w:szCs w:val="32"/>
          <w:lang w:val="en-US" w:eastAsia="zh-CN"/>
        </w:rPr>
        <w:t>、</w:t>
      </w:r>
      <w:r>
        <w:rPr>
          <w:rFonts w:hint="eastAsia" w:ascii="宋体" w:hAnsi="宋体" w:cs="宋体"/>
          <w:b/>
          <w:sz w:val="32"/>
          <w:szCs w:val="32"/>
          <w:lang w:val="en-US" w:eastAsia="zh-CN"/>
        </w:rPr>
        <w:t>集成电路企业增值税加计抵减政策</w:t>
      </w:r>
      <w:bookmarkEnd w:id="25"/>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【享受主体】</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1"/>
        <w:rPr>
          <w:rFonts w:hint="default" w:ascii="宋体" w:hAnsi="宋体" w:eastAsia="宋体" w:cs="宋体"/>
          <w:b/>
          <w:bCs/>
          <w:sz w:val="32"/>
          <w:szCs w:val="32"/>
          <w:lang w:val="en-US" w:eastAsia="zh-CN"/>
        </w:rPr>
      </w:pPr>
      <w:r>
        <w:rPr>
          <w:rFonts w:hint="eastAsia" w:ascii="仿宋_GB2312" w:hAnsi="仿宋_GB2312" w:eastAsia="仿宋_GB2312" w:cs="仿宋_GB2312"/>
          <w:b w:val="0"/>
          <w:bCs w:val="0"/>
          <w:sz w:val="32"/>
          <w:szCs w:val="32"/>
          <w:lang w:val="en-US" w:eastAsia="zh-CN"/>
        </w:rPr>
        <w:t xml:space="preserve">集成电路设计生产、封测、装备、材料企业 </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【优惠内容】</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1"/>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自2023年1月1日至2027年12月31日，允许集成电路设计生产、封测、装备、材料企业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val="0"/>
          <w:bCs w:val="0"/>
          <w:sz w:val="32"/>
          <w:szCs w:val="32"/>
          <w:lang w:val="en-US" w:eastAsia="zh-CN"/>
        </w:rPr>
        <w:t>以下称集成电路企业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val="0"/>
          <w:bCs w:val="0"/>
          <w:sz w:val="32"/>
          <w:szCs w:val="32"/>
          <w:lang w:val="en-US" w:eastAsia="zh-CN"/>
        </w:rPr>
        <w:t>，按照当期可抵扣进项税额加计15%抵减应纳增值税税额（以下称加计抵减政策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rPr>
        <w:t>对适用加计抵减政策的集成电路企业采取清单管理，具体适用条件、管理方式和企业清单由工业和信息化部会同发展改革委、财政部、税务总局等部门制定</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w:t>
      </w:r>
      <w:r>
        <w:rPr>
          <w:rFonts w:hint="eastAsia" w:ascii="宋体" w:hAnsi="宋体" w:eastAsia="宋体" w:cs="宋体"/>
          <w:b/>
          <w:bCs/>
          <w:sz w:val="32"/>
          <w:szCs w:val="32"/>
          <w:lang w:val="en-US" w:eastAsia="zh-Hans"/>
        </w:rPr>
        <w:t>享受条件</w:t>
      </w:r>
      <w:r>
        <w:rPr>
          <w:rFonts w:hint="eastAsia" w:ascii="宋体" w:hAnsi="宋体" w:eastAsia="宋体" w:cs="宋体"/>
          <w:b/>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集成电路企业按照当期可抵扣进项税额的15%计提当期加计抵减额。企业外购芯片对应的进项税额，以及按照现行规定不得从销项税额中抵扣的进项税额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不得计提加计抵减额;已计提加计抵减额的进项税额，按规定作进项税额转出的，应在进项税额转出当期，相应调减加计抵减额</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集成电路企业按照现行规定计算一般计税方法下的应纳税额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以下称抵减前的应纳税额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后，区分以下情形加计抵减: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抵减前的应纳税额等于零的，当期可抵减加计抵减额全部结转下期抵减</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抵减前的应纳税额大于零，且大于当期可抵减加计抵减额的，当期可抵减加计抵减额全额从抵减前的应纳税额中抵减</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抵减前的应纳税额大于零，且小于或等于当期可抵减加计抵减额的，以当期可抵减加计抵减额抵减应纳税额至零。未抵减完的当期可抵减加计抵减额，结转下期继续抵减。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、集成电路企业可计提但未计提的加计抵减额，可在确定适用加计抵减政策当期一并计提。</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、集成电路企业出口货物劳务、发生跨境应税行为不适用加计抵减政策，其对应的进项税额不得计提加计抵减额。</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集成电路企业兼营出口货物劳务、发生跨境应税行为且无法划分不得计提加计抵减额的进项税额，按照以下公式计算:</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不得计提加计抵减额的进项税额=当期无法划分的全部进项税额</w:t>
      </w:r>
      <w:r>
        <w:rPr>
          <w:rFonts w:hint="default" w:ascii="Arial" w:hAnsi="Arial" w:eastAsia="仿宋_GB2312" w:cs="Arial"/>
          <w:sz w:val="32"/>
          <w:szCs w:val="32"/>
        </w:rPr>
        <w:t>×</w:t>
      </w:r>
      <w:r>
        <w:rPr>
          <w:rFonts w:hint="eastAsia" w:ascii="仿宋_GB2312" w:hAnsi="仿宋_GB2312" w:eastAsia="仿宋_GB2312" w:cs="仿宋_GB2312"/>
          <w:sz w:val="32"/>
          <w:szCs w:val="32"/>
        </w:rPr>
        <w:t>当期出口货物劳务和发生跨境应税行为的销售额</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当期全部销售额</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、集成电路企业应单独核算加计抵减额的计提、抵减、调减、结余等变动情况，骗取适用加计抵减政策或虚增加计抵减额的，按照《中华人民共和国税收征收管理法》等有关规定处理</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、集成电路企业同时符合多项增值税加计抵减政策的，可以择优选择适用，但在同一期间不得叠加适用。</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【办理流程】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申报即享受。</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《财政部 税务总局关于集成电路企业增值税加计抵减政策的通知》（财税﹝2023﹞17号）</w:t>
      </w:r>
    </w:p>
    <w:p>
      <w:pPr>
        <w:keepNext w:val="0"/>
        <w:keepLines w:val="0"/>
        <w:pageBreakBefore w:val="0"/>
        <w:widowControl w:val="0"/>
        <w:kinsoku/>
        <w:wordWrap/>
        <w:overflowPunct/>
        <w:topLinePunct w:val="0"/>
        <w:autoSpaceDE/>
        <w:autoSpaceDN/>
        <w:bidi w:val="0"/>
        <w:adjustRightInd/>
        <w:snapToGrid/>
        <w:spacing w:line="360" w:lineRule="atLeast"/>
        <w:textAlignment w:val="auto"/>
        <w:rPr>
          <w:rFonts w:hint="eastAsia" w:ascii="黑体" w:hAnsi="黑体" w:eastAsia="黑体" w:cs="黑体"/>
          <w:sz w:val="32"/>
          <w:szCs w:val="32"/>
          <w:lang w:val="en-US" w:eastAsia="zh-CN"/>
        </w:rPr>
      </w:pPr>
    </w:p>
    <w:p>
      <w:pPr>
        <w:rPr>
          <w:rFonts w:hint="eastAsia"/>
          <w:lang w:val="en-US" w:eastAsia="zh-CN"/>
        </w:rPr>
      </w:pPr>
    </w:p>
    <w:p>
      <w:pPr>
        <w:pStyle w:val="4"/>
        <w:keepNext/>
        <w:keepLines/>
        <w:pageBreakBefore w:val="0"/>
        <w:widowControl w:val="0"/>
        <w:kinsoku/>
        <w:wordWrap/>
        <w:overflowPunct/>
        <w:topLinePunct w:val="0"/>
        <w:autoSpaceDE/>
        <w:autoSpaceDN/>
        <w:bidi w:val="0"/>
        <w:adjustRightInd/>
        <w:snapToGrid/>
        <w:spacing w:line="416" w:lineRule="auto"/>
        <w:textAlignment w:val="auto"/>
        <w:outlineLvl w:val="0"/>
        <w:rPr>
          <w:rFonts w:hint="eastAsia" w:ascii="宋体" w:hAnsi="宋体" w:eastAsia="宋体" w:cs="宋体"/>
          <w:b/>
          <w:sz w:val="32"/>
          <w:szCs w:val="32"/>
          <w:lang w:val="en-US" w:eastAsia="zh-CN"/>
        </w:rPr>
      </w:pPr>
      <w:bookmarkStart w:id="26" w:name="_Toc30711"/>
      <w:r>
        <w:rPr>
          <w:rFonts w:hint="eastAsia" w:ascii="宋体" w:hAnsi="宋体" w:cs="宋体"/>
          <w:b/>
          <w:sz w:val="32"/>
          <w:szCs w:val="32"/>
          <w:lang w:val="en-US" w:eastAsia="zh-CN"/>
        </w:rPr>
        <w:t>五</w:t>
      </w:r>
      <w:r>
        <w:rPr>
          <w:rFonts w:hint="eastAsia" w:ascii="宋体" w:hAnsi="宋体" w:eastAsia="宋体" w:cs="宋体"/>
          <w:b/>
          <w:sz w:val="32"/>
          <w:szCs w:val="32"/>
          <w:lang w:val="en-US" w:eastAsia="zh-CN"/>
        </w:rPr>
        <w:t>、小型微利企业年应纳税所得额不超过100万元的部分企业所得税政策</w:t>
      </w:r>
      <w:bookmarkEnd w:id="26"/>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t>【享受主体】</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小型微利企业</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t>【优惠内容】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自2023年1月1日至2024年12月31日对小型微利企业年应纳税所得额不超过100万元的部分，减按25%计入应纳税所得额，按20%的税率缴纳企业所得税。</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仿宋_GB2312" w:hAnsi="仿宋_GB2312" w:eastAsia="仿宋_GB2312" w:cs="仿宋_GB2312"/>
          <w:sz w:val="32"/>
          <w:szCs w:val="32"/>
          <w:lang w:val="en-US" w:eastAsia="zh-CN"/>
        </w:rPr>
      </w:pPr>
      <w:r>
        <w:rPr>
          <w:rFonts w:hint="eastAsia" w:ascii="宋体" w:hAnsi="宋体" w:eastAsia="宋体" w:cs="宋体"/>
          <w:b/>
          <w:kern w:val="2"/>
          <w:sz w:val="32"/>
          <w:szCs w:val="32"/>
          <w:lang w:val="en-US" w:eastAsia="zh-CN" w:bidi="ar-SA"/>
        </w:rPr>
        <w:t>【</w:t>
      </w:r>
      <w:r>
        <w:rPr>
          <w:rFonts w:hint="eastAsia" w:ascii="宋体" w:hAnsi="宋体" w:eastAsia="宋体" w:cs="宋体"/>
          <w:b/>
          <w:kern w:val="2"/>
          <w:sz w:val="32"/>
          <w:szCs w:val="32"/>
          <w:lang w:val="en-US" w:eastAsia="zh-Hans" w:bidi="ar-SA"/>
        </w:rPr>
        <w:t>享受条件</w:t>
      </w:r>
      <w:r>
        <w:rPr>
          <w:rFonts w:hint="eastAsia" w:ascii="宋体" w:hAnsi="宋体" w:eastAsia="宋体" w:cs="宋体"/>
          <w:b/>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1.小型微利企业无论按查账征收方式或核定征收方式缴纳企业所得税，均可享受小型微利企业所得税优惠政策。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2.所称小型微利企业，是指从事国家非限制和禁止行业，且同时符合年度应纳税所得额不超过300万元、从业人数不超过300人、资产总额不超过5000万元等三个条件的企业。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3.从业人数，包括与企业建立劳动关系的职工人数和企业接受的劳务派遣用工人数。所称从业人数和资产总额指标，应按企业全年的季度平均值确定。具体计算公式如下：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季度平均值＝（季初值＋季末值）÷2</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全年季度平均值＝全年各季度平均值之和÷4</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年度中间开业或者终止经营活动的，以其实际经营期作为一个纳税年度确定上述相关指标。</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t>【办理流程】</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1"/>
        <w:rPr>
          <w:rFonts w:hint="eastAsia" w:ascii="仿宋_GB2312" w:hAnsi="仿宋_GB2312" w:eastAsia="仿宋_GB2312" w:cs="仿宋_GB2312"/>
          <w:b/>
          <w:kern w:val="2"/>
          <w:sz w:val="32"/>
          <w:szCs w:val="32"/>
          <w:lang w:val="en-US" w:eastAsia="zh-CN" w:bidi="ar-SA"/>
        </w:rPr>
      </w:pPr>
      <w:r>
        <w:rPr>
          <w:rFonts w:hint="eastAsia" w:ascii="仿宋_GB2312" w:hAnsi="仿宋_GB2312" w:eastAsia="仿宋_GB2312" w:cs="仿宋_GB2312"/>
          <w:b w:val="0"/>
          <w:bCs/>
          <w:kern w:val="2"/>
          <w:sz w:val="32"/>
          <w:szCs w:val="32"/>
          <w:lang w:val="en-US" w:eastAsia="zh-CN" w:bidi="ar-SA"/>
        </w:rPr>
        <w:t>申报即享受、相关资料留存备查。</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w:t>
      </w:r>
      <w:r>
        <w:rPr>
          <w:rFonts w:hint="eastAsia" w:ascii="黑体" w:hAnsi="黑体" w:eastAsia="黑体" w:cs="黑体"/>
          <w:sz w:val="32"/>
          <w:szCs w:val="32"/>
          <w:lang w:val="en-US" w:eastAsia="zh-CN"/>
        </w:rPr>
        <w:fldChar w:fldCharType="begin"/>
      </w:r>
      <w:r>
        <w:rPr>
          <w:rFonts w:hint="eastAsia" w:ascii="黑体" w:hAnsi="黑体" w:eastAsia="黑体" w:cs="黑体"/>
          <w:sz w:val="32"/>
          <w:szCs w:val="32"/>
          <w:lang w:val="en-US" w:eastAsia="zh-CN"/>
        </w:rPr>
        <w:instrText xml:space="preserve"> HYPERLINK "http://130.9.1.168/statute/web/../statute/regulations/view.jsp?id=1640569869548744705&amp;flag=1" \t "http://130.9.1.168/statute/web/_blank" </w:instrText>
      </w:r>
      <w:r>
        <w:rPr>
          <w:rFonts w:hint="eastAsia" w:ascii="黑体" w:hAnsi="黑体" w:eastAsia="黑体" w:cs="黑体"/>
          <w:sz w:val="32"/>
          <w:szCs w:val="32"/>
          <w:lang w:val="en-US" w:eastAsia="zh-CN"/>
        </w:rPr>
        <w:fldChar w:fldCharType="separate"/>
      </w:r>
      <w:r>
        <w:rPr>
          <w:rFonts w:hint="eastAsia" w:ascii="黑体" w:hAnsi="黑体" w:eastAsia="黑体" w:cs="黑体"/>
          <w:sz w:val="32"/>
          <w:szCs w:val="32"/>
          <w:lang w:val="en-US" w:eastAsia="zh-CN"/>
        </w:rPr>
        <w:t>财政部 税务总局关于小微企业和个体工商户所得税优惠政策的公告</w:t>
      </w:r>
      <w:r>
        <w:rPr>
          <w:rFonts w:hint="eastAsia" w:ascii="黑体" w:hAnsi="黑体" w:eastAsia="黑体" w:cs="黑体"/>
          <w:sz w:val="32"/>
          <w:szCs w:val="32"/>
          <w:lang w:val="en-US" w:eastAsia="zh-CN"/>
        </w:rPr>
        <w:fldChar w:fldCharType="end"/>
      </w:r>
      <w:r>
        <w:rPr>
          <w:rFonts w:hint="eastAsia" w:ascii="黑体" w:hAnsi="黑体" w:eastAsia="黑体" w:cs="黑体"/>
          <w:sz w:val="32"/>
          <w:szCs w:val="32"/>
          <w:lang w:val="en-US" w:eastAsia="zh-CN"/>
        </w:rPr>
        <w:t>》（财政部 税务总局公告2023年第6号）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2.《国家税务总局关于落实小型微利企业所得税优惠政策征管问题的公告》（国家税务总局公告2023年第6号）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p>
    <w:p>
      <w:pPr>
        <w:pStyle w:val="4"/>
        <w:keepNext/>
        <w:keepLines/>
        <w:pageBreakBefore w:val="0"/>
        <w:widowControl w:val="0"/>
        <w:kinsoku/>
        <w:wordWrap/>
        <w:overflowPunct/>
        <w:topLinePunct w:val="0"/>
        <w:autoSpaceDE/>
        <w:autoSpaceDN/>
        <w:bidi w:val="0"/>
        <w:adjustRightInd/>
        <w:snapToGrid/>
        <w:spacing w:line="416" w:lineRule="auto"/>
        <w:textAlignment w:val="auto"/>
        <w:outlineLvl w:val="0"/>
        <w:rPr>
          <w:rFonts w:hint="eastAsia" w:ascii="宋体" w:hAnsi="宋体" w:eastAsia="宋体" w:cs="宋体"/>
          <w:b/>
          <w:sz w:val="32"/>
          <w:szCs w:val="32"/>
          <w:lang w:val="en-US" w:eastAsia="zh-CN"/>
        </w:rPr>
      </w:pPr>
      <w:bookmarkStart w:id="27" w:name="_Toc6272"/>
      <w:r>
        <w:rPr>
          <w:rFonts w:hint="eastAsia" w:ascii="宋体" w:hAnsi="宋体" w:cs="宋体"/>
          <w:b/>
          <w:sz w:val="32"/>
          <w:szCs w:val="32"/>
          <w:lang w:val="en-US" w:eastAsia="zh-CN"/>
        </w:rPr>
        <w:t>六</w:t>
      </w:r>
      <w:r>
        <w:rPr>
          <w:rFonts w:hint="eastAsia" w:ascii="宋体" w:hAnsi="宋体" w:eastAsia="宋体" w:cs="宋体"/>
          <w:b/>
          <w:sz w:val="32"/>
          <w:szCs w:val="32"/>
          <w:lang w:val="en-US" w:eastAsia="zh-CN"/>
        </w:rPr>
        <w:t>、企业研发费用税前加计扣除政策</w:t>
      </w:r>
      <w:bookmarkEnd w:id="27"/>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t>【适用主体】</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开展研发活动实际发生研发费用的企业，除烟草制造业、住宿和餐饮业、批发和零售业、房地产业、租赁和商务服务业、娱乐业等以外，其他行业企业均可享受。</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t>【优惠内容】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企业开展研发活动中实际发生的研发费用，未形成无形资产计入当期损益的，在按规定据实扣除的基础上，自2023年1月1日起，再按照实际发生额的100%在税前加计扣除；形成无形资产的，自2023年1月1日起，按照无形资产成本的200%在税前摊销。</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t>【享受条件】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1.企业为获得科学与技术新知识，创造性运用科学技术新知识，或实质性改进技术、产品（服务）、工艺而持续进行的具有明确目标的系统性活动。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企业享受研发费用加计扣除政策的其他政策口径和管理要求，按照《财政部 国家税务总局 科技部关于完善研究开发费用税前加计扣除政策的通知》（财税〔2015〕119号）、《财政部 税务总局 科技部关于企业委托境外研究开发费用税前加计扣除有关政策问题的通知》（财税〔2018〕64号）等文件相关规定执行。</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t>【政策依据】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申报即享受、相关资料留存备查。</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国家税务总局 科技部关于完善研究开发费用税前加计扣除政策的通知》（财税〔2015〕119号）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税务总局关于进一步完善研发费用税前加计扣除政策的公告》（2023年第7号）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0"/>
        <w:rPr>
          <w:rFonts w:hint="eastAsia" w:ascii="宋体" w:hAnsi="宋体" w:eastAsia="宋体" w:cs="宋体"/>
          <w:b/>
          <w:sz w:val="32"/>
          <w:szCs w:val="32"/>
          <w:lang w:val="en-US" w:eastAsia="zh-CN"/>
        </w:rPr>
      </w:pPr>
      <w:bookmarkStart w:id="28" w:name="_Toc25623"/>
      <w:r>
        <w:rPr>
          <w:rFonts w:hint="eastAsia" w:ascii="宋体" w:hAnsi="宋体" w:cs="宋体"/>
          <w:b/>
          <w:sz w:val="32"/>
          <w:szCs w:val="32"/>
          <w:lang w:val="en-US" w:eastAsia="zh-CN"/>
        </w:rPr>
        <w:t>七</w:t>
      </w:r>
      <w:r>
        <w:rPr>
          <w:rFonts w:hint="eastAsia" w:ascii="宋体" w:hAnsi="宋体" w:eastAsia="宋体" w:cs="宋体"/>
          <w:b/>
          <w:sz w:val="32"/>
          <w:szCs w:val="32"/>
          <w:lang w:val="en-US" w:eastAsia="zh-CN"/>
        </w:rPr>
        <w:t>、居民个人取得上市公司股权激励单独计税优惠政策</w:t>
      </w:r>
      <w:bookmarkEnd w:id="28"/>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【享受主体】</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居民个人</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【优惠内容】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自2023年1月1日起至2023年12月31日止，上市公司股权激励单独计税优惠政策继续执行。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1.居民个人取得符合条件的股票期权、股票增值权、限制性股票、股权奖励等股权激励，不并入当年综合所得，全额单独适用综合所得税率表，计算纳税。计算公式为：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应纳税额＝股权激励收入×适用税率－速算扣除数</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2.居民个人一个纳税年度内取得两次以上（含两次）股权激励的，应合并按上条规定计算纳税。</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w:t>
      </w:r>
      <w:r>
        <w:rPr>
          <w:rFonts w:hint="eastAsia" w:ascii="宋体" w:hAnsi="宋体" w:eastAsia="宋体" w:cs="宋体"/>
          <w:b/>
          <w:bCs/>
          <w:sz w:val="32"/>
          <w:szCs w:val="32"/>
          <w:lang w:val="en-US" w:eastAsia="zh-Hans"/>
        </w:rPr>
        <w:t>享受条件</w:t>
      </w:r>
      <w:r>
        <w:rPr>
          <w:rFonts w:hint="eastAsia" w:ascii="宋体" w:hAnsi="宋体" w:eastAsia="宋体" w:cs="宋体"/>
          <w:b/>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居民个人取得股票期权、股票增值权、限制性股票、股权奖励等股权激励，应当符合《财政部 国家税务总局关于个人股票期权所得征收个人所得税问题的通知》（财税〔2005〕35号）、《财政部  国家税务总局关于股票增值权所得和限制性股票所得征收个人所得税有关问题的通知》（财税〔2009〕5号）、《财政部 国家税务总局关于将国家自主创新示范区有关税收试点政策推广到全国范围实施的通知》（财税〔2015〕116号）第四条、《财政部 国家税务总局关于完善股权激励和技术入股有关所得税政策的通知》（财税〔2016〕101号）第四条第（一）项规定的相关条件。</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【办理流程】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申报即享受。</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税务总局关于个人所得税法修改后有关优惠政策衔接问题的通知》（财税〔2018〕164号）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税务总局关于延续实施全年一次性奖金等个人所得税优惠政策的公告》（财政部 税务总局公告2021年第42号）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3.《财政部 税务总局关于延续实施有关个人所得税优惠政策的公告》（财政部 税务总局公告2023年第2号）</w:t>
      </w:r>
    </w:p>
    <w:p>
      <w:pPr>
        <w:rPr>
          <w:rFonts w:hint="eastAsia"/>
          <w:lang w:val="en-US" w:eastAsia="zh-CN"/>
        </w:rPr>
      </w:pPr>
    </w:p>
    <w:p>
      <w:pPr>
        <w:rPr>
          <w:rFonts w:hint="eastAsia"/>
          <w:lang w:val="en-US" w:eastAsia="zh-CN"/>
        </w:rPr>
      </w:pPr>
    </w:p>
    <w:p>
      <w:pPr>
        <w:rPr>
          <w:rFonts w:hint="eastAsia"/>
          <w:lang w:val="en-US" w:eastAsia="zh-CN"/>
        </w:rPr>
      </w:pPr>
    </w:p>
    <w:p>
      <w:pPr>
        <w:pStyle w:val="4"/>
        <w:keepNext/>
        <w:keepLines/>
        <w:pageBreakBefore w:val="0"/>
        <w:widowControl w:val="0"/>
        <w:kinsoku/>
        <w:wordWrap/>
        <w:overflowPunct/>
        <w:topLinePunct w:val="0"/>
        <w:autoSpaceDE/>
        <w:autoSpaceDN/>
        <w:bidi w:val="0"/>
        <w:adjustRightInd/>
        <w:snapToGrid/>
        <w:spacing w:line="416" w:lineRule="auto"/>
        <w:textAlignment w:val="auto"/>
        <w:outlineLvl w:val="0"/>
        <w:rPr>
          <w:rFonts w:hint="eastAsia" w:ascii="宋体" w:hAnsi="宋体" w:eastAsia="宋体" w:cs="宋体"/>
          <w:b/>
          <w:sz w:val="32"/>
          <w:szCs w:val="32"/>
          <w:lang w:val="en-US" w:eastAsia="zh-CN"/>
        </w:rPr>
      </w:pPr>
      <w:bookmarkStart w:id="29" w:name="_Toc9454"/>
      <w:r>
        <w:rPr>
          <w:rFonts w:hint="eastAsia" w:ascii="宋体" w:hAnsi="宋体" w:cs="宋体"/>
          <w:b/>
          <w:sz w:val="32"/>
          <w:szCs w:val="32"/>
          <w:lang w:val="en-US" w:eastAsia="zh-CN"/>
        </w:rPr>
        <w:t>八</w:t>
      </w:r>
      <w:r>
        <w:rPr>
          <w:rFonts w:hint="eastAsia" w:ascii="宋体" w:hAnsi="宋体" w:eastAsia="宋体" w:cs="宋体"/>
          <w:b/>
          <w:sz w:val="32"/>
          <w:szCs w:val="32"/>
          <w:lang w:val="en-US" w:eastAsia="zh-CN"/>
        </w:rPr>
        <w:t>、沪港、深港股票市场交易互联互通机制和内地与香港基金互认有关个人所得税优惠政策</w:t>
      </w:r>
      <w:bookmarkEnd w:id="29"/>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【享受主体】</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内地个人投资者</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【优惠内容】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自2023年1月1日起至2023年12月31日止，对内地个人投资者通过沪港通、深港通投资香港联交所上市股票取得的转让差价和通过基金互认买卖香港基金份额取得的转让差价所得，继续暂免征收个人所得税。</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w:t>
      </w:r>
      <w:r>
        <w:rPr>
          <w:rFonts w:hint="eastAsia" w:ascii="宋体" w:hAnsi="宋体" w:eastAsia="宋体" w:cs="宋体"/>
          <w:b/>
          <w:bCs/>
          <w:sz w:val="32"/>
          <w:szCs w:val="32"/>
          <w:lang w:val="en-US" w:eastAsia="zh-Hans"/>
        </w:rPr>
        <w:t>享受条件</w:t>
      </w:r>
      <w:r>
        <w:rPr>
          <w:rFonts w:hint="eastAsia" w:ascii="宋体" w:hAnsi="宋体" w:eastAsia="宋体" w:cs="宋体"/>
          <w:b/>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内地个人投资者通过沪港通、深港通投资香港联交所上市股票取得的转让差价和通过基金互认买卖香港基金份额取得的转让差价所得。</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【办理流程】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申报即享受。</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 税务总局 证监会关于继续执行沪港、深港股票市场交易互联互通机制和内地与香港基金互认有关个人所得税政策的公告》（财政部公告2019年第93号）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 税务总局关于延续实施有关个人所得税优惠政策的公告》（财政部 税务总局公告2023年第2号）</w:t>
      </w:r>
    </w:p>
    <w:p>
      <w:pPr>
        <w:rPr>
          <w:rFonts w:hint="eastAsia"/>
          <w:lang w:val="en-US" w:eastAsia="zh-CN"/>
        </w:rPr>
      </w:pPr>
    </w:p>
    <w:p>
      <w:pPr>
        <w:rPr>
          <w:rFonts w:hint="eastAsia"/>
          <w:lang w:val="en-US" w:eastAsia="zh-CN"/>
        </w:rPr>
      </w:pPr>
    </w:p>
    <w:p>
      <w:pPr>
        <w:rPr>
          <w:rFonts w:hint="eastAsia"/>
          <w:lang w:val="en-US" w:eastAsia="zh-CN"/>
        </w:rPr>
      </w:pPr>
    </w:p>
    <w:p>
      <w:pPr>
        <w:outlineLvl w:val="0"/>
        <w:rPr>
          <w:rFonts w:hint="eastAsia"/>
        </w:rPr>
      </w:pPr>
      <w:bookmarkStart w:id="30" w:name="_Toc13826"/>
      <w:r>
        <w:rPr>
          <w:rFonts w:hint="eastAsia" w:ascii="宋体" w:hAnsi="宋体" w:cs="宋体"/>
          <w:b/>
          <w:kern w:val="2"/>
          <w:sz w:val="32"/>
          <w:szCs w:val="32"/>
          <w:lang w:val="en-US" w:eastAsia="zh-CN" w:bidi="ar-SA"/>
        </w:rPr>
        <w:t>九</w:t>
      </w:r>
      <w:r>
        <w:rPr>
          <w:rFonts w:hint="eastAsia" w:ascii="宋体" w:hAnsi="宋体" w:eastAsia="宋体" w:cs="宋体"/>
          <w:b/>
          <w:kern w:val="2"/>
          <w:sz w:val="32"/>
          <w:szCs w:val="32"/>
          <w:lang w:val="en-US" w:eastAsia="zh-CN" w:bidi="ar-SA"/>
        </w:rPr>
        <w:t>、个体工商户年应纳税所得额不超过100万元的部分个人所得税政策</w:t>
      </w:r>
      <w:bookmarkEnd w:id="30"/>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t>【享受主体】</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个体工商户</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t>【优惠内容】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自2023年1月1日至2024年12月31日对个体工商户年应纳税所得额不超过100万元的部分，在现行优惠政策基础上，减半征收个人所得税。</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t>【</w:t>
      </w:r>
      <w:r>
        <w:rPr>
          <w:rFonts w:hint="eastAsia" w:ascii="宋体" w:hAnsi="宋体" w:eastAsia="宋体" w:cs="宋体"/>
          <w:b/>
          <w:kern w:val="2"/>
          <w:sz w:val="32"/>
          <w:szCs w:val="32"/>
          <w:lang w:val="en-US" w:eastAsia="zh-Hans" w:bidi="ar-SA"/>
        </w:rPr>
        <w:t>享受条件</w:t>
      </w:r>
      <w:r>
        <w:rPr>
          <w:rFonts w:hint="eastAsia" w:ascii="宋体" w:hAnsi="宋体" w:eastAsia="宋体" w:cs="宋体"/>
          <w:b/>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1.个体工商户不区分征收方式，均可享受。</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2.在预缴税款时即可享受。</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3.按照以下方法计算减免税额：</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减免税额=（个体工商户经营所得应纳税所得额不超过100万元部分的应纳税额-其他政策减免税额×个体工商户经营所得应纳税所得额不超过100 万元部分÷经营所得应纳税所得额）×（1-50%）。</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t>【办理流程】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申报即享受。</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t>【政策依据】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w:t>
      </w:r>
      <w:r>
        <w:rPr>
          <w:rFonts w:hint="eastAsia" w:ascii="黑体" w:hAnsi="黑体" w:eastAsia="黑体" w:cs="黑体"/>
          <w:sz w:val="32"/>
          <w:szCs w:val="32"/>
          <w:lang w:val="en-US" w:eastAsia="zh-CN"/>
        </w:rPr>
        <w:fldChar w:fldCharType="begin"/>
      </w:r>
      <w:r>
        <w:rPr>
          <w:rFonts w:hint="eastAsia" w:ascii="黑体" w:hAnsi="黑体" w:eastAsia="黑体" w:cs="黑体"/>
          <w:sz w:val="32"/>
          <w:szCs w:val="32"/>
          <w:lang w:val="en-US" w:eastAsia="zh-CN"/>
        </w:rPr>
        <w:instrText xml:space="preserve"> HYPERLINK "http://130.9.1.168/statute/web/../statute/regulations/view.jsp?id=1640569869548744705&amp;flag=1" \t "http://130.9.1.168/statute/web/_blank" </w:instrText>
      </w:r>
      <w:r>
        <w:rPr>
          <w:rFonts w:hint="eastAsia" w:ascii="黑体" w:hAnsi="黑体" w:eastAsia="黑体" w:cs="黑体"/>
          <w:sz w:val="32"/>
          <w:szCs w:val="32"/>
          <w:lang w:val="en-US" w:eastAsia="zh-CN"/>
        </w:rPr>
        <w:fldChar w:fldCharType="separate"/>
      </w:r>
      <w:r>
        <w:rPr>
          <w:rFonts w:hint="eastAsia" w:ascii="黑体" w:hAnsi="黑体" w:eastAsia="黑体" w:cs="黑体"/>
          <w:sz w:val="32"/>
          <w:szCs w:val="32"/>
          <w:lang w:val="en-US" w:eastAsia="zh-CN"/>
        </w:rPr>
        <w:t>财政部 税务总局关于小微企业和个体工商户所得税优惠政策的公告</w:t>
      </w:r>
      <w:r>
        <w:rPr>
          <w:rFonts w:hint="eastAsia" w:ascii="黑体" w:hAnsi="黑体" w:eastAsia="黑体" w:cs="黑体"/>
          <w:sz w:val="32"/>
          <w:szCs w:val="32"/>
          <w:lang w:val="en-US" w:eastAsia="zh-CN"/>
        </w:rPr>
        <w:fldChar w:fldCharType="end"/>
      </w:r>
      <w:r>
        <w:rPr>
          <w:rFonts w:hint="eastAsia" w:ascii="黑体" w:hAnsi="黑体" w:eastAsia="黑体" w:cs="黑体"/>
          <w:sz w:val="32"/>
          <w:szCs w:val="32"/>
          <w:lang w:val="en-US" w:eastAsia="zh-CN"/>
        </w:rPr>
        <w:t>》（财政部 税务总局公告2023年第6号）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2.《国家税务总局关于落实支持个体工商户发展个人所得税优惠政策有关事项的公告》（国家税务总局公告2023年第5号）</w:t>
      </w: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outlineLvl w:val="0"/>
        <w:rPr>
          <w:rFonts w:hint="eastAsia"/>
          <w:lang w:val="en-US" w:eastAsia="zh-CN"/>
        </w:rPr>
      </w:pPr>
      <w:bookmarkStart w:id="31" w:name="_Toc3244"/>
      <w:r>
        <w:rPr>
          <w:rFonts w:hint="eastAsia" w:ascii="宋体" w:hAnsi="宋体" w:cs="宋体"/>
          <w:b/>
          <w:kern w:val="2"/>
          <w:sz w:val="32"/>
          <w:szCs w:val="32"/>
          <w:lang w:val="en-US" w:eastAsia="zh-CN" w:bidi="ar-SA"/>
        </w:rPr>
        <w:t>十</w:t>
      </w:r>
      <w:r>
        <w:rPr>
          <w:rFonts w:hint="eastAsia" w:ascii="宋体" w:hAnsi="宋体" w:eastAsia="宋体" w:cs="宋体"/>
          <w:b/>
          <w:kern w:val="2"/>
          <w:sz w:val="32"/>
          <w:szCs w:val="32"/>
          <w:lang w:val="en-US" w:eastAsia="zh-CN" w:bidi="ar-SA"/>
        </w:rPr>
        <w:t>、物流企业大宗商品仓储设施用地城镇土地使用税优惠政策</w:t>
      </w:r>
      <w:bookmarkEnd w:id="31"/>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【享受主体】</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物流企业</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rPr>
      </w:pPr>
      <w:r>
        <w:rPr>
          <w:rFonts w:hint="eastAsia" w:ascii="宋体" w:hAnsi="宋体" w:eastAsia="宋体" w:cs="宋体"/>
          <w:b/>
          <w:kern w:val="2"/>
          <w:sz w:val="32"/>
          <w:szCs w:val="32"/>
          <w:lang w:val="en-US" w:eastAsia="zh-CN" w:bidi="ar-SA"/>
        </w:rPr>
        <w:t>【优惠内容】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自2023年1月1日起至2027年12月31日止，对物流企业自有（包括自用和出租）或承租的大宗商品仓储设施用地，减按所属土地等级适用税额标准的50%计征城镇土地使用税。</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t>【</w:t>
      </w:r>
      <w:r>
        <w:rPr>
          <w:rFonts w:hint="eastAsia" w:ascii="宋体" w:hAnsi="宋体" w:eastAsia="宋体" w:cs="宋体"/>
          <w:b/>
          <w:kern w:val="2"/>
          <w:sz w:val="32"/>
          <w:szCs w:val="32"/>
          <w:lang w:val="en-US" w:eastAsia="zh-Hans" w:bidi="ar-SA"/>
        </w:rPr>
        <w:t>享受条件</w:t>
      </w:r>
      <w:r>
        <w:rPr>
          <w:rFonts w:hint="eastAsia" w:ascii="宋体" w:hAnsi="宋体" w:eastAsia="宋体" w:cs="宋体"/>
          <w:b/>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所称物流企业，是指至少从事仓储或运输一种经营业务，为工农业生产、流通、进出口和居民生活提供仓储、配送等第三方物流服务，实行独立核算、独立承担民事责任，并在工商部门注册登记为物流、仓储或运输的专业物流企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所称大宗商品仓储设施，是指同一仓储设施占地面积在6000平方米及以上，且主要储存粮食、棉花、油料、糖料、蔬菜、水果、肉类、水产品、化肥、农药、种子、饲料等农产品和农业生产资料，煤炭、焦炭、矿砂、非金属矿产品、原油、成品油、化工原料、木材、橡胶、纸浆及纸制品、钢材、水泥、有色金属、建材、塑料、纺织原料等矿产品和工业原材料的仓储设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3.所称仓储设施用地，包括仓库库区内的各类仓房（含配送中心）、油罐（池）、货场、晒场（堆场）、罩棚等储存设施和铁路专用线、码头、道路、装卸搬运区域等物流作业配套设施的用地。</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4.物流企业的办公、生活区用地及其他非直接用于大宗商品仓储的土地，不属于本项优惠政策规定的减税范围，应按规定征收城镇土地使用税。</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t>【办理流程】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申报即享受，相关资料留存备查。</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w:t>
      </w:r>
      <w:r>
        <w:rPr>
          <w:rFonts w:hint="eastAsia" w:ascii="黑体" w:hAnsi="黑体" w:eastAsia="黑体" w:cs="黑体"/>
          <w:sz w:val="32"/>
          <w:szCs w:val="32"/>
          <w:lang w:val="en-US" w:eastAsia="zh-CN"/>
        </w:rPr>
        <w:fldChar w:fldCharType="begin"/>
      </w:r>
      <w:r>
        <w:rPr>
          <w:rFonts w:hint="eastAsia" w:ascii="黑体" w:hAnsi="黑体" w:eastAsia="黑体" w:cs="黑体"/>
          <w:sz w:val="32"/>
          <w:szCs w:val="32"/>
          <w:lang w:val="en-US" w:eastAsia="zh-CN"/>
        </w:rPr>
        <w:instrText xml:space="preserve"> HYPERLINK "http://130.9.1.168/statute/web/../statute/regulations/view.jsp?id=1640569846228414466&amp;flag=1" \t "http://130.9.1.168/statute/web/_blank" </w:instrText>
      </w:r>
      <w:r>
        <w:rPr>
          <w:rFonts w:hint="eastAsia" w:ascii="黑体" w:hAnsi="黑体" w:eastAsia="黑体" w:cs="黑体"/>
          <w:sz w:val="32"/>
          <w:szCs w:val="32"/>
          <w:lang w:val="en-US" w:eastAsia="zh-CN"/>
        </w:rPr>
        <w:fldChar w:fldCharType="separate"/>
      </w:r>
      <w:r>
        <w:rPr>
          <w:rFonts w:hint="eastAsia" w:ascii="黑体" w:hAnsi="黑体" w:eastAsia="黑体" w:cs="黑体"/>
          <w:sz w:val="32"/>
          <w:szCs w:val="32"/>
          <w:lang w:val="en-US" w:eastAsia="zh-CN"/>
        </w:rPr>
        <w:t>财政部 税务总局关于继续实施物流企业大宗商品仓储设施用地城镇土地使用税优惠政策的公告</w:t>
      </w:r>
      <w:r>
        <w:rPr>
          <w:rFonts w:hint="eastAsia" w:ascii="黑体" w:hAnsi="黑体" w:eastAsia="黑体" w:cs="黑体"/>
          <w:sz w:val="32"/>
          <w:szCs w:val="32"/>
          <w:lang w:val="en-US" w:eastAsia="zh-CN"/>
        </w:rPr>
        <w:fldChar w:fldCharType="end"/>
      </w:r>
      <w:r>
        <w:rPr>
          <w:rFonts w:hint="eastAsia" w:ascii="黑体" w:hAnsi="黑体" w:eastAsia="黑体" w:cs="黑体"/>
          <w:sz w:val="32"/>
          <w:szCs w:val="32"/>
          <w:lang w:val="en-US" w:eastAsia="zh-CN"/>
        </w:rPr>
        <w:t xml:space="preserve">》（财政部 税务总局公告2023年第5号） </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p>
    <w:p>
      <w:pPr>
        <w:rPr>
          <w:rFonts w:hint="eastAsia"/>
          <w:lang w:val="en-US" w:eastAsia="zh-CN"/>
        </w:rPr>
      </w:pPr>
    </w:p>
    <w:p>
      <w:pPr>
        <w:rPr>
          <w:rFonts w:hint="eastAsia"/>
          <w:lang w:val="en-US" w:eastAsia="zh-CN"/>
        </w:rPr>
      </w:pPr>
    </w:p>
    <w:p>
      <w:pPr>
        <w:pStyle w:val="4"/>
        <w:keepNext/>
        <w:keepLines/>
        <w:pageBreakBefore w:val="0"/>
        <w:widowControl w:val="0"/>
        <w:kinsoku/>
        <w:wordWrap/>
        <w:overflowPunct/>
        <w:topLinePunct w:val="0"/>
        <w:autoSpaceDE/>
        <w:autoSpaceDN/>
        <w:bidi w:val="0"/>
        <w:adjustRightInd/>
        <w:snapToGrid/>
        <w:spacing w:line="416" w:lineRule="auto"/>
        <w:textAlignment w:val="auto"/>
        <w:outlineLvl w:val="0"/>
        <w:rPr>
          <w:rFonts w:hint="eastAsia"/>
          <w:lang w:val="en-US" w:eastAsia="zh-CN"/>
        </w:rPr>
      </w:pPr>
      <w:bookmarkStart w:id="32" w:name="_Toc7411"/>
      <w:r>
        <w:rPr>
          <w:rFonts w:hint="eastAsia" w:ascii="宋体" w:hAnsi="宋体" w:cs="宋体"/>
          <w:b/>
          <w:sz w:val="32"/>
          <w:szCs w:val="32"/>
          <w:lang w:val="en-US" w:eastAsia="zh-CN"/>
        </w:rPr>
        <w:t>十一</w:t>
      </w:r>
      <w:r>
        <w:rPr>
          <w:rFonts w:hint="eastAsia" w:ascii="宋体" w:hAnsi="宋体" w:eastAsia="宋体" w:cs="宋体"/>
          <w:b/>
          <w:sz w:val="32"/>
          <w:szCs w:val="32"/>
          <w:lang w:val="en-US" w:eastAsia="zh-CN"/>
        </w:rPr>
        <w:t>、残疾人就业保障金优惠政策</w:t>
      </w:r>
      <w:bookmarkEnd w:id="32"/>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t>【享受主体】</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未按规定安排残疾人就业的机关、团体、企业、事业单位和民办非企业单位（以下简称用人单位）。</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t>【优惠内容】</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延续实施残疾人就业保障金分档减缴政策。其中：用人单位安排残疾人就业比例达到1%（含）以上，但未达到所在省、自治区、直辖市人民政府规定比例的，按规定应缴费额的50%缴纳残疾人就业保障金；用人单位安排残疾人就业比例在1%以下的，按规定应缴费额的90%缴纳残疾人就业保障金。</w:t>
      </w:r>
    </w:p>
    <w:p>
      <w:pPr>
        <w:ind w:firstLine="640" w:firstLineChars="200"/>
        <w:rPr>
          <w:rFonts w:hint="eastAsia" w:ascii="黑体" w:hAnsi="黑体" w:eastAsia="黑体" w:cs="黑体"/>
          <w:sz w:val="32"/>
          <w:szCs w:val="32"/>
          <w:lang w:val="en-US" w:eastAsia="zh-CN"/>
        </w:rPr>
      </w:pPr>
      <w:r>
        <w:rPr>
          <w:rFonts w:hint="eastAsia" w:ascii="仿宋_GB2312" w:hAnsi="仿宋_GB2312" w:eastAsia="仿宋_GB2312" w:cs="仿宋_GB2312"/>
          <w:sz w:val="32"/>
          <w:szCs w:val="32"/>
          <w:lang w:val="en-US" w:eastAsia="zh-CN"/>
        </w:rPr>
        <w:t>2.在职职工人数在30人（含）以下的企业，继续免征残疾人就业保障金。</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3.本公告执行期限自2023年1月1日起至2027年12月31日。对符合本公告规定减免条件但缴费人已缴费的，可按规定办理退费。</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t>【</w:t>
      </w:r>
      <w:r>
        <w:rPr>
          <w:rFonts w:hint="eastAsia" w:ascii="宋体" w:hAnsi="宋体" w:eastAsia="宋体" w:cs="宋体"/>
          <w:b/>
          <w:kern w:val="2"/>
          <w:sz w:val="32"/>
          <w:szCs w:val="32"/>
          <w:lang w:val="en-US" w:eastAsia="zh-Hans" w:bidi="ar-SA"/>
        </w:rPr>
        <w:t>享受条件</w:t>
      </w:r>
      <w:r>
        <w:rPr>
          <w:rFonts w:hint="eastAsia" w:ascii="宋体" w:hAnsi="宋体" w:eastAsia="宋体" w:cs="宋体"/>
          <w:b/>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en" w:eastAsia="zh-CN"/>
        </w:rPr>
        <w:t>上年安排残疾人就业比例在</w:t>
      </w:r>
      <w:r>
        <w:rPr>
          <w:rFonts w:hint="eastAsia" w:ascii="仿宋_GB2312" w:hAnsi="仿宋_GB2312" w:eastAsia="仿宋_GB2312" w:cs="仿宋_GB2312"/>
          <w:sz w:val="32"/>
          <w:szCs w:val="32"/>
          <w:lang w:val="en-US" w:eastAsia="zh-CN"/>
        </w:rPr>
        <w:t>1.5%以下的机关、团体、企业、事业单位和民办非企业单位。</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2.符合本公告规定减免条件但缴费人已缴纳的费款属期为2022年和2023年。</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t>【办理流程】</w:t>
      </w:r>
    </w:p>
    <w:p>
      <w:pPr>
        <w:ind w:firstLine="420" w:firstLineChars="200"/>
        <w:rPr>
          <w:rFonts w:hint="eastAsia" w:ascii="仿宋_GB2312" w:hAnsi="仿宋_GB2312" w:eastAsia="仿宋_GB2312" w:cs="仿宋_GB2312"/>
          <w:sz w:val="32"/>
          <w:szCs w:val="32"/>
          <w:lang w:val="en-US" w:eastAsia="zh-CN"/>
        </w:rPr>
      </w:pPr>
      <w:r>
        <w:rPr>
          <w:rFonts w:hint="eastAsia"/>
          <w:lang w:val="en-US" w:eastAsia="zh-CN"/>
        </w:rPr>
        <w:t xml:space="preserve">    </w:t>
      </w:r>
      <w:r>
        <w:rPr>
          <w:rFonts w:hint="eastAsia" w:ascii="仿宋_GB2312" w:hAnsi="仿宋_GB2312" w:eastAsia="仿宋_GB2312" w:cs="仿宋_GB2312"/>
          <w:sz w:val="32"/>
          <w:szCs w:val="32"/>
          <w:lang w:val="en-US" w:eastAsia="zh-CN"/>
        </w:rPr>
        <w:t>1.申报缴纳流程。用人单位办理缴费申报时，需据实填写《残疾人就业保障金申报表》（以下简称《申报表》）中“上年在职职工工资总额”和“上年在职职工人数”两项，并核实“上年实际安排残疾人就业人数”是否正确。如正确无误，《申报表》自动判断用人单位是否适用优惠政策，并计算出应退（补）费额，用人单位据此缴纳费款或办理退费；如用人单位对“上年实际安排残疾人就业人数”存在异议，需提请残联部门核实数据的准确性，残联部门重新发送数据后，再向税务部门申报缴纳费款。用人单位缴纳费款后，可在电子税务局或办税服务厅开具《税收完税证明》。</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2.退费流程。比照税款退库流程办理。</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1.《财政部关于调整残疾人就业保障金征收政策的公告》（财政部公告〔2019〕第98号）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2.《财政部关于延续实施残疾人就业保障金优惠政策的公告》（财政部公告2023年第8号）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 </w:t>
      </w:r>
    </w:p>
    <w:p>
      <w:pPr>
        <w:rPr>
          <w:rFonts w:hint="eastAsia"/>
          <w:lang w:val="en-US" w:eastAsia="zh-CN"/>
        </w:rPr>
      </w:pPr>
    </w:p>
    <w:p>
      <w:pPr>
        <w:rPr>
          <w:rFonts w:hint="eastAsia"/>
          <w:lang w:val="en-US" w:eastAsia="zh-CN"/>
        </w:rPr>
      </w:pPr>
    </w:p>
    <w:p>
      <w:pPr>
        <w:outlineLvl w:val="0"/>
        <w:rPr>
          <w:rFonts w:hint="default"/>
          <w:lang w:val="en-US" w:eastAsia="zh-CN"/>
        </w:rPr>
      </w:pPr>
      <w:bookmarkStart w:id="33" w:name="_Toc22910"/>
      <w:r>
        <w:rPr>
          <w:rFonts w:hint="eastAsia" w:ascii="宋体" w:hAnsi="宋体" w:cs="宋体"/>
          <w:b/>
          <w:kern w:val="2"/>
          <w:sz w:val="32"/>
          <w:szCs w:val="32"/>
          <w:lang w:val="en-US" w:eastAsia="zh-CN" w:bidi="ar-SA"/>
        </w:rPr>
        <w:t>十二</w:t>
      </w:r>
      <w:r>
        <w:rPr>
          <w:rFonts w:hint="eastAsia" w:ascii="宋体" w:hAnsi="宋体" w:eastAsia="宋体" w:cs="宋体"/>
          <w:b/>
          <w:kern w:val="2"/>
          <w:sz w:val="32"/>
          <w:szCs w:val="32"/>
          <w:lang w:val="en-US" w:eastAsia="zh-CN" w:bidi="ar-SA"/>
        </w:rPr>
        <w:t>、</w:t>
      </w:r>
      <w:r>
        <w:rPr>
          <w:rFonts w:hint="default" w:ascii="宋体" w:hAnsi="宋体" w:eastAsia="宋体" w:cs="宋体"/>
          <w:b/>
          <w:kern w:val="2"/>
          <w:sz w:val="32"/>
          <w:szCs w:val="32"/>
          <w:lang w:val="en-US" w:eastAsia="zh-CN" w:bidi="ar-SA"/>
        </w:rPr>
        <w:t>阶段性降低失业保险</w:t>
      </w:r>
      <w:r>
        <w:rPr>
          <w:rFonts w:hint="eastAsia" w:ascii="宋体" w:hAnsi="宋体" w:cs="宋体"/>
          <w:b/>
          <w:kern w:val="2"/>
          <w:sz w:val="32"/>
          <w:szCs w:val="32"/>
          <w:lang w:val="en-US" w:eastAsia="zh-CN" w:bidi="ar-SA"/>
        </w:rPr>
        <w:t>、工伤保险</w:t>
      </w:r>
      <w:r>
        <w:rPr>
          <w:rFonts w:hint="default" w:ascii="宋体" w:hAnsi="宋体" w:eastAsia="宋体" w:cs="宋体"/>
          <w:b/>
          <w:kern w:val="2"/>
          <w:sz w:val="32"/>
          <w:szCs w:val="32"/>
          <w:lang w:val="en-US" w:eastAsia="zh-CN" w:bidi="ar-SA"/>
        </w:rPr>
        <w:t>费率政策</w:t>
      </w:r>
      <w:bookmarkEnd w:id="33"/>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default" w:ascii="宋体" w:hAnsi="宋体" w:eastAsia="宋体" w:cs="宋体"/>
          <w:b/>
          <w:kern w:val="2"/>
          <w:sz w:val="32"/>
          <w:szCs w:val="32"/>
          <w:lang w:val="en-US" w:eastAsia="zh-CN" w:bidi="ar-SA"/>
        </w:rPr>
      </w:pPr>
      <w:r>
        <w:rPr>
          <w:rFonts w:hint="default" w:ascii="宋体" w:hAnsi="宋体" w:eastAsia="宋体" w:cs="宋体"/>
          <w:b/>
          <w:kern w:val="2"/>
          <w:sz w:val="32"/>
          <w:szCs w:val="32"/>
          <w:lang w:val="en-US" w:eastAsia="zh-CN" w:bidi="ar-SA"/>
        </w:rPr>
        <w:t>【享受主体】</w:t>
      </w:r>
    </w:p>
    <w:p>
      <w:pPr>
        <w:pStyle w:val="8"/>
        <w:keepNext w:val="0"/>
        <w:keepLines w:val="0"/>
        <w:pageBreakBefore w:val="0"/>
        <w:widowControl/>
        <w:kinsoku/>
        <w:wordWrap/>
        <w:overflowPunct/>
        <w:topLinePunct w:val="0"/>
        <w:autoSpaceDE/>
        <w:autoSpaceDN/>
        <w:bidi w:val="0"/>
        <w:adjustRightInd/>
        <w:snapToGrid/>
        <w:spacing w:beforeLines="0" w:afterLines="0" w:line="240" w:lineRule="auto"/>
        <w:ind w:firstLine="640" w:firstLineChars="200"/>
        <w:jc w:val="both"/>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失业保险</w:t>
      </w:r>
      <w:r>
        <w:rPr>
          <w:rFonts w:hint="eastAsia" w:ascii="仿宋_GB2312" w:hAnsi="仿宋_GB2312" w:eastAsia="仿宋_GB2312" w:cs="仿宋_GB2312"/>
          <w:kern w:val="2"/>
          <w:sz w:val="32"/>
          <w:szCs w:val="32"/>
          <w:lang w:val="en-US" w:eastAsia="zh-CN" w:bidi="ar-SA"/>
        </w:rPr>
        <w:t>、工伤保险</w:t>
      </w:r>
      <w:r>
        <w:rPr>
          <w:rFonts w:hint="default" w:ascii="仿宋_GB2312" w:hAnsi="仿宋_GB2312" w:eastAsia="仿宋_GB2312" w:cs="仿宋_GB2312"/>
          <w:kern w:val="2"/>
          <w:sz w:val="32"/>
          <w:szCs w:val="32"/>
          <w:lang w:val="en-US" w:eastAsia="zh-CN" w:bidi="ar-SA"/>
        </w:rPr>
        <w:t>参保单位</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default" w:ascii="宋体" w:hAnsi="宋体" w:eastAsia="宋体" w:cs="宋体"/>
          <w:b/>
          <w:kern w:val="2"/>
          <w:sz w:val="32"/>
          <w:szCs w:val="32"/>
          <w:lang w:val="en-US" w:eastAsia="zh-CN" w:bidi="ar-SA"/>
        </w:rPr>
      </w:pPr>
      <w:r>
        <w:rPr>
          <w:rFonts w:hint="default" w:ascii="宋体" w:hAnsi="宋体" w:eastAsia="宋体" w:cs="宋体"/>
          <w:b/>
          <w:kern w:val="2"/>
          <w:sz w:val="32"/>
          <w:szCs w:val="32"/>
          <w:lang w:val="en-US" w:eastAsia="zh-CN" w:bidi="ar-SA"/>
        </w:rPr>
        <w:t>【优惠内容】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US" w:eastAsia="zh-CN"/>
        </w:rPr>
        <w:t>自2023年5月1日起，继续实施阶段性降低失业保险费率至1%的政策，实施期限延长至2024年底。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2.自2023年5月1日起，按照《国务院办公厅关于印发降低社会保险费率综合方案的通知》（国办发〔2019〕13号）有关实施条件，继续实施阶段性降低工伤保险费率政策，实施期限延长至2024年底。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3.工伤保险基金累计结余可支付月数在18至23个月的统筹地区可以现行费率为基础下调20%，累计结余可支付月数在24个月以上的统筹地区可以现行费率为基础下调50%。</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eastAsia"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t>【享受条件】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在符合降率条件的统筹地区依法办理参保登记。</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default" w:ascii="宋体" w:hAnsi="宋体" w:eastAsia="宋体" w:cs="宋体"/>
          <w:b/>
          <w:kern w:val="2"/>
          <w:sz w:val="32"/>
          <w:szCs w:val="32"/>
          <w:lang w:val="en-US" w:eastAsia="zh-CN" w:bidi="ar-SA"/>
        </w:rPr>
      </w:pPr>
      <w:r>
        <w:rPr>
          <w:rFonts w:hint="default" w:ascii="宋体" w:hAnsi="宋体" w:eastAsia="宋体" w:cs="宋体"/>
          <w:b/>
          <w:kern w:val="2"/>
          <w:sz w:val="32"/>
          <w:szCs w:val="32"/>
          <w:lang w:val="en-US" w:eastAsia="zh-CN" w:bidi="ar-SA"/>
        </w:rPr>
        <w:t>【办理流程】</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1"/>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在符合降率条件的统筹地区依法办理参保登记的用人单位，免申即享。</w:t>
      </w:r>
    </w:p>
    <w:p>
      <w:pPr>
        <w:keepNext w:val="0"/>
        <w:keepLines w:val="0"/>
        <w:pageBreakBefore w:val="0"/>
        <w:widowControl w:val="0"/>
        <w:kinsoku/>
        <w:wordWrap/>
        <w:overflowPunct/>
        <w:topLinePunct w:val="0"/>
        <w:autoSpaceDE/>
        <w:autoSpaceDN/>
        <w:bidi w:val="0"/>
        <w:adjustRightInd/>
        <w:snapToGrid/>
        <w:spacing w:before="260" w:after="260" w:line="416" w:lineRule="auto"/>
        <w:textAlignment w:val="auto"/>
        <w:outlineLvl w:val="1"/>
        <w:rPr>
          <w:rFonts w:hint="default" w:ascii="宋体" w:hAnsi="宋体" w:eastAsia="宋体" w:cs="宋体"/>
          <w:b/>
          <w:kern w:val="2"/>
          <w:sz w:val="32"/>
          <w:szCs w:val="32"/>
          <w:lang w:val="en-US" w:eastAsia="zh-CN" w:bidi="ar-SA"/>
        </w:rPr>
      </w:pPr>
      <w:r>
        <w:rPr>
          <w:rFonts w:hint="default" w:ascii="宋体" w:hAnsi="宋体" w:eastAsia="宋体" w:cs="宋体"/>
          <w:b/>
          <w:kern w:val="2"/>
          <w:sz w:val="32"/>
          <w:szCs w:val="32"/>
          <w:lang w:val="en-US" w:eastAsia="zh-CN" w:bidi="ar-SA"/>
        </w:rPr>
        <w:t>【政策依据】</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1.</w:t>
      </w:r>
      <w:r>
        <w:rPr>
          <w:rFonts w:hint="default" w:ascii="黑体" w:hAnsi="黑体" w:eastAsia="黑体" w:cs="黑体"/>
          <w:sz w:val="32"/>
          <w:szCs w:val="32"/>
          <w:lang w:val="en-US" w:eastAsia="zh-CN"/>
        </w:rPr>
        <w:t>《国务院办公厅关于印发降低社会保险费率综合方案的通知》（国办发〔2019〕13号）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2.《</w:t>
      </w:r>
      <w:r>
        <w:rPr>
          <w:rFonts w:hint="default" w:ascii="黑体" w:hAnsi="黑体" w:eastAsia="黑体" w:cs="黑体"/>
          <w:sz w:val="32"/>
          <w:szCs w:val="32"/>
          <w:lang w:val="en-US" w:eastAsia="zh-CN"/>
        </w:rPr>
        <w:t>人力资源社会保障部 财政部 国家税务总局关于阶段性降低失业保险、工伤保险费率有关问题的通知</w:t>
      </w:r>
      <w:r>
        <w:rPr>
          <w:rFonts w:hint="eastAsia" w:ascii="黑体" w:hAnsi="黑体" w:eastAsia="黑体" w:cs="黑体"/>
          <w:sz w:val="32"/>
          <w:szCs w:val="32"/>
          <w:lang w:val="en-US" w:eastAsia="zh-CN"/>
        </w:rPr>
        <w:t>》（人社部发〔2023〕19号）</w:t>
      </w:r>
    </w:p>
    <w:p>
      <w:pPr>
        <w:keepNext w:val="0"/>
        <w:keepLines w:val="0"/>
        <w:pageBreakBefore w:val="0"/>
        <w:widowControl w:val="0"/>
        <w:kinsoku/>
        <w:wordWrap/>
        <w:overflowPunct/>
        <w:topLinePunct w:val="0"/>
        <w:autoSpaceDE/>
        <w:autoSpaceDN/>
        <w:bidi w:val="0"/>
        <w:adjustRightInd/>
        <w:snapToGrid/>
        <w:spacing w:line="360" w:lineRule="atLeast"/>
        <w:ind w:firstLine="272" w:firstLineChars="85"/>
        <w:textAlignment w:val="auto"/>
        <w:rPr>
          <w:rFonts w:hint="default" w:ascii="黑体" w:hAnsi="黑体" w:eastAsia="黑体" w:cs="黑体"/>
          <w:sz w:val="32"/>
          <w:szCs w:val="32"/>
          <w:lang w:val="en-US" w:eastAsia="zh-CN"/>
        </w:rPr>
      </w:pPr>
    </w:p>
    <w:p>
      <w:pPr>
        <w:rPr>
          <w:rFonts w:hint="default"/>
          <w:lang w:val="en-US" w:eastAsia="zh-CN"/>
        </w:rPr>
      </w:pPr>
    </w:p>
    <w:p>
      <w:pPr>
        <w:rPr>
          <w:rFonts w:hint="default"/>
          <w:lang w:val="en-US" w:eastAsia="zh-CN"/>
        </w:rPr>
      </w:pPr>
    </w:p>
    <w:p/>
    <w:sectPr>
      <w:footerReference r:id="rId6" w:type="default"/>
      <w:pgSz w:w="11906" w:h="16838"/>
      <w:pgMar w:top="1440" w:right="1803" w:bottom="1440" w:left="180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华文楷体">
    <w:altName w:val="楷体_GB2312"/>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5"/>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5"/>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5"/>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4</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4</w:t>
                    </w:r>
                    <w:r>
                      <w:rPr>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5A08D5"/>
    <w:rsid w:val="01A443A1"/>
    <w:rsid w:val="02F20293"/>
    <w:rsid w:val="05424B8E"/>
    <w:rsid w:val="085277F0"/>
    <w:rsid w:val="0B581DD6"/>
    <w:rsid w:val="0B9E7B76"/>
    <w:rsid w:val="0BBF5024"/>
    <w:rsid w:val="0C8C00B5"/>
    <w:rsid w:val="0CC354D6"/>
    <w:rsid w:val="0E727896"/>
    <w:rsid w:val="0EF3158F"/>
    <w:rsid w:val="0FAD23FF"/>
    <w:rsid w:val="10353024"/>
    <w:rsid w:val="117D0153"/>
    <w:rsid w:val="12D80A2C"/>
    <w:rsid w:val="16502C7E"/>
    <w:rsid w:val="16BF69CF"/>
    <w:rsid w:val="17290BF7"/>
    <w:rsid w:val="1773262F"/>
    <w:rsid w:val="187D35FE"/>
    <w:rsid w:val="1927432A"/>
    <w:rsid w:val="192D65F8"/>
    <w:rsid w:val="1AAA553A"/>
    <w:rsid w:val="1AB90DDA"/>
    <w:rsid w:val="1C3619BE"/>
    <w:rsid w:val="1D6903B2"/>
    <w:rsid w:val="1D891768"/>
    <w:rsid w:val="1DD57349"/>
    <w:rsid w:val="1DDF37AB"/>
    <w:rsid w:val="1FBC7914"/>
    <w:rsid w:val="1FD03A9E"/>
    <w:rsid w:val="21C264DB"/>
    <w:rsid w:val="228A69C4"/>
    <w:rsid w:val="232C7B14"/>
    <w:rsid w:val="27B139C8"/>
    <w:rsid w:val="29251B5B"/>
    <w:rsid w:val="29D50DF8"/>
    <w:rsid w:val="2A1E2828"/>
    <w:rsid w:val="2A4372F5"/>
    <w:rsid w:val="2AA73475"/>
    <w:rsid w:val="2AFE1ED5"/>
    <w:rsid w:val="2B846097"/>
    <w:rsid w:val="2C18232A"/>
    <w:rsid w:val="2DE050FD"/>
    <w:rsid w:val="316E696A"/>
    <w:rsid w:val="32943CB0"/>
    <w:rsid w:val="35C17647"/>
    <w:rsid w:val="395D4DBE"/>
    <w:rsid w:val="3ABB5694"/>
    <w:rsid w:val="3B3F33F1"/>
    <w:rsid w:val="3B574954"/>
    <w:rsid w:val="3C1F3CD1"/>
    <w:rsid w:val="3D1C1DC3"/>
    <w:rsid w:val="3D750B58"/>
    <w:rsid w:val="3E357A09"/>
    <w:rsid w:val="3E72338D"/>
    <w:rsid w:val="3E8054AF"/>
    <w:rsid w:val="3EE13332"/>
    <w:rsid w:val="3F741B40"/>
    <w:rsid w:val="41722F86"/>
    <w:rsid w:val="43A93124"/>
    <w:rsid w:val="44257EB7"/>
    <w:rsid w:val="46322C03"/>
    <w:rsid w:val="46F665F8"/>
    <w:rsid w:val="47016261"/>
    <w:rsid w:val="47322E81"/>
    <w:rsid w:val="47D02B6A"/>
    <w:rsid w:val="47F95F5D"/>
    <w:rsid w:val="49AB4BE5"/>
    <w:rsid w:val="4E3533A6"/>
    <w:rsid w:val="4F7C0CAF"/>
    <w:rsid w:val="52094E6D"/>
    <w:rsid w:val="523E16AA"/>
    <w:rsid w:val="52AA1140"/>
    <w:rsid w:val="53B2464E"/>
    <w:rsid w:val="5430634B"/>
    <w:rsid w:val="567D1C2A"/>
    <w:rsid w:val="5723126E"/>
    <w:rsid w:val="5769125D"/>
    <w:rsid w:val="58A445C8"/>
    <w:rsid w:val="5B86229D"/>
    <w:rsid w:val="5E47052E"/>
    <w:rsid w:val="610A2AF2"/>
    <w:rsid w:val="618F4811"/>
    <w:rsid w:val="61FC53D2"/>
    <w:rsid w:val="636B04CD"/>
    <w:rsid w:val="64263607"/>
    <w:rsid w:val="645B1B5D"/>
    <w:rsid w:val="65A35AA2"/>
    <w:rsid w:val="67720F9D"/>
    <w:rsid w:val="67B14F8E"/>
    <w:rsid w:val="6A0A0404"/>
    <w:rsid w:val="6A691588"/>
    <w:rsid w:val="6C2568B2"/>
    <w:rsid w:val="6D1E4300"/>
    <w:rsid w:val="70021BD3"/>
    <w:rsid w:val="707340AA"/>
    <w:rsid w:val="70DE7391"/>
    <w:rsid w:val="72554AEE"/>
    <w:rsid w:val="72DE47C1"/>
    <w:rsid w:val="73710BB6"/>
    <w:rsid w:val="77397B58"/>
    <w:rsid w:val="78FE6FFF"/>
    <w:rsid w:val="7A4D3BAC"/>
    <w:rsid w:val="7D7C3CD3"/>
    <w:rsid w:val="7EA361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qFormat/>
    <w:uiPriority w:val="0"/>
    <w:pPr>
      <w:keepNext/>
      <w:keepLines/>
      <w:widowControl w:val="0"/>
      <w:spacing w:before="340" w:after="330" w:line="576" w:lineRule="auto"/>
      <w:jc w:val="both"/>
      <w:outlineLvl w:val="0"/>
    </w:pPr>
    <w:rPr>
      <w:rFonts w:ascii="Times New Roman" w:hAnsi="Times New Roman" w:eastAsia="宋体" w:cs="Times New Roman"/>
      <w:b/>
      <w:kern w:val="44"/>
      <w:sz w:val="44"/>
      <w:szCs w:val="24"/>
      <w:lang w:val="en-US" w:eastAsia="zh-CN" w:bidi="ar-SA"/>
    </w:rPr>
  </w:style>
  <w:style w:type="paragraph" w:styleId="3">
    <w:name w:val="heading 2"/>
    <w:next w:val="1"/>
    <w:qFormat/>
    <w:uiPriority w:val="0"/>
    <w:pPr>
      <w:keepNext/>
      <w:keepLines/>
      <w:widowControl w:val="0"/>
      <w:spacing w:before="260" w:after="260" w:line="416" w:lineRule="auto"/>
      <w:jc w:val="both"/>
      <w:outlineLvl w:val="1"/>
    </w:pPr>
    <w:rPr>
      <w:rFonts w:ascii="Cambria" w:hAnsi="Cambria" w:eastAsia="宋体" w:cs="Times New Roman"/>
      <w:b/>
      <w:bCs/>
      <w:kern w:val="2"/>
      <w:sz w:val="32"/>
      <w:szCs w:val="32"/>
      <w:lang w:val="en-US" w:eastAsia="zh-CN" w:bidi="ar-SA"/>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footer"/>
    <w:qFormat/>
    <w:uiPriority w:val="0"/>
    <w:pPr>
      <w:widowControl w:val="0"/>
      <w:tabs>
        <w:tab w:val="center" w:pos="4153"/>
        <w:tab w:val="right" w:pos="8306"/>
      </w:tabs>
      <w:snapToGrid w:val="0"/>
      <w:jc w:val="left"/>
    </w:pPr>
    <w:rPr>
      <w:rFonts w:ascii="Times New Roman" w:hAnsi="Times New Roman" w:eastAsia="宋体" w:cs="Times New Roman"/>
      <w:kern w:val="2"/>
      <w:sz w:val="18"/>
      <w:szCs w:val="24"/>
      <w:lang w:val="en-US" w:eastAsia="zh-CN" w:bidi="ar-SA"/>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HTML Preformatted"/>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0" w:afterLines="0"/>
      <w:jc w:val="left"/>
    </w:pPr>
    <w:rPr>
      <w:rFonts w:hint="eastAsia" w:ascii="宋体" w:hAnsi="宋体" w:eastAsia="宋体" w:cs="宋体"/>
      <w:kern w:val="0"/>
      <w:sz w:val="24"/>
      <w:szCs w:val="24"/>
      <w:lang w:val="en-US" w:eastAsia="zh-CN" w:bidi="ar"/>
    </w:rPr>
  </w:style>
  <w:style w:type="paragraph" w:styleId="9">
    <w:name w:val="Normal (Web)"/>
    <w:qFormat/>
    <w:uiPriority w:val="0"/>
    <w:pPr>
      <w:widowControl/>
      <w:spacing w:after="150"/>
      <w:jc w:val="left"/>
    </w:pPr>
    <w:rPr>
      <w:rFonts w:ascii="宋体" w:hAnsi="宋体" w:eastAsia="宋体" w:cs="宋体"/>
      <w:kern w:val="0"/>
      <w:sz w:val="24"/>
      <w:szCs w:val="24"/>
      <w:lang w:val="en-US" w:eastAsia="zh-CN" w:bidi="ar-SA"/>
    </w:rPr>
  </w:style>
  <w:style w:type="character" w:styleId="12">
    <w:name w:val="Strong"/>
    <w:basedOn w:val="11"/>
    <w:qFormat/>
    <w:uiPriority w:val="0"/>
  </w:style>
  <w:style w:type="character" w:styleId="13">
    <w:name w:val="FollowedHyperlink"/>
    <w:basedOn w:val="11"/>
    <w:qFormat/>
    <w:uiPriority w:val="0"/>
    <w:rPr>
      <w:color w:val="800080"/>
      <w:u w:val="none"/>
    </w:rPr>
  </w:style>
  <w:style w:type="character" w:styleId="14">
    <w:name w:val="Emphasis"/>
    <w:basedOn w:val="11"/>
    <w:qFormat/>
    <w:uiPriority w:val="0"/>
  </w:style>
  <w:style w:type="character" w:styleId="15">
    <w:name w:val="HTML Definition"/>
    <w:basedOn w:val="11"/>
    <w:qFormat/>
    <w:uiPriority w:val="0"/>
  </w:style>
  <w:style w:type="character" w:styleId="16">
    <w:name w:val="HTML Variable"/>
    <w:basedOn w:val="11"/>
    <w:qFormat/>
    <w:uiPriority w:val="0"/>
  </w:style>
  <w:style w:type="character" w:styleId="17">
    <w:name w:val="Hyperlink"/>
    <w:basedOn w:val="11"/>
    <w:qFormat/>
    <w:uiPriority w:val="0"/>
    <w:rPr>
      <w:color w:val="0000FF"/>
      <w:u w:val="none"/>
    </w:rPr>
  </w:style>
  <w:style w:type="character" w:styleId="18">
    <w:name w:val="HTML Code"/>
    <w:basedOn w:val="11"/>
    <w:qFormat/>
    <w:uiPriority w:val="0"/>
    <w:rPr>
      <w:rFonts w:ascii="Courier New" w:hAnsi="Courier New"/>
      <w:sz w:val="20"/>
    </w:rPr>
  </w:style>
  <w:style w:type="character" w:styleId="19">
    <w:name w:val="HTML Cite"/>
    <w:basedOn w:val="11"/>
    <w:qFormat/>
    <w:uiPriority w:val="0"/>
  </w:style>
  <w:style w:type="paragraph" w:customStyle="1" w:styleId="20">
    <w:name w:val="样式9"/>
    <w:next w:val="1"/>
    <w:qFormat/>
    <w:uiPriority w:val="0"/>
    <w:pPr>
      <w:keepNext/>
      <w:keepLines/>
      <w:widowControl w:val="0"/>
      <w:spacing w:before="260" w:after="260" w:line="413" w:lineRule="auto"/>
      <w:jc w:val="left"/>
      <w:outlineLvl w:val="1"/>
    </w:pPr>
    <w:rPr>
      <w:rFonts w:hint="eastAsia" w:ascii="Calibri" w:hAnsi="Calibri" w:eastAsia="黑体" w:cs="Times New Roman"/>
      <w:b/>
      <w:bCs/>
      <w:kern w:val="44"/>
      <w:sz w:val="36"/>
      <w:szCs w:val="32"/>
      <w:lang w:val="en-US" w:eastAsia="zh-CN" w:bidi="ar-SA"/>
    </w:rPr>
  </w:style>
  <w:style w:type="character" w:customStyle="1" w:styleId="21">
    <w:name w:val="layui-layer-tabnow"/>
    <w:basedOn w:val="11"/>
    <w:qFormat/>
    <w:uiPriority w:val="0"/>
    <w:rPr>
      <w:bdr w:val="single" w:color="CCCCCC" w:sz="6" w:space="0"/>
      <w:shd w:val="clear" w:fill="FFFFFF"/>
    </w:rPr>
  </w:style>
  <w:style w:type="character" w:customStyle="1" w:styleId="22">
    <w:name w:val="first-child"/>
    <w:basedOn w:val="11"/>
    <w:qFormat/>
    <w:uiPriority w:val="0"/>
  </w:style>
  <w:style w:type="character" w:customStyle="1" w:styleId="23">
    <w:name w:val="kind"/>
    <w:basedOn w:val="11"/>
    <w:qFormat/>
    <w:uiPriority w:val="0"/>
    <w:rPr>
      <w:color w:val="336699"/>
      <w:bdr w:val="single" w:color="336699" w:sz="6" w:space="0"/>
    </w:rPr>
  </w:style>
  <w:style w:type="character" w:customStyle="1" w:styleId="24">
    <w:name w:val="sort"/>
    <w:basedOn w:val="11"/>
    <w:qFormat/>
    <w:uiPriority w:val="0"/>
    <w:rPr>
      <w:rFonts w:ascii="华文楷体" w:hAnsi="华文楷体" w:eastAsia="华文楷体" w:cs="华文楷体"/>
      <w:color w:val="666666"/>
    </w:rPr>
  </w:style>
  <w:style w:type="character" w:customStyle="1" w:styleId="25">
    <w:name w:val="time"/>
    <w:basedOn w:val="11"/>
    <w:qFormat/>
    <w:uiPriority w:val="0"/>
    <w:rPr>
      <w:color w:val="999999"/>
      <w:sz w:val="21"/>
      <w:szCs w:val="21"/>
    </w:rPr>
  </w:style>
  <w:style w:type="character" w:customStyle="1" w:styleId="26">
    <w:name w:val="bq"/>
    <w:basedOn w:val="11"/>
    <w:qFormat/>
    <w:uiPriority w:val="0"/>
    <w:rPr>
      <w:color w:val="999999"/>
      <w:sz w:val="21"/>
      <w:szCs w:val="21"/>
    </w:rPr>
  </w:style>
  <w:style w:type="character" w:customStyle="1" w:styleId="27">
    <w:name w:val="lastest"/>
    <w:basedOn w:val="11"/>
    <w:qFormat/>
    <w:uiPriority w:val="0"/>
  </w:style>
  <w:style w:type="character" w:customStyle="1" w:styleId="28">
    <w:name w:val="to"/>
    <w:basedOn w:val="11"/>
    <w:qFormat/>
    <w:uiPriority w:val="0"/>
  </w:style>
  <w:style w:type="character" w:customStyle="1" w:styleId="29">
    <w:name w:val="time1"/>
    <w:basedOn w:val="11"/>
    <w:qFormat/>
    <w:uiPriority w:val="0"/>
    <w:rPr>
      <w:color w:val="999999"/>
      <w:sz w:val="21"/>
      <w:szCs w:val="21"/>
    </w:rPr>
  </w:style>
  <w:style w:type="paragraph" w:customStyle="1" w:styleId="30">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2023-02-08T07:03:00Z</dcterms:created>
  <dc:creator>Administrator.2016-20220221MT</dc:creator>
  <cp:lastModifiedBy>减税办1</cp:lastModifiedBy>
  <dcterms:modified xsi:type="dcterms:W3CDTF">2023-05-05T03:33:55Z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